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91183" w:rsidR="00CB3578" w:rsidP="00991183" w:rsidRDefault="00991183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991183">
              <w:rPr>
                <w:rFonts w:ascii="Times New Roman" w:hAnsi="Times New Roman" w:cs="Times New Roman"/>
                <w:b w:val="0"/>
              </w:rPr>
              <w:t>Bijgewerkt t/m nr. 4 (nota van wijziging d.d. 10 juni 2024)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EC6EFC" w:rsidRDefault="00EC6EF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36 550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C6EFC" w:rsidR="002A727C" w:rsidP="000D5BC4" w:rsidRDefault="00EC6EFC">
            <w:pPr>
              <w:rPr>
                <w:rFonts w:ascii="Times New Roman" w:hAnsi="Times New Roman"/>
                <w:b/>
                <w:sz w:val="24"/>
              </w:rPr>
            </w:pPr>
            <w:r w:rsidRPr="00EC6EFC">
              <w:rPr>
                <w:rFonts w:ascii="Times New Roman" w:hAnsi="Times New Roman"/>
                <w:b/>
                <w:sz w:val="24"/>
              </w:rPr>
              <w:t>Wijziging van de begrotingsstaat van het Mobiliteitsfonds voor het jaar 2024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EC6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EC6EFC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C6EF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C6EFC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Mobiliteitsfonds voor het jaar 2024;</w:t>
      </w: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C6EFC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C6EFC">
        <w:rPr>
          <w:rFonts w:ascii="Times New Roman" w:hAnsi="Times New Roman"/>
          <w:b/>
          <w:sz w:val="24"/>
          <w:szCs w:val="20"/>
        </w:rPr>
        <w:t>Artikel 1</w:t>
      </w: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C6EFC">
        <w:rPr>
          <w:rFonts w:ascii="Times New Roman" w:hAnsi="Times New Roman"/>
          <w:sz w:val="24"/>
          <w:szCs w:val="20"/>
        </w:rPr>
        <w:t>De begrotingsstaat van het Mobiliteitsfonds (A) voor het jaar 2024 wordt gewijzigd, zoals blijkt uit de desbetreffende bij deze wet behorende staat.</w:t>
      </w: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C6EFC">
        <w:rPr>
          <w:rFonts w:ascii="Times New Roman" w:hAnsi="Times New Roman"/>
          <w:b/>
          <w:sz w:val="24"/>
          <w:szCs w:val="20"/>
        </w:rPr>
        <w:t>Artikel 2</w:t>
      </w: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C6EFC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C6EFC">
        <w:rPr>
          <w:rFonts w:ascii="Times New Roman" w:hAnsi="Times New Roman"/>
          <w:b/>
          <w:sz w:val="24"/>
          <w:szCs w:val="20"/>
        </w:rPr>
        <w:t>Artikel 3</w:t>
      </w: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C6EFC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2024.</w:t>
      </w: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C6EF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C6EFC">
        <w:rPr>
          <w:rFonts w:ascii="Times New Roman" w:hAnsi="Times New Roman"/>
          <w:sz w:val="24"/>
          <w:szCs w:val="20"/>
        </w:rPr>
        <w:t>Gegeven</w:t>
      </w: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C6EFC"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91183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C6EFC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228"/>
        <w:gridCol w:w="1316"/>
        <w:gridCol w:w="1070"/>
        <w:gridCol w:w="1146"/>
        <w:gridCol w:w="1316"/>
        <w:gridCol w:w="958"/>
        <w:gridCol w:w="1146"/>
      </w:tblGrid>
      <w:tr w:rsidRPr="00AD34EE" w:rsidR="00991183" w:rsidTr="00DB740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AD34EE" w:rsidR="00991183" w:rsidP="00DB7401" w:rsidRDefault="00991183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lastRenderedPageBreak/>
              <w:t>Wijziging van de begrotingsstaat van het Mobiliteitsfonds (A) voor het jaar 2024 (bedragen x € 1.000)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34EE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238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34EE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46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34EE">
              <w:rPr>
                <w:rFonts w:ascii="Times New Roman" w:hAnsi="Times New Roman" w:cs="Times New Roman"/>
                <w:color w:val="000000"/>
                <w:sz w:val="20"/>
              </w:rPr>
              <w:t>Vastgestelde begroting incl. NvW en amendementen</w:t>
            </w:r>
          </w:p>
        </w:tc>
        <w:tc>
          <w:tcPr>
            <w:tcW w:w="3320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34EE">
              <w:rPr>
                <w:rFonts w:ascii="Times New Roman" w:hAnsi="Times New Roman" w:cs="Times New Roman"/>
                <w:color w:val="000000"/>
                <w:sz w:val="20"/>
              </w:rPr>
              <w:t>Mutaties (+ of -) 1e suppletoire begroting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1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  <w:tc>
          <w:tcPr>
            <w:tcW w:w="12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9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0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Verkenningen, reserveringen en investeringsruimte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806.927</w:t>
            </w: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520.419</w:t>
            </w: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‒ 291.357</w:t>
            </w: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‒ 310.093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Hoofdwegennet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3.149.900</w:t>
            </w: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3.706.162</w:t>
            </w: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52.885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1.328.629</w:t>
            </w: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‒ 31.148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43.743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Spoorwegen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2.559.663</w:t>
            </w: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2.911.169</w:t>
            </w: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228.802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81.313</w:t>
            </w: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220.866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9.320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Regionaal, lokale infrastructuur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1.132.811</w:t>
            </w: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1.142.688</w:t>
            </w: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345.877</w:t>
            </w: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‒ 86.688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42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Hoofdvaarwegennet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1.628.151</w:t>
            </w: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1.376.956</w:t>
            </w: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21.757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46.723</w:t>
            </w: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1.761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15.786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Megaprojecten Verkeer en Vervoer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1.061.545</w:t>
            </w: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538.296</w:t>
            </w: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58.817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‒ 238.834</w:t>
            </w: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‒ 170.575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1.263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21.491</w:t>
            </w: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21.491</w:t>
            </w: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‒ 6.565</w:t>
            </w: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‒ 6.702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Bijdragen andere begrotingen Rijk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9.854.920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‒ 879.957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10.360.488</w:t>
            </w: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10.217.181</w:t>
            </w: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10.217.181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1.265.786</w:t>
            </w: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‒ 382.579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‒ 809.799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18.10</w:t>
            </w: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427.220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10.360.488</w:t>
            </w: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10.217.181</w:t>
            </w: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10.217.181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1.265.786</w:t>
            </w: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‒ 382.579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‒ 382.579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D34EE" w:rsidR="00991183" w:rsidTr="00DB740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D34EE" w:rsidR="00991183" w:rsidP="00DB7401" w:rsidRDefault="0099118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2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10.360.488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10.217.181</w:t>
            </w:r>
          </w:p>
        </w:tc>
        <w:tc>
          <w:tcPr>
            <w:tcW w:w="11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10.217.181</w:t>
            </w:r>
          </w:p>
        </w:tc>
        <w:tc>
          <w:tcPr>
            <w:tcW w:w="12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1.265.786</w:t>
            </w:r>
          </w:p>
        </w:tc>
        <w:tc>
          <w:tcPr>
            <w:tcW w:w="9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‒ 382.579</w:t>
            </w:r>
          </w:p>
        </w:tc>
        <w:tc>
          <w:tcPr>
            <w:tcW w:w="10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D34EE" w:rsidR="00991183" w:rsidP="00DB7401" w:rsidRDefault="00991183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D34EE">
              <w:rPr>
                <w:rFonts w:ascii="Times New Roman" w:hAnsi="Times New Roman" w:cs="Times New Roman"/>
                <w:b/>
                <w:sz w:val="20"/>
              </w:rPr>
              <w:t>‒ 382.579</w:t>
            </w:r>
          </w:p>
        </w:tc>
      </w:tr>
    </w:tbl>
    <w:p w:rsidR="00EC6EFC" w:rsidP="00EC6EFC" w:rsidRDefault="00EC6E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sectPr w:rsidR="00EC6EFC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FC" w:rsidRDefault="00EC6EFC">
      <w:pPr>
        <w:spacing w:line="20" w:lineRule="exact"/>
      </w:pPr>
    </w:p>
  </w:endnote>
  <w:endnote w:type="continuationSeparator" w:id="0">
    <w:p w:rsidR="00EC6EFC" w:rsidRDefault="00EC6EF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C6EFC" w:rsidRDefault="00EC6EF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91183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FC" w:rsidRDefault="00EC6EF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C6EFC" w:rsidRDefault="00EC6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FC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9118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C6EFC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3019"/>
  <w15:docId w15:val="{798C81DF-943D-4C83-8F04-9507083A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C6EF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C6EFC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369</ap:Words>
  <ap:Characters>2240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2024-06-11T07:45:00.0000000Z</dcterms:created>
  <dcterms:modified xsi:type="dcterms:W3CDTF">2024-06-11T07:45:00.0000000Z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