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E72C0" w:rsidR="00CB3578" w:rsidP="001E72C0" w:rsidRDefault="001E72C0">
            <w:pPr>
              <w:pStyle w:val="Amendement"/>
              <w:rPr>
                <w:rFonts w:ascii="Times New Roman" w:hAnsi="Times New Roman" w:cs="Times New Roman"/>
                <w:b w:val="0"/>
              </w:rPr>
            </w:pPr>
            <w:r w:rsidRPr="001E72C0">
              <w:rPr>
                <w:rFonts w:ascii="Times New Roman" w:hAnsi="Times New Roman" w:cs="Times New Roman"/>
                <w:b w:val="0"/>
              </w:rPr>
              <w:t>Bijgewerkt t/m nr. 5 (nota van wijziging d.d. 10 juni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92DDC" w:rsidRDefault="00A92DDC">
            <w:pPr>
              <w:rPr>
                <w:rFonts w:ascii="Times New Roman" w:hAnsi="Times New Roman"/>
                <w:b/>
                <w:sz w:val="24"/>
              </w:rPr>
            </w:pPr>
            <w:r>
              <w:rPr>
                <w:rFonts w:ascii="Times New Roman" w:hAnsi="Times New Roman"/>
                <w:b/>
                <w:sz w:val="24"/>
              </w:rPr>
              <w:t>36 550 XIII</w:t>
            </w:r>
          </w:p>
        </w:tc>
        <w:tc>
          <w:tcPr>
            <w:tcW w:w="6590" w:type="dxa"/>
            <w:tcBorders>
              <w:top w:val="nil"/>
              <w:left w:val="nil"/>
              <w:bottom w:val="nil"/>
              <w:right w:val="nil"/>
            </w:tcBorders>
          </w:tcPr>
          <w:p w:rsidRPr="00A92DDC" w:rsidR="002A727C" w:rsidP="000D5BC4" w:rsidRDefault="00A92DDC">
            <w:pPr>
              <w:rPr>
                <w:rFonts w:ascii="Times New Roman" w:hAnsi="Times New Roman"/>
                <w:b/>
                <w:sz w:val="24"/>
              </w:rPr>
            </w:pPr>
            <w:r w:rsidRPr="00A92DDC">
              <w:rPr>
                <w:rFonts w:ascii="Times New Roman" w:hAnsi="Times New Roman"/>
                <w:b/>
                <w:sz w:val="24"/>
              </w:rPr>
              <w:t>Wijziging van de begrotingsstaten van het Ministerie van Economische Zaken en Klimaat (XIII) voor het jaar 2024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A92DDC">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Wij Willem-Alexander, bij de gratie Gods, Koning der Nederlanden, Prins van Oranje-Nassau, enz. enz. enz.</w:t>
      </w: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Allen, die deze zullen zien of horen lezen, saluut! doen te weten:</w:t>
      </w: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Alzo Wij in overweging genomen hebben, dat de noodzaak is gebleken van een wijziging van de departementale begrotingsstaat van het Ministerie van Economische Zaken en Klimaat (XIII) en van de begrotingsstaat inzake de agentschappen van dit ministerie, alle voor het jaar 2024;</w:t>
      </w: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Zo is het, dat Wij, met gemeen overleg der Staten-Generaal, hebben goedgevonden en verstaan, gelijk Wij goedvinden en verstaan bij deze:</w:t>
      </w:r>
    </w:p>
    <w:p w:rsidR="00A92DDC" w:rsidP="00A92DDC" w:rsidRDefault="00A92DDC">
      <w:pPr>
        <w:tabs>
          <w:tab w:val="left" w:pos="284"/>
          <w:tab w:val="left" w:pos="567"/>
          <w:tab w:val="left" w:pos="851"/>
        </w:tabs>
        <w:ind w:right="-2"/>
        <w:rPr>
          <w:rFonts w:ascii="Times New Roman" w:hAnsi="Times New Roman"/>
          <w:b/>
          <w:sz w:val="24"/>
          <w:szCs w:val="20"/>
        </w:rPr>
      </w:pPr>
    </w:p>
    <w:p w:rsidRPr="00A92DDC" w:rsidR="00A92DDC" w:rsidP="00A92DDC" w:rsidRDefault="00A92DDC">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1</w:t>
      </w: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 departementale begrotingsstaat van het Ministerie van Economische Zaken en Klimaat (XIII) voor het jaar 2024 wordt gewijzigd, zoals blijkt uit de desbetreffende bij deze wet behorende staat.</w:t>
      </w:r>
    </w:p>
    <w:p w:rsidR="00A92DDC" w:rsidP="00A92DDC" w:rsidRDefault="00A92DDC">
      <w:pPr>
        <w:tabs>
          <w:tab w:val="left" w:pos="284"/>
          <w:tab w:val="left" w:pos="567"/>
          <w:tab w:val="left" w:pos="851"/>
        </w:tabs>
        <w:ind w:right="-2"/>
        <w:rPr>
          <w:rFonts w:ascii="Times New Roman" w:hAnsi="Times New Roman"/>
          <w:b/>
          <w:sz w:val="24"/>
          <w:szCs w:val="20"/>
        </w:rPr>
      </w:pPr>
    </w:p>
    <w:p w:rsidRPr="00A92DDC" w:rsidR="00A92DDC" w:rsidP="00A92DDC" w:rsidRDefault="00A92DDC">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2</w:t>
      </w: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 begrotingsstaat inzake de agentschappen voor het jaar 2024 wordt gewijzigd, zoals blijkt uit de desbetreffende bij deze wet behorende staat.</w:t>
      </w:r>
    </w:p>
    <w:p w:rsidR="00A92DDC" w:rsidP="00A92DDC" w:rsidRDefault="00A92DDC">
      <w:pPr>
        <w:tabs>
          <w:tab w:val="left" w:pos="284"/>
          <w:tab w:val="left" w:pos="567"/>
          <w:tab w:val="left" w:pos="851"/>
        </w:tabs>
        <w:ind w:right="-2"/>
        <w:rPr>
          <w:rFonts w:ascii="Times New Roman" w:hAnsi="Times New Roman"/>
          <w:b/>
          <w:sz w:val="24"/>
          <w:szCs w:val="20"/>
        </w:rPr>
      </w:pPr>
    </w:p>
    <w:p w:rsidRPr="00A92DDC" w:rsidR="00A92DDC" w:rsidP="00A92DDC" w:rsidRDefault="00A92DDC">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3</w:t>
      </w: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 vaststelling van de begrotingsstaten geschiedt in duizenden euro’s.</w:t>
      </w:r>
    </w:p>
    <w:p w:rsidR="00A92DDC" w:rsidP="00A92DDC" w:rsidRDefault="00A92DDC">
      <w:pPr>
        <w:tabs>
          <w:tab w:val="left" w:pos="284"/>
          <w:tab w:val="left" w:pos="567"/>
          <w:tab w:val="left" w:pos="851"/>
        </w:tabs>
        <w:ind w:right="-2"/>
        <w:rPr>
          <w:rFonts w:ascii="Times New Roman" w:hAnsi="Times New Roman"/>
          <w:b/>
          <w:sz w:val="24"/>
          <w:szCs w:val="20"/>
        </w:rPr>
      </w:pPr>
    </w:p>
    <w:p w:rsidRPr="00A92DDC" w:rsidR="00A92DDC" w:rsidP="00A92DDC" w:rsidRDefault="00A92DDC">
      <w:pPr>
        <w:tabs>
          <w:tab w:val="left" w:pos="284"/>
          <w:tab w:val="left" w:pos="567"/>
          <w:tab w:val="left" w:pos="851"/>
        </w:tabs>
        <w:ind w:right="-2"/>
        <w:rPr>
          <w:rFonts w:ascii="Times New Roman" w:hAnsi="Times New Roman"/>
          <w:b/>
          <w:sz w:val="24"/>
          <w:szCs w:val="20"/>
        </w:rPr>
      </w:pPr>
      <w:r w:rsidRPr="00A92DDC">
        <w:rPr>
          <w:rFonts w:ascii="Times New Roman" w:hAnsi="Times New Roman"/>
          <w:b/>
          <w:sz w:val="24"/>
          <w:szCs w:val="20"/>
        </w:rPr>
        <w:t>Artikel 4</w:t>
      </w: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Deze wet treedt in werking met ingang van de dag na de datum van uitgifte van het Staatsblad waarin zij wordt geplaatst en werkt terug tot en met 1 juni 2024.</w:t>
      </w: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2D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92DDC"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sidRPr="00A92DDC">
        <w:rPr>
          <w:rFonts w:ascii="Times New Roman" w:hAnsi="Times New Roman"/>
          <w:sz w:val="24"/>
          <w:szCs w:val="20"/>
        </w:rPr>
        <w:t>Gegeven</w:t>
      </w: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sidRPr="00A92DDC">
        <w:rPr>
          <w:rFonts w:ascii="Times New Roman" w:hAnsi="Times New Roman"/>
          <w:sz w:val="24"/>
          <w:szCs w:val="20"/>
        </w:rPr>
        <w:t>Mede namens de Minister voor Klimaat en Energie,</w:t>
      </w:r>
    </w:p>
    <w:p w:rsidRPr="00A92DDC"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p>
    <w:p w:rsidRPr="00A92DDC" w:rsidR="00A92DDC" w:rsidP="00A92DDC" w:rsidRDefault="00A92DDC">
      <w:pPr>
        <w:tabs>
          <w:tab w:val="left" w:pos="284"/>
          <w:tab w:val="left" w:pos="567"/>
          <w:tab w:val="left" w:pos="851"/>
        </w:tabs>
        <w:ind w:right="-2"/>
        <w:rPr>
          <w:rFonts w:ascii="Times New Roman" w:hAnsi="Times New Roman"/>
          <w:sz w:val="24"/>
          <w:szCs w:val="20"/>
        </w:rPr>
      </w:pPr>
      <w:r w:rsidRPr="00A92DDC">
        <w:rPr>
          <w:rFonts w:ascii="Times New Roman" w:hAnsi="Times New Roman"/>
          <w:sz w:val="24"/>
          <w:szCs w:val="20"/>
        </w:rPr>
        <w:t>De Minister van Economische Zaken en Klimaat,</w:t>
      </w:r>
    </w:p>
    <w:p w:rsidR="00A92DDC" w:rsidP="00A92DDC" w:rsidRDefault="00A92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56"/>
        <w:gridCol w:w="2650"/>
        <w:gridCol w:w="1234"/>
        <w:gridCol w:w="1101"/>
        <w:gridCol w:w="1067"/>
        <w:gridCol w:w="1234"/>
        <w:gridCol w:w="985"/>
        <w:gridCol w:w="1067"/>
      </w:tblGrid>
      <w:tr w:rsidRPr="00F91E0C" w:rsidR="001E72C0" w:rsidTr="00CA6CFE">
        <w:tblPrEx>
          <w:tblCellMar>
            <w:top w:w="0" w:type="dxa"/>
            <w:bottom w:w="0" w:type="dxa"/>
          </w:tblCellMar>
        </w:tblPrEx>
        <w:trPr>
          <w:tblHeader/>
        </w:trPr>
        <w:tc>
          <w:tcPr>
            <w:tcW w:w="9694" w:type="dxa"/>
            <w:gridSpan w:val="8"/>
            <w:shd w:val="clear" w:color="auto" w:fill="auto"/>
            <w:tcMar>
              <w:top w:w="22" w:type="dxa"/>
              <w:left w:w="113" w:type="dxa"/>
              <w:bottom w:w="22" w:type="dxa"/>
              <w:right w:w="10" w:type="dxa"/>
            </w:tcMar>
          </w:tcPr>
          <w:p w:rsidRPr="00F91E0C" w:rsidR="001E72C0" w:rsidP="00CA6CFE" w:rsidRDefault="001E72C0">
            <w:pPr>
              <w:pStyle w:val="kio2-table-title"/>
              <w:spacing w:after="0" w:line="240" w:lineRule="auto"/>
              <w:rPr>
                <w:rFonts w:ascii="Times New Roman" w:hAnsi="Times New Roman" w:cs="Times New Roman"/>
                <w:sz w:val="20"/>
              </w:rPr>
            </w:pPr>
            <w:r w:rsidRPr="00F91E0C">
              <w:rPr>
                <w:rFonts w:ascii="Times New Roman" w:hAnsi="Times New Roman" w:cs="Times New Roman"/>
                <w:sz w:val="20"/>
              </w:rPr>
              <w:lastRenderedPageBreak/>
              <w:t>Wijziging van de begrotingsstaat van het Ministerie van Economische Zaken en Klimaat (XIII) voor het jaar 2024 (bedragen x € 1.000)</w:t>
            </w:r>
          </w:p>
        </w:tc>
      </w:tr>
      <w:tr w:rsidRPr="00F91E0C" w:rsidR="001E72C0" w:rsidTr="00CA6CFE">
        <w:tblPrEx>
          <w:tblCellMar>
            <w:top w:w="0" w:type="dxa"/>
            <w:bottom w:w="0" w:type="dxa"/>
          </w:tblCellMar>
        </w:tblPrEx>
        <w:trPr>
          <w:tblHeader/>
        </w:trPr>
        <w:tc>
          <w:tcPr>
            <w:tcW w:w="352" w:type="dxa"/>
            <w:tcBorders>
              <w:top w:val="single" w:color="000000" w:sz="2" w:space="0"/>
              <w:bottom w:val="single" w:color="009EE0" w:sz="2" w:space="0"/>
            </w:tcBorders>
            <w:shd w:val="clear" w:color="auto" w:fill="auto"/>
            <w:tcMar>
              <w:top w:w="28" w:type="dxa"/>
              <w:left w:w="10" w:type="dxa"/>
              <w:bottom w:w="28" w:type="dxa"/>
              <w:right w:w="28" w:type="dxa"/>
            </w:tcMar>
          </w:tcPr>
          <w:p w:rsidRPr="00F91E0C" w:rsidR="001E72C0" w:rsidP="00CA6CFE" w:rsidRDefault="001E72C0">
            <w:pPr>
              <w:pStyle w:val="p-table"/>
              <w:rPr>
                <w:rFonts w:ascii="Times New Roman" w:hAnsi="Times New Roman" w:cs="Times New Roman"/>
                <w:color w:val="000000"/>
                <w:sz w:val="20"/>
              </w:rPr>
            </w:pPr>
            <w:r w:rsidRPr="00F91E0C">
              <w:rPr>
                <w:rFonts w:ascii="Times New Roman" w:hAnsi="Times New Roman" w:cs="Times New Roman"/>
                <w:color w:val="000000"/>
                <w:sz w:val="20"/>
              </w:rPr>
              <w:t>Art.</w:t>
            </w:r>
          </w:p>
        </w:tc>
        <w:tc>
          <w:tcPr>
            <w:tcW w:w="28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E0C" w:rsidR="001E72C0" w:rsidP="00CA6CFE" w:rsidRDefault="001E72C0">
            <w:pPr>
              <w:pStyle w:val="p-table"/>
              <w:rPr>
                <w:rFonts w:ascii="Times New Roman" w:hAnsi="Times New Roman" w:cs="Times New Roman"/>
                <w:color w:val="000000"/>
                <w:sz w:val="20"/>
              </w:rPr>
            </w:pPr>
            <w:r w:rsidRPr="00F91E0C">
              <w:rPr>
                <w:rFonts w:ascii="Times New Roman" w:hAnsi="Times New Roman" w:cs="Times New Roman"/>
                <w:color w:val="000000"/>
                <w:sz w:val="20"/>
              </w:rPr>
              <w:t>Omschrijving</w:t>
            </w:r>
          </w:p>
        </w:tc>
        <w:tc>
          <w:tcPr>
            <w:tcW w:w="330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E0C" w:rsidR="001E72C0" w:rsidP="00CA6CFE" w:rsidRDefault="001E72C0">
            <w:pPr>
              <w:pStyle w:val="p-table"/>
              <w:jc w:val="center"/>
              <w:rPr>
                <w:rFonts w:ascii="Times New Roman" w:hAnsi="Times New Roman" w:cs="Times New Roman"/>
                <w:sz w:val="20"/>
              </w:rPr>
            </w:pPr>
            <w:r w:rsidRPr="00F91E0C">
              <w:rPr>
                <w:rFonts w:ascii="Times New Roman" w:hAnsi="Times New Roman" w:cs="Times New Roman"/>
                <w:color w:val="000000"/>
                <w:sz w:val="20"/>
              </w:rPr>
              <w:t>Vastgestelde begroting</w:t>
            </w:r>
            <w:r w:rsidRPr="00F91E0C">
              <w:rPr>
                <w:rFonts w:ascii="Times New Roman" w:hAnsi="Times New Roman" w:cs="Times New Roman"/>
                <w:color w:val="000000"/>
                <w:sz w:val="20"/>
                <w:vertAlign w:val="superscript"/>
              </w:rPr>
              <w:t>1</w:t>
            </w:r>
          </w:p>
        </w:tc>
        <w:tc>
          <w:tcPr>
            <w:tcW w:w="317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91E0C" w:rsidR="001E72C0" w:rsidP="00CA6CFE" w:rsidRDefault="001E72C0">
            <w:pPr>
              <w:pStyle w:val="p-table"/>
              <w:jc w:val="center"/>
              <w:rPr>
                <w:rFonts w:ascii="Times New Roman" w:hAnsi="Times New Roman" w:cs="Times New Roman"/>
                <w:sz w:val="20"/>
              </w:rPr>
            </w:pPr>
            <w:r w:rsidRPr="00F91E0C">
              <w:rPr>
                <w:rFonts w:ascii="Times New Roman" w:hAnsi="Times New Roman" w:cs="Times New Roman"/>
                <w:color w:val="000000"/>
                <w:sz w:val="20"/>
              </w:rPr>
              <w:t>Mutaties 1</w:t>
            </w:r>
            <w:r w:rsidRPr="00F91E0C">
              <w:rPr>
                <w:rFonts w:ascii="Times New Roman" w:hAnsi="Times New Roman" w:cs="Times New Roman"/>
                <w:color w:val="000000"/>
                <w:sz w:val="20"/>
                <w:vertAlign w:val="superscript"/>
              </w:rPr>
              <w:t>e</w:t>
            </w:r>
            <w:r w:rsidRPr="00F91E0C">
              <w:rPr>
                <w:rFonts w:ascii="Times New Roman" w:hAnsi="Times New Roman" w:cs="Times New Roman"/>
                <w:color w:val="000000"/>
                <w:sz w:val="20"/>
              </w:rPr>
              <w:t xml:space="preserve"> suppletoire begroting</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Verplichtingen</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Uitgaven</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Ontvangsten</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Verplichtingen</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Ontvangsten</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b/>
                <w:sz w:val="20"/>
              </w:rPr>
              <w:t>Totaal</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24.120.746</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12.735.901</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5.789.765</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14.612.921</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1.514.165</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78.832</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b/>
                <w:sz w:val="20"/>
              </w:rPr>
              <w:t>Beleidsartikelen</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23.605.717</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12.220.872</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5.702.840</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14.182.959</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1.084.203</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25.702</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1</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Goed functionerende economie en markten</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426.226</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406.745</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74.579</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57.326</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8.771</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74</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2</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Bedrijvenbeleid: innovatie en ondernemerschap voor duurzame welvaartsgroei</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3.346.997</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2.357.412</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268.597</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1.343.367</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795.799</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36.938</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3</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Toekomstfonds</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215.039</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278.206</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80.300</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272.144</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436.880</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69.600</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4</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Een doelmatige energievoorziening en beperking van de klimaatverandering</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11.977.256</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4.675.349</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2.095.077</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13.927.293</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889.102</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202.399</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5</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Een veilig Groningen met perspectief</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3.032.159</w:t>
            </w:r>
          </w:p>
        </w:tc>
        <w:tc>
          <w:tcPr>
            <w:tcW w:w="1131"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3.046.594</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3.184.287</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544.288</w:t>
            </w:r>
          </w:p>
        </w:tc>
        <w:tc>
          <w:tcPr>
            <w:tcW w:w="1012"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 87.208</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 283.309</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6</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Bijdrage Nationaal Groeifonds</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4.608.040</w:t>
            </w:r>
          </w:p>
        </w:tc>
        <w:tc>
          <w:tcPr>
            <w:tcW w:w="1131"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1.456.566</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0</w:t>
            </w:r>
          </w:p>
        </w:tc>
        <w:tc>
          <w:tcPr>
            <w:tcW w:w="1145"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 1.961.459</w:t>
            </w:r>
          </w:p>
        </w:tc>
        <w:tc>
          <w:tcPr>
            <w:tcW w:w="1012"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 959.141</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0</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b/>
                <w:sz w:val="20"/>
              </w:rPr>
              <w:t>Niet-beleidsartikelen</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515.029</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515.029</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86.925</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429.962</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429.962</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b/>
                <w:sz w:val="20"/>
              </w:rPr>
              <w:t>53.130</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40</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Apparaat</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619.029</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619.029</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86.925</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92.209</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92.209</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53.130</w:t>
            </w:r>
          </w:p>
        </w:tc>
      </w:tr>
      <w:tr w:rsidRPr="00F91E0C" w:rsidR="001E72C0" w:rsidTr="00CA6CFE">
        <w:tblPrEx>
          <w:tblCellMar>
            <w:top w:w="0" w:type="dxa"/>
            <w:bottom w:w="0" w:type="dxa"/>
          </w:tblCellMar>
        </w:tblPrEx>
        <w:tc>
          <w:tcPr>
            <w:tcW w:w="352" w:type="dxa"/>
            <w:tcBorders>
              <w:bottom w:val="single" w:color="009EE0" w:sz="2" w:space="0"/>
            </w:tcBorders>
            <w:shd w:val="clear" w:color="auto" w:fill="auto"/>
            <w:tcMar>
              <w:top w:w="22" w:type="dxa"/>
              <w:left w:w="10"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41</w:t>
            </w:r>
          </w:p>
        </w:tc>
        <w:tc>
          <w:tcPr>
            <w:tcW w:w="2864"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rPr>
                <w:rFonts w:ascii="Times New Roman" w:hAnsi="Times New Roman" w:cs="Times New Roman"/>
                <w:sz w:val="20"/>
              </w:rPr>
            </w:pPr>
            <w:r w:rsidRPr="00F91E0C">
              <w:rPr>
                <w:rFonts w:ascii="Times New Roman" w:hAnsi="Times New Roman" w:cs="Times New Roman"/>
                <w:sz w:val="20"/>
              </w:rPr>
              <w:t>Nog onverdeeld</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 104.000</w:t>
            </w:r>
          </w:p>
        </w:tc>
        <w:tc>
          <w:tcPr>
            <w:tcW w:w="1131"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 104.000</w:t>
            </w:r>
          </w:p>
        </w:tc>
        <w:tc>
          <w:tcPr>
            <w:tcW w:w="102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0</w:t>
            </w:r>
          </w:p>
        </w:tc>
        <w:tc>
          <w:tcPr>
            <w:tcW w:w="1145"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337.753</w:t>
            </w:r>
          </w:p>
        </w:tc>
        <w:tc>
          <w:tcPr>
            <w:tcW w:w="1012"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337.753</w:t>
            </w:r>
          </w:p>
        </w:tc>
        <w:tc>
          <w:tcPr>
            <w:tcW w:w="1020" w:type="dxa"/>
            <w:tcBorders>
              <w:bottom w:val="single" w:color="009EE0" w:sz="2" w:space="0"/>
            </w:tcBorders>
            <w:shd w:val="clear" w:color="auto" w:fill="auto"/>
            <w:tcMar>
              <w:top w:w="22" w:type="dxa"/>
              <w:left w:w="28" w:type="dxa"/>
              <w:bottom w:w="22" w:type="dxa"/>
              <w:right w:w="28" w:type="dxa"/>
            </w:tcMar>
          </w:tcPr>
          <w:p w:rsidRPr="00F91E0C" w:rsidR="001E72C0" w:rsidP="00CA6CFE" w:rsidRDefault="001E72C0">
            <w:pPr>
              <w:pStyle w:val="p-table"/>
              <w:jc w:val="right"/>
              <w:rPr>
                <w:rFonts w:ascii="Times New Roman" w:hAnsi="Times New Roman" w:cs="Times New Roman"/>
                <w:sz w:val="20"/>
              </w:rPr>
            </w:pPr>
            <w:r w:rsidRPr="00F91E0C">
              <w:rPr>
                <w:rFonts w:ascii="Times New Roman" w:hAnsi="Times New Roman" w:cs="Times New Roman"/>
                <w:sz w:val="20"/>
              </w:rPr>
              <w:t>0</w:t>
            </w:r>
          </w:p>
        </w:tc>
      </w:tr>
    </w:tbl>
    <w:p w:rsidR="001E72C0" w:rsidP="001E72C0" w:rsidRDefault="001E72C0">
      <w:pPr>
        <w:pStyle w:val="p-footnote"/>
        <w:numPr>
          <w:ilvl w:val="0"/>
          <w:numId w:val="3"/>
        </w:numPr>
      </w:pPr>
      <w:r w:rsidRPr="00F91E0C">
        <w:rPr>
          <w:rFonts w:ascii="Times New Roman" w:hAnsi="Times New Roman" w:cs="Times New Roman"/>
          <w:sz w:val="16"/>
          <w:szCs w:val="16"/>
        </w:rPr>
        <w:t>Incl. ISB's, NvW en amendementen</w:t>
      </w:r>
    </w:p>
    <w:p w:rsidRPr="002168F4" w:rsidR="00CB3578" w:rsidP="00A92DDC" w:rsidRDefault="00CB3578">
      <w:pPr>
        <w:tabs>
          <w:tab w:val="left" w:pos="284"/>
          <w:tab w:val="left" w:pos="567"/>
          <w:tab w:val="left" w:pos="851"/>
        </w:tabs>
        <w:ind w:right="-2"/>
        <w:rPr>
          <w:rFonts w:ascii="Times New Roman" w:hAnsi="Times New Roman"/>
          <w:sz w:val="24"/>
          <w:szCs w:val="20"/>
        </w:rPr>
      </w:pPr>
      <w:bookmarkStart w:name="_GoBack" w:id="0"/>
      <w:bookmarkEnd w:id="0"/>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DDC" w:rsidRDefault="00A92DDC">
      <w:pPr>
        <w:spacing w:line="20" w:lineRule="exact"/>
      </w:pPr>
    </w:p>
  </w:endnote>
  <w:endnote w:type="continuationSeparator" w:id="0">
    <w:p w:rsidR="00A92DDC" w:rsidRDefault="00A92DDC">
      <w:pPr>
        <w:pStyle w:val="Amendement"/>
      </w:pPr>
      <w:r>
        <w:rPr>
          <w:b w:val="0"/>
          <w:bCs w:val="0"/>
        </w:rPr>
        <w:t xml:space="preserve"> </w:t>
      </w:r>
    </w:p>
  </w:endnote>
  <w:endnote w:type="continuationNotice" w:id="1">
    <w:p w:rsidR="00A92DDC" w:rsidRDefault="00A92D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E72C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DDC" w:rsidRDefault="00A92DDC">
      <w:pPr>
        <w:pStyle w:val="Amendement"/>
      </w:pPr>
      <w:r>
        <w:rPr>
          <w:b w:val="0"/>
          <w:bCs w:val="0"/>
        </w:rPr>
        <w:separator/>
      </w:r>
    </w:p>
  </w:footnote>
  <w:footnote w:type="continuationSeparator" w:id="0">
    <w:p w:rsidR="00A92DDC" w:rsidRDefault="00A92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A4836"/>
    <w:multiLevelType w:val="multilevel"/>
    <w:tmpl w:val="0888A2E8"/>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DC"/>
    <w:rsid w:val="00012DBE"/>
    <w:rsid w:val="000A1D81"/>
    <w:rsid w:val="00111ED3"/>
    <w:rsid w:val="001C190E"/>
    <w:rsid w:val="001E72C0"/>
    <w:rsid w:val="002168F4"/>
    <w:rsid w:val="002A727C"/>
    <w:rsid w:val="005D2707"/>
    <w:rsid w:val="00606255"/>
    <w:rsid w:val="006B607A"/>
    <w:rsid w:val="007D451C"/>
    <w:rsid w:val="00826224"/>
    <w:rsid w:val="00930A23"/>
    <w:rsid w:val="009C7354"/>
    <w:rsid w:val="009E6D7F"/>
    <w:rsid w:val="00A11E73"/>
    <w:rsid w:val="00A2521E"/>
    <w:rsid w:val="00A92DDC"/>
    <w:rsid w:val="00AE436A"/>
    <w:rsid w:val="00C135B1"/>
    <w:rsid w:val="00C92DF8"/>
    <w:rsid w:val="00CB3578"/>
    <w:rsid w:val="00CD5DB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2E194"/>
  <w15:docId w15:val="{392CEAE7-49A9-4319-8259-16B37150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92DD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92DDC"/>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CD5DB1"/>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D5DB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429</ap:Words>
  <ap:Characters>2636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2024-06-10T10:04:00.0000000Z</dcterms:created>
  <dcterms:modified xsi:type="dcterms:W3CDTF">2024-06-10T10:04:00.0000000Z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