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507047" w:rsidR="002F2083" w:rsidP="00FC2BBE" w:rsidRDefault="002F2083" w14:paraId="24C62C7F" w14:textId="2546670E">
      <w:pPr>
        <w:spacing w:after="0"/>
        <w:rPr>
          <w:b/>
        </w:rPr>
      </w:pPr>
      <w:r w:rsidRPr="005358D1">
        <w:rPr>
          <w:b/>
        </w:rPr>
        <w:t>Protocol tot wijziging van het Verdrag inzake sociale zekerheid tussen het Koninkrijk der Nederlanden en de Republiek Chili, ondertekend te Santiago op 10 januari 1996, herzien te ’s</w:t>
      </w:r>
      <w:r w:rsidR="00440056">
        <w:rPr>
          <w:b/>
        </w:rPr>
        <w:noBreakHyphen/>
      </w:r>
      <w:r w:rsidRPr="005358D1">
        <w:rPr>
          <w:b/>
        </w:rPr>
        <w:t>Gravenhage op 15 juni 2005 en het Administratief Akkoord daarbij, ondertekend te ’s</w:t>
      </w:r>
      <w:r w:rsidR="00440056">
        <w:rPr>
          <w:b/>
        </w:rPr>
        <w:noBreakHyphen/>
      </w:r>
      <w:r w:rsidRPr="005358D1">
        <w:rPr>
          <w:b/>
        </w:rPr>
        <w:t>Gravenhage op 4 december 1996</w:t>
      </w:r>
      <w:r w:rsidRPr="005358D1" w:rsidR="00B253D3">
        <w:rPr>
          <w:b/>
        </w:rPr>
        <w:t xml:space="preserve">; </w:t>
      </w:r>
      <w:r w:rsidR="00507047">
        <w:rPr>
          <w:b/>
        </w:rPr>
        <w:t>Santiago, 27 juli 2022 (Trb. 2022, 77</w:t>
      </w:r>
      <w:r w:rsidRPr="00507047" w:rsidR="00507047">
        <w:rPr>
          <w:b/>
        </w:rPr>
        <w:t>)</w:t>
      </w:r>
    </w:p>
    <w:p w:rsidR="002F2083" w:rsidP="00FC2BBE" w:rsidRDefault="002F2083" w14:paraId="32F6D4DB" w14:textId="77777777">
      <w:pPr>
        <w:spacing w:after="0"/>
      </w:pPr>
    </w:p>
    <w:p w:rsidRPr="005358D1" w:rsidR="00833978" w:rsidP="00FC2BBE" w:rsidRDefault="00833978" w14:paraId="2A32FA0B" w14:textId="61A5DC07">
      <w:pPr>
        <w:spacing w:after="0"/>
        <w:rPr>
          <w:b/>
        </w:rPr>
      </w:pPr>
      <w:r w:rsidRPr="005358D1">
        <w:rPr>
          <w:b/>
        </w:rPr>
        <w:t xml:space="preserve">TOELICHTENDE NOTA </w:t>
      </w:r>
    </w:p>
    <w:p w:rsidR="00FC2BBE" w:rsidP="00FC2BBE" w:rsidRDefault="00FC2BBE" w14:paraId="38B2288A" w14:textId="77777777">
      <w:pPr>
        <w:spacing w:after="0"/>
        <w:rPr>
          <w:b/>
        </w:rPr>
      </w:pPr>
    </w:p>
    <w:p w:rsidRPr="005358D1" w:rsidR="00F56A6B" w:rsidP="00FC2BBE" w:rsidRDefault="00F56A6B" w14:paraId="72DF9D49" w14:textId="5536F718">
      <w:pPr>
        <w:spacing w:after="0"/>
        <w:rPr>
          <w:b/>
        </w:rPr>
      </w:pPr>
      <w:r w:rsidRPr="005358D1">
        <w:rPr>
          <w:b/>
        </w:rPr>
        <w:t>I. Algemeen</w:t>
      </w:r>
    </w:p>
    <w:p w:rsidR="00FC2BBE" w:rsidP="00FC2BBE" w:rsidRDefault="00FC2BBE" w14:paraId="51A02E7A" w14:textId="77777777">
      <w:pPr>
        <w:spacing w:after="0"/>
      </w:pPr>
    </w:p>
    <w:p w:rsidR="006A2B95" w:rsidP="00FC2BBE" w:rsidRDefault="00F56A6B" w14:paraId="2049527E" w14:textId="77777777">
      <w:pPr>
        <w:spacing w:after="0"/>
      </w:pPr>
      <w:r>
        <w:t xml:space="preserve">Nederland en Chili hebben door onderhandelingen een akkoord bereikt over de wijziging van </w:t>
      </w:r>
      <w:r w:rsidRPr="00F13D91" w:rsidR="00C30293">
        <w:t>het</w:t>
      </w:r>
      <w:r>
        <w:t xml:space="preserve"> </w:t>
      </w:r>
      <w:r w:rsidR="00F0351C">
        <w:t xml:space="preserve">op 10 januari 1996 in Santiago tot stand gekomen Verdrag inzake sociale zekerheid tussen het </w:t>
      </w:r>
      <w:r w:rsidRPr="00F13D91" w:rsidR="00E54F97">
        <w:t>Koninkrijk der Nederlanden en de Re</w:t>
      </w:r>
      <w:r w:rsidRPr="00F13D91" w:rsidR="00C30293">
        <w:t>publiek Chili</w:t>
      </w:r>
      <w:r>
        <w:t xml:space="preserve"> </w:t>
      </w:r>
      <w:r w:rsidR="00F0351C">
        <w:t xml:space="preserve">(Trb, 1996, 61), herzien te ’s-Gravenhage op 15 juni 2005 </w:t>
      </w:r>
    </w:p>
    <w:p w:rsidR="006A2B95" w:rsidP="00FC2BBE" w:rsidRDefault="00F0351C" w14:paraId="4FF99E36" w14:textId="77777777">
      <w:pPr>
        <w:spacing w:after="0"/>
      </w:pPr>
      <w:r>
        <w:t>(Trb. 2005, 194)</w:t>
      </w:r>
      <w:r w:rsidRPr="009653F8" w:rsidR="009653F8">
        <w:t xml:space="preserve"> </w:t>
      </w:r>
      <w:r w:rsidR="009653F8">
        <w:t>(hierna: het Verdrag)</w:t>
      </w:r>
      <w:r w:rsidRPr="00A11304" w:rsidR="00A11304">
        <w:t xml:space="preserve"> </w:t>
      </w:r>
      <w:r w:rsidR="00A11304">
        <w:t xml:space="preserve">en het Administratief Akkoord daarbij, ondertekend te </w:t>
      </w:r>
    </w:p>
    <w:p w:rsidR="00833978" w:rsidP="00FC2BBE" w:rsidRDefault="00A11304" w14:paraId="5E3A8DB2" w14:textId="1876017E">
      <w:pPr>
        <w:spacing w:after="0"/>
      </w:pPr>
      <w:r>
        <w:t>’s-Gravenhage op 4 december 1996 (Trb. 1997, 7) (hierna: het Administratief Akkoord)</w:t>
      </w:r>
      <w:r w:rsidR="00C43C89">
        <w:t xml:space="preserve"> </w:t>
      </w:r>
      <w:r w:rsidR="00F56A6B">
        <w:t>middels een Protocol tot wijziging van het Verdrag</w:t>
      </w:r>
      <w:r w:rsidR="00C43C89">
        <w:t xml:space="preserve"> en het Administratief Akkoord</w:t>
      </w:r>
      <w:r>
        <w:t xml:space="preserve"> (hierna: het Protocol)</w:t>
      </w:r>
      <w:r w:rsidR="00F56A6B">
        <w:t>. Met het Protocol word</w:t>
      </w:r>
      <w:r w:rsidR="00C43C89">
        <w:t>en</w:t>
      </w:r>
      <w:r w:rsidR="00F56A6B">
        <w:t xml:space="preserve"> het Verdrag </w:t>
      </w:r>
      <w:r w:rsidR="00C43C89">
        <w:t xml:space="preserve">en het Administratief Akkoord </w:t>
      </w:r>
      <w:r w:rsidR="00F56A6B">
        <w:t xml:space="preserve">in overeenstemming </w:t>
      </w:r>
      <w:r w:rsidRPr="00F13D91" w:rsidR="00C30293">
        <w:t>gebracht met de Nederlandse wetgeving. Het Protocol ziet onder a</w:t>
      </w:r>
      <w:r w:rsidR="00F56A6B">
        <w:t>n</w:t>
      </w:r>
      <w:r w:rsidRPr="00F13D91" w:rsidR="00C30293">
        <w:t xml:space="preserve">dere op toepassing van het woonlandbeginsel. </w:t>
      </w:r>
      <w:r w:rsidR="00F0351C">
        <w:t>De wijzigingen zijn afgestemd met de betrokken uitvoeringsorganen.</w:t>
      </w:r>
    </w:p>
    <w:p w:rsidR="00FC2BBE" w:rsidP="00FC2BBE" w:rsidRDefault="00FC2BBE" w14:paraId="3F67ABB9" w14:textId="77777777">
      <w:pPr>
        <w:spacing w:after="0"/>
      </w:pPr>
    </w:p>
    <w:p w:rsidR="00C43C89" w:rsidP="00FC2BBE" w:rsidRDefault="00C43C89" w14:paraId="64A55617" w14:textId="1EB6215B">
      <w:pPr>
        <w:spacing w:after="0"/>
      </w:pPr>
      <w:bookmarkStart w:name="_Hlk156375437" w:id="0"/>
      <w:r>
        <w:t xml:space="preserve">Naar het oordeel van de regering bevatten de bepalingen van het Protocol </w:t>
      </w:r>
      <w:r w:rsidR="00F0351C">
        <w:t>een ieder</w:t>
      </w:r>
      <w:r>
        <w:t xml:space="preserve"> verbindende bepalingen in de zin van de artikelen 93 en 94 van de Grondwet, die een rechtssubject rechtstreeks </w:t>
      </w:r>
      <w:r w:rsidR="00A76A73">
        <w:t>rechten</w:t>
      </w:r>
      <w:r>
        <w:t xml:space="preserve"> toekennen </w:t>
      </w:r>
      <w:r w:rsidR="00A76A73">
        <w:t>of plichten</w:t>
      </w:r>
      <w:r>
        <w:t xml:space="preserve"> opleggen</w:t>
      </w:r>
      <w:bookmarkEnd w:id="0"/>
      <w:r w:rsidR="006F169B">
        <w:t>. Het gaat om de volgende eenieder verbindende bepalingen</w:t>
      </w:r>
      <w:r>
        <w:t>:</w:t>
      </w:r>
    </w:p>
    <w:p w:rsidR="00FC2BBE" w:rsidP="00FC2BBE" w:rsidRDefault="00FC2BBE" w14:paraId="631A60DC" w14:textId="5A9485EE">
      <w:pPr>
        <w:spacing w:after="0"/>
      </w:pPr>
    </w:p>
    <w:p w:rsidRPr="00F13D91" w:rsidR="00AD7E05" w:rsidP="00FC2BBE" w:rsidRDefault="00F837B3" w14:paraId="30B9B4BA" w14:textId="0EA337BF">
      <w:pPr>
        <w:spacing w:after="0"/>
      </w:pPr>
      <w:r>
        <w:t>In de a</w:t>
      </w:r>
      <w:r w:rsidR="00DC33F6">
        <w:t>rtikel</w:t>
      </w:r>
      <w:r>
        <w:t>en</w:t>
      </w:r>
      <w:r w:rsidR="00DC33F6">
        <w:t xml:space="preserve"> I, tweede lid, </w:t>
      </w:r>
      <w:r w:rsidR="00700929">
        <w:t xml:space="preserve">artikel </w:t>
      </w:r>
      <w:r w:rsidR="00DC33F6">
        <w:t xml:space="preserve">II, </w:t>
      </w:r>
      <w:r w:rsidR="00700929">
        <w:t xml:space="preserve">artikel </w:t>
      </w:r>
      <w:r w:rsidR="00DC33F6">
        <w:t xml:space="preserve">III, </w:t>
      </w:r>
      <w:r w:rsidR="00700929">
        <w:t xml:space="preserve">artikel </w:t>
      </w:r>
      <w:r w:rsidR="00DC33F6">
        <w:t>IV</w:t>
      </w:r>
      <w:r w:rsidR="00504C76">
        <w:t xml:space="preserve">, </w:t>
      </w:r>
      <w:r w:rsidR="00700929">
        <w:t xml:space="preserve">artikel </w:t>
      </w:r>
      <w:r w:rsidR="00504C76">
        <w:t>VI</w:t>
      </w:r>
      <w:r w:rsidR="00D87526">
        <w:t xml:space="preserve"> en</w:t>
      </w:r>
      <w:r w:rsidR="00504C76">
        <w:t xml:space="preserve"> </w:t>
      </w:r>
      <w:r w:rsidR="00700929">
        <w:t>artikel</w:t>
      </w:r>
      <w:r w:rsidR="00504C76">
        <w:t xml:space="preserve"> X</w:t>
      </w:r>
      <w:r w:rsidR="00C529B0">
        <w:t xml:space="preserve"> </w:t>
      </w:r>
      <w:r w:rsidR="00AD7E05">
        <w:t>zijn materiële bepalingen opgenome</w:t>
      </w:r>
      <w:r w:rsidR="00507D9E">
        <w:t>n</w:t>
      </w:r>
      <w:r w:rsidR="008A1D47">
        <w:t xml:space="preserve"> t</w:t>
      </w:r>
      <w:r w:rsidR="00507D9E">
        <w:t>ot</w:t>
      </w:r>
      <w:r w:rsidR="008A1D47">
        <w:t xml:space="preserve"> wijziging van het </w:t>
      </w:r>
      <w:r w:rsidR="00507D9E">
        <w:t>V</w:t>
      </w:r>
      <w:r w:rsidR="008A1D47">
        <w:t>erdrag</w:t>
      </w:r>
      <w:r w:rsidR="00AD7E05">
        <w:t xml:space="preserve">. Het gaat daarbij </w:t>
      </w:r>
      <w:r w:rsidR="00B379F5">
        <w:t xml:space="preserve">onder andere </w:t>
      </w:r>
      <w:r w:rsidR="00507D9E">
        <w:t xml:space="preserve">om </w:t>
      </w:r>
      <w:r w:rsidR="00B379F5">
        <w:t>het mogelijk maken van de toepassing van het woon</w:t>
      </w:r>
      <w:r w:rsidR="00F14347">
        <w:t>land</w:t>
      </w:r>
      <w:r w:rsidR="00B379F5">
        <w:t>beginsel e</w:t>
      </w:r>
      <w:r w:rsidR="00F14347">
        <w:t>n het verruimen van de detacher</w:t>
      </w:r>
      <w:r w:rsidR="00B379F5">
        <w:t>ingsbepalingen.</w:t>
      </w:r>
      <w:r>
        <w:t xml:space="preserve"> </w:t>
      </w:r>
      <w:r w:rsidR="00AD7E05">
        <w:t>Artikel XX dat overgangsbepalingen vastlegt ziet op</w:t>
      </w:r>
      <w:r w:rsidR="00F14347">
        <w:t xml:space="preserve"> het eerbiedigen van bestaande uitkeringsrechten tot op het moment dat het woonlandbeginsel van kracht wordt, twee jaar na de inwerkingtreding van het Protocol.</w:t>
      </w:r>
    </w:p>
    <w:p w:rsidR="00FC2BBE" w:rsidP="00FC2BBE" w:rsidRDefault="00FC2BBE" w14:paraId="426E6C14" w14:textId="77777777">
      <w:pPr>
        <w:spacing w:after="0"/>
        <w:rPr>
          <w:b/>
        </w:rPr>
      </w:pPr>
    </w:p>
    <w:p w:rsidRPr="005358D1" w:rsidR="00F0351C" w:rsidP="00FC2BBE" w:rsidRDefault="00F0351C" w14:paraId="32DDD84C" w14:textId="3D09F7A6">
      <w:pPr>
        <w:spacing w:after="0"/>
        <w:rPr>
          <w:b/>
        </w:rPr>
      </w:pPr>
      <w:r w:rsidRPr="005358D1">
        <w:rPr>
          <w:b/>
        </w:rPr>
        <w:t>Woonlandbeginsel</w:t>
      </w:r>
    </w:p>
    <w:p w:rsidR="00FC2BBE" w:rsidP="00FC2BBE" w:rsidRDefault="00FC2BBE" w14:paraId="0B5DCB28" w14:textId="77777777">
      <w:pPr>
        <w:spacing w:after="0"/>
      </w:pPr>
    </w:p>
    <w:p w:rsidRPr="00F13D91" w:rsidR="00902EC5" w:rsidP="00FC2BBE" w:rsidRDefault="00902EC5" w14:paraId="25A8C528" w14:textId="3F0B8652">
      <w:pPr>
        <w:spacing w:after="0"/>
      </w:pPr>
      <w:r w:rsidRPr="00F13D91">
        <w:t xml:space="preserve">Op 1 juli 2012 is de Wet van 29 maart 2012, houdende wijziging van enkele socialezekerheidswetten in verband met aanpassing van de hoogte van de uitkering aan het woonland (Stb. 2012,198) (hierna: Wet woonlandbeginsel in de sociale zekerheid) in werking getreden. Op basis hiervan wordt de hoogte van </w:t>
      </w:r>
      <w:r w:rsidRPr="00F13D91" w:rsidR="00D25842">
        <w:t xml:space="preserve">een aantal </w:t>
      </w:r>
      <w:r w:rsidRPr="00F13D91">
        <w:t xml:space="preserve">uitkeringen </w:t>
      </w:r>
      <w:r w:rsidRPr="00F13D91" w:rsidR="00D25842">
        <w:t xml:space="preserve">aangepast aan </w:t>
      </w:r>
      <w:r w:rsidRPr="00F13D91">
        <w:t xml:space="preserve">het niveau van de kosten van levensonderhoud van het woonland van de uitkeringsgerechtigde. Dit heeft tot gevolg dat de uitkering zoals die in het woonland tot uitbetaling komt, een percentage (tot maximaal 100%) bedraagt van de uitkering waarop de gerechtigde recht zou hebben indien de gerechtigde in Nederland </w:t>
      </w:r>
      <w:r w:rsidRPr="00F13D91" w:rsidR="00D25842">
        <w:t xml:space="preserve">zou hebben gewoond. </w:t>
      </w:r>
      <w:r w:rsidRPr="00F13D91">
        <w:t xml:space="preserve">Dit percentage wordt de </w:t>
      </w:r>
      <w:r w:rsidRPr="00F13D91" w:rsidR="00D25842">
        <w:t xml:space="preserve">woonlandfactor genoemd. In </w:t>
      </w:r>
      <w:r w:rsidRPr="00F13D91" w:rsidR="00FE6B74">
        <w:t>202</w:t>
      </w:r>
      <w:r w:rsidR="00C47536">
        <w:t>1</w:t>
      </w:r>
      <w:r w:rsidR="00FE6B74">
        <w:t xml:space="preserve"> </w:t>
      </w:r>
      <w:r w:rsidRPr="00F13D91">
        <w:t xml:space="preserve">bedraagt de woonlandfactor voor </w:t>
      </w:r>
      <w:r w:rsidRPr="00F13D91" w:rsidR="00D25842">
        <w:t>Chili 70</w:t>
      </w:r>
      <w:r w:rsidRPr="00F13D91">
        <w:t>%. Het woonlandbeginsel z</w:t>
      </w:r>
      <w:r w:rsidR="00985C9C">
        <w:t>al</w:t>
      </w:r>
      <w:r w:rsidRPr="00F13D91">
        <w:t xml:space="preserve"> worden toegepast op de nabestaandenuitkeringen op basis van de Algemene nabestaandenwet</w:t>
      </w:r>
      <w:r w:rsidR="000921FF">
        <w:t xml:space="preserve"> (ANW)</w:t>
      </w:r>
      <w:r w:rsidRPr="00F13D91">
        <w:t xml:space="preserve"> en Werkhervattingsregeling Gedeeltelijk Arbeidsongeschikten op basis van de Wet werk en inkomen naar arbeidsvermogen</w:t>
      </w:r>
      <w:r w:rsidR="00350214">
        <w:t xml:space="preserve"> (</w:t>
      </w:r>
      <w:r w:rsidR="00941FBB">
        <w:t>WGA-vervolguitkering)</w:t>
      </w:r>
      <w:r w:rsidRPr="00F13D91">
        <w:t>. Deze maatregel heeft geen gevolgen voor personen die reeds een uitkering ontvangen</w:t>
      </w:r>
      <w:r w:rsidR="00985C9C">
        <w:t xml:space="preserve"> in Chili op basis van het </w:t>
      </w:r>
      <w:r w:rsidR="00F0351C">
        <w:t>V</w:t>
      </w:r>
      <w:r w:rsidR="00985C9C">
        <w:t>e</w:t>
      </w:r>
      <w:r w:rsidR="00F0351C">
        <w:t>r</w:t>
      </w:r>
      <w:r w:rsidR="00985C9C">
        <w:t>drag</w:t>
      </w:r>
      <w:r w:rsidRPr="00F13D91">
        <w:t xml:space="preserve">. </w:t>
      </w:r>
    </w:p>
    <w:p w:rsidR="006F169B" w:rsidP="00FC2BBE" w:rsidRDefault="006F169B" w14:paraId="13E0DC91" w14:textId="77777777">
      <w:pPr>
        <w:spacing w:after="0"/>
        <w:rPr>
          <w:b/>
        </w:rPr>
      </w:pPr>
    </w:p>
    <w:p w:rsidR="00FC2BBE" w:rsidP="00FC2BBE" w:rsidRDefault="00FC2BBE" w14:paraId="1334B62C" w14:textId="77777777">
      <w:pPr>
        <w:spacing w:after="0"/>
        <w:rPr>
          <w:b/>
        </w:rPr>
      </w:pPr>
    </w:p>
    <w:p w:rsidR="00674FC0" w:rsidP="00FC2BBE" w:rsidRDefault="00674FC0" w14:paraId="069F1C03" w14:textId="77777777">
      <w:pPr>
        <w:spacing w:after="0"/>
        <w:rPr>
          <w:b/>
        </w:rPr>
      </w:pPr>
    </w:p>
    <w:p w:rsidRPr="005358D1" w:rsidR="00902EC5" w:rsidP="00FC2BBE" w:rsidRDefault="00F0351C" w14:paraId="56A05A02" w14:textId="4775F494">
      <w:pPr>
        <w:spacing w:after="0"/>
        <w:rPr>
          <w:b/>
        </w:rPr>
      </w:pPr>
      <w:r w:rsidRPr="005358D1">
        <w:rPr>
          <w:b/>
        </w:rPr>
        <w:lastRenderedPageBreak/>
        <w:t>II. Artikelsgewijze toelichting</w:t>
      </w:r>
      <w:r w:rsidRPr="005358D1" w:rsidR="00902EC5">
        <w:rPr>
          <w:b/>
        </w:rPr>
        <w:t xml:space="preserve"> </w:t>
      </w:r>
    </w:p>
    <w:p w:rsidR="00FC2BBE" w:rsidP="00FC2BBE" w:rsidRDefault="00FC2BBE" w14:paraId="194E0B29" w14:textId="77777777">
      <w:pPr>
        <w:spacing w:after="0"/>
        <w:rPr>
          <w:b/>
        </w:rPr>
      </w:pPr>
    </w:p>
    <w:p w:rsidRPr="005358D1" w:rsidR="00785F8A" w:rsidP="00FC2BBE" w:rsidRDefault="00785F8A" w14:paraId="406E8756" w14:textId="683D78BE">
      <w:pPr>
        <w:spacing w:after="0"/>
        <w:rPr>
          <w:b/>
        </w:rPr>
      </w:pPr>
      <w:r w:rsidRPr="005358D1">
        <w:rPr>
          <w:b/>
        </w:rPr>
        <w:t>Titel I (het Verdrag)</w:t>
      </w:r>
    </w:p>
    <w:p w:rsidR="00FC2BBE" w:rsidP="00FC2BBE" w:rsidRDefault="00FC2BBE" w14:paraId="6ED66444" w14:textId="77777777">
      <w:pPr>
        <w:spacing w:after="0"/>
        <w:rPr>
          <w:u w:val="single"/>
        </w:rPr>
      </w:pPr>
    </w:p>
    <w:p w:rsidRPr="005358D1" w:rsidR="00674FC0" w:rsidP="00FC2BBE" w:rsidRDefault="002820F3" w14:paraId="0999C49E" w14:textId="620EDA37">
      <w:pPr>
        <w:spacing w:after="0"/>
        <w:rPr>
          <w:u w:val="single"/>
        </w:rPr>
      </w:pPr>
      <w:r w:rsidRPr="005358D1">
        <w:rPr>
          <w:u w:val="single"/>
        </w:rPr>
        <w:t>Artikel I</w:t>
      </w:r>
      <w:r w:rsidRPr="005358D1" w:rsidR="00437BED">
        <w:rPr>
          <w:u w:val="single"/>
        </w:rPr>
        <w:tab/>
      </w:r>
    </w:p>
    <w:p w:rsidRPr="005358D1" w:rsidR="002820F3" w:rsidP="00FC2BBE" w:rsidRDefault="00385567" w14:paraId="6B188B81" w14:textId="5B1644AA">
      <w:pPr>
        <w:spacing w:after="0"/>
      </w:pPr>
      <w:r w:rsidRPr="005358D1">
        <w:t xml:space="preserve">Met dit artikel wordt een </w:t>
      </w:r>
      <w:r w:rsidRPr="005358D1" w:rsidR="002820F3">
        <w:t>terminologische wijziging doorgevoerd</w:t>
      </w:r>
      <w:r w:rsidR="00DC33F6">
        <w:t>.</w:t>
      </w:r>
      <w:r w:rsidRPr="005358D1" w:rsidR="002820F3">
        <w:t xml:space="preserve"> Kinderbijslag valt nog wel onder Titel II van het </w:t>
      </w:r>
      <w:r w:rsidRPr="005358D1" w:rsidR="00507D9E">
        <w:t>V</w:t>
      </w:r>
      <w:r w:rsidRPr="005358D1" w:rsidR="002820F3">
        <w:t>erdrag</w:t>
      </w:r>
      <w:r w:rsidRPr="005358D1" w:rsidR="000921FF">
        <w:t>, wat beteken</w:t>
      </w:r>
      <w:r w:rsidRPr="005358D1" w:rsidR="003F6FF9">
        <w:t>t</w:t>
      </w:r>
      <w:r w:rsidRPr="005358D1" w:rsidR="008A1D47">
        <w:t xml:space="preserve"> </w:t>
      </w:r>
      <w:r w:rsidRPr="005358D1" w:rsidR="000921FF">
        <w:t>dat gedetach</w:t>
      </w:r>
      <w:r w:rsidRPr="005358D1" w:rsidR="00BF0DF6">
        <w:t>eerde werknemers het recht op ki</w:t>
      </w:r>
      <w:r w:rsidRPr="005358D1" w:rsidR="000921FF">
        <w:t>nderbijslag behouden</w:t>
      </w:r>
      <w:r w:rsidRPr="005358D1" w:rsidR="008A1D47">
        <w:t xml:space="preserve"> voor kinderen wonend in Nederland. </w:t>
      </w:r>
    </w:p>
    <w:p w:rsidR="00FC2BBE" w:rsidP="00FC2BBE" w:rsidRDefault="00FC2BBE" w14:paraId="4D5A903C" w14:textId="77777777">
      <w:pPr>
        <w:spacing w:after="0"/>
        <w:rPr>
          <w:u w:val="single"/>
        </w:rPr>
      </w:pPr>
    </w:p>
    <w:p w:rsidRPr="005358D1" w:rsidR="002820F3" w:rsidP="00FC2BBE" w:rsidRDefault="002820F3" w14:paraId="27ACD737" w14:textId="31D1814F">
      <w:pPr>
        <w:spacing w:after="0"/>
        <w:rPr>
          <w:u w:val="single"/>
        </w:rPr>
      </w:pPr>
      <w:r w:rsidRPr="005358D1">
        <w:rPr>
          <w:u w:val="single"/>
        </w:rPr>
        <w:t>Artikel II</w:t>
      </w:r>
    </w:p>
    <w:p w:rsidRPr="005358D1" w:rsidR="002820F3" w:rsidP="00FC2BBE" w:rsidRDefault="00E81491" w14:paraId="2CC91C7E" w14:textId="1652F3A9">
      <w:pPr>
        <w:spacing w:after="0"/>
      </w:pPr>
      <w:r w:rsidRPr="005358D1">
        <w:t xml:space="preserve">In dit artikel worden de bepalingen over detacheringen in artikel 8 van het </w:t>
      </w:r>
      <w:r w:rsidRPr="005358D1" w:rsidR="00F0351C">
        <w:t>V</w:t>
      </w:r>
      <w:r w:rsidRPr="005358D1">
        <w:t>erdrag gewijzigd. De maximale detacheringstermijn</w:t>
      </w:r>
      <w:r w:rsidRPr="005358D1" w:rsidR="00877B74">
        <w:t xml:space="preserve"> is </w:t>
      </w:r>
      <w:r w:rsidRPr="005358D1" w:rsidR="00BF0DF6">
        <w:t xml:space="preserve">op verzoek van Chili </w:t>
      </w:r>
      <w:r w:rsidRPr="005358D1">
        <w:t>verlengd van 2 naar 4 jaar, en detacheringen van zelfstandigen worden mogelijk gemaakt.</w:t>
      </w:r>
    </w:p>
    <w:p w:rsidR="00FC2BBE" w:rsidP="00FC2BBE" w:rsidRDefault="00FC2BBE" w14:paraId="3A49744A" w14:textId="77777777">
      <w:pPr>
        <w:spacing w:after="0"/>
        <w:rPr>
          <w:u w:val="single"/>
        </w:rPr>
      </w:pPr>
    </w:p>
    <w:p w:rsidRPr="005358D1" w:rsidR="00E81491" w:rsidP="00FC2BBE" w:rsidRDefault="009B092E" w14:paraId="3A56DA80" w14:textId="265C3427">
      <w:pPr>
        <w:spacing w:after="0"/>
        <w:rPr>
          <w:u w:val="single"/>
        </w:rPr>
      </w:pPr>
      <w:r w:rsidRPr="005358D1">
        <w:rPr>
          <w:u w:val="single"/>
        </w:rPr>
        <w:t>Artikel III</w:t>
      </w:r>
    </w:p>
    <w:p w:rsidRPr="005358D1" w:rsidR="009B092E" w:rsidP="00FC2BBE" w:rsidRDefault="009B092E" w14:paraId="31093A57" w14:textId="0E044F97">
      <w:pPr>
        <w:spacing w:after="0"/>
      </w:pPr>
      <w:r w:rsidRPr="005358D1">
        <w:t>Met dit artikel wordt a</w:t>
      </w:r>
      <w:r w:rsidRPr="005358D1" w:rsidR="000907A0">
        <w:t xml:space="preserve">rtikel 12 van het </w:t>
      </w:r>
      <w:r w:rsidRPr="005358D1" w:rsidR="00F0351C">
        <w:t>V</w:t>
      </w:r>
      <w:r w:rsidRPr="005358D1" w:rsidR="000907A0">
        <w:t>erdrag</w:t>
      </w:r>
      <w:r w:rsidRPr="005358D1">
        <w:t xml:space="preserve"> aangaande uitzondering</w:t>
      </w:r>
      <w:r w:rsidRPr="005358D1" w:rsidR="000907A0">
        <w:t>en op de detacheringsbepalingen</w:t>
      </w:r>
      <w:r w:rsidRPr="005358D1">
        <w:t xml:space="preserve"> in lijn gebracht met de aanpassingen uit artikel II</w:t>
      </w:r>
      <w:r w:rsidR="00793981">
        <w:t>.</w:t>
      </w:r>
      <w:r w:rsidRPr="005358D1">
        <w:t xml:space="preserve"> </w:t>
      </w:r>
    </w:p>
    <w:p w:rsidR="00FC2BBE" w:rsidP="00FC2BBE" w:rsidRDefault="00FC2BBE" w14:paraId="0B12ABA6" w14:textId="77777777">
      <w:pPr>
        <w:spacing w:after="0"/>
        <w:rPr>
          <w:u w:val="single"/>
        </w:rPr>
      </w:pPr>
    </w:p>
    <w:p w:rsidRPr="005358D1" w:rsidR="009B092E" w:rsidP="00FC2BBE" w:rsidRDefault="00A6573C" w14:paraId="4A0FED47" w14:textId="2EFF1699">
      <w:pPr>
        <w:spacing w:after="0"/>
        <w:rPr>
          <w:i/>
          <w:u w:val="single"/>
        </w:rPr>
      </w:pPr>
      <w:r w:rsidRPr="005358D1">
        <w:rPr>
          <w:u w:val="single"/>
        </w:rPr>
        <w:t>Artikel IV</w:t>
      </w:r>
    </w:p>
    <w:p w:rsidRPr="005358D1" w:rsidR="00A6573C" w:rsidP="00FC2BBE" w:rsidRDefault="00A6573C" w14:paraId="600E962E" w14:textId="13AFFB9F">
      <w:pPr>
        <w:spacing w:after="0"/>
      </w:pPr>
      <w:r w:rsidRPr="005358D1">
        <w:t xml:space="preserve">Dit artikel betreft een wijziging </w:t>
      </w:r>
      <w:r w:rsidRPr="005358D1" w:rsidR="0064079D">
        <w:t xml:space="preserve">op verzoek van Chili </w:t>
      </w:r>
      <w:r w:rsidRPr="005358D1">
        <w:t xml:space="preserve">in de afspraken inzake de verantwoordelijkheid voor het dragen van de kosten van medische onderzoeken ter vaststelling van arbeidsongeschiktheid die worden gedaan in Nederland op verzoek van het Chileense bevoegd orgaan en de </w:t>
      </w:r>
      <w:r w:rsidRPr="005358D1" w:rsidR="00877B74">
        <w:t>wijze waarop deze k</w:t>
      </w:r>
      <w:r w:rsidRPr="005358D1" w:rsidR="004F5F34">
        <w:t xml:space="preserve">osten verrekend worden. </w:t>
      </w:r>
    </w:p>
    <w:p w:rsidR="00FC2BBE" w:rsidP="00FC2BBE" w:rsidRDefault="00FC2BBE" w14:paraId="1C480049" w14:textId="77777777">
      <w:pPr>
        <w:spacing w:after="0"/>
        <w:rPr>
          <w:u w:val="single"/>
        </w:rPr>
      </w:pPr>
    </w:p>
    <w:p w:rsidRPr="005358D1" w:rsidR="007068A1" w:rsidP="00FC2BBE" w:rsidRDefault="007068A1" w14:paraId="2AA4574D" w14:textId="664FBE64">
      <w:pPr>
        <w:spacing w:after="0"/>
        <w:rPr>
          <w:i/>
          <w:u w:val="single"/>
        </w:rPr>
      </w:pPr>
      <w:r w:rsidRPr="005358D1">
        <w:rPr>
          <w:u w:val="single"/>
        </w:rPr>
        <w:t>Artikel V</w:t>
      </w:r>
    </w:p>
    <w:p w:rsidRPr="005358D1" w:rsidR="007068A1" w:rsidP="00FC2BBE" w:rsidRDefault="007068A1" w14:paraId="7DB5F0B9" w14:textId="321952B4">
      <w:pPr>
        <w:spacing w:after="0"/>
      </w:pPr>
      <w:r w:rsidRPr="005358D1">
        <w:t xml:space="preserve">Artikel V bevat een aantal </w:t>
      </w:r>
      <w:r w:rsidRPr="005358D1" w:rsidR="00BA6D9D">
        <w:t>technische w</w:t>
      </w:r>
      <w:r w:rsidRPr="005358D1" w:rsidR="00A15316">
        <w:t xml:space="preserve">ijzigingen wat betreft de aanspraken op Chileense ouderdoms- en invaliditeitsuitkeringen en de vrijwillige premiebetalingen hiervoor wanneer een zelfstandige in Nederland woont of verblijft. </w:t>
      </w:r>
    </w:p>
    <w:p w:rsidR="00FC2BBE" w:rsidP="00FC2BBE" w:rsidRDefault="00FC2BBE" w14:paraId="537488EF" w14:textId="77777777">
      <w:pPr>
        <w:spacing w:after="0"/>
        <w:rPr>
          <w:u w:val="single"/>
        </w:rPr>
      </w:pPr>
    </w:p>
    <w:p w:rsidRPr="005358D1" w:rsidR="00A15316" w:rsidP="00FC2BBE" w:rsidRDefault="00A15316" w14:paraId="47E0DB8C" w14:textId="113FB0F6">
      <w:pPr>
        <w:spacing w:after="0"/>
        <w:rPr>
          <w:i/>
          <w:u w:val="single"/>
        </w:rPr>
      </w:pPr>
      <w:r w:rsidRPr="005358D1">
        <w:rPr>
          <w:u w:val="single"/>
        </w:rPr>
        <w:t>Ar</w:t>
      </w:r>
      <w:r w:rsidRPr="005358D1" w:rsidR="009043D6">
        <w:rPr>
          <w:u w:val="single"/>
        </w:rPr>
        <w:t xml:space="preserve">tikel </w:t>
      </w:r>
      <w:r w:rsidRPr="005358D1">
        <w:rPr>
          <w:u w:val="single"/>
        </w:rPr>
        <w:t>VI</w:t>
      </w:r>
    </w:p>
    <w:p w:rsidR="004D0034" w:rsidP="00FC2BBE" w:rsidRDefault="000C42A0" w14:paraId="0A813713" w14:textId="20349C50">
      <w:pPr>
        <w:spacing w:after="0"/>
      </w:pPr>
      <w:r w:rsidRPr="005358D1">
        <w:t>Met dit artikel wordt de toepassing van het woonlandbeginsel op de WGA</w:t>
      </w:r>
      <w:r w:rsidR="00793981">
        <w:t>-</w:t>
      </w:r>
      <w:r w:rsidRPr="005358D1">
        <w:t xml:space="preserve">vervolguitkeringen en nabestaandenuitkeringen mogelijk gemaakt. </w:t>
      </w:r>
      <w:r w:rsidRPr="005358D1" w:rsidR="004D0034">
        <w:t>Hierdoor is het mogelijk om bij export naar Chili de hoogte van bepaalde uitkeringen af te stemmen op het niveau van de kosten van levensonderhoud aldaar</w:t>
      </w:r>
      <w:r w:rsidRPr="005358D1" w:rsidR="002366C7">
        <w:t xml:space="preserve"> met een maximum van 100%</w:t>
      </w:r>
      <w:r w:rsidRPr="005358D1" w:rsidR="004D0034">
        <w:t xml:space="preserve">. </w:t>
      </w:r>
    </w:p>
    <w:p w:rsidRPr="005358D1" w:rsidR="00793981" w:rsidP="00FC2BBE" w:rsidRDefault="00793981" w14:paraId="6566BBD6" w14:textId="77777777">
      <w:pPr>
        <w:spacing w:after="0"/>
      </w:pPr>
    </w:p>
    <w:p w:rsidRPr="005358D1" w:rsidR="008F5DA4" w:rsidP="00FC2BBE" w:rsidRDefault="008F5DA4" w14:paraId="53388F48" w14:textId="1215BCA9">
      <w:pPr>
        <w:spacing w:after="0"/>
        <w:rPr>
          <w:u w:val="single"/>
        </w:rPr>
      </w:pPr>
      <w:r w:rsidRPr="005358D1">
        <w:rPr>
          <w:u w:val="single"/>
        </w:rPr>
        <w:t>Artikel VII</w:t>
      </w:r>
    </w:p>
    <w:p w:rsidRPr="005358D1" w:rsidR="008F5DA4" w:rsidP="00FC2BBE" w:rsidRDefault="00572198" w14:paraId="3BDDB0EC" w14:textId="5A3AB84A">
      <w:pPr>
        <w:spacing w:after="0"/>
      </w:pPr>
      <w:r w:rsidRPr="005358D1">
        <w:t>In a</w:t>
      </w:r>
      <w:r w:rsidRPr="005358D1" w:rsidR="008F5DA4">
        <w:t>rtikel VII word</w:t>
      </w:r>
      <w:r w:rsidR="00FE6B74">
        <w:t>t</w:t>
      </w:r>
      <w:r w:rsidRPr="005358D1" w:rsidR="008F5DA4">
        <w:t xml:space="preserve"> een aantal technische wijzigingen doorgevoerd in artikel 19 van het </w:t>
      </w:r>
      <w:r w:rsidRPr="005358D1" w:rsidR="00F0351C">
        <w:t>V</w:t>
      </w:r>
      <w:r w:rsidRPr="005358D1" w:rsidR="008F5DA4">
        <w:t xml:space="preserve">erdrag, </w:t>
      </w:r>
      <w:r w:rsidR="00793981">
        <w:t>d</w:t>
      </w:r>
      <w:r w:rsidRPr="005358D1" w:rsidR="008F5DA4">
        <w:t xml:space="preserve">at </w:t>
      </w:r>
      <w:r w:rsidR="00B029BD">
        <w:t>ziet</w:t>
      </w:r>
      <w:r w:rsidRPr="005358D1" w:rsidR="008F5DA4">
        <w:t xml:space="preserve"> op de berekening van de hoogte van arbeidsongeschiktheidsuitkeringen. </w:t>
      </w:r>
    </w:p>
    <w:p w:rsidR="00FC2BBE" w:rsidP="00FC2BBE" w:rsidRDefault="00FC2BBE" w14:paraId="3E49DAA9" w14:textId="77777777">
      <w:pPr>
        <w:spacing w:after="0"/>
        <w:rPr>
          <w:u w:val="single"/>
        </w:rPr>
      </w:pPr>
    </w:p>
    <w:p w:rsidRPr="005358D1" w:rsidR="008F5DA4" w:rsidP="00FC2BBE" w:rsidRDefault="00CF497D" w14:paraId="42D91990" w14:textId="38B6222D">
      <w:pPr>
        <w:spacing w:after="0"/>
        <w:rPr>
          <w:u w:val="single"/>
        </w:rPr>
      </w:pPr>
      <w:r w:rsidRPr="005358D1">
        <w:rPr>
          <w:u w:val="single"/>
        </w:rPr>
        <w:t>Artikel VIII</w:t>
      </w:r>
    </w:p>
    <w:p w:rsidRPr="005358D1" w:rsidR="00CF497D" w:rsidP="00FC2BBE" w:rsidRDefault="00CF497D" w14:paraId="1DB67C43" w14:textId="3C33EDD0">
      <w:pPr>
        <w:spacing w:after="0"/>
      </w:pPr>
      <w:r w:rsidRPr="005358D1">
        <w:t xml:space="preserve">Artikel VIII </w:t>
      </w:r>
      <w:r w:rsidR="009E0447">
        <w:t xml:space="preserve">betreft een technische wijziging in de vorm van een verduidelijking en </w:t>
      </w:r>
      <w:r w:rsidRPr="005358D1">
        <w:t xml:space="preserve">schrapt het artikel uit het </w:t>
      </w:r>
      <w:r w:rsidRPr="005358D1" w:rsidR="00F0351C">
        <w:t>V</w:t>
      </w:r>
      <w:r w:rsidRPr="005358D1">
        <w:t>erdrag dat ziet op de Nederlandse kinderbijslagen</w:t>
      </w:r>
      <w:r w:rsidR="00C529B0">
        <w:t>,</w:t>
      </w:r>
      <w:r w:rsidR="00604227">
        <w:t xml:space="preserve"> </w:t>
      </w:r>
      <w:r w:rsidR="009E0447">
        <w:t xml:space="preserve">omdat deze bepaling </w:t>
      </w:r>
      <w:r w:rsidR="00DA0466">
        <w:t xml:space="preserve">inmiddels </w:t>
      </w:r>
      <w:r w:rsidR="007710A1">
        <w:t>overbodig</w:t>
      </w:r>
      <w:r w:rsidR="009E0447">
        <w:t xml:space="preserve"> is</w:t>
      </w:r>
      <w:r w:rsidRPr="005358D1" w:rsidR="004D0034">
        <w:t xml:space="preserve">. </w:t>
      </w:r>
      <w:r w:rsidR="009E0447">
        <w:t>Door inwerkingtreding van de Whek</w:t>
      </w:r>
      <w:r w:rsidR="00A76A73">
        <w:rPr>
          <w:rStyle w:val="Voetnootmarkering"/>
        </w:rPr>
        <w:footnoteReference w:id="1"/>
      </w:r>
      <w:r w:rsidR="009E0447">
        <w:t xml:space="preserve"> </w:t>
      </w:r>
      <w:r w:rsidR="00A76A73">
        <w:t xml:space="preserve">op 1 januari 2015 </w:t>
      </w:r>
      <w:r w:rsidR="009E0447">
        <w:t xml:space="preserve">is de </w:t>
      </w:r>
      <w:r w:rsidR="00A76A73">
        <w:t xml:space="preserve">export van de </w:t>
      </w:r>
      <w:r w:rsidR="009E0447">
        <w:t xml:space="preserve">kinderbijslag </w:t>
      </w:r>
      <w:r w:rsidR="007710A1">
        <w:t xml:space="preserve">namelijk in overeenstemming met het verdrag </w:t>
      </w:r>
      <w:r w:rsidR="009E0447">
        <w:t xml:space="preserve">unilateraal met een overgangstermijn van zes maanden per 1 juli 2015 beëindigd. </w:t>
      </w:r>
    </w:p>
    <w:p w:rsidR="00FC2BBE" w:rsidP="00FC2BBE" w:rsidRDefault="00FC2BBE" w14:paraId="352342E5" w14:textId="77777777">
      <w:pPr>
        <w:spacing w:after="0"/>
        <w:rPr>
          <w:u w:val="single"/>
        </w:rPr>
      </w:pPr>
    </w:p>
    <w:p w:rsidRPr="00FC2BBE" w:rsidR="00CF497D" w:rsidP="00FC2BBE" w:rsidRDefault="0009787C" w14:paraId="7CC9CCBC" w14:textId="26BE5399">
      <w:pPr>
        <w:spacing w:after="0"/>
        <w:rPr>
          <w:u w:val="single"/>
        </w:rPr>
      </w:pPr>
      <w:r w:rsidRPr="00FC2BBE">
        <w:rPr>
          <w:u w:val="single"/>
        </w:rPr>
        <w:t>Artikel IX</w:t>
      </w:r>
      <w:r w:rsidR="00FC2BBE">
        <w:rPr>
          <w:u w:val="single"/>
        </w:rPr>
        <w:t xml:space="preserve"> en Artikel X</w:t>
      </w:r>
    </w:p>
    <w:p w:rsidRPr="005358D1" w:rsidR="0009787C" w:rsidP="00FC2BBE" w:rsidRDefault="00C23BF3" w14:paraId="64C0438D" w14:textId="65C8695F">
      <w:pPr>
        <w:spacing w:after="0"/>
      </w:pPr>
      <w:r w:rsidRPr="005358D1">
        <w:t>D</w:t>
      </w:r>
      <w:r w:rsidR="00FC2BBE">
        <w:t>eze</w:t>
      </w:r>
      <w:r w:rsidRPr="005358D1">
        <w:t xml:space="preserve"> artikel</w:t>
      </w:r>
      <w:r w:rsidR="00FC2BBE">
        <w:t>en</w:t>
      </w:r>
      <w:r w:rsidRPr="005358D1" w:rsidR="00572198">
        <w:t xml:space="preserve"> </w:t>
      </w:r>
      <w:r w:rsidR="00FC2BBE">
        <w:t>voeren</w:t>
      </w:r>
      <w:r w:rsidRPr="005358D1" w:rsidR="00437BED">
        <w:t xml:space="preserve"> </w:t>
      </w:r>
      <w:r w:rsidRPr="005358D1" w:rsidR="00572198">
        <w:t xml:space="preserve">een aantal </w:t>
      </w:r>
      <w:r w:rsidRPr="005358D1" w:rsidR="00FB4B1F">
        <w:t xml:space="preserve">technische </w:t>
      </w:r>
      <w:r w:rsidRPr="005358D1" w:rsidR="005358D1">
        <w:t xml:space="preserve">wijzigingen door </w:t>
      </w:r>
      <w:r w:rsidRPr="005358D1" w:rsidR="00572198">
        <w:t>wat betreft wederzijdse hulp</w:t>
      </w:r>
      <w:r w:rsidRPr="005358D1" w:rsidR="00385567">
        <w:t xml:space="preserve"> en gegevensbescherming </w:t>
      </w:r>
      <w:r w:rsidRPr="005358D1" w:rsidR="00572198">
        <w:t xml:space="preserve">in de uitvoering van het </w:t>
      </w:r>
      <w:r w:rsidRPr="005358D1" w:rsidR="00FB15DB">
        <w:t>V</w:t>
      </w:r>
      <w:r w:rsidRPr="005358D1" w:rsidR="00572198">
        <w:t xml:space="preserve">erdrag. </w:t>
      </w:r>
      <w:r w:rsidRPr="005358D1" w:rsidR="00FB4B1F">
        <w:t xml:space="preserve">Daarbij is een </w:t>
      </w:r>
      <w:r w:rsidRPr="005358D1" w:rsidR="00F42A4F">
        <w:t xml:space="preserve">nieuw vierde lid in artikel 23 </w:t>
      </w:r>
      <w:r w:rsidRPr="005358D1" w:rsidR="00FB4B1F">
        <w:t>toegevoegd</w:t>
      </w:r>
      <w:r w:rsidRPr="005358D1" w:rsidR="00F42A4F">
        <w:t xml:space="preserve"> dat het mogelijk maakt</w:t>
      </w:r>
      <w:r w:rsidRPr="005358D1" w:rsidR="00572198">
        <w:t xml:space="preserve"> </w:t>
      </w:r>
      <w:r w:rsidRPr="005358D1" w:rsidR="00350214">
        <w:t xml:space="preserve">dat </w:t>
      </w:r>
      <w:r w:rsidRPr="005358D1" w:rsidR="00572198">
        <w:t xml:space="preserve">elektronische middelen gebruikt worden voor de uitvoering van het </w:t>
      </w:r>
      <w:r w:rsidRPr="005358D1" w:rsidR="002366C7">
        <w:t>V</w:t>
      </w:r>
      <w:r w:rsidRPr="005358D1" w:rsidR="00572198">
        <w:t xml:space="preserve">erdrag. </w:t>
      </w:r>
    </w:p>
    <w:p w:rsidR="00FC2BBE" w:rsidP="00FC2BBE" w:rsidRDefault="00FC2BBE" w14:paraId="77DC2E05" w14:textId="77777777">
      <w:pPr>
        <w:spacing w:after="0"/>
        <w:rPr>
          <w:u w:val="single"/>
        </w:rPr>
      </w:pPr>
    </w:p>
    <w:p w:rsidRPr="00C529B0" w:rsidR="002A31CC" w:rsidP="00FC2BBE" w:rsidRDefault="00FC2BBE" w14:paraId="5B5C469A" w14:textId="75C99759">
      <w:pPr>
        <w:spacing w:after="0"/>
        <w:rPr>
          <w:rFonts w:cstheme="minorHAnsi"/>
        </w:rPr>
      </w:pPr>
      <w:r>
        <w:t>Daarnaast is er</w:t>
      </w:r>
      <w:r w:rsidRPr="005358D1" w:rsidR="002A31CC">
        <w:t xml:space="preserve"> een bepaling toegevoegd op het gebied van de bescherming van persoonsgegevens. </w:t>
      </w:r>
      <w:r w:rsidRPr="005358D1" w:rsidR="006B4535">
        <w:rPr>
          <w:rFonts w:cs="Arial"/>
          <w:szCs w:val="20"/>
        </w:rPr>
        <w:t>In dit verband wordt opgemerkt dat voor Nederland Verordening (EU) 2016/679 van het Europees Parlement en de Raad van 27 april 2016 betreffende de bescherming van natuurlijke personen in verband met de verwerking van persoonsgegevens en betreffende het vrije verkeer van die gegevens en tot intrekking van Richtlijn 95/46/EG (algemene verordening gegevensbescherming) (</w:t>
      </w:r>
      <w:r w:rsidRPr="005358D1" w:rsidR="006B4535">
        <w:rPr>
          <w:rFonts w:cs="Arial"/>
          <w:i/>
          <w:szCs w:val="20"/>
        </w:rPr>
        <w:t>PbEU</w:t>
      </w:r>
      <w:r w:rsidRPr="005358D1" w:rsidR="006B4535">
        <w:rPr>
          <w:rFonts w:cs="Arial"/>
          <w:szCs w:val="20"/>
        </w:rPr>
        <w:t xml:space="preserve"> 2016, L 119) (hierna: AVG) relevant is. De AVG kent twee basisprincipes in relatie tot internationale gegevensuitwisseling: er moet een juridische grondslag zijn voor de gegevensuitwisseling en de betrokken partijen zijn verplicht om passende waarborgen te bieden ter bescherming van persoonsgegevens. Uitgangspunt is dat persoonsgegevens slechts worden doorgegeven naar een land buiten de Europese Unie indien dat land een passend beschermingsniveau waarborgt. </w:t>
      </w:r>
      <w:r w:rsidRPr="005358D1" w:rsidR="002A31CC">
        <w:rPr>
          <w:iCs/>
        </w:rPr>
        <w:t>In Chili is het recht op gegevensbescherming verankerd in de Chileense grondwet (artikel 19, vierde lid). De Chileense wetgeving over de bescherming van persoonsgegevens is uitgewerkt in de Wet nr. 19.628 over de bescherming van het persoonlijke leven (Ley 19.628 “Sobre protección de la vida privada”).</w:t>
      </w:r>
      <w:r w:rsidR="00DF76FE">
        <w:rPr>
          <w:iCs/>
        </w:rPr>
        <w:t xml:space="preserve"> </w:t>
      </w:r>
      <w:r w:rsidRPr="005358D1" w:rsidR="002A31CC">
        <w:rPr>
          <w:iCs/>
        </w:rPr>
        <w:t xml:space="preserve">In deze wet is toestemming de basis voor het gebruik van gegevens (met daarop geformuleerde uitzonderingen). Deze wet regelt onder meer het recht op toegang tot data, recht op rectificatie, het recht op het wissen van gegevens en het recht op bezwaar tegen gegevensgebruik. Op het moment van ondertekening van dit Verdrag </w:t>
      </w:r>
      <w:r w:rsidRPr="005358D1" w:rsidR="006B4535">
        <w:rPr>
          <w:iCs/>
        </w:rPr>
        <w:t>i</w:t>
      </w:r>
      <w:r w:rsidRPr="005358D1" w:rsidR="002A31CC">
        <w:rPr>
          <w:iCs/>
        </w:rPr>
        <w:t xml:space="preserve">s in het Chileense parlement een wetsvoorstel in behandeling om de gegevensbescherming nog beter te waarborgen. </w:t>
      </w:r>
      <w:r w:rsidR="00FE6B74">
        <w:rPr>
          <w:rStyle w:val="Voetnootmarkering"/>
          <w:iCs/>
        </w:rPr>
        <w:footnoteReference w:id="2"/>
      </w:r>
      <w:r w:rsidR="00FE6B74">
        <w:rPr>
          <w:iCs/>
        </w:rPr>
        <w:t xml:space="preserve"> </w:t>
      </w:r>
      <w:r w:rsidR="00045DF5">
        <w:rPr>
          <w:iCs/>
        </w:rPr>
        <w:t>De verwachting is dat het wetsvoorstel in de loop van 202</w:t>
      </w:r>
      <w:r w:rsidR="001B0946">
        <w:rPr>
          <w:iCs/>
        </w:rPr>
        <w:t>4</w:t>
      </w:r>
      <w:r w:rsidR="00045DF5">
        <w:rPr>
          <w:iCs/>
        </w:rPr>
        <w:t xml:space="preserve"> wordt aangenomen en vervolgens na </w:t>
      </w:r>
      <w:r w:rsidR="00A76A73">
        <w:rPr>
          <w:iCs/>
        </w:rPr>
        <w:t>bekendmaking</w:t>
      </w:r>
      <w:r w:rsidR="00045DF5">
        <w:rPr>
          <w:iCs/>
        </w:rPr>
        <w:t xml:space="preserve"> in </w:t>
      </w:r>
      <w:r w:rsidR="00A76A73">
        <w:rPr>
          <w:iCs/>
        </w:rPr>
        <w:t>het</w:t>
      </w:r>
      <w:r w:rsidR="00045DF5">
        <w:rPr>
          <w:iCs/>
        </w:rPr>
        <w:t xml:space="preserve"> Chileense </w:t>
      </w:r>
      <w:r w:rsidR="00A76A73">
        <w:rPr>
          <w:iCs/>
        </w:rPr>
        <w:t>publicatieblad</w:t>
      </w:r>
      <w:r w:rsidR="00045DF5">
        <w:rPr>
          <w:iCs/>
        </w:rPr>
        <w:t xml:space="preserve"> in werking zal treden.</w:t>
      </w:r>
      <w:r w:rsidR="00C529B0">
        <w:rPr>
          <w:iCs/>
        </w:rPr>
        <w:t xml:space="preserve"> </w:t>
      </w:r>
      <w:r w:rsidR="00577131">
        <w:rPr>
          <w:rFonts w:ascii="Calibri" w:hAnsi="Calibri" w:eastAsia="Times New Roman" w:cs="Times New Roman"/>
        </w:rPr>
        <w:t xml:space="preserve">Een reden </w:t>
      </w:r>
      <w:r w:rsidR="00FE6B74">
        <w:rPr>
          <w:rFonts w:ascii="Calibri" w:hAnsi="Calibri" w:eastAsia="Times New Roman" w:cs="Times New Roman"/>
        </w:rPr>
        <w:t xml:space="preserve">voor de nieuwe wetgeving </w:t>
      </w:r>
      <w:r w:rsidR="00577131">
        <w:rPr>
          <w:rFonts w:ascii="Calibri" w:hAnsi="Calibri" w:eastAsia="Times New Roman" w:cs="Times New Roman"/>
        </w:rPr>
        <w:t>is dat de</w:t>
      </w:r>
      <w:r w:rsidRPr="00DF76FE" w:rsidR="00DF76FE">
        <w:rPr>
          <w:rFonts w:ascii="Calibri" w:hAnsi="Calibri" w:eastAsia="Times New Roman" w:cs="Times New Roman"/>
        </w:rPr>
        <w:t xml:space="preserve"> EU eist dat er adequate </w:t>
      </w:r>
      <w:r w:rsidR="00577131">
        <w:rPr>
          <w:rFonts w:ascii="Calibri" w:hAnsi="Calibri" w:eastAsia="Times New Roman" w:cs="Times New Roman"/>
        </w:rPr>
        <w:t xml:space="preserve">wet- en </w:t>
      </w:r>
      <w:r w:rsidRPr="00DF76FE" w:rsidR="00DF76FE">
        <w:rPr>
          <w:rFonts w:ascii="Calibri" w:hAnsi="Calibri" w:eastAsia="Times New Roman" w:cs="Times New Roman"/>
        </w:rPr>
        <w:t>regelgeving komt ten einde Chili te kunnen kwalificeren als derde land waarmee persoonsgegevens kunnen worden uitgewisseld</w:t>
      </w:r>
      <w:r w:rsidR="00577131">
        <w:rPr>
          <w:rFonts w:ascii="Calibri" w:hAnsi="Calibri" w:eastAsia="Times New Roman" w:cs="Times New Roman"/>
        </w:rPr>
        <w:t xml:space="preserve">. </w:t>
      </w:r>
      <w:r w:rsidRPr="00DF76FE" w:rsidR="00DF76FE">
        <w:rPr>
          <w:iCs/>
        </w:rPr>
        <w:t xml:space="preserve">Het proces tussen de Europese Commissie en Chili om tot een adequaatheidsbesluit te komen </w:t>
      </w:r>
      <w:r w:rsidR="00577131">
        <w:rPr>
          <w:iCs/>
        </w:rPr>
        <w:t>loopt parallel aan het wetgevingsproces</w:t>
      </w:r>
      <w:r w:rsidRPr="00DF76FE" w:rsidR="00DF76FE">
        <w:rPr>
          <w:iCs/>
        </w:rPr>
        <w:t xml:space="preserve"> </w:t>
      </w:r>
      <w:r w:rsidR="0079660B">
        <w:rPr>
          <w:iCs/>
        </w:rPr>
        <w:t xml:space="preserve">en </w:t>
      </w:r>
      <w:r w:rsidRPr="00DF76FE" w:rsidR="00DF76FE">
        <w:rPr>
          <w:iCs/>
        </w:rPr>
        <w:t>zal</w:t>
      </w:r>
      <w:r w:rsidR="00C529B0">
        <w:rPr>
          <w:iCs/>
        </w:rPr>
        <w:t xml:space="preserve"> </w:t>
      </w:r>
      <w:r w:rsidR="00A76A73">
        <w:rPr>
          <w:iCs/>
        </w:rPr>
        <w:t>naar verwachting in het eerste kwartaal</w:t>
      </w:r>
      <w:r w:rsidR="00C529B0">
        <w:rPr>
          <w:iCs/>
        </w:rPr>
        <w:t xml:space="preserve"> van 2024</w:t>
      </w:r>
      <w:r w:rsidRPr="00DF76FE" w:rsidR="00DF76FE">
        <w:rPr>
          <w:iCs/>
        </w:rPr>
        <w:t xml:space="preserve"> </w:t>
      </w:r>
      <w:r w:rsidR="00577131">
        <w:rPr>
          <w:iCs/>
        </w:rPr>
        <w:t>tot een afronding komen</w:t>
      </w:r>
      <w:r w:rsidRPr="00DF76FE" w:rsidR="00DF76FE">
        <w:rPr>
          <w:iCs/>
        </w:rPr>
        <w:t xml:space="preserve">. </w:t>
      </w:r>
      <w:r w:rsidR="00B9165D">
        <w:rPr>
          <w:iCs/>
        </w:rPr>
        <w:t>De nieuwe wetgeving</w:t>
      </w:r>
      <w:r w:rsidR="00B46FB0">
        <w:rPr>
          <w:iCs/>
        </w:rPr>
        <w:t>,</w:t>
      </w:r>
      <w:r w:rsidR="00B9165D">
        <w:rPr>
          <w:iCs/>
        </w:rPr>
        <w:t xml:space="preserve"> die geïnspireerd is op de AVG</w:t>
      </w:r>
      <w:r w:rsidR="00B46FB0">
        <w:rPr>
          <w:iCs/>
        </w:rPr>
        <w:t>,</w:t>
      </w:r>
      <w:r w:rsidR="00B9165D">
        <w:rPr>
          <w:iCs/>
        </w:rPr>
        <w:t xml:space="preserve"> voorziet in</w:t>
      </w:r>
      <w:r w:rsidR="00112C02">
        <w:rPr>
          <w:iCs/>
        </w:rPr>
        <w:t xml:space="preserve"> adequate beschermings- en beveiligingsniveaus bij gegevensverwerking alsmede in</w:t>
      </w:r>
      <w:r w:rsidR="00B9165D">
        <w:rPr>
          <w:iCs/>
        </w:rPr>
        <w:t xml:space="preserve"> een onafhankelijk toezichtsmechanisme</w:t>
      </w:r>
      <w:r w:rsidR="00FB50F9">
        <w:rPr>
          <w:iCs/>
        </w:rPr>
        <w:t>, het Agentschap voor Gegevensbescherming (</w:t>
      </w:r>
      <w:r w:rsidRPr="00C529B0" w:rsidR="00FB50F9">
        <w:rPr>
          <w:i/>
        </w:rPr>
        <w:t>Agencia de Proteccion de Datos</w:t>
      </w:r>
      <w:r w:rsidR="00FB50F9">
        <w:rPr>
          <w:iCs/>
        </w:rPr>
        <w:t>),</w:t>
      </w:r>
      <w:r w:rsidR="00B9165D">
        <w:rPr>
          <w:iCs/>
        </w:rPr>
        <w:t xml:space="preserve"> dat zelfstandig </w:t>
      </w:r>
      <w:r w:rsidRPr="00C529B0" w:rsidR="00B9165D">
        <w:rPr>
          <w:rFonts w:ascii="Verdana" w:hAnsi="Verdana" w:eastAsia="Times New Roman" w:cs="Times New Roman"/>
          <w:sz w:val="18"/>
          <w:szCs w:val="18"/>
        </w:rPr>
        <w:t xml:space="preserve">toezicht zal houden op naleving door private en publieke organen. </w:t>
      </w:r>
      <w:r w:rsidRPr="00C529B0" w:rsidR="00DA0466">
        <w:rPr>
          <w:rFonts w:eastAsia="Times New Roman" w:cstheme="minorHAnsi"/>
        </w:rPr>
        <w:t>Het is dus niet meer enkel aan de rechthebbende zelf om naleving van de wetgeving te eisen van de bezitter van zijn of haar persoonsgegevens.</w:t>
      </w:r>
      <w:r w:rsidRPr="00C529B0" w:rsidR="00DF76FE">
        <w:rPr>
          <w:rFonts w:eastAsia="Times New Roman" w:cstheme="minorHAnsi"/>
        </w:rPr>
        <w:t xml:space="preserve"> De juridische mogelijkheden van de wetgeving om bescherming en rectificatie af te dwingen bieden de burger een </w:t>
      </w:r>
      <w:r w:rsidR="00A76A73">
        <w:rPr>
          <w:rFonts w:eastAsia="Times New Roman" w:cstheme="minorHAnsi"/>
        </w:rPr>
        <w:t>adequaat</w:t>
      </w:r>
      <w:r w:rsidRPr="00C529B0" w:rsidR="00DF76FE">
        <w:rPr>
          <w:rFonts w:eastAsia="Times New Roman" w:cstheme="minorHAnsi"/>
        </w:rPr>
        <w:t xml:space="preserve"> niveau van bescherming.</w:t>
      </w:r>
    </w:p>
    <w:p w:rsidR="00674FC0" w:rsidP="00FC2BBE" w:rsidRDefault="00674FC0" w14:paraId="5964A571" w14:textId="77777777">
      <w:pPr>
        <w:spacing w:after="0"/>
        <w:rPr>
          <w:u w:val="single"/>
        </w:rPr>
      </w:pPr>
    </w:p>
    <w:p w:rsidRPr="00FC2BBE" w:rsidR="005644EC" w:rsidP="00FC2BBE" w:rsidRDefault="006879B4" w14:paraId="3EEC70C8" w14:textId="1D88205E">
      <w:pPr>
        <w:spacing w:after="0"/>
        <w:rPr>
          <w:i/>
          <w:u w:val="single"/>
        </w:rPr>
      </w:pPr>
      <w:r w:rsidRPr="00FC2BBE">
        <w:rPr>
          <w:u w:val="single"/>
        </w:rPr>
        <w:t>Artikel XI</w:t>
      </w:r>
    </w:p>
    <w:p w:rsidRPr="005358D1" w:rsidR="006879B4" w:rsidP="00FC2BBE" w:rsidRDefault="006879B4" w14:paraId="44BF7EBC" w14:textId="61BD39DE">
      <w:pPr>
        <w:spacing w:after="0"/>
      </w:pPr>
      <w:r w:rsidRPr="005358D1">
        <w:t xml:space="preserve">Met dit artikel wordt er een wijziging aangebracht in </w:t>
      </w:r>
      <w:r w:rsidRPr="005358D1" w:rsidR="002366C7">
        <w:t xml:space="preserve">de naam van </w:t>
      </w:r>
      <w:r w:rsidRPr="005358D1">
        <w:t>het</w:t>
      </w:r>
      <w:r w:rsidRPr="005358D1" w:rsidR="00134AC1">
        <w:t xml:space="preserve"> Chileense</w:t>
      </w:r>
      <w:r w:rsidRPr="005358D1">
        <w:t xml:space="preserve"> orgaan dat verantwoordelijk is voor de gegevensverstrekking ter verificatie van betalingen en aanvragen van uitkeringen in artikel 24 van het </w:t>
      </w:r>
      <w:r w:rsidRPr="005358D1" w:rsidR="00FB15DB">
        <w:t>V</w:t>
      </w:r>
      <w:r w:rsidRPr="005358D1">
        <w:t>erdrag.</w:t>
      </w:r>
    </w:p>
    <w:p w:rsidR="00FC2BBE" w:rsidP="00FC2BBE" w:rsidRDefault="00FC2BBE" w14:paraId="1FA2B83F" w14:textId="77777777">
      <w:pPr>
        <w:spacing w:after="0"/>
        <w:rPr>
          <w:u w:val="single"/>
        </w:rPr>
      </w:pPr>
    </w:p>
    <w:p w:rsidRPr="00FC2BBE" w:rsidR="006879B4" w:rsidP="00FC2BBE" w:rsidRDefault="006161CF" w14:paraId="37228656" w14:textId="7E83C17C">
      <w:pPr>
        <w:spacing w:after="0"/>
        <w:rPr>
          <w:u w:val="single"/>
        </w:rPr>
      </w:pPr>
      <w:r w:rsidRPr="00FC2BBE">
        <w:rPr>
          <w:u w:val="single"/>
        </w:rPr>
        <w:lastRenderedPageBreak/>
        <w:t>Artikel XII en Artikel XIII</w:t>
      </w:r>
    </w:p>
    <w:p w:rsidRPr="005358D1" w:rsidR="006161CF" w:rsidP="00FC2BBE" w:rsidRDefault="006161CF" w14:paraId="7175DA0E" w14:textId="64B99A32">
      <w:pPr>
        <w:spacing w:after="0"/>
      </w:pPr>
      <w:r w:rsidRPr="005358D1">
        <w:t>Deze artikelen zien op de wijziging van de artikelen 26 en 27 inzake de terugvordering van onverschuldigde betalingen en premie</w:t>
      </w:r>
      <w:r w:rsidRPr="005358D1" w:rsidR="002366C7">
        <w:t>-</w:t>
      </w:r>
      <w:r w:rsidRPr="005358D1">
        <w:t xml:space="preserve">inning. Evenals in artikel XI </w:t>
      </w:r>
      <w:r w:rsidRPr="005358D1" w:rsidR="00A845F0">
        <w:t xml:space="preserve">is </w:t>
      </w:r>
      <w:r w:rsidRPr="005358D1">
        <w:t xml:space="preserve">de </w:t>
      </w:r>
      <w:r w:rsidRPr="005358D1" w:rsidR="002366C7">
        <w:t xml:space="preserve">naam van de </w:t>
      </w:r>
      <w:r w:rsidRPr="005358D1" w:rsidR="00134AC1">
        <w:t xml:space="preserve">Chileense </w:t>
      </w:r>
      <w:r w:rsidRPr="005358D1">
        <w:t xml:space="preserve">entiteit </w:t>
      </w:r>
      <w:r w:rsidRPr="005358D1" w:rsidR="002366C7">
        <w:t xml:space="preserve">die </w:t>
      </w:r>
      <w:r w:rsidRPr="005358D1">
        <w:t xml:space="preserve">verantwoordelijk </w:t>
      </w:r>
      <w:r w:rsidRPr="005358D1" w:rsidR="002366C7">
        <w:t xml:space="preserve">is </w:t>
      </w:r>
      <w:r w:rsidRPr="005358D1">
        <w:t xml:space="preserve">voor de toepassing van de betreffende artikelen gewijzigd.  </w:t>
      </w:r>
    </w:p>
    <w:p w:rsidRPr="005358D1" w:rsidR="00FB4B1F" w:rsidP="00FC2BBE" w:rsidRDefault="00FB4B1F" w14:paraId="749C5E5F" w14:textId="77777777">
      <w:pPr>
        <w:spacing w:after="0"/>
        <w:rPr>
          <w:u w:val="single"/>
        </w:rPr>
      </w:pPr>
    </w:p>
    <w:p w:rsidR="00FC2BBE" w:rsidP="00C529B0" w:rsidRDefault="00785F8A" w14:paraId="676F32BE" w14:textId="2D7AEA7B">
      <w:pPr>
        <w:rPr>
          <w:u w:val="single"/>
        </w:rPr>
      </w:pPr>
      <w:r w:rsidRPr="00FC2BBE">
        <w:rPr>
          <w:b/>
        </w:rPr>
        <w:t>Titel II (het Administratief Akkoord</w:t>
      </w:r>
      <w:r w:rsidRPr="005358D1">
        <w:rPr>
          <w:u w:val="single"/>
        </w:rPr>
        <w:t>)</w:t>
      </w:r>
    </w:p>
    <w:p w:rsidR="00FC2BBE" w:rsidP="00FC2BBE" w:rsidRDefault="00FC2BBE" w14:paraId="3BF60985" w14:textId="77777777">
      <w:pPr>
        <w:spacing w:after="0"/>
        <w:rPr>
          <w:u w:val="single"/>
        </w:rPr>
      </w:pPr>
    </w:p>
    <w:p w:rsidRPr="00FC2BBE" w:rsidR="005D3208" w:rsidP="00FC2BBE" w:rsidRDefault="005D3208" w14:paraId="04C08C90" w14:textId="2FFA9A16">
      <w:pPr>
        <w:spacing w:after="0"/>
        <w:rPr>
          <w:u w:val="single"/>
        </w:rPr>
      </w:pPr>
      <w:r w:rsidRPr="00FC2BBE">
        <w:rPr>
          <w:u w:val="single"/>
        </w:rPr>
        <w:t>Artikelen XIV tot en met XIX</w:t>
      </w:r>
    </w:p>
    <w:p w:rsidRPr="005358D1" w:rsidR="005D3208" w:rsidP="00FC2BBE" w:rsidRDefault="0028619A" w14:paraId="5122069D" w14:textId="19DEC975">
      <w:pPr>
        <w:spacing w:after="0"/>
      </w:pPr>
      <w:r w:rsidRPr="005358D1">
        <w:t xml:space="preserve">Het Administratief Akkoord strekt tot uitvoering van artikel 22 van het Verdrag. </w:t>
      </w:r>
      <w:r w:rsidRPr="005358D1" w:rsidR="005D3208">
        <w:t>Met de artikelen XIV tot en met XIX word</w:t>
      </w:r>
      <w:r w:rsidRPr="005358D1" w:rsidR="002366C7">
        <w:t>t</w:t>
      </w:r>
      <w:r w:rsidRPr="005358D1" w:rsidR="005D3208">
        <w:t xml:space="preserve"> een aantal bepalingen uit het </w:t>
      </w:r>
      <w:r w:rsidRPr="005358D1" w:rsidR="00FB15DB">
        <w:t>A</w:t>
      </w:r>
      <w:r w:rsidRPr="005358D1" w:rsidR="005D3208">
        <w:t xml:space="preserve">dministratief </w:t>
      </w:r>
      <w:r w:rsidRPr="005358D1" w:rsidR="00FB15DB">
        <w:t>A</w:t>
      </w:r>
      <w:r w:rsidRPr="005358D1" w:rsidR="005D3208">
        <w:t xml:space="preserve">kkoord gewijzigd die zien op de uitvoering van het </w:t>
      </w:r>
      <w:r w:rsidRPr="005358D1" w:rsidR="00F67E6B">
        <w:t>V</w:t>
      </w:r>
      <w:r w:rsidRPr="005358D1" w:rsidR="005D3208">
        <w:t xml:space="preserve">erdrag. Het gaat hier onder andere om het </w:t>
      </w:r>
      <w:r w:rsidRPr="005358D1" w:rsidR="002366C7">
        <w:t>actualiseren</w:t>
      </w:r>
      <w:r w:rsidRPr="005358D1" w:rsidR="005D3208">
        <w:t xml:space="preserve"> van terminologie</w:t>
      </w:r>
      <w:r w:rsidRPr="005358D1" w:rsidR="002366C7">
        <w:t xml:space="preserve"> voor</w:t>
      </w:r>
      <w:r w:rsidRPr="005358D1" w:rsidR="007A3E01">
        <w:t xml:space="preserve"> wat betreft de uitvoerende</w:t>
      </w:r>
      <w:r w:rsidRPr="005358D1" w:rsidR="00956C69">
        <w:t xml:space="preserve"> organen en relevante wetgeving </w:t>
      </w:r>
      <w:r w:rsidRPr="005358D1" w:rsidR="005D3208">
        <w:t xml:space="preserve">en het in lijn brengen van het </w:t>
      </w:r>
      <w:r w:rsidRPr="005358D1" w:rsidR="00FB15DB">
        <w:t>A</w:t>
      </w:r>
      <w:r w:rsidRPr="005358D1" w:rsidR="005D3208">
        <w:t xml:space="preserve">dministratief </w:t>
      </w:r>
      <w:r w:rsidRPr="005358D1" w:rsidR="00FB15DB">
        <w:t>A</w:t>
      </w:r>
      <w:r w:rsidRPr="005358D1" w:rsidR="005D3208">
        <w:t xml:space="preserve">kkoord met het </w:t>
      </w:r>
      <w:r w:rsidRPr="005358D1" w:rsidR="00FB15DB">
        <w:t>V</w:t>
      </w:r>
      <w:r w:rsidRPr="005358D1" w:rsidR="005D3208">
        <w:t xml:space="preserve">erdrag. </w:t>
      </w:r>
    </w:p>
    <w:p w:rsidR="00FC2BBE" w:rsidP="00FC2BBE" w:rsidRDefault="00FC2BBE" w14:paraId="02F3C71E" w14:textId="77777777">
      <w:pPr>
        <w:spacing w:after="0"/>
        <w:rPr>
          <w:b/>
        </w:rPr>
      </w:pPr>
    </w:p>
    <w:p w:rsidRPr="00FC2BBE" w:rsidR="00785F8A" w:rsidP="00FC2BBE" w:rsidRDefault="00785F8A" w14:paraId="5455DC04" w14:textId="6F394408">
      <w:pPr>
        <w:spacing w:after="0"/>
        <w:rPr>
          <w:b/>
        </w:rPr>
      </w:pPr>
      <w:r w:rsidRPr="00FC2BBE">
        <w:rPr>
          <w:b/>
        </w:rPr>
        <w:t>Titel III (Slotbepalingen)</w:t>
      </w:r>
    </w:p>
    <w:p w:rsidR="00FC2BBE" w:rsidP="00FC2BBE" w:rsidRDefault="00FC2BBE" w14:paraId="43660E8C" w14:textId="77777777">
      <w:pPr>
        <w:spacing w:after="0"/>
        <w:rPr>
          <w:u w:val="single"/>
        </w:rPr>
      </w:pPr>
    </w:p>
    <w:p w:rsidR="00FC2BBE" w:rsidP="00FC2BBE" w:rsidRDefault="003A6D02" w14:paraId="16E326E9" w14:textId="5D2A8610">
      <w:pPr>
        <w:spacing w:after="0"/>
        <w:rPr>
          <w:u w:val="single"/>
        </w:rPr>
      </w:pPr>
      <w:r w:rsidRPr="00FC2BBE">
        <w:rPr>
          <w:u w:val="single"/>
        </w:rPr>
        <w:t>Artikel XX</w:t>
      </w:r>
    </w:p>
    <w:p w:rsidRPr="00FC2BBE" w:rsidR="00F81D94" w:rsidP="00FC2BBE" w:rsidRDefault="00F81D94" w14:paraId="17F34E6D" w14:textId="3D48EF92">
      <w:pPr>
        <w:spacing w:after="0"/>
        <w:rPr>
          <w:u w:val="single"/>
        </w:rPr>
      </w:pPr>
      <w:r w:rsidRPr="005358D1">
        <w:t>Di</w:t>
      </w:r>
      <w:r w:rsidR="00FC2BBE">
        <w:t>t</w:t>
      </w:r>
      <w:r w:rsidRPr="005358D1">
        <w:t xml:space="preserve"> artikel voorziet in een aantal overgangsbepalingen vanaf de inwerkingtreding van het Protocol. Het eerste lid bevat een overgangsbepaling voor het woonlandbeginsel. Hierin wordt geregeld dat het woonlandbeginsel van kracht wordt twee jaar na de inwerkingtreding van het Protocol. </w:t>
      </w:r>
    </w:p>
    <w:p w:rsidR="00FC2BBE" w:rsidP="00FC2BBE" w:rsidRDefault="00F81D94" w14:paraId="1391A36B" w14:textId="77777777">
      <w:pPr>
        <w:spacing w:after="0"/>
        <w:rPr>
          <w:u w:val="single"/>
        </w:rPr>
      </w:pPr>
      <w:r w:rsidRPr="005358D1">
        <w:t>In het tweede lid wordt geregeld dat r</w:t>
      </w:r>
      <w:r w:rsidRPr="005358D1" w:rsidR="00985C9C">
        <w:t xml:space="preserve">eeds verkregen rechten </w:t>
      </w:r>
      <w:r w:rsidRPr="005358D1" w:rsidR="007A0C0B">
        <w:t xml:space="preserve">wat betreft de </w:t>
      </w:r>
      <w:r w:rsidRPr="005358D1" w:rsidR="00985C9C">
        <w:t xml:space="preserve">ANW en WGA-vervolguitkeringen zullen worden </w:t>
      </w:r>
      <w:r w:rsidRPr="005358D1" w:rsidR="00134AC1">
        <w:t>geëerbiedigd</w:t>
      </w:r>
      <w:r w:rsidRPr="005358D1" w:rsidR="00985C9C">
        <w:t xml:space="preserve">. </w:t>
      </w:r>
      <w:r w:rsidRPr="005358D1" w:rsidR="004A14C4">
        <w:br/>
      </w:r>
    </w:p>
    <w:p w:rsidRPr="005358D1" w:rsidR="0001263F" w:rsidP="00FC2BBE" w:rsidRDefault="0001263F" w14:paraId="31043A41" w14:textId="2358751D">
      <w:pPr>
        <w:spacing w:after="0"/>
      </w:pPr>
      <w:r w:rsidRPr="00FC2BBE">
        <w:rPr>
          <w:u w:val="single"/>
        </w:rPr>
        <w:t>Artikel XXI</w:t>
      </w:r>
    </w:p>
    <w:p w:rsidRPr="005358D1" w:rsidR="0001263F" w:rsidP="00FC2BBE" w:rsidRDefault="0001263F" w14:paraId="1F205D29" w14:textId="63C8DD4F">
      <w:pPr>
        <w:spacing w:after="0"/>
      </w:pPr>
      <w:r w:rsidRPr="005358D1">
        <w:t xml:space="preserve">Dit artikel </w:t>
      </w:r>
      <w:r w:rsidRPr="005358D1" w:rsidR="00F81D94">
        <w:t xml:space="preserve">regelt de schriftelijke kennisgeving van de voltooiing van de interne goedkeuringsprocedures vereist voor de inwerkingtreding van het Protocol. Het Protocol treedt in werking op de eerste dag van de vijfde maand volgend op de datum van ontvangst van de laatste kennisgeving. </w:t>
      </w:r>
      <w:r w:rsidRPr="005358D1" w:rsidR="000907A0">
        <w:t xml:space="preserve"> </w:t>
      </w:r>
    </w:p>
    <w:p w:rsidR="00FC2BBE" w:rsidP="00FC2BBE" w:rsidRDefault="00FC2BBE" w14:paraId="00D9ADA4" w14:textId="77777777">
      <w:pPr>
        <w:spacing w:after="0"/>
        <w:rPr>
          <w:b/>
        </w:rPr>
      </w:pPr>
    </w:p>
    <w:p w:rsidRPr="005358D1" w:rsidR="00FB15DB" w:rsidP="00FC2BBE" w:rsidRDefault="00FB15DB" w14:paraId="722FD9B7" w14:textId="26009ED2">
      <w:pPr>
        <w:spacing w:after="0"/>
        <w:rPr>
          <w:b/>
        </w:rPr>
      </w:pPr>
      <w:r w:rsidRPr="005358D1">
        <w:rPr>
          <w:b/>
        </w:rPr>
        <w:t>III. Koninkrijkspositie</w:t>
      </w:r>
    </w:p>
    <w:p w:rsidR="00FC2BBE" w:rsidP="00FC2BBE" w:rsidRDefault="00FC2BBE" w14:paraId="74D39317" w14:textId="77777777">
      <w:pPr>
        <w:spacing w:after="0"/>
      </w:pPr>
    </w:p>
    <w:p w:rsidR="00FB15DB" w:rsidP="00FC2BBE" w:rsidRDefault="00FB15DB" w14:paraId="38B0BEBB" w14:textId="20C2F2C6">
      <w:pPr>
        <w:spacing w:after="0"/>
      </w:pPr>
      <w:r>
        <w:t xml:space="preserve">Voor wat betreft het Koninkrijk der Nederlanden zal het Protocol, evenals het Verdrag en het Administratief Akkoord daarbij, alleen voor het Europese deel van Nederland gelden. </w:t>
      </w:r>
    </w:p>
    <w:p w:rsidR="00440056" w:rsidP="00FC2BBE" w:rsidRDefault="00440056" w14:paraId="71E851F2" w14:textId="789C9DB5">
      <w:pPr>
        <w:spacing w:after="0"/>
      </w:pPr>
    </w:p>
    <w:p w:rsidR="00440056" w:rsidP="00FC2BBE" w:rsidRDefault="00440056" w14:paraId="2B5B1F11" w14:textId="61C3A1D2">
      <w:pPr>
        <w:spacing w:after="0"/>
      </w:pPr>
    </w:p>
    <w:p w:rsidR="00440056" w:rsidP="00FC2BBE" w:rsidRDefault="00440056" w14:paraId="2923DC8B" w14:textId="0F970C20">
      <w:pPr>
        <w:spacing w:after="0"/>
      </w:pPr>
      <w:r>
        <w:t>De Minister van Sociale Zaken en Werkgelegenheid,</w:t>
      </w:r>
    </w:p>
    <w:p w:rsidR="00440056" w:rsidP="00FC2BBE" w:rsidRDefault="00440056" w14:paraId="30B8DBDA" w14:textId="3ED704D3">
      <w:pPr>
        <w:spacing w:after="0"/>
      </w:pPr>
    </w:p>
    <w:p w:rsidR="00440056" w:rsidP="00FC2BBE" w:rsidRDefault="00440056" w14:paraId="59E0E931" w14:textId="245EF523">
      <w:pPr>
        <w:spacing w:after="0"/>
      </w:pPr>
    </w:p>
    <w:p w:rsidR="00440056" w:rsidP="00FC2BBE" w:rsidRDefault="00440056" w14:paraId="69EF0E9D" w14:textId="13108124">
      <w:pPr>
        <w:spacing w:after="0"/>
      </w:pPr>
    </w:p>
    <w:p w:rsidR="00440056" w:rsidP="00FC2BBE" w:rsidRDefault="00440056" w14:paraId="50D579E7" w14:textId="28B27CDE">
      <w:pPr>
        <w:spacing w:after="0"/>
      </w:pPr>
    </w:p>
    <w:p w:rsidR="002164D9" w:rsidP="00FC2BBE" w:rsidRDefault="002164D9" w14:paraId="762D2471" w14:textId="77777777">
      <w:pPr>
        <w:spacing w:after="0"/>
      </w:pPr>
    </w:p>
    <w:p w:rsidRPr="00FB15DB" w:rsidR="00440056" w:rsidP="00FC2BBE" w:rsidRDefault="00440056" w14:paraId="626D2457" w14:textId="35E1A11B">
      <w:pPr>
        <w:spacing w:after="0"/>
      </w:pPr>
      <w:r>
        <w:t>De Minister van Buitenlandse Zaken,</w:t>
      </w:r>
    </w:p>
    <w:sectPr w:rsidRPr="00FB15DB" w:rsidR="00440056" w:rsidSect="002164D9">
      <w:footerReference w:type="default" r:id="rId8"/>
      <w:pgSz w:w="11906" w:h="16838"/>
      <w:pgMar w:top="1417" w:right="1417" w:bottom="567" w:left="1417"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FA6AAC" w14:textId="77777777" w:rsidR="00337366" w:rsidRDefault="00337366" w:rsidP="00DF76FE">
      <w:pPr>
        <w:spacing w:after="0" w:line="240" w:lineRule="auto"/>
      </w:pPr>
      <w:r>
        <w:separator/>
      </w:r>
    </w:p>
  </w:endnote>
  <w:endnote w:type="continuationSeparator" w:id="0">
    <w:p w14:paraId="1F1FAE92" w14:textId="77777777" w:rsidR="00337366" w:rsidRDefault="00337366" w:rsidP="00DF76F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84483630"/>
      <w:docPartObj>
        <w:docPartGallery w:val="Page Numbers (Bottom of Page)"/>
        <w:docPartUnique/>
      </w:docPartObj>
    </w:sdtPr>
    <w:sdtEndPr/>
    <w:sdtContent>
      <w:p w14:paraId="6D5412D2" w14:textId="01AF03DF" w:rsidR="002164D9" w:rsidRDefault="002164D9">
        <w:pPr>
          <w:pStyle w:val="Voettekst"/>
          <w:jc w:val="right"/>
        </w:pPr>
        <w:r>
          <w:fldChar w:fldCharType="begin"/>
        </w:r>
        <w:r>
          <w:instrText>PAGE   \* MERGEFORMAT</w:instrText>
        </w:r>
        <w:r>
          <w:fldChar w:fldCharType="separate"/>
        </w:r>
        <w:r>
          <w:t>2</w:t>
        </w:r>
        <w:r>
          <w:fldChar w:fldCharType="end"/>
        </w:r>
      </w:p>
    </w:sdtContent>
  </w:sdt>
  <w:p w14:paraId="7DADAEF9" w14:textId="77777777" w:rsidR="002164D9" w:rsidRDefault="002164D9">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51799D" w14:textId="77777777" w:rsidR="00337366" w:rsidRDefault="00337366" w:rsidP="00DF76FE">
      <w:pPr>
        <w:spacing w:after="0" w:line="240" w:lineRule="auto"/>
      </w:pPr>
      <w:r>
        <w:separator/>
      </w:r>
    </w:p>
  </w:footnote>
  <w:footnote w:type="continuationSeparator" w:id="0">
    <w:p w14:paraId="37959A25" w14:textId="77777777" w:rsidR="00337366" w:rsidRDefault="00337366" w:rsidP="00DF76FE">
      <w:pPr>
        <w:spacing w:after="0" w:line="240" w:lineRule="auto"/>
      </w:pPr>
      <w:r>
        <w:continuationSeparator/>
      </w:r>
    </w:p>
  </w:footnote>
  <w:footnote w:id="1">
    <w:p w14:paraId="123D5921" w14:textId="464AFB12" w:rsidR="00A76A73" w:rsidRPr="00A76A73" w:rsidRDefault="00A76A73">
      <w:pPr>
        <w:pStyle w:val="Voetnoottekst"/>
      </w:pPr>
      <w:r>
        <w:rPr>
          <w:rStyle w:val="Voetnootmarkering"/>
        </w:rPr>
        <w:footnoteRef/>
      </w:r>
      <w:r>
        <w:t xml:space="preserve"> Wet tot wijziging van enkele socialezekerheidswetten in verband met een andere vormgeving van de exportbeperking in de Algemene Kinderbijslagwet en het regelen van overgangsrecht voor de situatie van opzegging of wijziging van een verdrag dan wel een daarmee gelijk te stellen situatie (Stb. 2014, 238). </w:t>
      </w:r>
    </w:p>
  </w:footnote>
  <w:footnote w:id="2">
    <w:p w14:paraId="6C30AA11" w14:textId="77777777" w:rsidR="00FE6B74" w:rsidRPr="00DF76FE" w:rsidRDefault="00FE6B74" w:rsidP="00FE6B74">
      <w:pPr>
        <w:pStyle w:val="Voetnoottekst"/>
      </w:pPr>
      <w:r>
        <w:rPr>
          <w:rStyle w:val="Voetnootmarkering"/>
        </w:rPr>
        <w:footnoteRef/>
      </w:r>
      <w:r>
        <w:t xml:space="preserve"> </w:t>
      </w:r>
      <w:r w:rsidRPr="00DF76FE">
        <w:t>Het project voor de nieuwe wetgeving heeft als titel ‘’wetsvoorstel ter regeling van de bescherming en verwerking van persoonsgegevens en oprichting van het agentschap voor de bescherming van persoonsgegevens.’’</w:t>
      </w:r>
    </w:p>
    <w:p w14:paraId="21F930B5" w14:textId="77777777" w:rsidR="00FE6B74" w:rsidRDefault="00FE6B74" w:rsidP="00FE6B74">
      <w:pPr>
        <w:pStyle w:val="Voetnootteks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5733F4"/>
    <w:multiLevelType w:val="multilevel"/>
    <w:tmpl w:val="889E974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45951E43"/>
    <w:multiLevelType w:val="hybridMultilevel"/>
    <w:tmpl w:val="16808FB6"/>
    <w:lvl w:ilvl="0" w:tplc="04130001">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num w:numId="1" w16cid:durableId="43722886">
    <w:abstractNumId w:val="1"/>
  </w:num>
  <w:num w:numId="2" w16cid:durableId="7643004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6680"/>
    <w:rsid w:val="0001263F"/>
    <w:rsid w:val="00020B16"/>
    <w:rsid w:val="00024C6E"/>
    <w:rsid w:val="00045DF5"/>
    <w:rsid w:val="00055976"/>
    <w:rsid w:val="00076E77"/>
    <w:rsid w:val="000907A0"/>
    <w:rsid w:val="000921FF"/>
    <w:rsid w:val="0009787C"/>
    <w:rsid w:val="000B6BD2"/>
    <w:rsid w:val="000C42A0"/>
    <w:rsid w:val="00107AC7"/>
    <w:rsid w:val="00112C02"/>
    <w:rsid w:val="0012364A"/>
    <w:rsid w:val="00134AC1"/>
    <w:rsid w:val="00147711"/>
    <w:rsid w:val="001811DD"/>
    <w:rsid w:val="00183AC1"/>
    <w:rsid w:val="001B0946"/>
    <w:rsid w:val="001D31C7"/>
    <w:rsid w:val="002164D9"/>
    <w:rsid w:val="00236413"/>
    <w:rsid w:val="002366C7"/>
    <w:rsid w:val="002820F3"/>
    <w:rsid w:val="0028619A"/>
    <w:rsid w:val="002A31CC"/>
    <w:rsid w:val="002F2083"/>
    <w:rsid w:val="002F2721"/>
    <w:rsid w:val="00337366"/>
    <w:rsid w:val="00350214"/>
    <w:rsid w:val="00385567"/>
    <w:rsid w:val="00385FCD"/>
    <w:rsid w:val="003A6D02"/>
    <w:rsid w:val="003F6FF9"/>
    <w:rsid w:val="004151D9"/>
    <w:rsid w:val="00436028"/>
    <w:rsid w:val="004369C1"/>
    <w:rsid w:val="00437BED"/>
    <w:rsid w:val="00440056"/>
    <w:rsid w:val="004632AB"/>
    <w:rsid w:val="0048438E"/>
    <w:rsid w:val="00484A90"/>
    <w:rsid w:val="004A14C4"/>
    <w:rsid w:val="004D0034"/>
    <w:rsid w:val="004F5F34"/>
    <w:rsid w:val="00504C76"/>
    <w:rsid w:val="00507047"/>
    <w:rsid w:val="00507D9E"/>
    <w:rsid w:val="00512F14"/>
    <w:rsid w:val="005358D1"/>
    <w:rsid w:val="005644EC"/>
    <w:rsid w:val="00572198"/>
    <w:rsid w:val="00577131"/>
    <w:rsid w:val="005D3208"/>
    <w:rsid w:val="005E1F41"/>
    <w:rsid w:val="00604227"/>
    <w:rsid w:val="006161CF"/>
    <w:rsid w:val="0064079D"/>
    <w:rsid w:val="00667116"/>
    <w:rsid w:val="00674FC0"/>
    <w:rsid w:val="006879B4"/>
    <w:rsid w:val="006A2B95"/>
    <w:rsid w:val="006B4535"/>
    <w:rsid w:val="006F0BED"/>
    <w:rsid w:val="006F169B"/>
    <w:rsid w:val="00700929"/>
    <w:rsid w:val="007068A1"/>
    <w:rsid w:val="007524D5"/>
    <w:rsid w:val="00754AEF"/>
    <w:rsid w:val="007710A1"/>
    <w:rsid w:val="00785F8A"/>
    <w:rsid w:val="00793981"/>
    <w:rsid w:val="0079660B"/>
    <w:rsid w:val="007A0C0B"/>
    <w:rsid w:val="007A3E01"/>
    <w:rsid w:val="007D68F4"/>
    <w:rsid w:val="007E22F1"/>
    <w:rsid w:val="008046AA"/>
    <w:rsid w:val="00806D77"/>
    <w:rsid w:val="00833978"/>
    <w:rsid w:val="00873DB7"/>
    <w:rsid w:val="00875CFF"/>
    <w:rsid w:val="00877B74"/>
    <w:rsid w:val="008920D4"/>
    <w:rsid w:val="008A1D47"/>
    <w:rsid w:val="008B3B89"/>
    <w:rsid w:val="008F49D4"/>
    <w:rsid w:val="008F5DA4"/>
    <w:rsid w:val="00902EC5"/>
    <w:rsid w:val="009043D6"/>
    <w:rsid w:val="00941FBB"/>
    <w:rsid w:val="00956C69"/>
    <w:rsid w:val="009653F8"/>
    <w:rsid w:val="00985C9C"/>
    <w:rsid w:val="009937CC"/>
    <w:rsid w:val="009B092E"/>
    <w:rsid w:val="009E0447"/>
    <w:rsid w:val="00A068CE"/>
    <w:rsid w:val="00A11304"/>
    <w:rsid w:val="00A15316"/>
    <w:rsid w:val="00A6573C"/>
    <w:rsid w:val="00A76A73"/>
    <w:rsid w:val="00A845F0"/>
    <w:rsid w:val="00A874E2"/>
    <w:rsid w:val="00AC0166"/>
    <w:rsid w:val="00AD6CDE"/>
    <w:rsid w:val="00AD7E05"/>
    <w:rsid w:val="00AE4422"/>
    <w:rsid w:val="00B029BD"/>
    <w:rsid w:val="00B12EB0"/>
    <w:rsid w:val="00B253D3"/>
    <w:rsid w:val="00B376D4"/>
    <w:rsid w:val="00B379F5"/>
    <w:rsid w:val="00B46FB0"/>
    <w:rsid w:val="00B75811"/>
    <w:rsid w:val="00B81016"/>
    <w:rsid w:val="00B9165D"/>
    <w:rsid w:val="00BA6D9D"/>
    <w:rsid w:val="00BD2578"/>
    <w:rsid w:val="00BE381A"/>
    <w:rsid w:val="00BF0DF6"/>
    <w:rsid w:val="00C17962"/>
    <w:rsid w:val="00C23BF3"/>
    <w:rsid w:val="00C27DD0"/>
    <w:rsid w:val="00C30293"/>
    <w:rsid w:val="00C43C89"/>
    <w:rsid w:val="00C47536"/>
    <w:rsid w:val="00C529B0"/>
    <w:rsid w:val="00C6702B"/>
    <w:rsid w:val="00C6744C"/>
    <w:rsid w:val="00C777AE"/>
    <w:rsid w:val="00CD6A73"/>
    <w:rsid w:val="00CF497D"/>
    <w:rsid w:val="00D25842"/>
    <w:rsid w:val="00D87526"/>
    <w:rsid w:val="00DA0466"/>
    <w:rsid w:val="00DA0FC5"/>
    <w:rsid w:val="00DB4812"/>
    <w:rsid w:val="00DB5B7F"/>
    <w:rsid w:val="00DC33F6"/>
    <w:rsid w:val="00DD7A58"/>
    <w:rsid w:val="00DF6680"/>
    <w:rsid w:val="00DF76FE"/>
    <w:rsid w:val="00E312ED"/>
    <w:rsid w:val="00E52F1B"/>
    <w:rsid w:val="00E54F97"/>
    <w:rsid w:val="00E81491"/>
    <w:rsid w:val="00E91652"/>
    <w:rsid w:val="00EB2550"/>
    <w:rsid w:val="00EE47D3"/>
    <w:rsid w:val="00F0351C"/>
    <w:rsid w:val="00F13D91"/>
    <w:rsid w:val="00F14347"/>
    <w:rsid w:val="00F42A4F"/>
    <w:rsid w:val="00F56A6B"/>
    <w:rsid w:val="00F67E6B"/>
    <w:rsid w:val="00F81D94"/>
    <w:rsid w:val="00F837B3"/>
    <w:rsid w:val="00FB15DB"/>
    <w:rsid w:val="00FB4B1F"/>
    <w:rsid w:val="00FB50F9"/>
    <w:rsid w:val="00FC2BBE"/>
    <w:rsid w:val="00FE6B74"/>
    <w:rsid w:val="00FF33E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355EFB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Verwijzingopmerking">
    <w:name w:val="annotation reference"/>
    <w:basedOn w:val="Standaardalinea-lettertype"/>
    <w:uiPriority w:val="99"/>
    <w:semiHidden/>
    <w:unhideWhenUsed/>
    <w:rsid w:val="00754AEF"/>
    <w:rPr>
      <w:sz w:val="16"/>
      <w:szCs w:val="16"/>
    </w:rPr>
  </w:style>
  <w:style w:type="paragraph" w:styleId="Tekstopmerking">
    <w:name w:val="annotation text"/>
    <w:basedOn w:val="Standaard"/>
    <w:link w:val="TekstopmerkingChar"/>
    <w:uiPriority w:val="99"/>
    <w:unhideWhenUsed/>
    <w:rsid w:val="00754AEF"/>
    <w:pPr>
      <w:spacing w:line="240" w:lineRule="auto"/>
    </w:pPr>
    <w:rPr>
      <w:sz w:val="20"/>
      <w:szCs w:val="20"/>
    </w:rPr>
  </w:style>
  <w:style w:type="character" w:customStyle="1" w:styleId="TekstopmerkingChar">
    <w:name w:val="Tekst opmerking Char"/>
    <w:basedOn w:val="Standaardalinea-lettertype"/>
    <w:link w:val="Tekstopmerking"/>
    <w:uiPriority w:val="99"/>
    <w:rsid w:val="00754AEF"/>
    <w:rPr>
      <w:sz w:val="20"/>
      <w:szCs w:val="20"/>
    </w:rPr>
  </w:style>
  <w:style w:type="paragraph" w:styleId="Onderwerpvanopmerking">
    <w:name w:val="annotation subject"/>
    <w:basedOn w:val="Tekstopmerking"/>
    <w:next w:val="Tekstopmerking"/>
    <w:link w:val="OnderwerpvanopmerkingChar"/>
    <w:uiPriority w:val="99"/>
    <w:semiHidden/>
    <w:unhideWhenUsed/>
    <w:rsid w:val="00754AEF"/>
    <w:rPr>
      <w:b/>
      <w:bCs/>
    </w:rPr>
  </w:style>
  <w:style w:type="character" w:customStyle="1" w:styleId="OnderwerpvanopmerkingChar">
    <w:name w:val="Onderwerp van opmerking Char"/>
    <w:basedOn w:val="TekstopmerkingChar"/>
    <w:link w:val="Onderwerpvanopmerking"/>
    <w:uiPriority w:val="99"/>
    <w:semiHidden/>
    <w:rsid w:val="00754AEF"/>
    <w:rPr>
      <w:b/>
      <w:bCs/>
      <w:sz w:val="20"/>
      <w:szCs w:val="20"/>
    </w:rPr>
  </w:style>
  <w:style w:type="paragraph" w:styleId="Ballontekst">
    <w:name w:val="Balloon Text"/>
    <w:basedOn w:val="Standaard"/>
    <w:link w:val="BallontekstChar"/>
    <w:uiPriority w:val="99"/>
    <w:semiHidden/>
    <w:unhideWhenUsed/>
    <w:rsid w:val="00754AEF"/>
    <w:pPr>
      <w:spacing w:after="0"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754AEF"/>
    <w:rPr>
      <w:rFonts w:ascii="Segoe UI" w:hAnsi="Segoe UI" w:cs="Segoe UI"/>
      <w:sz w:val="18"/>
      <w:szCs w:val="18"/>
    </w:rPr>
  </w:style>
  <w:style w:type="paragraph" w:styleId="Revisie">
    <w:name w:val="Revision"/>
    <w:hidden/>
    <w:uiPriority w:val="99"/>
    <w:semiHidden/>
    <w:rsid w:val="00484A90"/>
    <w:pPr>
      <w:spacing w:after="0" w:line="240" w:lineRule="auto"/>
    </w:pPr>
  </w:style>
  <w:style w:type="paragraph" w:styleId="Voetnoottekst">
    <w:name w:val="footnote text"/>
    <w:basedOn w:val="Standaard"/>
    <w:link w:val="VoetnoottekstChar"/>
    <w:uiPriority w:val="99"/>
    <w:semiHidden/>
    <w:unhideWhenUsed/>
    <w:rsid w:val="00DF76FE"/>
    <w:pPr>
      <w:spacing w:after="0" w:line="240" w:lineRule="auto"/>
    </w:pPr>
    <w:rPr>
      <w:sz w:val="20"/>
      <w:szCs w:val="20"/>
    </w:rPr>
  </w:style>
  <w:style w:type="character" w:customStyle="1" w:styleId="VoetnoottekstChar">
    <w:name w:val="Voetnoottekst Char"/>
    <w:basedOn w:val="Standaardalinea-lettertype"/>
    <w:link w:val="Voetnoottekst"/>
    <w:uiPriority w:val="99"/>
    <w:semiHidden/>
    <w:rsid w:val="00DF76FE"/>
    <w:rPr>
      <w:sz w:val="20"/>
      <w:szCs w:val="20"/>
    </w:rPr>
  </w:style>
  <w:style w:type="character" w:styleId="Voetnootmarkering">
    <w:name w:val="footnote reference"/>
    <w:basedOn w:val="Standaardalinea-lettertype"/>
    <w:uiPriority w:val="99"/>
    <w:semiHidden/>
    <w:unhideWhenUsed/>
    <w:rsid w:val="00DF76FE"/>
    <w:rPr>
      <w:vertAlign w:val="superscript"/>
    </w:rPr>
  </w:style>
  <w:style w:type="paragraph" w:styleId="Lijstalinea">
    <w:name w:val="List Paragraph"/>
    <w:basedOn w:val="Standaard"/>
    <w:uiPriority w:val="34"/>
    <w:qFormat/>
    <w:rsid w:val="00DF76FE"/>
    <w:pPr>
      <w:ind w:left="720"/>
      <w:contextualSpacing/>
    </w:pPr>
  </w:style>
  <w:style w:type="paragraph" w:styleId="Koptekst">
    <w:name w:val="header"/>
    <w:basedOn w:val="Standaard"/>
    <w:link w:val="KoptekstChar"/>
    <w:uiPriority w:val="99"/>
    <w:unhideWhenUsed/>
    <w:rsid w:val="002164D9"/>
    <w:pPr>
      <w:tabs>
        <w:tab w:val="center" w:pos="4513"/>
        <w:tab w:val="right" w:pos="9026"/>
      </w:tabs>
      <w:spacing w:after="0" w:line="240" w:lineRule="auto"/>
    </w:pPr>
  </w:style>
  <w:style w:type="character" w:customStyle="1" w:styleId="KoptekstChar">
    <w:name w:val="Koptekst Char"/>
    <w:basedOn w:val="Standaardalinea-lettertype"/>
    <w:link w:val="Koptekst"/>
    <w:uiPriority w:val="99"/>
    <w:rsid w:val="002164D9"/>
  </w:style>
  <w:style w:type="paragraph" w:styleId="Voettekst">
    <w:name w:val="footer"/>
    <w:basedOn w:val="Standaard"/>
    <w:link w:val="VoettekstChar"/>
    <w:uiPriority w:val="99"/>
    <w:unhideWhenUsed/>
    <w:rsid w:val="002164D9"/>
    <w:pPr>
      <w:tabs>
        <w:tab w:val="center" w:pos="4513"/>
        <w:tab w:val="right" w:pos="9026"/>
      </w:tabs>
      <w:spacing w:after="0" w:line="240" w:lineRule="auto"/>
    </w:pPr>
  </w:style>
  <w:style w:type="character" w:customStyle="1" w:styleId="VoettekstChar">
    <w:name w:val="Voettekst Char"/>
    <w:basedOn w:val="Standaardalinea-lettertype"/>
    <w:link w:val="Voettekst"/>
    <w:uiPriority w:val="99"/>
    <w:rsid w:val="002164D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66153317">
      <w:bodyDiv w:val="1"/>
      <w:marLeft w:val="0"/>
      <w:marRight w:val="0"/>
      <w:marTop w:val="0"/>
      <w:marBottom w:val="0"/>
      <w:divBdr>
        <w:top w:val="none" w:sz="0" w:space="0" w:color="auto"/>
        <w:left w:val="none" w:sz="0" w:space="0" w:color="auto"/>
        <w:bottom w:val="none" w:sz="0" w:space="0" w:color="auto"/>
        <w:right w:val="none" w:sz="0" w:space="0" w:color="auto"/>
      </w:divBdr>
    </w:div>
    <w:div w:id="21324772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footer" Target="footer1.xml" Id="rId8"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webSettings" Target="webSettings.xml" Id="rId5" /><Relationship Type="http://schemas.openxmlformats.org/officeDocument/2006/relationships/theme" Target="theme/theme1.xml" Id="rId10" /><Relationship Type="http://schemas.openxmlformats.org/officeDocument/2006/relationships/settings" Target="settings.xml" Id="rId4" /><Relationship Type="http://schemas.openxmlformats.org/officeDocument/2006/relationships/fontTable" Target="fontTable.xml" Id="rId9"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4</ap:Pages>
  <ap:Words>1655</ap:Words>
  <ap:Characters>9105</ap:Characters>
  <ap:DocSecurity>0</ap:DocSecurity>
  <ap:Lines>75</ap:Lines>
  <ap:Paragraphs>21</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10739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2024-06-04T14:52:00.0000000Z</dcterms:created>
  <dcterms:modified xsi:type="dcterms:W3CDTF">2024-06-04T14:52:00.0000000Z</dcterms:modified>
  <version/>
  <category/>
</coreProperties>
</file>