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6FD" w:rsidP="000036FD" w:rsidRDefault="000036FD" w14:paraId="2F2F43EA" w14:textId="7A9AC4B9">
      <w:pPr>
        <w:rPr>
          <w:b/>
          <w:bCs/>
        </w:rPr>
      </w:pPr>
      <w:r w:rsidRPr="000F464F">
        <w:rPr>
          <w:b/>
          <w:bCs/>
        </w:rPr>
        <w:t>Wijzigingen van artikel 25</w:t>
      </w:r>
      <w:r w:rsidRPr="0072326D">
        <w:rPr>
          <w:b/>
          <w:bCs/>
          <w:i/>
          <w:iCs/>
        </w:rPr>
        <w:t>bis</w:t>
      </w:r>
      <w:r w:rsidRPr="000F464F" w:rsidR="00072CE2">
        <w:rPr>
          <w:b/>
          <w:bCs/>
        </w:rPr>
        <w:t xml:space="preserve">, </w:t>
      </w:r>
      <w:r w:rsidRPr="000F464F">
        <w:rPr>
          <w:b/>
          <w:bCs/>
        </w:rPr>
        <w:t>artikel 32</w:t>
      </w:r>
      <w:r w:rsidRPr="000F464F" w:rsidR="00072CE2">
        <w:rPr>
          <w:b/>
          <w:bCs/>
        </w:rPr>
        <w:t>,</w:t>
      </w:r>
      <w:r w:rsidRPr="000F464F">
        <w:rPr>
          <w:b/>
          <w:bCs/>
        </w:rPr>
        <w:t xml:space="preserve"> </w:t>
      </w:r>
      <w:r w:rsidR="005451DC">
        <w:rPr>
          <w:b/>
          <w:bCs/>
        </w:rPr>
        <w:t>B</w:t>
      </w:r>
      <w:r w:rsidRPr="000F464F">
        <w:rPr>
          <w:b/>
          <w:bCs/>
        </w:rPr>
        <w:t xml:space="preserve">ijlage 1 en </w:t>
      </w:r>
      <w:r w:rsidR="005451DC">
        <w:rPr>
          <w:b/>
          <w:bCs/>
        </w:rPr>
        <w:t>B</w:t>
      </w:r>
      <w:r w:rsidRPr="000F464F">
        <w:rPr>
          <w:b/>
          <w:bCs/>
        </w:rPr>
        <w:t xml:space="preserve">ijlage 5 </w:t>
      </w:r>
      <w:r w:rsidR="00863797">
        <w:rPr>
          <w:b/>
          <w:bCs/>
        </w:rPr>
        <w:t xml:space="preserve">bij </w:t>
      </w:r>
      <w:r w:rsidRPr="000F464F">
        <w:rPr>
          <w:b/>
          <w:bCs/>
        </w:rPr>
        <w:t>het Verdrag inzake het wegverkeer</w:t>
      </w:r>
      <w:r w:rsidR="00CB2081">
        <w:rPr>
          <w:b/>
          <w:bCs/>
        </w:rPr>
        <w:t xml:space="preserve"> 1968</w:t>
      </w:r>
      <w:r w:rsidRPr="000F464F">
        <w:rPr>
          <w:b/>
          <w:bCs/>
        </w:rPr>
        <w:t>; Genève, 9 augustus 2023 (</w:t>
      </w:r>
      <w:r w:rsidRPr="00BC40E6">
        <w:rPr>
          <w:b/>
          <w:bCs/>
          <w:i/>
          <w:iCs/>
        </w:rPr>
        <w:t>Trb.</w:t>
      </w:r>
      <w:r w:rsidRPr="000F464F">
        <w:rPr>
          <w:b/>
          <w:bCs/>
        </w:rPr>
        <w:t xml:space="preserve"> 2023,</w:t>
      </w:r>
      <w:r w:rsidR="00C2717E">
        <w:rPr>
          <w:b/>
          <w:bCs/>
        </w:rPr>
        <w:t xml:space="preserve"> 139</w:t>
      </w:r>
      <w:r w:rsidRPr="000F464F">
        <w:rPr>
          <w:b/>
          <w:bCs/>
        </w:rPr>
        <w:t>)</w:t>
      </w:r>
    </w:p>
    <w:p w:rsidRPr="000F464F" w:rsidR="000F464F" w:rsidP="000036FD" w:rsidRDefault="000F464F" w14:paraId="2727156A" w14:textId="04FFB842">
      <w:pPr>
        <w:rPr>
          <w:b/>
          <w:bCs/>
        </w:rPr>
      </w:pPr>
      <w:r>
        <w:rPr>
          <w:b/>
          <w:bCs/>
        </w:rPr>
        <w:t>Toelichtende nota</w:t>
      </w:r>
    </w:p>
    <w:p w:rsidRPr="000F464F" w:rsidR="000036FD" w:rsidP="000036FD" w:rsidRDefault="000036FD" w14:paraId="235B727E" w14:textId="7640CE17">
      <w:pPr>
        <w:rPr>
          <w:u w:val="single"/>
        </w:rPr>
      </w:pPr>
      <w:r w:rsidRPr="000F464F">
        <w:rPr>
          <w:u w:val="single"/>
        </w:rPr>
        <w:t>1.</w:t>
      </w:r>
      <w:r w:rsidRPr="000F464F">
        <w:rPr>
          <w:u w:val="single"/>
        </w:rPr>
        <w:tab/>
        <w:t xml:space="preserve">Inleiding  </w:t>
      </w:r>
    </w:p>
    <w:p w:rsidR="000036FD" w:rsidP="000036FD" w:rsidRDefault="000036FD" w14:paraId="06441535" w14:textId="24001F10">
      <w:r>
        <w:t xml:space="preserve">Op 8 november 1968 is in Wenen het Verdrag inzake het wegverkeer, met </w:t>
      </w:r>
      <w:r w:rsidR="00DC00D2">
        <w:t>B</w:t>
      </w:r>
      <w:r>
        <w:t>ijlagen, tot stand gekomen (</w:t>
      </w:r>
      <w:r w:rsidRPr="00DC00D2">
        <w:rPr>
          <w:i/>
          <w:iCs/>
        </w:rPr>
        <w:t xml:space="preserve">Trb. </w:t>
      </w:r>
      <w:r>
        <w:t xml:space="preserve">1974, 35) (hierna: het </w:t>
      </w:r>
      <w:r w:rsidR="00DC00D2">
        <w:t>V</w:t>
      </w:r>
      <w:r>
        <w:t xml:space="preserve">erdrag). Het </w:t>
      </w:r>
      <w:r w:rsidR="00DC00D2">
        <w:t>V</w:t>
      </w:r>
      <w:r>
        <w:t>erdrag is op 8 november 2008 voor het Europese deel van Nederland in werking getreden (</w:t>
      </w:r>
      <w:r w:rsidRPr="00DC00D2">
        <w:rPr>
          <w:i/>
          <w:iCs/>
        </w:rPr>
        <w:t xml:space="preserve">Trb. </w:t>
      </w:r>
      <w:r>
        <w:t xml:space="preserve">2008, 76). Het </w:t>
      </w:r>
      <w:r w:rsidR="00DC00D2">
        <w:t>V</w:t>
      </w:r>
      <w:r>
        <w:t xml:space="preserve">erdrag en de </w:t>
      </w:r>
      <w:r w:rsidR="00DC00D2">
        <w:t>B</w:t>
      </w:r>
      <w:r>
        <w:t>ijlagen zijn gewijzigd op 3 maart 1992 (</w:t>
      </w:r>
      <w:r w:rsidRPr="00DC00D2">
        <w:rPr>
          <w:i/>
          <w:iCs/>
        </w:rPr>
        <w:t xml:space="preserve">Trb. </w:t>
      </w:r>
      <w:r>
        <w:t>1997, 25), 28 september 2004 (</w:t>
      </w:r>
      <w:r w:rsidRPr="00DC00D2">
        <w:rPr>
          <w:i/>
          <w:iCs/>
        </w:rPr>
        <w:t>Trb.</w:t>
      </w:r>
      <w:r>
        <w:t xml:space="preserve"> 2005, 256), 23 september 2014 (</w:t>
      </w:r>
      <w:r w:rsidRPr="00DC00D2">
        <w:rPr>
          <w:i/>
          <w:iCs/>
        </w:rPr>
        <w:t>Trb.</w:t>
      </w:r>
      <w:r>
        <w:t xml:space="preserve"> 2016, 33), 19 maart 2015 (</w:t>
      </w:r>
      <w:r w:rsidRPr="00DC00D2">
        <w:rPr>
          <w:i/>
          <w:iCs/>
        </w:rPr>
        <w:t>Trb.</w:t>
      </w:r>
      <w:r>
        <w:t xml:space="preserve"> 2016, 150) en 14 januari 2021 (</w:t>
      </w:r>
      <w:r w:rsidRPr="00DC00D2">
        <w:rPr>
          <w:i/>
          <w:iCs/>
        </w:rPr>
        <w:t>Trb.</w:t>
      </w:r>
      <w:r>
        <w:t xml:space="preserve"> 2021, 56). </w:t>
      </w:r>
    </w:p>
    <w:p w:rsidR="008E329F" w:rsidP="000036FD" w:rsidRDefault="008E329F" w14:paraId="55991C5A" w14:textId="2500033F">
      <w:r>
        <w:t xml:space="preserve">Het Verdrag verving het op 19 september 1949 gesloten </w:t>
      </w:r>
      <w:r w:rsidRPr="00067CEC">
        <w:t>Verdrag nopens het wegverkeer</w:t>
      </w:r>
      <w:r>
        <w:t xml:space="preserve"> </w:t>
      </w:r>
      <w:r w:rsidRPr="0043055D">
        <w:t>(</w:t>
      </w:r>
      <w:r w:rsidRPr="00673EDE">
        <w:rPr>
          <w:i/>
          <w:iCs/>
        </w:rPr>
        <w:t>Trb.</w:t>
      </w:r>
      <w:r>
        <w:t xml:space="preserve"> 1951, 81) voor </w:t>
      </w:r>
      <w:r w:rsidR="00FB21DD">
        <w:t xml:space="preserve">het Europese deel van </w:t>
      </w:r>
      <w:r>
        <w:t>Nederland. Het Verdrag van 1949 is op 8 juni 1957 voor de toenmalige  Nederlandse Antillen in werking getreden (</w:t>
      </w:r>
      <w:r w:rsidRPr="00673EDE">
        <w:rPr>
          <w:i/>
          <w:iCs/>
        </w:rPr>
        <w:t>Trb.</w:t>
      </w:r>
      <w:r>
        <w:t xml:space="preserve"> 1957, 220) en geldt nog steeds voor het Caribische deel van Nederland (de eilanden Bonaire, Sint Eustatius en Saba), Aruba, Curaçao en Sint Maarten. De regering van de Nederlandse Antillen</w:t>
      </w:r>
      <w:r w:rsidR="00C84372">
        <w:t xml:space="preserve"> en de regering van Aruba </w:t>
      </w:r>
      <w:r w:rsidR="007058B3">
        <w:t xml:space="preserve">hebben </w:t>
      </w:r>
      <w:r w:rsidR="00C84372">
        <w:t xml:space="preserve">bij de goedkeuring voor het Europese deel van Nederland laten weten </w:t>
      </w:r>
      <w:r>
        <w:t>geen mede</w:t>
      </w:r>
      <w:r w:rsidR="00C84372">
        <w:t>gelding v</w:t>
      </w:r>
      <w:r>
        <w:t>an het Verdrag te wensen.</w:t>
      </w:r>
    </w:p>
    <w:p w:rsidR="000036FD" w:rsidP="000036FD" w:rsidRDefault="000036FD" w14:paraId="5DBAA43C" w14:textId="01EA7B03">
      <w:r>
        <w:t xml:space="preserve">Het </w:t>
      </w:r>
      <w:r w:rsidR="00DC00D2">
        <w:t>V</w:t>
      </w:r>
      <w:r>
        <w:t xml:space="preserve">erdrag heeft ten doel het internationale wegverkeer te vergemakkelijken en de verkeersveiligheid te verhogen door het aannemen van eenvormige verkeersregels. Het </w:t>
      </w:r>
      <w:r w:rsidR="00DC00D2">
        <w:t>V</w:t>
      </w:r>
      <w:r>
        <w:t xml:space="preserve">erdrag bevat afspraken over onder andere de verkeersregels, de wederzijdse toelating door </w:t>
      </w:r>
      <w:r w:rsidR="00B81346">
        <w:t>v</w:t>
      </w:r>
      <w:r w:rsidR="00D635F4">
        <w:t xml:space="preserve">erdragsluitende </w:t>
      </w:r>
      <w:r w:rsidR="00B81346">
        <w:t>p</w:t>
      </w:r>
      <w:r>
        <w:t xml:space="preserve">artijen van voertuigen uit andere verdragsstaten en het (inter)nationaal rijbewijs. </w:t>
      </w:r>
      <w:r w:rsidRPr="00FB0A19" w:rsidR="007D2DEA">
        <w:t>Daarnaast is het Verdrag belangrijk voor het stellen van kaders voor de technologische ontwikkelingen op het gebied van voertuigen. Het Verdrag geeft het kader voor de wetgever om verdere invulling te kunnen geven aan de ontwikkeling van voertuigen. Het Verdrag en de wijzigingen zorgen voor een kader dat past bij deze ontwikkeling. Dit wordt vervolgens meegenomen en uitgewerkt in Europese en nationale wet- en regelgeving.</w:t>
      </w:r>
    </w:p>
    <w:p w:rsidRPr="000F464F" w:rsidR="000036FD" w:rsidP="000036FD" w:rsidRDefault="000036FD" w14:paraId="71E4781F" w14:textId="5D078B5C">
      <w:pPr>
        <w:rPr>
          <w:u w:val="single"/>
        </w:rPr>
      </w:pPr>
      <w:r w:rsidRPr="000F464F">
        <w:rPr>
          <w:u w:val="single"/>
        </w:rPr>
        <w:t>2.</w:t>
      </w:r>
      <w:r w:rsidRPr="000F464F">
        <w:rPr>
          <w:u w:val="single"/>
        </w:rPr>
        <w:tab/>
        <w:t xml:space="preserve">De </w:t>
      </w:r>
      <w:r w:rsidRPr="000F464F" w:rsidR="00072CE2">
        <w:rPr>
          <w:u w:val="single"/>
        </w:rPr>
        <w:t>w</w:t>
      </w:r>
      <w:r w:rsidRPr="000F464F">
        <w:rPr>
          <w:u w:val="single"/>
        </w:rPr>
        <w:t xml:space="preserve">ijzigingen </w:t>
      </w:r>
    </w:p>
    <w:p w:rsidR="000036FD" w:rsidP="000036FD" w:rsidRDefault="000036FD" w14:paraId="2DD22911" w14:textId="3B9CE300">
      <w:r>
        <w:t xml:space="preserve">De wijzigingen van 9 augustus 2023 van het </w:t>
      </w:r>
      <w:r w:rsidR="00D00BAB">
        <w:t>V</w:t>
      </w:r>
      <w:r>
        <w:t>erdrag zijn voorbereid door de bevoegde UNECE Working Party 1 (hierna: WP.1), ook wel het ‘</w:t>
      </w:r>
      <w:r w:rsidRPr="000F464F">
        <w:rPr>
          <w:i/>
          <w:iCs/>
        </w:rPr>
        <w:t>Global Forum for Road Traffic Safety</w:t>
      </w:r>
      <w:r>
        <w:t>’. WP.1 is in 1950 opgericht als ad</w:t>
      </w:r>
      <w:r w:rsidR="00217A59">
        <w:t xml:space="preserve"> </w:t>
      </w:r>
      <w:r>
        <w:t>hoc werkgroep voor het voorkomen van verkeersongevallen.</w:t>
      </w:r>
      <w:r w:rsidR="00072CE2">
        <w:rPr>
          <w:rStyle w:val="Voetnootmarkering"/>
        </w:rPr>
        <w:footnoteReference w:id="1"/>
      </w:r>
      <w:r>
        <w:t xml:space="preserve"> In 1988 is WP.1 als intergouvernementeel orgaan </w:t>
      </w:r>
      <w:r w:rsidR="000B0C71">
        <w:t xml:space="preserve">onder </w:t>
      </w:r>
      <w:r w:rsidR="008F068B">
        <w:t>de Economische Commissie voor Europa van de Verenigde Naties (</w:t>
      </w:r>
      <w:r w:rsidR="000B0C71">
        <w:t>UNECE</w:t>
      </w:r>
      <w:r w:rsidR="008F068B">
        <w:t>)</w:t>
      </w:r>
      <w:r w:rsidR="000B0C71">
        <w:t xml:space="preserve"> </w:t>
      </w:r>
      <w:r>
        <w:t>opgericht. UN</w:t>
      </w:r>
      <w:r w:rsidR="00FC28C9">
        <w:t>E</w:t>
      </w:r>
      <w:r>
        <w:t xml:space="preserve">CE is een regionale organisatie van de Verenigde Naties en heeft als doel om duurzame economische groei te bevorderen in haar lidstaten. WP.1 richt zich op verbetering van de verkeersveiligheid in internationaal verkeer. Daarbij worden drie aspecten in hun onderlinge samenhang steeds meegenomen: het voertuig, het gedrag van de verkeersdeelnemers en de verkeersomgeving. Het </w:t>
      </w:r>
      <w:r w:rsidR="000E0EA3">
        <w:t>V</w:t>
      </w:r>
      <w:r>
        <w:t>erdrag is een voorbeeld van een juridisch instrument van UNECE d</w:t>
      </w:r>
      <w:r w:rsidR="00B81346">
        <w:t>at</w:t>
      </w:r>
      <w:r>
        <w:t xml:space="preserve"> daar invulling aan geeft. Alle </w:t>
      </w:r>
      <w:r w:rsidR="00B81346">
        <w:t>v</w:t>
      </w:r>
      <w:r>
        <w:t xml:space="preserve">erdragsluitende </w:t>
      </w:r>
      <w:r w:rsidR="00B81346">
        <w:t>p</w:t>
      </w:r>
      <w:r>
        <w:t xml:space="preserve">artijen hebben hierin zitting. Zij kunnen beslissen over voorgestelde wijzigingen om het </w:t>
      </w:r>
      <w:r w:rsidR="00DC00D2">
        <w:t>V</w:t>
      </w:r>
      <w:r>
        <w:t>erdrag actueel te houden. In WP.1 nemen daarnaast vertegenwoordigers van autofabrikanten, toeleveranciers en belangengroeperingen deel, maar deze hebben geen formeel stemrecht.</w:t>
      </w:r>
    </w:p>
    <w:p w:rsidR="000036FD" w:rsidP="00A35753" w:rsidRDefault="000036FD" w14:paraId="727E4B63" w14:textId="3DF10EA6">
      <w:r>
        <w:t>De regering van Italië heeft tijdens de 86</w:t>
      </w:r>
      <w:r w:rsidRPr="000F464F">
        <w:rPr>
          <w:vertAlign w:val="superscript"/>
        </w:rPr>
        <w:t>e</w:t>
      </w:r>
      <w:r>
        <w:t xml:space="preserve"> zitting van WP.1 gehouden in Genève van 13 tot en met 17 maart 2023 in overeenstemming met artikel 49, eerste lid, van het </w:t>
      </w:r>
      <w:r w:rsidR="00DC00D2">
        <w:t>V</w:t>
      </w:r>
      <w:r>
        <w:t>erdrag wijziging</w:t>
      </w:r>
      <w:r w:rsidR="00385A1A">
        <w:t>en</w:t>
      </w:r>
      <w:r>
        <w:t xml:space="preserve"> van artikel 25</w:t>
      </w:r>
      <w:r w:rsidRPr="0072326D">
        <w:rPr>
          <w:i/>
          <w:iCs/>
        </w:rPr>
        <w:t>bis</w:t>
      </w:r>
      <w:r>
        <w:t xml:space="preserve">, artikel 32, </w:t>
      </w:r>
      <w:r w:rsidR="00DC00D2">
        <w:t>B</w:t>
      </w:r>
      <w:r>
        <w:t xml:space="preserve">ijlage 1 en </w:t>
      </w:r>
      <w:r w:rsidR="00DC00D2">
        <w:t>B</w:t>
      </w:r>
      <w:r>
        <w:t xml:space="preserve">ijlage 5 </w:t>
      </w:r>
      <w:r w:rsidR="0091244C">
        <w:t xml:space="preserve">bij </w:t>
      </w:r>
      <w:r>
        <w:t xml:space="preserve">het </w:t>
      </w:r>
      <w:r w:rsidR="00DC00D2">
        <w:t>V</w:t>
      </w:r>
      <w:r>
        <w:t>erdrag voorgesteld.</w:t>
      </w:r>
      <w:r w:rsidR="00022B4D">
        <w:rPr>
          <w:rStyle w:val="Voetnootmarkering"/>
        </w:rPr>
        <w:footnoteReference w:id="2"/>
      </w:r>
      <w:r>
        <w:t xml:space="preserve"> De Secretaris-Generaal van de Verenigde Naties heeft deze wijziging</w:t>
      </w:r>
      <w:r w:rsidR="00FF4A1E">
        <w:t>en</w:t>
      </w:r>
      <w:r>
        <w:t xml:space="preserve"> op 9 augustus 2023 ter kennis gebracht van alle </w:t>
      </w:r>
      <w:r w:rsidR="00B81346">
        <w:t>v</w:t>
      </w:r>
      <w:r>
        <w:t xml:space="preserve">erdragsluitende </w:t>
      </w:r>
      <w:r w:rsidR="00B81346">
        <w:t>p</w:t>
      </w:r>
      <w:r>
        <w:t>artijen. De wijziging</w:t>
      </w:r>
      <w:r w:rsidR="00385A1A">
        <w:t>en</w:t>
      </w:r>
      <w:r>
        <w:t xml:space="preserve"> z</w:t>
      </w:r>
      <w:r w:rsidR="00385A1A">
        <w:t>ullen</w:t>
      </w:r>
      <w:r>
        <w:t xml:space="preserve"> ingevolge artikel 49, tweede lid, van het </w:t>
      </w:r>
      <w:r w:rsidR="00DC00D2">
        <w:t>V</w:t>
      </w:r>
      <w:r>
        <w:t>erdrag in werking treden op 9 februari 202</w:t>
      </w:r>
      <w:r w:rsidR="008461CD">
        <w:t>5</w:t>
      </w:r>
      <w:r>
        <w:t xml:space="preserve">, tenzij meer dan een derde van de </w:t>
      </w:r>
      <w:r w:rsidR="003F6A80">
        <w:t>v</w:t>
      </w:r>
      <w:r>
        <w:t xml:space="preserve">erdragsluitende </w:t>
      </w:r>
      <w:r w:rsidR="003F6A80">
        <w:t>p</w:t>
      </w:r>
      <w:r>
        <w:t xml:space="preserve">artijen voor </w:t>
      </w:r>
      <w:r>
        <w:lastRenderedPageBreak/>
        <w:t>9 augustus 202</w:t>
      </w:r>
      <w:r w:rsidR="00385A1A">
        <w:t>4</w:t>
      </w:r>
      <w:r>
        <w:t xml:space="preserve"> de Secretaris-Generaal van de Verenigde Naties hebben medegedeeld dat zij de wijziging</w:t>
      </w:r>
      <w:r w:rsidR="00385A1A">
        <w:t>en</w:t>
      </w:r>
      <w:r>
        <w:t xml:space="preserve"> verwerpen</w:t>
      </w:r>
      <w:r w:rsidR="00E36725">
        <w:t>, dan wel</w:t>
      </w:r>
      <w:r>
        <w:t xml:space="preserve"> dat zij wensen dat een conferentie wordt bijeengeroepen ter bestudering van de wijziging</w:t>
      </w:r>
      <w:r w:rsidR="00385A1A">
        <w:t>en</w:t>
      </w:r>
      <w:r>
        <w:t>. De wijziging</w:t>
      </w:r>
      <w:r w:rsidR="00385A1A">
        <w:t>en</w:t>
      </w:r>
      <w:r>
        <w:t xml:space="preserve"> z</w:t>
      </w:r>
      <w:r w:rsidR="00385A1A">
        <w:t>ullen</w:t>
      </w:r>
      <w:r>
        <w:t xml:space="preserve"> niet gelden voor de </w:t>
      </w:r>
      <w:r w:rsidR="003F6A80">
        <w:t>v</w:t>
      </w:r>
      <w:r>
        <w:t>erdragsluitende</w:t>
      </w:r>
      <w:r w:rsidR="003F6A80">
        <w:t xml:space="preserve"> p</w:t>
      </w:r>
      <w:r>
        <w:t>artijen die de wijziging</w:t>
      </w:r>
      <w:r w:rsidR="00385A1A">
        <w:t>en</w:t>
      </w:r>
      <w:r>
        <w:t xml:space="preserve"> hebben verworpen of een conferentie wensten. De voorgestelde wijziging</w:t>
      </w:r>
      <w:r w:rsidR="00385A1A">
        <w:t>en</w:t>
      </w:r>
      <w:r>
        <w:t xml:space="preserve"> </w:t>
      </w:r>
      <w:r w:rsidR="00FF4A1E">
        <w:t>in artikel 25</w:t>
      </w:r>
      <w:r w:rsidRPr="0072326D" w:rsidR="00FF4A1E">
        <w:rPr>
          <w:i/>
          <w:iCs/>
        </w:rPr>
        <w:t>bis</w:t>
      </w:r>
      <w:r w:rsidR="00FF4A1E">
        <w:t xml:space="preserve"> en artikel 32 </w:t>
      </w:r>
      <w:r w:rsidR="00ED791E">
        <w:t xml:space="preserve">van het Verdrag </w:t>
      </w:r>
      <w:r>
        <w:t>word</w:t>
      </w:r>
      <w:r w:rsidR="00385A1A">
        <w:t>en</w:t>
      </w:r>
      <w:r>
        <w:t xml:space="preserve"> ter parlementaire goedkeuring voorgelegd.</w:t>
      </w:r>
      <w:r w:rsidRPr="00FF4A1E" w:rsidR="00FF4A1E">
        <w:t xml:space="preserve"> </w:t>
      </w:r>
      <w:r w:rsidR="00F65C79">
        <w:t xml:space="preserve">Om de relatie van de wijzigingen van de tekst van het </w:t>
      </w:r>
      <w:r w:rsidR="00DC00D2">
        <w:t>V</w:t>
      </w:r>
      <w:r w:rsidR="00F65C79">
        <w:t xml:space="preserve">erdrag en de wijzigingen van </w:t>
      </w:r>
      <w:r w:rsidR="00DC00D2">
        <w:t>B</w:t>
      </w:r>
      <w:r w:rsidR="00F65C79">
        <w:t>ijlage</w:t>
      </w:r>
      <w:r w:rsidR="00DC00D2">
        <w:t xml:space="preserve"> </w:t>
      </w:r>
      <w:r w:rsidR="000F464F">
        <w:t xml:space="preserve">1 en </w:t>
      </w:r>
      <w:r w:rsidR="00DC00D2">
        <w:t xml:space="preserve">Bijlage </w:t>
      </w:r>
      <w:r w:rsidR="000F464F">
        <w:t xml:space="preserve">5 </w:t>
      </w:r>
      <w:r w:rsidR="0091244C">
        <w:t xml:space="preserve">bij </w:t>
      </w:r>
      <w:r w:rsidR="000F464F">
        <w:t xml:space="preserve">het </w:t>
      </w:r>
      <w:r w:rsidR="00DC00D2">
        <w:t>V</w:t>
      </w:r>
      <w:r w:rsidR="000F464F">
        <w:t xml:space="preserve">erdrag </w:t>
      </w:r>
      <w:r w:rsidR="00F65C79">
        <w:t xml:space="preserve">duidelijk te maken wordt in deze toelichting </w:t>
      </w:r>
      <w:r w:rsidR="008461CD">
        <w:t xml:space="preserve">eveneens </w:t>
      </w:r>
      <w:r w:rsidR="00F65C79">
        <w:t>aandacht besteed aan de inhoud van d</w:t>
      </w:r>
      <w:r w:rsidR="000F464F">
        <w:t>i</w:t>
      </w:r>
      <w:r w:rsidR="00F65C79">
        <w:t xml:space="preserve">e wijzigingen. De </w:t>
      </w:r>
      <w:r w:rsidRPr="00FF4A1E" w:rsidR="00FF4A1E">
        <w:t xml:space="preserve">wijzigingen </w:t>
      </w:r>
      <w:r w:rsidR="000F464F">
        <w:t xml:space="preserve">van </w:t>
      </w:r>
      <w:r w:rsidR="00DC00D2">
        <w:t xml:space="preserve">Bijlage 1 en Bijlage 5 </w:t>
      </w:r>
      <w:r w:rsidR="0091244C">
        <w:t xml:space="preserve">bij </w:t>
      </w:r>
      <w:r w:rsidR="000F464F">
        <w:t xml:space="preserve">het </w:t>
      </w:r>
      <w:r w:rsidR="00DC00D2">
        <w:t>V</w:t>
      </w:r>
      <w:r w:rsidR="000F464F">
        <w:t xml:space="preserve">erdrag </w:t>
      </w:r>
      <w:r w:rsidR="00F65C79">
        <w:t xml:space="preserve">behoeven op grond van </w:t>
      </w:r>
      <w:r w:rsidRPr="00FF4A1E" w:rsidR="00FF4A1E">
        <w:t xml:space="preserve">artikel 7, onderdeel f, van de Rijkswet goedkeuring en bekendmaking verdragen </w:t>
      </w:r>
      <w:r w:rsidR="008461CD">
        <w:t xml:space="preserve">echter </w:t>
      </w:r>
      <w:r w:rsidRPr="00FF4A1E" w:rsidR="00FF4A1E">
        <w:t>niet de goedkeuring van de Staten-Generaal</w:t>
      </w:r>
      <w:r w:rsidR="00F65C79">
        <w:t>.</w:t>
      </w:r>
    </w:p>
    <w:p w:rsidR="003D4326" w:rsidP="003D4326" w:rsidRDefault="00A35753" w14:paraId="01247099" w14:textId="07CE0001">
      <w:r>
        <w:t xml:space="preserve">De wijzigingen zijn voorgesteld om te zorgen voor consistentie tussen het </w:t>
      </w:r>
      <w:r w:rsidR="00DC00D2">
        <w:t>V</w:t>
      </w:r>
      <w:r>
        <w:t>erdrag e</w:t>
      </w:r>
      <w:r w:rsidR="000D2A3E">
        <w:t xml:space="preserve">n </w:t>
      </w:r>
      <w:r>
        <w:t xml:space="preserve"> voertuig</w:t>
      </w:r>
      <w:r w:rsidR="00F82879">
        <w:t>specifieke</w:t>
      </w:r>
      <w:r>
        <w:t xml:space="preserve"> reg</w:t>
      </w:r>
      <w:r w:rsidR="00F82879">
        <w:t>elgeving</w:t>
      </w:r>
      <w:r>
        <w:t xml:space="preserve">. </w:t>
      </w:r>
      <w:r w:rsidR="00C36CD5">
        <w:t>De</w:t>
      </w:r>
      <w:r w:rsidR="00F82879">
        <w:t xml:space="preserve"> uitwerking </w:t>
      </w:r>
      <w:r w:rsidR="000D2A3E">
        <w:t>van de</w:t>
      </w:r>
      <w:r w:rsidR="003B5B69">
        <w:t>rgelijke</w:t>
      </w:r>
      <w:r w:rsidR="000D2A3E">
        <w:t xml:space="preserve"> regelgeving v</w:t>
      </w:r>
      <w:r w:rsidR="00F82879">
        <w:t>indt plaats in de bevoegde</w:t>
      </w:r>
      <w:r w:rsidR="00CC7F65">
        <w:t xml:space="preserve"> UNECE</w:t>
      </w:r>
      <w:r w:rsidR="00F82879">
        <w:t xml:space="preserve"> Working Party</w:t>
      </w:r>
      <w:r w:rsidR="00CC7F65">
        <w:t xml:space="preserve"> </w:t>
      </w:r>
      <w:r w:rsidR="003B5B69">
        <w:t xml:space="preserve">29 </w:t>
      </w:r>
      <w:r w:rsidR="00CC7F65">
        <w:t>(hierna: WP.</w:t>
      </w:r>
      <w:r w:rsidR="00F82879">
        <w:t>29</w:t>
      </w:r>
      <w:r w:rsidR="00CC7F65">
        <w:t>)</w:t>
      </w:r>
      <w:r w:rsidR="00F82879">
        <w:t xml:space="preserve">, ook wel </w:t>
      </w:r>
      <w:r w:rsidRPr="00795B3B">
        <w:t xml:space="preserve">het </w:t>
      </w:r>
      <w:r w:rsidR="00972EA9">
        <w:t>‘</w:t>
      </w:r>
      <w:r w:rsidRPr="00972EA9" w:rsidR="00972EA9">
        <w:rPr>
          <w:i/>
          <w:iCs/>
        </w:rPr>
        <w:t>Global Forum for Vehicle Regulations</w:t>
      </w:r>
      <w:r w:rsidR="00972EA9">
        <w:rPr>
          <w:i/>
          <w:iCs/>
        </w:rPr>
        <w:t>’</w:t>
      </w:r>
      <w:r w:rsidRPr="00795B3B">
        <w:t>.</w:t>
      </w:r>
      <w:r w:rsidR="000D2A3E">
        <w:t xml:space="preserve"> W</w:t>
      </w:r>
      <w:r w:rsidR="003B5B69">
        <w:t>P</w:t>
      </w:r>
      <w:r w:rsidR="000D2A3E">
        <w:t xml:space="preserve">.29 valt eveneens onder UNECE. </w:t>
      </w:r>
      <w:r w:rsidR="003D4326">
        <w:t>De</w:t>
      </w:r>
      <w:r w:rsidR="00BA6B87">
        <w:t>ze</w:t>
      </w:r>
      <w:r w:rsidR="003D4326">
        <w:t xml:space="preserve"> </w:t>
      </w:r>
      <w:r w:rsidR="00DB0121">
        <w:t xml:space="preserve">regelgeving </w:t>
      </w:r>
      <w:r w:rsidR="003D4326">
        <w:t xml:space="preserve">wordt vastgelegd in de </w:t>
      </w:r>
      <w:r w:rsidR="00B43C70">
        <w:t>re</w:t>
      </w:r>
      <w:r w:rsidR="003D4326">
        <w:t>glementen</w:t>
      </w:r>
      <w:r w:rsidR="00972EA9">
        <w:t xml:space="preserve"> van de V</w:t>
      </w:r>
      <w:r w:rsidR="00F82879">
        <w:t xml:space="preserve">erenigde </w:t>
      </w:r>
      <w:r w:rsidR="00972EA9">
        <w:t>N</w:t>
      </w:r>
      <w:r w:rsidR="00F82879">
        <w:t>aties (</w:t>
      </w:r>
      <w:r w:rsidR="00CC7F65">
        <w:t xml:space="preserve">hierna: </w:t>
      </w:r>
      <w:r w:rsidR="00F82879">
        <w:t xml:space="preserve">VN-reglementen) die zijn gevoegd bij de </w:t>
      </w:r>
      <w:r w:rsidRPr="00F82879" w:rsidR="00F82879">
        <w:t>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Genève, 20 maart 1958 (</w:t>
      </w:r>
      <w:r w:rsidRPr="00F82879" w:rsidR="00F82879">
        <w:rPr>
          <w:i/>
          <w:iCs/>
        </w:rPr>
        <w:t>Trb.</w:t>
      </w:r>
      <w:r w:rsidRPr="00F82879" w:rsidR="00F82879">
        <w:t xml:space="preserve"> 1959, 83 en laatstelijk </w:t>
      </w:r>
      <w:r w:rsidRPr="00F82879" w:rsidR="00F82879">
        <w:rPr>
          <w:i/>
          <w:iCs/>
        </w:rPr>
        <w:t xml:space="preserve">Trb. </w:t>
      </w:r>
      <w:r w:rsidRPr="00F82879" w:rsidR="00F82879">
        <w:t>2024, 5) en de Overeenkomst betreffende de vaststelling van mondiale technische reglementen voor wielvoertuigen, uitrustingsstukken en onderdelen die kunnen worden aangebracht en/of gebruikt op wielvoertuigen; Genève, 25 juni 1998 (</w:t>
      </w:r>
      <w:r w:rsidRPr="007657B6" w:rsidR="00F82879">
        <w:rPr>
          <w:i/>
          <w:iCs/>
        </w:rPr>
        <w:t>Trb.</w:t>
      </w:r>
      <w:r w:rsidRPr="00F82879" w:rsidR="00F82879">
        <w:t xml:space="preserve"> 2001, 78)</w:t>
      </w:r>
      <w:r w:rsidR="00407E6D">
        <w:t xml:space="preserve">. </w:t>
      </w:r>
      <w:r w:rsidR="003D4326">
        <w:t xml:space="preserve">Hierin wordt geharmoniseerde voertuigreglementering voorgesteld die (via de Europese Commissie) van toepassing kunnen worden. Deze VN-reglementen regelen de wederzijdse erkenning van typegoedkeuringen. </w:t>
      </w:r>
      <w:r w:rsidR="00C36CD5">
        <w:t>De VN-reglementen</w:t>
      </w:r>
      <w:r w:rsidRPr="00C36CD5" w:rsidR="00C36CD5">
        <w:t xml:space="preserve"> </w:t>
      </w:r>
      <w:r w:rsidR="00B43C70">
        <w:t xml:space="preserve">bij de Overeenkomst van 1958 </w:t>
      </w:r>
      <w:r w:rsidRPr="00C36CD5" w:rsidR="00C36CD5">
        <w:t>worden op grond van artikel 7, onderdeel b, van de Rijkswet goedkeuring en bekendmaking verdragen gekwalificeerd als uitvoeringsverdragen die in beginsel geen parlementaire goedkeuring behoeven.</w:t>
      </w:r>
      <w:r w:rsidRPr="007657B6" w:rsidR="007657B6">
        <w:t xml:space="preserve"> Volgens de verklaring die de Europese Unie heeft afgelegd bij toetreding tot de op 25 juni 1998 in Genève </w:t>
      </w:r>
      <w:r w:rsidR="007657B6">
        <w:t>gesloten</w:t>
      </w:r>
      <w:r w:rsidRPr="007657B6" w:rsidR="007657B6">
        <w:t xml:space="preserve"> Overeenkomst betreffende de vaststelling van mondiale technische reglementen voor wielvoertuigen, uitrustingsstukken en onderdelen die kunnen worden aangebracht en/of gebruikt op wielvoertuigen (</w:t>
      </w:r>
      <w:r w:rsidRPr="007657B6" w:rsidR="007657B6">
        <w:rPr>
          <w:i/>
          <w:iCs/>
        </w:rPr>
        <w:t>Trb.</w:t>
      </w:r>
      <w:r w:rsidRPr="007657B6" w:rsidR="007657B6">
        <w:t xml:space="preserve"> 2001,</w:t>
      </w:r>
      <w:r w:rsidR="007657B6">
        <w:t xml:space="preserve"> </w:t>
      </w:r>
      <w:r w:rsidRPr="007657B6" w:rsidR="007657B6">
        <w:t>78) zijn de bij die laatst genoemde overeenkomst gevoegde VN-</w:t>
      </w:r>
      <w:r w:rsidR="00CC7F65">
        <w:t>r</w:t>
      </w:r>
      <w:r w:rsidRPr="007657B6" w:rsidR="007657B6">
        <w:t xml:space="preserve">eglementen gaan behoren tot de exclusieve bevoegdheid van de Europese Unie. </w:t>
      </w:r>
    </w:p>
    <w:p w:rsidRPr="009809E3" w:rsidR="000036FD" w:rsidP="000036FD" w:rsidRDefault="000036FD" w14:paraId="2BBB788B" w14:textId="403C87AA">
      <w:pPr>
        <w:rPr>
          <w:u w:val="single"/>
        </w:rPr>
      </w:pPr>
      <w:r w:rsidRPr="009809E3">
        <w:rPr>
          <w:u w:val="single"/>
        </w:rPr>
        <w:t>3.</w:t>
      </w:r>
      <w:r w:rsidRPr="009809E3">
        <w:rPr>
          <w:u w:val="single"/>
        </w:rPr>
        <w:tab/>
        <w:t>Artikelsgewijze toelichting</w:t>
      </w:r>
    </w:p>
    <w:p w:rsidR="000036FD" w:rsidP="000036FD" w:rsidRDefault="000036FD" w14:paraId="520C43A3" w14:textId="22237D66">
      <w:r>
        <w:t>Met deze wijzigingen word</w:t>
      </w:r>
      <w:r w:rsidR="007D004D">
        <w:t>en</w:t>
      </w:r>
      <w:r>
        <w:t xml:space="preserve"> het </w:t>
      </w:r>
      <w:r w:rsidR="00DC00D2">
        <w:t>V</w:t>
      </w:r>
      <w:r>
        <w:t>erdrag</w:t>
      </w:r>
      <w:r w:rsidR="007D004D">
        <w:t xml:space="preserve"> en Bijlage 1 en 5 daarbij</w:t>
      </w:r>
      <w:r>
        <w:t xml:space="preserve"> op een aantal punten gewijzigd. De wijzigingen zijn voorgesteld om verschillen, die zijn ontstaan door technische ontwikkelingen, tussen </w:t>
      </w:r>
      <w:r w:rsidR="000A7A7C">
        <w:t>de voertuig</w:t>
      </w:r>
      <w:r w:rsidR="00B5454D">
        <w:t>specifieke</w:t>
      </w:r>
      <w:r w:rsidR="000A7A7C">
        <w:t xml:space="preserve"> </w:t>
      </w:r>
      <w:r>
        <w:t>reg</w:t>
      </w:r>
      <w:r w:rsidR="00B5454D">
        <w:t>elgeving in de VN-reglementen</w:t>
      </w:r>
      <w:r>
        <w:t xml:space="preserve"> en het </w:t>
      </w:r>
      <w:r w:rsidR="00DC00D2">
        <w:t>V</w:t>
      </w:r>
      <w:r>
        <w:t>erdrag te harmoniseren.</w:t>
      </w:r>
      <w:r w:rsidR="004842EF">
        <w:t xml:space="preserve"> Op de manier wordt het Verdrag actueel gehouden.</w:t>
      </w:r>
    </w:p>
    <w:p w:rsidRPr="00EB6B8D" w:rsidR="008461CD" w:rsidP="000036FD" w:rsidRDefault="009809E3" w14:paraId="47C0E3DC" w14:textId="2A78A4F7">
      <w:pPr>
        <w:rPr>
          <w:i/>
          <w:iCs/>
        </w:rPr>
      </w:pPr>
      <w:r w:rsidRPr="00EB6B8D">
        <w:rPr>
          <w:i/>
          <w:iCs/>
        </w:rPr>
        <w:t>A</w:t>
      </w:r>
      <w:r w:rsidRPr="00EB6B8D" w:rsidR="008461CD">
        <w:rPr>
          <w:i/>
          <w:iCs/>
        </w:rPr>
        <w:t>rtikel 25bis</w:t>
      </w:r>
      <w:r w:rsidRPr="00EB6B8D" w:rsidR="00883F11">
        <w:rPr>
          <w:i/>
          <w:iCs/>
        </w:rPr>
        <w:t xml:space="preserve"> </w:t>
      </w:r>
      <w:r w:rsidRPr="00EB6B8D" w:rsidR="00BB3919">
        <w:rPr>
          <w:i/>
          <w:iCs/>
        </w:rPr>
        <w:t>Bijzondere regels betreffende tunnels aangegeven door middel van speciale verkeerstekens</w:t>
      </w:r>
    </w:p>
    <w:p w:rsidR="00352757" w:rsidP="000036FD" w:rsidRDefault="008461CD" w14:paraId="68E7F2DA" w14:textId="01829419">
      <w:r w:rsidRPr="00973A7A">
        <w:t>De wijziging</w:t>
      </w:r>
      <w:r w:rsidRPr="00973A7A" w:rsidR="00883F11">
        <w:t xml:space="preserve"> </w:t>
      </w:r>
      <w:r w:rsidR="00FD7A67">
        <w:t xml:space="preserve">van het tweede lid </w:t>
      </w:r>
      <w:r w:rsidR="004331FA">
        <w:t xml:space="preserve">van </w:t>
      </w:r>
      <w:r w:rsidRPr="00973A7A" w:rsidR="00883F11">
        <w:t>artikel 25</w:t>
      </w:r>
      <w:r w:rsidRPr="0072326D" w:rsidR="00883F11">
        <w:rPr>
          <w:i/>
          <w:iCs/>
        </w:rPr>
        <w:t>bis</w:t>
      </w:r>
      <w:r w:rsidRPr="00973A7A" w:rsidR="000036FD">
        <w:t xml:space="preserve"> </w:t>
      </w:r>
      <w:r w:rsidR="002C7212">
        <w:t>leidt ertoe</w:t>
      </w:r>
      <w:r w:rsidRPr="00973A7A" w:rsidR="000036FD">
        <w:t xml:space="preserve"> dat </w:t>
      </w:r>
      <w:r w:rsidRPr="00973A7A" w:rsidR="00D24808">
        <w:t>alle</w:t>
      </w:r>
      <w:r w:rsidRPr="00973A7A" w:rsidR="000036FD">
        <w:t xml:space="preserve"> bestuurder</w:t>
      </w:r>
      <w:r w:rsidRPr="00973A7A">
        <w:t>s</w:t>
      </w:r>
      <w:r w:rsidRPr="00973A7A" w:rsidR="00352757">
        <w:t xml:space="preserve"> ervoor </w:t>
      </w:r>
      <w:r w:rsidR="00CF33E7">
        <w:t>mo</w:t>
      </w:r>
      <w:r w:rsidR="00A21B4C">
        <w:t xml:space="preserve">eten </w:t>
      </w:r>
      <w:r w:rsidRPr="00973A7A" w:rsidR="00352757">
        <w:t xml:space="preserve">zorgen dat het groot licht of dim licht ontstoken is, zelfs wanneer </w:t>
      </w:r>
      <w:r w:rsidR="002C7212">
        <w:t>een</w:t>
      </w:r>
      <w:r w:rsidRPr="00973A7A" w:rsidR="00352757">
        <w:t xml:space="preserve"> tunnel verlicht is.</w:t>
      </w:r>
      <w:r w:rsidR="00352757">
        <w:t xml:space="preserve"> </w:t>
      </w:r>
    </w:p>
    <w:p w:rsidRPr="00EB6B8D" w:rsidR="00BB3919" w:rsidP="000036FD" w:rsidRDefault="00883F11" w14:paraId="770CACAD" w14:textId="578E98CD">
      <w:pPr>
        <w:rPr>
          <w:i/>
          <w:iCs/>
        </w:rPr>
      </w:pPr>
      <w:r w:rsidRPr="00EB6B8D">
        <w:rPr>
          <w:i/>
          <w:iCs/>
        </w:rPr>
        <w:t>A</w:t>
      </w:r>
      <w:r w:rsidRPr="00EB6B8D" w:rsidR="00BB3919">
        <w:rPr>
          <w:i/>
          <w:iCs/>
        </w:rPr>
        <w:t>rtikel 32 Regels voor het voeren van verlichting</w:t>
      </w:r>
    </w:p>
    <w:p w:rsidR="000B17E1" w:rsidP="000036FD" w:rsidRDefault="009B53C9" w14:paraId="1BFE97EA" w14:textId="77777777">
      <w:r>
        <w:t xml:space="preserve">De wijzigingen </w:t>
      </w:r>
      <w:r w:rsidR="00BB3919">
        <w:t>in</w:t>
      </w:r>
      <w:r>
        <w:t xml:space="preserve"> de</w:t>
      </w:r>
      <w:r w:rsidR="000036FD">
        <w:t xml:space="preserve"> leden 1a, 2, 3, </w:t>
      </w:r>
      <w:r w:rsidRPr="00C36CD5" w:rsidR="000036FD">
        <w:t>4, 5, 6, 7, 8</w:t>
      </w:r>
      <w:r w:rsidRPr="00C36CD5">
        <w:t xml:space="preserve"> van artikel 32</w:t>
      </w:r>
      <w:r w:rsidRPr="00C36CD5" w:rsidR="000036FD">
        <w:t xml:space="preserve"> en in </w:t>
      </w:r>
      <w:r w:rsidRPr="00C36CD5" w:rsidR="00883F11">
        <w:t xml:space="preserve">paragraaf 8 van </w:t>
      </w:r>
      <w:r w:rsidRPr="00C36CD5" w:rsidR="00A21B4C">
        <w:t>B</w:t>
      </w:r>
      <w:r w:rsidRPr="00C36CD5" w:rsidR="000036FD">
        <w:t xml:space="preserve">ijlage 1 </w:t>
      </w:r>
      <w:r w:rsidR="00177D94">
        <w:t xml:space="preserve">betreffen </w:t>
      </w:r>
      <w:r w:rsidR="004944BE">
        <w:t xml:space="preserve">redactionele </w:t>
      </w:r>
      <w:r w:rsidR="00177D94">
        <w:t>wijzigingen</w:t>
      </w:r>
      <w:r w:rsidR="008F396E">
        <w:t xml:space="preserve">. </w:t>
      </w:r>
      <w:r w:rsidR="005769FA">
        <w:t>Met d</w:t>
      </w:r>
      <w:r w:rsidR="00883F11">
        <w:t>e wijziging in</w:t>
      </w:r>
      <w:r w:rsidR="000036FD">
        <w:t xml:space="preserve"> </w:t>
      </w:r>
      <w:r w:rsidR="008F396E">
        <w:t xml:space="preserve">het eerste </w:t>
      </w:r>
      <w:r w:rsidR="000036FD">
        <w:t>li</w:t>
      </w:r>
      <w:r w:rsidR="008F396E">
        <w:t xml:space="preserve">d, onderdeel b, </w:t>
      </w:r>
      <w:r w:rsidR="005769FA">
        <w:t>wordt</w:t>
      </w:r>
      <w:r w:rsidR="00177D94">
        <w:t xml:space="preserve"> </w:t>
      </w:r>
      <w:r w:rsidR="005769FA">
        <w:t>een</w:t>
      </w:r>
      <w:r w:rsidR="00177D94">
        <w:t xml:space="preserve"> </w:t>
      </w:r>
      <w:r w:rsidR="000036FD">
        <w:t>verwijzing naar paragraaf 30</w:t>
      </w:r>
      <w:r w:rsidR="00F0795B">
        <w:t xml:space="preserve"> van Bijlage 5</w:t>
      </w:r>
      <w:r w:rsidR="000036FD">
        <w:t xml:space="preserve"> vervangen door een verwijzing naar paragraaf 22.2</w:t>
      </w:r>
      <w:r w:rsidR="00F0795B">
        <w:t xml:space="preserve"> van Bijlage 5</w:t>
      </w:r>
      <w:r w:rsidR="000036FD">
        <w:t xml:space="preserve">. Verder </w:t>
      </w:r>
    </w:p>
    <w:p w:rsidR="000B17E1" w:rsidRDefault="000B17E1" w14:paraId="2C220786" w14:textId="77777777">
      <w:r>
        <w:br w:type="page"/>
      </w:r>
    </w:p>
    <w:p w:rsidR="00F0795B" w:rsidP="000036FD" w:rsidRDefault="000036FD" w14:paraId="46F07345" w14:textId="1116A0C3">
      <w:r>
        <w:lastRenderedPageBreak/>
        <w:t>word</w:t>
      </w:r>
      <w:r w:rsidR="00883F11">
        <w:t>en</w:t>
      </w:r>
      <w:r>
        <w:t xml:space="preserve"> </w:t>
      </w:r>
      <w:r w:rsidR="00883F11">
        <w:t xml:space="preserve">in </w:t>
      </w:r>
      <w:r w:rsidR="008F396E">
        <w:t>het tweede lid, onderdeel a en c, het dertiende lid, onderdeel a en b en het veertiende lid, onderdeel a en b</w:t>
      </w:r>
      <w:r w:rsidR="000A3CF9">
        <w:t xml:space="preserve"> van artikel 32 en</w:t>
      </w:r>
      <w:r w:rsidR="005769FA">
        <w:t xml:space="preserve"> in</w:t>
      </w:r>
      <w:r w:rsidR="004816EF">
        <w:t xml:space="preserve"> </w:t>
      </w:r>
      <w:r w:rsidR="008F396E">
        <w:t xml:space="preserve">de paragrafen 2 en 8 van </w:t>
      </w:r>
      <w:r w:rsidR="005769FA">
        <w:t>B</w:t>
      </w:r>
      <w:r w:rsidR="004816EF">
        <w:t>ijlage 1</w:t>
      </w:r>
      <w:r w:rsidR="00883F11">
        <w:t xml:space="preserve"> </w:t>
      </w:r>
      <w:r w:rsidR="000A3CF9">
        <w:t xml:space="preserve">begripsomschrijvingen </w:t>
      </w:r>
      <w:r w:rsidR="00883F11">
        <w:t xml:space="preserve">vervangen met de bedoeling consistentie aan te brengen tussen het </w:t>
      </w:r>
      <w:r w:rsidR="00A21B4C">
        <w:t>V</w:t>
      </w:r>
      <w:r w:rsidR="00883F11">
        <w:t xml:space="preserve">erdrag en </w:t>
      </w:r>
      <w:r w:rsidR="005E6B47">
        <w:t>de VN-</w:t>
      </w:r>
      <w:r w:rsidR="00883F11">
        <w:t>reglementen</w:t>
      </w:r>
      <w:r>
        <w:t xml:space="preserve">. </w:t>
      </w:r>
    </w:p>
    <w:p w:rsidR="008F396E" w:rsidP="000036FD" w:rsidRDefault="00F0795B" w14:paraId="3042DF14" w14:textId="1165D6D1">
      <w:r w:rsidRPr="00973A7A">
        <w:t>Met de wijziging van</w:t>
      </w:r>
      <w:r w:rsidRPr="00973A7A" w:rsidR="000036FD">
        <w:t xml:space="preserve"> </w:t>
      </w:r>
      <w:r w:rsidR="00FD7A67">
        <w:t xml:space="preserve">vierde lid </w:t>
      </w:r>
      <w:r w:rsidRPr="00973A7A">
        <w:t xml:space="preserve">van artikel 32 </w:t>
      </w:r>
      <w:r w:rsidRPr="00973A7A" w:rsidR="000036FD">
        <w:t>wordt verduidelijkt dat mistl</w:t>
      </w:r>
      <w:r w:rsidRPr="00973A7A" w:rsidR="007D763E">
        <w:t>ichten</w:t>
      </w:r>
      <w:r w:rsidRPr="00973A7A" w:rsidR="000036FD">
        <w:t xml:space="preserve"> alleen </w:t>
      </w:r>
      <w:r w:rsidRPr="00973A7A" w:rsidR="007D763E">
        <w:t xml:space="preserve">ontstoken </w:t>
      </w:r>
      <w:r w:rsidRPr="00973A7A" w:rsidR="000036FD">
        <w:t xml:space="preserve">mogen </w:t>
      </w:r>
      <w:r w:rsidRPr="00973A7A" w:rsidR="007D763E">
        <w:t>worden</w:t>
      </w:r>
      <w:r w:rsidRPr="00973A7A">
        <w:t xml:space="preserve"> </w:t>
      </w:r>
      <w:r w:rsidRPr="00973A7A" w:rsidR="000036FD">
        <w:t xml:space="preserve">bij mist </w:t>
      </w:r>
      <w:r w:rsidR="00A21B4C">
        <w:t xml:space="preserve">of </w:t>
      </w:r>
      <w:r w:rsidRPr="00973A7A" w:rsidR="007D763E">
        <w:t>soortgelijke toestand van verminderd zicht</w:t>
      </w:r>
      <w:r w:rsidR="00824C77">
        <w:t xml:space="preserve"> en, wat betreft mistvoorlichten, ter vervanging van dimlichten</w:t>
      </w:r>
      <w:r w:rsidRPr="00973A7A" w:rsidR="000036FD">
        <w:t>.</w:t>
      </w:r>
      <w:r w:rsidR="000036FD">
        <w:t xml:space="preserve"> Daarnaast mag nationale wet</w:t>
      </w:r>
      <w:r w:rsidR="00230BBF">
        <w:t>- en regel</w:t>
      </w:r>
      <w:r w:rsidR="000036FD">
        <w:t>geving het gelijktijdige gebruik van mist</w:t>
      </w:r>
      <w:r w:rsidR="00824C77">
        <w:t>voorlichten</w:t>
      </w:r>
      <w:r w:rsidR="000036FD">
        <w:t xml:space="preserve"> en dimlicht</w:t>
      </w:r>
      <w:r w:rsidR="00824C77">
        <w:t>en</w:t>
      </w:r>
      <w:r w:rsidR="000036FD">
        <w:t>, het gelijktijdige gebruik van mist</w:t>
      </w:r>
      <w:r w:rsidR="00824C77">
        <w:t>voorlichten</w:t>
      </w:r>
      <w:r w:rsidR="000036FD">
        <w:t xml:space="preserve"> en hoeklichten </w:t>
      </w:r>
      <w:r w:rsidR="00824C77">
        <w:t>e</w:t>
      </w:r>
      <w:r w:rsidR="000036FD">
        <w:t>n het gebruik van mis</w:t>
      </w:r>
      <w:r w:rsidR="00A21B4C">
        <w:t>t</w:t>
      </w:r>
      <w:r w:rsidR="000036FD">
        <w:t>voorlichten op smalle</w:t>
      </w:r>
      <w:r w:rsidR="00230BBF">
        <w:t xml:space="preserve"> </w:t>
      </w:r>
      <w:r w:rsidR="007D763E">
        <w:t xml:space="preserve">wegen met veel bochten </w:t>
      </w:r>
      <w:r w:rsidR="000036FD">
        <w:t xml:space="preserve">toestaan. </w:t>
      </w:r>
    </w:p>
    <w:p w:rsidR="008F396E" w:rsidP="000036FD" w:rsidRDefault="00F0795B" w14:paraId="61AFBFDC" w14:textId="6A802B05">
      <w:r w:rsidRPr="00973A7A">
        <w:t>Met de wijziging van</w:t>
      </w:r>
      <w:r w:rsidR="008F396E">
        <w:t xml:space="preserve"> het vijfde </w:t>
      </w:r>
      <w:r w:rsidRPr="00973A7A" w:rsidR="000036FD">
        <w:t xml:space="preserve">lid </w:t>
      </w:r>
      <w:r w:rsidRPr="00973A7A">
        <w:t xml:space="preserve">van artikel 32 </w:t>
      </w:r>
      <w:r w:rsidRPr="00973A7A" w:rsidR="000036FD">
        <w:t xml:space="preserve">wordt verduidelijkt dat bij voertuigen met breedtelichten </w:t>
      </w:r>
      <w:r w:rsidR="00BE327C">
        <w:t xml:space="preserve">aan de voorzijde </w:t>
      </w:r>
      <w:r w:rsidRPr="00973A7A" w:rsidR="000036FD">
        <w:t xml:space="preserve">deze lichten samen met </w:t>
      </w:r>
      <w:r w:rsidR="00BE327C">
        <w:t>de grote lichten</w:t>
      </w:r>
      <w:r w:rsidRPr="00973A7A" w:rsidR="000036FD">
        <w:t>, de dimlichten</w:t>
      </w:r>
      <w:r w:rsidR="00BE327C">
        <w:t xml:space="preserve"> </w:t>
      </w:r>
      <w:r w:rsidRPr="00973A7A" w:rsidR="000036FD">
        <w:t xml:space="preserve">of de mistvoorlichten worden ingeschakeld. De functie van de breedtelichten </w:t>
      </w:r>
      <w:r w:rsidR="00BE327C">
        <w:t xml:space="preserve">aan de voorzijde </w:t>
      </w:r>
      <w:r w:rsidRPr="00973A7A" w:rsidR="000036FD">
        <w:t xml:space="preserve">mag worden vervangen door de </w:t>
      </w:r>
      <w:r w:rsidR="002E1524">
        <w:t>dimlichten en/of grote lichten</w:t>
      </w:r>
      <w:r w:rsidRPr="00973A7A" w:rsidR="000036FD">
        <w:t xml:space="preserve">, op voorwaarde dat bij uitval van dergelijke lichten de breedtelichten </w:t>
      </w:r>
      <w:r w:rsidR="002E1524">
        <w:t xml:space="preserve">aan de voorzijde </w:t>
      </w:r>
      <w:r w:rsidRPr="00973A7A" w:rsidR="000036FD">
        <w:t>automatisch weer worden ingeschakeld</w:t>
      </w:r>
      <w:r w:rsidRPr="00BB0B10" w:rsidR="000036FD">
        <w:t xml:space="preserve">. </w:t>
      </w:r>
    </w:p>
    <w:p w:rsidR="008F396E" w:rsidP="000036FD" w:rsidRDefault="00FB7A6E" w14:paraId="18354E1E" w14:textId="51FF54FA">
      <w:r w:rsidRPr="00BB0B10">
        <w:t xml:space="preserve">Met de wijziging van </w:t>
      </w:r>
      <w:r w:rsidR="008F396E">
        <w:t>het zesde lid</w:t>
      </w:r>
      <w:r w:rsidRPr="00BB0B10">
        <w:t xml:space="preserve"> </w:t>
      </w:r>
      <w:r w:rsidRPr="00BB0B10" w:rsidR="00FC171D">
        <w:t xml:space="preserve">van artikel 32 </w:t>
      </w:r>
      <w:r w:rsidRPr="00BB0B10">
        <w:t>wordt de voorwaarde dat</w:t>
      </w:r>
      <w:r w:rsidRPr="00BB0B10" w:rsidR="000036FD">
        <w:t xml:space="preserve"> achterlichten in dat geval samen met de voorlichten </w:t>
      </w:r>
      <w:r w:rsidRPr="00BB0B10">
        <w:t xml:space="preserve">moeten </w:t>
      </w:r>
      <w:r w:rsidRPr="00BB0B10" w:rsidR="000036FD">
        <w:t>worden gebruikt</w:t>
      </w:r>
      <w:r w:rsidRPr="00BB0B10">
        <w:t xml:space="preserve"> geschrapt</w:t>
      </w:r>
      <w:r w:rsidRPr="00BB0B10" w:rsidR="000036FD">
        <w:t>.</w:t>
      </w:r>
      <w:r w:rsidR="00FC171D">
        <w:t xml:space="preserve"> </w:t>
      </w:r>
    </w:p>
    <w:p w:rsidR="008F396E" w:rsidP="000036FD" w:rsidRDefault="000115BB" w14:paraId="41375394" w14:textId="31F14270">
      <w:r>
        <w:t>Met de</w:t>
      </w:r>
      <w:r w:rsidR="00883F11">
        <w:t xml:space="preserve"> wijzigingen </w:t>
      </w:r>
      <w:r w:rsidR="008F396E">
        <w:t xml:space="preserve">van het achtste lid </w:t>
      </w:r>
      <w:r w:rsidR="00FC171D">
        <w:t xml:space="preserve">van artikel 32 </w:t>
      </w:r>
      <w:r>
        <w:t xml:space="preserve">is het woord </w:t>
      </w:r>
      <w:r w:rsidR="00707B8A">
        <w:t>‘</w:t>
      </w:r>
      <w:r>
        <w:t>aanhangwagen</w:t>
      </w:r>
      <w:r w:rsidR="00707B8A">
        <w:t>’</w:t>
      </w:r>
      <w:r>
        <w:t xml:space="preserve"> vervangen </w:t>
      </w:r>
      <w:r w:rsidR="005769FA">
        <w:t>door de woorden</w:t>
      </w:r>
      <w:r>
        <w:t xml:space="preserve"> </w:t>
      </w:r>
      <w:r w:rsidR="00707B8A">
        <w:t>‘</w:t>
      </w:r>
      <w:r>
        <w:t>aanhangwagens gekoppeld aan motorvoertuigen</w:t>
      </w:r>
      <w:r w:rsidR="00707B8A">
        <w:t>’</w:t>
      </w:r>
      <w:r>
        <w:t>. Daarnaast zijn</w:t>
      </w:r>
      <w:r w:rsidR="00B84A2B">
        <w:t xml:space="preserve">, net als in het vierde lid, </w:t>
      </w:r>
      <w:r>
        <w:t>de specifieke situaties die leiden tot verminderd zicht, zoals dichte mist, sneeuw</w:t>
      </w:r>
      <w:r w:rsidR="00BB0B10">
        <w:t>val</w:t>
      </w:r>
      <w:r>
        <w:t xml:space="preserve"> </w:t>
      </w:r>
      <w:r w:rsidR="00BB0B10">
        <w:t>of zware</w:t>
      </w:r>
      <w:r>
        <w:t xml:space="preserve"> regen, </w:t>
      </w:r>
      <w:r w:rsidR="005769FA">
        <w:t>gewijzigd in</w:t>
      </w:r>
      <w:r w:rsidR="00A5623B">
        <w:t xml:space="preserve"> </w:t>
      </w:r>
      <w:r w:rsidR="00B84A2B">
        <w:t xml:space="preserve">dichte </w:t>
      </w:r>
      <w:r>
        <w:t xml:space="preserve">mist </w:t>
      </w:r>
      <w:r w:rsidR="00A5623B">
        <w:t>en</w:t>
      </w:r>
      <w:r>
        <w:t xml:space="preserve"> soortgelijke toestand</w:t>
      </w:r>
      <w:r w:rsidR="00A5623B">
        <w:t xml:space="preserve"> van</w:t>
      </w:r>
      <w:r>
        <w:t xml:space="preserve"> verminderd zicht. </w:t>
      </w:r>
    </w:p>
    <w:p w:rsidR="008F396E" w:rsidP="000036FD" w:rsidRDefault="007F2562" w14:paraId="7BBC4F9A" w14:textId="17B3CB0A">
      <w:r>
        <w:t xml:space="preserve">Met de wijziging </w:t>
      </w:r>
      <w:r w:rsidR="008F396E">
        <w:t>van het twaalfde l</w:t>
      </w:r>
      <w:r>
        <w:t xml:space="preserve">id </w:t>
      </w:r>
      <w:r w:rsidR="00FC171D">
        <w:t xml:space="preserve">van artikel 32 </w:t>
      </w:r>
      <w:r>
        <w:t xml:space="preserve">is een bijzin toegevoegd zodat </w:t>
      </w:r>
      <w:r w:rsidR="00253694">
        <w:t>o</w:t>
      </w:r>
      <w:r>
        <w:t xml:space="preserve">ptionele extra achteruitrijlichten mogen blijven branden tijdens korte en langzame voorwaartse manoeuvres. Ook is </w:t>
      </w:r>
      <w:r w:rsidR="00FC171D">
        <w:t>lid</w:t>
      </w:r>
      <w:r>
        <w:t xml:space="preserve"> 12</w:t>
      </w:r>
      <w:r w:rsidRPr="0072326D">
        <w:rPr>
          <w:i/>
          <w:iCs/>
        </w:rPr>
        <w:t xml:space="preserve">bis </w:t>
      </w:r>
      <w:r w:rsidR="00FC171D">
        <w:t>aan artikel 32 t</w:t>
      </w:r>
      <w:r>
        <w:t xml:space="preserve">oegevoegd waarin staat dat </w:t>
      </w:r>
      <w:r w:rsidR="00E40ED0">
        <w:t xml:space="preserve">manoeuvreer </w:t>
      </w:r>
      <w:r>
        <w:t xml:space="preserve">lichten </w:t>
      </w:r>
      <w:r w:rsidR="000D7128">
        <w:t xml:space="preserve">alleen mogen worden </w:t>
      </w:r>
      <w:r>
        <w:t>gebruik</w:t>
      </w:r>
      <w:r w:rsidR="002E1524">
        <w:t>t</w:t>
      </w:r>
      <w:r>
        <w:t xml:space="preserve"> wanneer het voertuig niet sneller rijdt dan 10 km per uur.</w:t>
      </w:r>
      <w:r w:rsidR="00FC171D">
        <w:t xml:space="preserve"> </w:t>
      </w:r>
    </w:p>
    <w:p w:rsidR="000036FD" w:rsidP="000036FD" w:rsidRDefault="00E3521E" w14:paraId="23C80BA1" w14:textId="41FD3C5E">
      <w:r>
        <w:t>De</w:t>
      </w:r>
      <w:r w:rsidR="0087669C">
        <w:t xml:space="preserve"> wijziging van </w:t>
      </w:r>
      <w:r w:rsidR="008F396E">
        <w:t xml:space="preserve">het veertiende </w:t>
      </w:r>
      <w:r w:rsidR="000036FD">
        <w:t>lid</w:t>
      </w:r>
      <w:r w:rsidR="008F396E">
        <w:t>,</w:t>
      </w:r>
      <w:r w:rsidR="00FC171D">
        <w:t xml:space="preserve"> onderdeel </w:t>
      </w:r>
      <w:r w:rsidR="000036FD">
        <w:t>a</w:t>
      </w:r>
      <w:r w:rsidR="00FC171D">
        <w:t xml:space="preserve">, van artikel 32 </w:t>
      </w:r>
      <w:r w:rsidR="000D7128">
        <w:t>verduidelijkt</w:t>
      </w:r>
      <w:r w:rsidR="00CC4AE2">
        <w:t xml:space="preserve"> </w:t>
      </w:r>
      <w:r>
        <w:t>de</w:t>
      </w:r>
      <w:r w:rsidR="00CC4AE2">
        <w:t xml:space="preserve"> kleur licht van speciale waarschuwingslichten. Deze waarschuwingslichten mogen een blauw </w:t>
      </w:r>
      <w:r w:rsidR="000036FD">
        <w:t>en/of rood lich</w:t>
      </w:r>
      <w:r w:rsidR="00CC4AE2">
        <w:t>t uitstralen.</w:t>
      </w:r>
      <w:r w:rsidR="001A3C61">
        <w:t xml:space="preserve"> </w:t>
      </w:r>
    </w:p>
    <w:p w:rsidRPr="00AF5DB9" w:rsidR="0023566E" w:rsidP="000036FD" w:rsidRDefault="0023566E" w14:paraId="29FFE4F5" w14:textId="23B02D78">
      <w:pPr>
        <w:rPr>
          <w:i/>
          <w:iCs/>
        </w:rPr>
      </w:pPr>
      <w:r w:rsidRPr="00AF5DB9">
        <w:rPr>
          <w:i/>
          <w:iCs/>
        </w:rPr>
        <w:t>Bijlage 1</w:t>
      </w:r>
      <w:r w:rsidRPr="00AF5DB9" w:rsidR="00AF5DB9">
        <w:rPr>
          <w:i/>
          <w:iCs/>
        </w:rPr>
        <w:t xml:space="preserve"> Uitzonderingen op de verplichting motorvoertuigen en aanhangwagens in het internationale verkeer toe te laten</w:t>
      </w:r>
    </w:p>
    <w:p w:rsidR="004816EF" w:rsidP="000036FD" w:rsidRDefault="004816EF" w14:paraId="2DD80FF6" w14:textId="1EED1DB2">
      <w:r>
        <w:t xml:space="preserve">De wijziging </w:t>
      </w:r>
      <w:r w:rsidR="008F396E">
        <w:t xml:space="preserve">van </w:t>
      </w:r>
      <w:r w:rsidR="009240F7">
        <w:t>paragraaf</w:t>
      </w:r>
      <w:r>
        <w:t xml:space="preserve"> 2(a) van </w:t>
      </w:r>
      <w:r w:rsidR="00580C41">
        <w:t>B</w:t>
      </w:r>
      <w:r>
        <w:t xml:space="preserve">ijlage 1 </w:t>
      </w:r>
      <w:r w:rsidR="00580C41">
        <w:t xml:space="preserve">dient </w:t>
      </w:r>
      <w:r w:rsidR="00E3521E">
        <w:t xml:space="preserve">ter verduidelijking. Het </w:t>
      </w:r>
      <w:r>
        <w:t>woord ‘</w:t>
      </w:r>
      <w:r w:rsidR="000E275D">
        <w:t xml:space="preserve">spanningsmeters’ </w:t>
      </w:r>
      <w:r w:rsidR="00580C41">
        <w:t>wordt vervangen door</w:t>
      </w:r>
      <w:r>
        <w:t xml:space="preserve"> ‘monitoring systemen’. </w:t>
      </w:r>
      <w:r w:rsidR="00D23454">
        <w:t>Het</w:t>
      </w:r>
      <w:r>
        <w:t xml:space="preserve"> woord ‘achteruitkijkspiegels’ in </w:t>
      </w:r>
      <w:r w:rsidR="00FC171D">
        <w:t>paragraaf</w:t>
      </w:r>
      <w:r>
        <w:t xml:space="preserve"> 2</w:t>
      </w:r>
      <w:r w:rsidR="003E1430">
        <w:t>(</w:t>
      </w:r>
      <w:r>
        <w:t>c</w:t>
      </w:r>
      <w:r w:rsidR="003E1430">
        <w:t>)</w:t>
      </w:r>
      <w:r>
        <w:t xml:space="preserve"> </w:t>
      </w:r>
      <w:r w:rsidR="00D23454">
        <w:t xml:space="preserve">is </w:t>
      </w:r>
      <w:r>
        <w:t>vervangen door ‘achteruitkijkspiegels/voorzieningen voor indirect zicht’</w:t>
      </w:r>
      <w:r w:rsidR="00E3521E">
        <w:t xml:space="preserve"> ter verduidelijking en voor consistentie met </w:t>
      </w:r>
      <w:r w:rsidR="005E6B47">
        <w:t>de VN-</w:t>
      </w:r>
      <w:r w:rsidR="00E42C84">
        <w:t xml:space="preserve">reglementen </w:t>
      </w:r>
      <w:r w:rsidR="006F2FB7">
        <w:t xml:space="preserve">omdat voorzieningen met indirect zicht ook gebruikt kunnen worden als achteruitkijkspiegel. </w:t>
      </w:r>
    </w:p>
    <w:p w:rsidRPr="00AF5DB9" w:rsidR="0023566E" w:rsidP="000036FD" w:rsidRDefault="0023566E" w14:paraId="1F0BA95A" w14:textId="52054EAE">
      <w:pPr>
        <w:rPr>
          <w:i/>
          <w:iCs/>
        </w:rPr>
      </w:pPr>
      <w:r w:rsidRPr="00AF5DB9">
        <w:rPr>
          <w:i/>
          <w:iCs/>
        </w:rPr>
        <w:t>Bijlage 5</w:t>
      </w:r>
      <w:r w:rsidRPr="00AF5DB9" w:rsidR="00AF5DB9">
        <w:rPr>
          <w:i/>
          <w:iCs/>
        </w:rPr>
        <w:t xml:space="preserve"> Technische eisen betreffende motorvoertuigen en aanhangwagens</w:t>
      </w:r>
    </w:p>
    <w:p w:rsidR="000B17E1" w:rsidRDefault="00FC171D" w14:paraId="247C5CEA" w14:textId="15F4F481">
      <w:r>
        <w:t>De nieuwe paragraaf</w:t>
      </w:r>
      <w:r w:rsidR="000036FD">
        <w:t xml:space="preserve"> 18(b)</w:t>
      </w:r>
      <w:r w:rsidR="004961EA">
        <w:t xml:space="preserve"> </w:t>
      </w:r>
      <w:r w:rsidR="002925E5">
        <w:t xml:space="preserve">van </w:t>
      </w:r>
      <w:r w:rsidR="00CE467C">
        <w:t>H</w:t>
      </w:r>
      <w:r w:rsidR="002925E5">
        <w:t xml:space="preserve">oofdstuk </w:t>
      </w:r>
      <w:r w:rsidR="009B3B57">
        <w:t>I</w:t>
      </w:r>
      <w:r w:rsidR="002925E5">
        <w:t xml:space="preserve"> </w:t>
      </w:r>
      <w:r w:rsidR="0061471A">
        <w:t>(</w:t>
      </w:r>
      <w:r w:rsidR="00CE467C">
        <w:t>Remmen</w:t>
      </w:r>
      <w:r w:rsidR="0061471A">
        <w:t>)</w:t>
      </w:r>
      <w:r w:rsidR="00CE467C">
        <w:t xml:space="preserve"> </w:t>
      </w:r>
      <w:r w:rsidR="004961EA">
        <w:t xml:space="preserve">van </w:t>
      </w:r>
      <w:r w:rsidR="00CE467C">
        <w:t>B</w:t>
      </w:r>
      <w:r w:rsidR="004961EA">
        <w:t xml:space="preserve">ijlage 5 bepaalt dat </w:t>
      </w:r>
      <w:r w:rsidR="000036FD">
        <w:t xml:space="preserve">als alternatief voor de bepalingen van </w:t>
      </w:r>
      <w:r>
        <w:t xml:space="preserve">paragraaf </w:t>
      </w:r>
      <w:r w:rsidR="004961EA">
        <w:t>18</w:t>
      </w:r>
      <w:r w:rsidR="000036FD">
        <w:t xml:space="preserve">(a) een motorfiets </w:t>
      </w:r>
      <w:r w:rsidR="002925E5">
        <w:t xml:space="preserve">mag </w:t>
      </w:r>
      <w:r w:rsidR="000036FD">
        <w:t xml:space="preserve">zijn uitgerust met een remsysteem dat de remmen op alle wielen bedient, bestaande uit twee of meer subsystemen die in werking worden gesteld door </w:t>
      </w:r>
      <w:r w:rsidRPr="00710844" w:rsidR="000036FD">
        <w:t xml:space="preserve">een enkele bedieningseenheid die </w:t>
      </w:r>
      <w:r w:rsidR="000036FD">
        <w:t>zo is ontworpen dat een enkel</w:t>
      </w:r>
      <w:r w:rsidR="006C22B3">
        <w:t xml:space="preserve"> defect in een</w:t>
      </w:r>
      <w:r w:rsidR="000036FD">
        <w:t xml:space="preserve"> subsysteem </w:t>
      </w:r>
      <w:r w:rsidR="006C22B3">
        <w:t>niet ten koste gaat</w:t>
      </w:r>
      <w:r w:rsidR="000036FD">
        <w:t xml:space="preserve"> van een ander subsysteem. </w:t>
      </w:r>
      <w:r>
        <w:t>Paragraaf</w:t>
      </w:r>
      <w:r w:rsidR="002E03E1">
        <w:t xml:space="preserve"> b is vernummerd </w:t>
      </w:r>
      <w:r w:rsidR="00CE467C">
        <w:t xml:space="preserve">tot </w:t>
      </w:r>
      <w:r>
        <w:t>paragraaf</w:t>
      </w:r>
      <w:r w:rsidR="00CE467C">
        <w:t xml:space="preserve"> c</w:t>
      </w:r>
      <w:r w:rsidR="002E03E1">
        <w:t>.</w:t>
      </w:r>
      <w:r>
        <w:t xml:space="preserve"> </w:t>
      </w:r>
      <w:r w:rsidR="002925E5">
        <w:t xml:space="preserve">De </w:t>
      </w:r>
      <w:r w:rsidR="00A476BB">
        <w:t xml:space="preserve">bestaande </w:t>
      </w:r>
      <w:r w:rsidR="002925E5">
        <w:t xml:space="preserve">paragrafen 19 </w:t>
      </w:r>
      <w:r w:rsidRPr="00304D9A" w:rsidR="002925E5">
        <w:t>to</w:t>
      </w:r>
      <w:r w:rsidRPr="00062016" w:rsidR="002925E5">
        <w:t>t</w:t>
      </w:r>
      <w:r w:rsidRPr="00062016" w:rsidR="00304D9A">
        <w:t xml:space="preserve"> </w:t>
      </w:r>
      <w:r w:rsidRPr="00F1253D" w:rsidR="00304D9A">
        <w:t>en met</w:t>
      </w:r>
      <w:r w:rsidRPr="00304D9A" w:rsidR="002925E5">
        <w:t xml:space="preserve"> 45</w:t>
      </w:r>
      <w:r w:rsidR="002925E5">
        <w:t xml:space="preserve"> van </w:t>
      </w:r>
      <w:r w:rsidR="0061471A">
        <w:t>H</w:t>
      </w:r>
      <w:r w:rsidR="002925E5">
        <w:t xml:space="preserve">oofdstuk </w:t>
      </w:r>
      <w:r w:rsidR="009B3B57">
        <w:t>II</w:t>
      </w:r>
      <w:r w:rsidR="002925E5">
        <w:t xml:space="preserve"> </w:t>
      </w:r>
      <w:r w:rsidR="0061471A">
        <w:t xml:space="preserve">(Voertuigverlichting en inrichtingen voor lichtsignalen) </w:t>
      </w:r>
      <w:r w:rsidR="002925E5">
        <w:t>van Bijlage 5 worden geheel vervangen door de paragrafen 19 tot 39.4</w:t>
      </w:r>
      <w:r w:rsidR="00FD3EB1">
        <w:t xml:space="preserve"> </w:t>
      </w:r>
      <w:r w:rsidR="00E3521E">
        <w:t>om</w:t>
      </w:r>
      <w:r w:rsidR="004842EF">
        <w:t>,</w:t>
      </w:r>
      <w:r w:rsidR="00E3521E">
        <w:t xml:space="preserve"> voor </w:t>
      </w:r>
      <w:r w:rsidR="009B3B57">
        <w:t>wat betreft de begripsomschrijvingen en de technische eisen</w:t>
      </w:r>
      <w:r w:rsidR="004842EF">
        <w:t>,</w:t>
      </w:r>
      <w:r w:rsidR="009B3B57">
        <w:t xml:space="preserve"> </w:t>
      </w:r>
      <w:r w:rsidR="00D23454">
        <w:t xml:space="preserve">voor </w:t>
      </w:r>
      <w:r w:rsidR="00E3521E">
        <w:t xml:space="preserve">consistentie te zorgen met </w:t>
      </w:r>
      <w:r w:rsidR="0061471A">
        <w:t xml:space="preserve">de </w:t>
      </w:r>
      <w:r w:rsidR="005E6B47">
        <w:t>VN-</w:t>
      </w:r>
      <w:r w:rsidR="00057F1E">
        <w:t>reglementen</w:t>
      </w:r>
      <w:r w:rsidR="00E3521E">
        <w:t>.</w:t>
      </w:r>
      <w:r>
        <w:t xml:space="preserve"> </w:t>
      </w:r>
      <w:r w:rsidR="00957C50">
        <w:t>Paragraaf 20.1 bepaalt dat</w:t>
      </w:r>
      <w:r w:rsidR="00AB0C21">
        <w:t>, voor wat betreft de technische eisen,</w:t>
      </w:r>
      <w:r w:rsidR="00957C50">
        <w:t xml:space="preserve"> de kleuren van </w:t>
      </w:r>
    </w:p>
    <w:p w:rsidR="000B17E1" w:rsidRDefault="000B17E1" w14:paraId="537C8C78" w14:textId="77777777">
      <w:r>
        <w:br w:type="page"/>
      </w:r>
    </w:p>
    <w:p w:rsidR="000036FD" w:rsidP="000036FD" w:rsidRDefault="00957C50" w14:paraId="53F13FCA" w14:textId="30875960">
      <w:r>
        <w:lastRenderedPageBreak/>
        <w:t xml:space="preserve">de lichten in Hoofdstuk II van Bijlage 5 zoveel mogelijk overeen dienen te stemmen met de omschrijvingen in de in de laatste alinea van paragraaf 2 van </w:t>
      </w:r>
      <w:r w:rsidR="00CC6BB5">
        <w:t>deze</w:t>
      </w:r>
      <w:r>
        <w:t xml:space="preserve"> nota beschreven </w:t>
      </w:r>
      <w:r w:rsidR="00A476BB">
        <w:t>VN</w:t>
      </w:r>
      <w:r w:rsidR="005E6B47">
        <w:t>-</w:t>
      </w:r>
      <w:r w:rsidRPr="00957C50">
        <w:t>reglementen</w:t>
      </w:r>
      <w:r>
        <w:t xml:space="preserve">. </w:t>
      </w:r>
      <w:r w:rsidR="004842EF">
        <w:t>Ook d</w:t>
      </w:r>
      <w:r w:rsidR="002925E5">
        <w:t xml:space="preserve">e wijziging in paragraaf 47 van </w:t>
      </w:r>
      <w:r w:rsidR="0061471A">
        <w:t>H</w:t>
      </w:r>
      <w:r w:rsidR="000036FD">
        <w:t xml:space="preserve">oofdstuk </w:t>
      </w:r>
      <w:r w:rsidR="009B3B57">
        <w:t>III</w:t>
      </w:r>
      <w:r w:rsidR="000036FD">
        <w:t xml:space="preserve"> </w:t>
      </w:r>
      <w:r w:rsidR="0061471A">
        <w:t xml:space="preserve">(Andere voorschriften) </w:t>
      </w:r>
      <w:r w:rsidR="00E3521E">
        <w:t>heeft als doel om voor</w:t>
      </w:r>
      <w:r w:rsidR="00000CC0">
        <w:t xml:space="preserve"> consistentie tussen het </w:t>
      </w:r>
      <w:r w:rsidR="00077BF9">
        <w:t>V</w:t>
      </w:r>
      <w:r w:rsidR="00000CC0">
        <w:t xml:space="preserve">erdrag en </w:t>
      </w:r>
      <w:r w:rsidR="005E6B47">
        <w:t>de VN-</w:t>
      </w:r>
      <w:r w:rsidR="00000CC0">
        <w:t>reglementen</w:t>
      </w:r>
      <w:r w:rsidR="00E3521E">
        <w:t xml:space="preserve"> te zorgen. D</w:t>
      </w:r>
      <w:r w:rsidR="000036FD">
        <w:t>e subtitel ‘</w:t>
      </w:r>
      <w:r w:rsidR="00D23454">
        <w:t>A</w:t>
      </w:r>
      <w:r w:rsidR="000036FD">
        <w:t>chteruitkijkspiegel</w:t>
      </w:r>
      <w:r w:rsidR="00EE0A75">
        <w:t>s</w:t>
      </w:r>
      <w:r w:rsidR="000036FD">
        <w:t>’</w:t>
      </w:r>
      <w:r w:rsidR="00EE0A75">
        <w:t xml:space="preserve"> is </w:t>
      </w:r>
      <w:r w:rsidR="00077BF9">
        <w:t>gewijzigd</w:t>
      </w:r>
      <w:r w:rsidR="00EE0A75">
        <w:t xml:space="preserve"> in ‘</w:t>
      </w:r>
      <w:r w:rsidR="00077BF9">
        <w:t>A</w:t>
      </w:r>
      <w:r w:rsidR="00EE0A75">
        <w:t xml:space="preserve">chteruitkijkspiegels en andere voorzieningen voor indirect zicht’. </w:t>
      </w:r>
      <w:r w:rsidR="00AD4E1C">
        <w:t xml:space="preserve">Om makkelijker aan te kunnen sluiten bij technologische ontwikkelingen is gekozen voor een meer algemene invulling van paragraaf 47. </w:t>
      </w:r>
      <w:r w:rsidR="00426B09">
        <w:t>De wijziging in paragraaf 60(a)</w:t>
      </w:r>
      <w:r w:rsidR="000036FD">
        <w:t xml:space="preserve"> in </w:t>
      </w:r>
      <w:r w:rsidR="0061471A">
        <w:t>H</w:t>
      </w:r>
      <w:r w:rsidR="000036FD">
        <w:t xml:space="preserve">oofdstuk </w:t>
      </w:r>
      <w:r w:rsidR="0061471A">
        <w:t>IV</w:t>
      </w:r>
      <w:r w:rsidR="000036FD">
        <w:t xml:space="preserve"> </w:t>
      </w:r>
      <w:r w:rsidR="0061471A">
        <w:t xml:space="preserve">(Uitzonderingen) </w:t>
      </w:r>
      <w:r w:rsidR="00426B09">
        <w:t xml:space="preserve">van </w:t>
      </w:r>
      <w:r w:rsidR="0061471A">
        <w:t>B</w:t>
      </w:r>
      <w:r w:rsidR="00426B09">
        <w:t xml:space="preserve">ijlage 5 bepaalt dat </w:t>
      </w:r>
      <w:r w:rsidR="00077BF9">
        <w:t xml:space="preserve">de </w:t>
      </w:r>
      <w:r w:rsidR="00FD1D4A">
        <w:t>v</w:t>
      </w:r>
      <w:r w:rsidR="00077BF9">
        <w:t xml:space="preserve">erdragsluitende </w:t>
      </w:r>
      <w:r w:rsidR="00FD1D4A">
        <w:t>p</w:t>
      </w:r>
      <w:r w:rsidR="00077BF9">
        <w:t xml:space="preserve">artijen uitzonderingen mogen toestaan voor </w:t>
      </w:r>
      <w:r w:rsidR="000036FD">
        <w:t xml:space="preserve">motorvoertuigen en aanhangwagens </w:t>
      </w:r>
      <w:r w:rsidR="00481977">
        <w:t>met een toegestane maximum constructiesnelheid van niet meer dan 30 km per uur of voertuigen met een toegestane maximum snelheid die door de nationale wet</w:t>
      </w:r>
      <w:r w:rsidR="00973A7A">
        <w:t>- en regel</w:t>
      </w:r>
      <w:r w:rsidR="00481977">
        <w:t>geving is beperkt tot 30 km per uur. De wijziging</w:t>
      </w:r>
      <w:r w:rsidR="0061471A">
        <w:t>en</w:t>
      </w:r>
      <w:r w:rsidR="00481977">
        <w:t xml:space="preserve"> in lid 60(b) en 60(c)</w:t>
      </w:r>
      <w:r w:rsidRPr="00481977" w:rsidR="00481977">
        <w:t xml:space="preserve"> </w:t>
      </w:r>
      <w:r w:rsidR="00481977">
        <w:t xml:space="preserve">betreffen een omschrijving van personen met beperkte mobiliteit. De wijziging in lid 60(e) betreft de toevoeging van een voorbeeld ‘zoals sneeuwploegen’. </w:t>
      </w:r>
      <w:r w:rsidR="001D609E">
        <w:t>Paragraaf 61 bepaal</w:t>
      </w:r>
      <w:r w:rsidR="007542EF">
        <w:t>t</w:t>
      </w:r>
      <w:r w:rsidR="001D609E">
        <w:t xml:space="preserve"> dat de verdragsluitende partijen uitzonderingen mogen toestaan voor door hun ingeschreven voertuigen die aan het internationale verkeer kunnen deelnemen. </w:t>
      </w:r>
      <w:r w:rsidR="000B18B7">
        <w:t>De paragrafen (a) en (e) worden geschrapt en de rest van de paragrafen vernummerd,</w:t>
      </w:r>
      <w:r w:rsidR="00195167">
        <w:t xml:space="preserve"> paragraaf 61(</w:t>
      </w:r>
      <w:r w:rsidR="000B18B7">
        <w:t xml:space="preserve">c) </w:t>
      </w:r>
      <w:r w:rsidR="00195167">
        <w:t>wordt</w:t>
      </w:r>
      <w:r w:rsidR="00E06BF3">
        <w:t xml:space="preserve"> de term zwaai- </w:t>
      </w:r>
      <w:r w:rsidR="00195167">
        <w:t>of</w:t>
      </w:r>
      <w:r w:rsidR="00E06BF3">
        <w:t xml:space="preserve"> knipperlichten</w:t>
      </w:r>
      <w:r w:rsidR="00195167">
        <w:t xml:space="preserve"> </w:t>
      </w:r>
      <w:r w:rsidR="00E06BF3">
        <w:t>voor</w:t>
      </w:r>
      <w:r w:rsidR="00195167">
        <w:t xml:space="preserve"> vervangen door</w:t>
      </w:r>
      <w:r w:rsidR="00E06BF3">
        <w:t xml:space="preserve"> speciale waarschuwingslichten</w:t>
      </w:r>
      <w:r w:rsidR="000B18B7">
        <w:t>.</w:t>
      </w:r>
      <w:r w:rsidR="00E06BF3">
        <w:t xml:space="preserve"> </w:t>
      </w:r>
      <w:r w:rsidR="000B18B7">
        <w:t>Door de toevoeging van paragraaf</w:t>
      </w:r>
      <w:r w:rsidR="00195167">
        <w:t xml:space="preserve"> 61(</w:t>
      </w:r>
      <w:r w:rsidR="000B18B7">
        <w:t>f</w:t>
      </w:r>
      <w:r w:rsidR="00195167">
        <w:t xml:space="preserve">) wordt </w:t>
      </w:r>
      <w:r w:rsidR="00157BEB">
        <w:t>het toestaan van witte opvallende markeringen aan de achterzijde van motorvoertuigen en aanhangwagens</w:t>
      </w:r>
      <w:r w:rsidR="00195167">
        <w:t xml:space="preserve"> </w:t>
      </w:r>
      <w:r w:rsidR="00241F13">
        <w:t>als uitzondering toe</w:t>
      </w:r>
      <w:r w:rsidR="00195167">
        <w:t>gevoegd</w:t>
      </w:r>
      <w:r w:rsidR="00157BEB">
        <w:t>.</w:t>
      </w:r>
      <w:r w:rsidRPr="00E42C84" w:rsidR="00E42C84">
        <w:t xml:space="preserve"> </w:t>
      </w:r>
      <w:r w:rsidR="00E42C84">
        <w:t>H</w:t>
      </w:r>
      <w:r w:rsidRPr="00E42C84" w:rsidR="00E42C84">
        <w:t>et schrappen van het Aanhangsel (Definitie van kleurenfilters ter verkrijging van de in Bijlage 5 genoemde kleuren) betref</w:t>
      </w:r>
      <w:r w:rsidR="00E42C84">
        <w:t>t</w:t>
      </w:r>
      <w:r w:rsidRPr="00E42C84" w:rsidR="00E42C84">
        <w:t xml:space="preserve"> </w:t>
      </w:r>
      <w:r w:rsidR="00E42C84">
        <w:t xml:space="preserve">een </w:t>
      </w:r>
      <w:r w:rsidRPr="00E42C84" w:rsidR="00E42C84">
        <w:t xml:space="preserve">wijziging om te zorgen voor consistentie met </w:t>
      </w:r>
      <w:r w:rsidR="005E6B47">
        <w:t>de VN-</w:t>
      </w:r>
      <w:r w:rsidR="00E42C84">
        <w:t>reglementen</w:t>
      </w:r>
      <w:r w:rsidRPr="00E42C84" w:rsidR="00E42C84">
        <w:t>.</w:t>
      </w:r>
    </w:p>
    <w:p w:rsidR="00184455" w:rsidP="00184455" w:rsidRDefault="00184455" w14:paraId="075E90D8" w14:textId="41F8E126">
      <w:pPr>
        <w:rPr>
          <w:u w:val="single"/>
        </w:rPr>
      </w:pPr>
      <w:r>
        <w:rPr>
          <w:u w:val="single"/>
        </w:rPr>
        <w:t>4.</w:t>
      </w:r>
      <w:r>
        <w:rPr>
          <w:u w:val="single"/>
        </w:rPr>
        <w:tab/>
        <w:t>Een</w:t>
      </w:r>
      <w:r w:rsidR="00930180">
        <w:rPr>
          <w:u w:val="single"/>
        </w:rPr>
        <w:t xml:space="preserve"> </w:t>
      </w:r>
      <w:r>
        <w:rPr>
          <w:u w:val="single"/>
        </w:rPr>
        <w:t>ieder verbindende bepalingen</w:t>
      </w:r>
    </w:p>
    <w:p w:rsidR="00184455" w:rsidP="00184455" w:rsidRDefault="00184455" w14:paraId="51E775F1" w14:textId="0E784EED">
      <w:r>
        <w:t xml:space="preserve">De wijzigingen van 9 augustus 2023 van het </w:t>
      </w:r>
      <w:r w:rsidR="000E0EA3">
        <w:t>V</w:t>
      </w:r>
      <w:r>
        <w:t xml:space="preserve">erdrag betreffen verplichtingen tussen </w:t>
      </w:r>
      <w:r w:rsidR="00FD1D4A">
        <w:t>v</w:t>
      </w:r>
      <w:r>
        <w:t xml:space="preserve">erdragsluitende </w:t>
      </w:r>
      <w:r w:rsidR="00FD1D4A">
        <w:t>p</w:t>
      </w:r>
      <w:r>
        <w:t>artijen maar bevatten naar het oordeel van de regering een</w:t>
      </w:r>
      <w:r w:rsidR="000E0EA3">
        <w:t xml:space="preserve"> </w:t>
      </w:r>
      <w:r>
        <w:t xml:space="preserve">ieder verbindende bepalingen in de zin van de artikelen 93 en 94 van de Grondwet die aan rechtssubjecten rechtstreeks rechten toekennen of plichten opleggen. Het betreft de wijzigingen van </w:t>
      </w:r>
      <w:r w:rsidR="00E968AB">
        <w:t>a</w:t>
      </w:r>
      <w:r>
        <w:t>rtikel 25</w:t>
      </w:r>
      <w:r w:rsidRPr="0072326D">
        <w:rPr>
          <w:i/>
          <w:iCs/>
        </w:rPr>
        <w:t>bis</w:t>
      </w:r>
      <w:r>
        <w:t xml:space="preserve">, </w:t>
      </w:r>
      <w:r w:rsidR="008F396E">
        <w:t xml:space="preserve">tweede </w:t>
      </w:r>
      <w:r w:rsidR="00E968AB">
        <w:t>lid,</w:t>
      </w:r>
      <w:r>
        <w:t xml:space="preserve"> en artikel 32,</w:t>
      </w:r>
      <w:r w:rsidR="004639BF">
        <w:t xml:space="preserve"> </w:t>
      </w:r>
      <w:r w:rsidR="007133AA">
        <w:t xml:space="preserve">met uitzondering van het vierde, </w:t>
      </w:r>
      <w:r w:rsidR="0060626C">
        <w:t xml:space="preserve">zesde, </w:t>
      </w:r>
      <w:r w:rsidR="007133AA">
        <w:t>zevende, elfde en veertiende lid, onder</w:t>
      </w:r>
      <w:r w:rsidR="0060626C">
        <w:t>deel</w:t>
      </w:r>
      <w:r w:rsidR="007133AA">
        <w:t xml:space="preserve"> c</w:t>
      </w:r>
      <w:r w:rsidR="005623DA">
        <w:t>,</w:t>
      </w:r>
      <w:r w:rsidR="007133AA">
        <w:t xml:space="preserve"> </w:t>
      </w:r>
      <w:r w:rsidR="003869A1">
        <w:t>de bepalingen van</w:t>
      </w:r>
      <w:r>
        <w:t xml:space="preserve"> Bijlage 1</w:t>
      </w:r>
      <w:r w:rsidR="003869A1">
        <w:t>, met uitzondering van paragraaf 8</w:t>
      </w:r>
      <w:r w:rsidR="007133AA">
        <w:t xml:space="preserve">, en </w:t>
      </w:r>
      <w:r w:rsidR="002C765C">
        <w:t>de bepalingen</w:t>
      </w:r>
      <w:r w:rsidR="003269F3">
        <w:t xml:space="preserve"> </w:t>
      </w:r>
      <w:r w:rsidR="003869A1">
        <w:t>van</w:t>
      </w:r>
      <w:r w:rsidR="00407AB4">
        <w:t xml:space="preserve"> </w:t>
      </w:r>
      <w:r w:rsidR="007133AA">
        <w:t xml:space="preserve">Bijlage 5, met uitzondering </w:t>
      </w:r>
      <w:r w:rsidR="003A0450">
        <w:t>van</w:t>
      </w:r>
      <w:r w:rsidR="004639BF">
        <w:t xml:space="preserve"> </w:t>
      </w:r>
      <w:r w:rsidR="002C765C">
        <w:t>de paragrafen 19</w:t>
      </w:r>
      <w:r w:rsidR="003869A1">
        <w:t>,</w:t>
      </w:r>
      <w:r w:rsidR="002C765C">
        <w:t xml:space="preserve"> a tot en met x, 21.3, 28.2</w:t>
      </w:r>
      <w:r w:rsidR="003A0450">
        <w:t xml:space="preserve">, </w:t>
      </w:r>
      <w:r w:rsidR="002C765C">
        <w:t>6</w:t>
      </w:r>
      <w:r w:rsidR="007133AA">
        <w:t xml:space="preserve">0 en </w:t>
      </w:r>
      <w:r w:rsidR="0060626C">
        <w:t>6</w:t>
      </w:r>
      <w:r w:rsidR="007133AA">
        <w:t xml:space="preserve">1.  </w:t>
      </w:r>
    </w:p>
    <w:p w:rsidRPr="00F61A40" w:rsidR="000036FD" w:rsidP="000036FD" w:rsidRDefault="000036FD" w14:paraId="68692E64" w14:textId="77777777">
      <w:pPr>
        <w:rPr>
          <w:u w:val="single"/>
        </w:rPr>
      </w:pPr>
      <w:r w:rsidRPr="00F61A40">
        <w:rPr>
          <w:u w:val="single"/>
        </w:rPr>
        <w:t>5.</w:t>
      </w:r>
      <w:r w:rsidRPr="00F61A40">
        <w:rPr>
          <w:u w:val="single"/>
        </w:rPr>
        <w:tab/>
        <w:t xml:space="preserve">Koninkrijkspositie </w:t>
      </w:r>
    </w:p>
    <w:p w:rsidR="000036FD" w:rsidP="000036FD" w:rsidRDefault="000036FD" w14:paraId="48B6D072" w14:textId="1D46C722">
      <w:r>
        <w:t>Wat betreft het Koninkrijk der Nederlanden z</w:t>
      </w:r>
      <w:r w:rsidR="00AD4533">
        <w:t>ullen</w:t>
      </w:r>
      <w:r>
        <w:t xml:space="preserve"> de wijziging</w:t>
      </w:r>
      <w:r w:rsidR="00AD4533">
        <w:t>en</w:t>
      </w:r>
      <w:r>
        <w:t xml:space="preserve"> van 9 augustus 2023 van het </w:t>
      </w:r>
      <w:r w:rsidR="0081180C">
        <w:t>V</w:t>
      </w:r>
      <w:r>
        <w:t>erdrag</w:t>
      </w:r>
      <w:r w:rsidR="00FC171D">
        <w:t xml:space="preserve"> en van Bijlage 1 en Bijlage 5</w:t>
      </w:r>
      <w:r w:rsidR="00E34752">
        <w:t xml:space="preserve"> </w:t>
      </w:r>
      <w:r w:rsidR="00863797">
        <w:t xml:space="preserve">bij </w:t>
      </w:r>
      <w:r w:rsidR="00E34752">
        <w:t>het Verdrag</w:t>
      </w:r>
      <w:r>
        <w:t xml:space="preserve">, evenals het </w:t>
      </w:r>
      <w:r w:rsidR="0081180C">
        <w:t>V</w:t>
      </w:r>
      <w:r>
        <w:t>erdrag, voor het Europese deel van Nederland gelden.</w:t>
      </w:r>
    </w:p>
    <w:p w:rsidRPr="004757B9" w:rsidR="007D60E5" w:rsidP="000036FD" w:rsidRDefault="007D60E5" w14:paraId="5D264CF3" w14:textId="0A8E3D34"/>
    <w:p w:rsidR="007D60E5" w:rsidP="007D60E5" w:rsidRDefault="007D60E5" w14:paraId="4B9E5DC4" w14:textId="28221029">
      <w:r>
        <w:t>De Minister van Infrastructuur en Waterstaat,</w:t>
      </w:r>
    </w:p>
    <w:p w:rsidR="00B81346" w:rsidP="007D60E5" w:rsidRDefault="00B81346" w14:paraId="3DD2AA2B" w14:textId="157FAD3C"/>
    <w:p w:rsidR="00B81346" w:rsidP="007D60E5" w:rsidRDefault="00B81346" w14:paraId="5E25845A" w14:textId="77777777"/>
    <w:p w:rsidR="007D60E5" w:rsidP="007D60E5" w:rsidRDefault="007D60E5" w14:paraId="6D14580F" w14:textId="77777777">
      <w:r>
        <w:t>De Minister van Buitenlandse Zaken,</w:t>
      </w:r>
    </w:p>
    <w:p w:rsidR="007D60E5" w:rsidP="007D60E5" w:rsidRDefault="007D60E5" w14:paraId="0DCEB8E7" w14:textId="1333F7D2"/>
    <w:sectPr w:rsidR="007D60E5" w:rsidSect="000B17E1">
      <w:pgSz w:w="11906" w:h="16838"/>
      <w:pgMar w:top="1440" w:right="1440" w:bottom="284"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52BF" w14:textId="77777777" w:rsidR="00A06257" w:rsidRDefault="00A06257" w:rsidP="00072CE2">
      <w:pPr>
        <w:spacing w:after="0" w:line="240" w:lineRule="auto"/>
      </w:pPr>
      <w:r>
        <w:separator/>
      </w:r>
    </w:p>
  </w:endnote>
  <w:endnote w:type="continuationSeparator" w:id="0">
    <w:p w14:paraId="356C51ED" w14:textId="77777777" w:rsidR="00A06257" w:rsidRDefault="00A06257" w:rsidP="0007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8EFA" w14:textId="77777777" w:rsidR="00A06257" w:rsidRDefault="00A06257" w:rsidP="00072CE2">
      <w:pPr>
        <w:spacing w:after="0" w:line="240" w:lineRule="auto"/>
      </w:pPr>
      <w:r>
        <w:separator/>
      </w:r>
    </w:p>
  </w:footnote>
  <w:footnote w:type="continuationSeparator" w:id="0">
    <w:p w14:paraId="56BD6B9F" w14:textId="77777777" w:rsidR="00A06257" w:rsidRDefault="00A06257" w:rsidP="00072CE2">
      <w:pPr>
        <w:spacing w:after="0" w:line="240" w:lineRule="auto"/>
      </w:pPr>
      <w:r>
        <w:continuationSeparator/>
      </w:r>
    </w:p>
  </w:footnote>
  <w:footnote w:id="1">
    <w:p w14:paraId="03AEBC0A" w14:textId="17BD67FD" w:rsidR="00072CE2" w:rsidRPr="00072CE2" w:rsidRDefault="00072CE2">
      <w:pPr>
        <w:pStyle w:val="Voetnoottekst"/>
      </w:pPr>
      <w:r>
        <w:rPr>
          <w:rStyle w:val="Voetnootmarkering"/>
        </w:rPr>
        <w:footnoteRef/>
      </w:r>
      <w:r>
        <w:t xml:space="preserve"> Zie tekst Resolutie No 22 van 11 maart 1950, via link https://unece.org/establishment-wp1</w:t>
      </w:r>
    </w:p>
  </w:footnote>
  <w:footnote w:id="2">
    <w:p w14:paraId="7D205686" w14:textId="02058250" w:rsidR="00022B4D" w:rsidRPr="00022B4D" w:rsidRDefault="00022B4D">
      <w:pPr>
        <w:pStyle w:val="Voetnoottekst"/>
        <w:rPr>
          <w:lang w:val="en-US"/>
        </w:rPr>
      </w:pPr>
      <w:r>
        <w:rPr>
          <w:rStyle w:val="Voetnootmarkering"/>
        </w:rPr>
        <w:footnoteRef/>
      </w:r>
      <w:r w:rsidRPr="00022B4D">
        <w:rPr>
          <w:lang w:val="en-US"/>
        </w:rPr>
        <w:t xml:space="preserve"> </w:t>
      </w:r>
      <w:r w:rsidR="005F39E3">
        <w:fldChar w:fldCharType="begin"/>
      </w:r>
      <w:r w:rsidR="005F39E3" w:rsidRPr="005F39E3">
        <w:rPr>
          <w:lang w:val="en-US"/>
        </w:rPr>
        <w:instrText>HYPERLINK "https://unece.org/sites/default/files/2023-03/ECE-TRANS-WP1-2017-1-Rev3e.pdf"</w:instrText>
      </w:r>
      <w:r w:rsidR="005F39E3">
        <w:fldChar w:fldCharType="separate"/>
      </w:r>
      <w:r w:rsidRPr="00022B4D">
        <w:rPr>
          <w:rStyle w:val="Hyperlink"/>
          <w:lang w:val="en-US"/>
        </w:rPr>
        <w:t>ECE/TRANS/WP.1/2017/1/Rev.2 (unece.org)</w:t>
      </w:r>
      <w:r w:rsidR="005F39E3">
        <w:rPr>
          <w:rStyle w:val="Hyperlink"/>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0F4C"/>
    <w:multiLevelType w:val="hybridMultilevel"/>
    <w:tmpl w:val="1388CAC2"/>
    <w:lvl w:ilvl="0" w:tplc="8E5CF746">
      <w:start w:val="1"/>
      <w:numFmt w:val="decimal"/>
      <w:lvlText w:val="%1."/>
      <w:lvlJc w:val="left"/>
      <w:pPr>
        <w:ind w:left="1265" w:hanging="569"/>
      </w:pPr>
      <w:rPr>
        <w:rFonts w:ascii="Times New Roman" w:eastAsia="Times New Roman" w:hAnsi="Times New Roman" w:cs="Times New Roman" w:hint="default"/>
        <w:b w:val="0"/>
        <w:bCs w:val="0"/>
        <w:i w:val="0"/>
        <w:iCs w:val="0"/>
        <w:spacing w:val="0"/>
        <w:w w:val="99"/>
        <w:sz w:val="20"/>
        <w:szCs w:val="20"/>
        <w:lang w:val="en-US" w:eastAsia="en-US" w:bidi="ar-SA"/>
      </w:rPr>
    </w:lvl>
    <w:lvl w:ilvl="1" w:tplc="04130019">
      <w:start w:val="1"/>
      <w:numFmt w:val="lowerLetter"/>
      <w:lvlText w:val="%2."/>
      <w:lvlJc w:val="left"/>
      <w:pPr>
        <w:ind w:left="1058" w:hanging="360"/>
      </w:pPr>
    </w:lvl>
    <w:lvl w:ilvl="2" w:tplc="249029E2">
      <w:numFmt w:val="bullet"/>
      <w:lvlText w:val="•"/>
      <w:lvlJc w:val="left"/>
      <w:pPr>
        <w:ind w:left="3231" w:hanging="567"/>
      </w:pPr>
      <w:rPr>
        <w:lang w:val="en-US" w:eastAsia="en-US" w:bidi="ar-SA"/>
      </w:rPr>
    </w:lvl>
    <w:lvl w:ilvl="3" w:tplc="3CE45AFC">
      <w:numFmt w:val="bullet"/>
      <w:lvlText w:val="•"/>
      <w:lvlJc w:val="left"/>
      <w:pPr>
        <w:ind w:left="4063" w:hanging="567"/>
      </w:pPr>
      <w:rPr>
        <w:lang w:val="en-US" w:eastAsia="en-US" w:bidi="ar-SA"/>
      </w:rPr>
    </w:lvl>
    <w:lvl w:ilvl="4" w:tplc="0FA23C60">
      <w:numFmt w:val="bullet"/>
      <w:lvlText w:val="•"/>
      <w:lvlJc w:val="left"/>
      <w:pPr>
        <w:ind w:left="4895" w:hanging="567"/>
      </w:pPr>
      <w:rPr>
        <w:lang w:val="en-US" w:eastAsia="en-US" w:bidi="ar-SA"/>
      </w:rPr>
    </w:lvl>
    <w:lvl w:ilvl="5" w:tplc="B9CA083A">
      <w:numFmt w:val="bullet"/>
      <w:lvlText w:val="•"/>
      <w:lvlJc w:val="left"/>
      <w:pPr>
        <w:ind w:left="5727" w:hanging="567"/>
      </w:pPr>
      <w:rPr>
        <w:lang w:val="en-US" w:eastAsia="en-US" w:bidi="ar-SA"/>
      </w:rPr>
    </w:lvl>
    <w:lvl w:ilvl="6" w:tplc="F44A3DA8">
      <w:numFmt w:val="bullet"/>
      <w:lvlText w:val="•"/>
      <w:lvlJc w:val="left"/>
      <w:pPr>
        <w:ind w:left="6559" w:hanging="567"/>
      </w:pPr>
      <w:rPr>
        <w:lang w:val="en-US" w:eastAsia="en-US" w:bidi="ar-SA"/>
      </w:rPr>
    </w:lvl>
    <w:lvl w:ilvl="7" w:tplc="C0A047A4">
      <w:numFmt w:val="bullet"/>
      <w:lvlText w:val="•"/>
      <w:lvlJc w:val="left"/>
      <w:pPr>
        <w:ind w:left="7390" w:hanging="567"/>
      </w:pPr>
      <w:rPr>
        <w:lang w:val="en-US" w:eastAsia="en-US" w:bidi="ar-SA"/>
      </w:rPr>
    </w:lvl>
    <w:lvl w:ilvl="8" w:tplc="EF7E6080">
      <w:numFmt w:val="bullet"/>
      <w:lvlText w:val="•"/>
      <w:lvlJc w:val="left"/>
      <w:pPr>
        <w:ind w:left="8222" w:hanging="567"/>
      </w:pPr>
      <w:rPr>
        <w:lang w:val="en-US" w:eastAsia="en-US" w:bidi="ar-SA"/>
      </w:rPr>
    </w:lvl>
  </w:abstractNum>
  <w:num w:numId="1" w16cid:durableId="58399927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FD"/>
    <w:rsid w:val="00000CC0"/>
    <w:rsid w:val="000036FD"/>
    <w:rsid w:val="000115BB"/>
    <w:rsid w:val="00017269"/>
    <w:rsid w:val="00022B4D"/>
    <w:rsid w:val="00023BC2"/>
    <w:rsid w:val="00047C25"/>
    <w:rsid w:val="00057F1E"/>
    <w:rsid w:val="00062016"/>
    <w:rsid w:val="00067CEC"/>
    <w:rsid w:val="00072CE2"/>
    <w:rsid w:val="00077BF9"/>
    <w:rsid w:val="00092386"/>
    <w:rsid w:val="00093AB5"/>
    <w:rsid w:val="000A3CF9"/>
    <w:rsid w:val="000A7A7C"/>
    <w:rsid w:val="000B030A"/>
    <w:rsid w:val="000B0C71"/>
    <w:rsid w:val="000B17E1"/>
    <w:rsid w:val="000B18B7"/>
    <w:rsid w:val="000B1C34"/>
    <w:rsid w:val="000D2A3E"/>
    <w:rsid w:val="000D7128"/>
    <w:rsid w:val="000E0EA3"/>
    <w:rsid w:val="000E275D"/>
    <w:rsid w:val="000F1400"/>
    <w:rsid w:val="000F464F"/>
    <w:rsid w:val="000F733B"/>
    <w:rsid w:val="0014227F"/>
    <w:rsid w:val="00144FBD"/>
    <w:rsid w:val="00157BEB"/>
    <w:rsid w:val="0016249A"/>
    <w:rsid w:val="0016473A"/>
    <w:rsid w:val="00173BE1"/>
    <w:rsid w:val="00176F98"/>
    <w:rsid w:val="00177D94"/>
    <w:rsid w:val="00184455"/>
    <w:rsid w:val="00195167"/>
    <w:rsid w:val="001A3C61"/>
    <w:rsid w:val="001B2B19"/>
    <w:rsid w:val="001D3B71"/>
    <w:rsid w:val="001D609E"/>
    <w:rsid w:val="002045B9"/>
    <w:rsid w:val="00217A59"/>
    <w:rsid w:val="00230BBF"/>
    <w:rsid w:val="0023566E"/>
    <w:rsid w:val="00241F13"/>
    <w:rsid w:val="00253694"/>
    <w:rsid w:val="00257334"/>
    <w:rsid w:val="0028264E"/>
    <w:rsid w:val="002925E5"/>
    <w:rsid w:val="002B6562"/>
    <w:rsid w:val="002C1F2F"/>
    <w:rsid w:val="002C7212"/>
    <w:rsid w:val="002C765C"/>
    <w:rsid w:val="002D235F"/>
    <w:rsid w:val="002E03E1"/>
    <w:rsid w:val="002E1524"/>
    <w:rsid w:val="002E3740"/>
    <w:rsid w:val="002E5C11"/>
    <w:rsid w:val="00303801"/>
    <w:rsid w:val="00304D9A"/>
    <w:rsid w:val="003054B5"/>
    <w:rsid w:val="003070DD"/>
    <w:rsid w:val="00325451"/>
    <w:rsid w:val="003269F3"/>
    <w:rsid w:val="003433B0"/>
    <w:rsid w:val="00352757"/>
    <w:rsid w:val="00385A1A"/>
    <w:rsid w:val="003869A1"/>
    <w:rsid w:val="00393F23"/>
    <w:rsid w:val="003A0450"/>
    <w:rsid w:val="003A30E1"/>
    <w:rsid w:val="003B5B69"/>
    <w:rsid w:val="003C06FE"/>
    <w:rsid w:val="003C0F39"/>
    <w:rsid w:val="003D4326"/>
    <w:rsid w:val="003E1430"/>
    <w:rsid w:val="003F0215"/>
    <w:rsid w:val="003F0FAC"/>
    <w:rsid w:val="003F6A80"/>
    <w:rsid w:val="003F6FD6"/>
    <w:rsid w:val="00407AB4"/>
    <w:rsid w:val="00407E6D"/>
    <w:rsid w:val="00422176"/>
    <w:rsid w:val="00426B09"/>
    <w:rsid w:val="0043055D"/>
    <w:rsid w:val="004331FA"/>
    <w:rsid w:val="0044587A"/>
    <w:rsid w:val="0044713D"/>
    <w:rsid w:val="004639BF"/>
    <w:rsid w:val="004757B9"/>
    <w:rsid w:val="004816EF"/>
    <w:rsid w:val="00481977"/>
    <w:rsid w:val="004842EF"/>
    <w:rsid w:val="004944BE"/>
    <w:rsid w:val="0049484A"/>
    <w:rsid w:val="004961EA"/>
    <w:rsid w:val="004A6D01"/>
    <w:rsid w:val="004C6506"/>
    <w:rsid w:val="004C7CAA"/>
    <w:rsid w:val="004D7C51"/>
    <w:rsid w:val="004E3A6F"/>
    <w:rsid w:val="004F0519"/>
    <w:rsid w:val="004F27D2"/>
    <w:rsid w:val="00510539"/>
    <w:rsid w:val="00521885"/>
    <w:rsid w:val="0053419B"/>
    <w:rsid w:val="005343CA"/>
    <w:rsid w:val="005451DC"/>
    <w:rsid w:val="00546ECC"/>
    <w:rsid w:val="005623DA"/>
    <w:rsid w:val="005769FA"/>
    <w:rsid w:val="00580C41"/>
    <w:rsid w:val="00595C94"/>
    <w:rsid w:val="00597B70"/>
    <w:rsid w:val="005A7204"/>
    <w:rsid w:val="005E6B47"/>
    <w:rsid w:val="005F39E3"/>
    <w:rsid w:val="0060626C"/>
    <w:rsid w:val="0061471A"/>
    <w:rsid w:val="00640F58"/>
    <w:rsid w:val="0064192E"/>
    <w:rsid w:val="006672F5"/>
    <w:rsid w:val="00673EDE"/>
    <w:rsid w:val="00685FD6"/>
    <w:rsid w:val="006C22B3"/>
    <w:rsid w:val="006D1DE8"/>
    <w:rsid w:val="006F2FB7"/>
    <w:rsid w:val="007058B3"/>
    <w:rsid w:val="00707B8A"/>
    <w:rsid w:val="00710844"/>
    <w:rsid w:val="00712C95"/>
    <w:rsid w:val="007133AA"/>
    <w:rsid w:val="00717DC8"/>
    <w:rsid w:val="0072326D"/>
    <w:rsid w:val="00731FEA"/>
    <w:rsid w:val="007542EF"/>
    <w:rsid w:val="00755C2C"/>
    <w:rsid w:val="00756AC4"/>
    <w:rsid w:val="007657B6"/>
    <w:rsid w:val="0078406D"/>
    <w:rsid w:val="00793B25"/>
    <w:rsid w:val="00795B3B"/>
    <w:rsid w:val="007B6BB5"/>
    <w:rsid w:val="007D004D"/>
    <w:rsid w:val="007D2DEA"/>
    <w:rsid w:val="007D60E5"/>
    <w:rsid w:val="007D763E"/>
    <w:rsid w:val="007E74FF"/>
    <w:rsid w:val="007F2562"/>
    <w:rsid w:val="00801E58"/>
    <w:rsid w:val="0081180C"/>
    <w:rsid w:val="00820420"/>
    <w:rsid w:val="00824C77"/>
    <w:rsid w:val="0083037B"/>
    <w:rsid w:val="008461CD"/>
    <w:rsid w:val="00863797"/>
    <w:rsid w:val="00874A2A"/>
    <w:rsid w:val="0087669C"/>
    <w:rsid w:val="00883F11"/>
    <w:rsid w:val="00893D1A"/>
    <w:rsid w:val="008A0B29"/>
    <w:rsid w:val="008E329F"/>
    <w:rsid w:val="008F068B"/>
    <w:rsid w:val="008F396E"/>
    <w:rsid w:val="008F7AC2"/>
    <w:rsid w:val="00906602"/>
    <w:rsid w:val="0091244C"/>
    <w:rsid w:val="009129EC"/>
    <w:rsid w:val="009240F7"/>
    <w:rsid w:val="00930180"/>
    <w:rsid w:val="00957C50"/>
    <w:rsid w:val="00972EA9"/>
    <w:rsid w:val="00973A7A"/>
    <w:rsid w:val="009809E3"/>
    <w:rsid w:val="009879E1"/>
    <w:rsid w:val="00997308"/>
    <w:rsid w:val="009B3B57"/>
    <w:rsid w:val="009B53C9"/>
    <w:rsid w:val="009C063E"/>
    <w:rsid w:val="009D099E"/>
    <w:rsid w:val="009F0784"/>
    <w:rsid w:val="00A00B69"/>
    <w:rsid w:val="00A06257"/>
    <w:rsid w:val="00A21B4C"/>
    <w:rsid w:val="00A35753"/>
    <w:rsid w:val="00A476BB"/>
    <w:rsid w:val="00A5623B"/>
    <w:rsid w:val="00A73405"/>
    <w:rsid w:val="00A91412"/>
    <w:rsid w:val="00AB0C21"/>
    <w:rsid w:val="00AB7E93"/>
    <w:rsid w:val="00AD4533"/>
    <w:rsid w:val="00AD4E1C"/>
    <w:rsid w:val="00AE3679"/>
    <w:rsid w:val="00AE4DEA"/>
    <w:rsid w:val="00AF5DB9"/>
    <w:rsid w:val="00B107E2"/>
    <w:rsid w:val="00B43C70"/>
    <w:rsid w:val="00B44E1C"/>
    <w:rsid w:val="00B5454D"/>
    <w:rsid w:val="00B55FD9"/>
    <w:rsid w:val="00B62BF7"/>
    <w:rsid w:val="00B81346"/>
    <w:rsid w:val="00B84A2B"/>
    <w:rsid w:val="00B90135"/>
    <w:rsid w:val="00BA6B87"/>
    <w:rsid w:val="00BB0B10"/>
    <w:rsid w:val="00BB3919"/>
    <w:rsid w:val="00BC40E6"/>
    <w:rsid w:val="00BE327C"/>
    <w:rsid w:val="00BF2ADF"/>
    <w:rsid w:val="00C24694"/>
    <w:rsid w:val="00C2717E"/>
    <w:rsid w:val="00C328C6"/>
    <w:rsid w:val="00C36CD5"/>
    <w:rsid w:val="00C74109"/>
    <w:rsid w:val="00C75638"/>
    <w:rsid w:val="00C84372"/>
    <w:rsid w:val="00CB2081"/>
    <w:rsid w:val="00CC4AE2"/>
    <w:rsid w:val="00CC6BB5"/>
    <w:rsid w:val="00CC7F65"/>
    <w:rsid w:val="00CD76ED"/>
    <w:rsid w:val="00CE467C"/>
    <w:rsid w:val="00CF33E7"/>
    <w:rsid w:val="00D00BAB"/>
    <w:rsid w:val="00D10D45"/>
    <w:rsid w:val="00D17EE7"/>
    <w:rsid w:val="00D23454"/>
    <w:rsid w:val="00D24808"/>
    <w:rsid w:val="00D635F4"/>
    <w:rsid w:val="00D67B6C"/>
    <w:rsid w:val="00D74B59"/>
    <w:rsid w:val="00D95AAC"/>
    <w:rsid w:val="00DA7939"/>
    <w:rsid w:val="00DB0121"/>
    <w:rsid w:val="00DC00D2"/>
    <w:rsid w:val="00DC00FD"/>
    <w:rsid w:val="00DE11C0"/>
    <w:rsid w:val="00E06BF3"/>
    <w:rsid w:val="00E07BD0"/>
    <w:rsid w:val="00E1723F"/>
    <w:rsid w:val="00E34752"/>
    <w:rsid w:val="00E3521E"/>
    <w:rsid w:val="00E36725"/>
    <w:rsid w:val="00E37C88"/>
    <w:rsid w:val="00E40ED0"/>
    <w:rsid w:val="00E42C84"/>
    <w:rsid w:val="00E74C46"/>
    <w:rsid w:val="00E917C2"/>
    <w:rsid w:val="00E91EFA"/>
    <w:rsid w:val="00E94183"/>
    <w:rsid w:val="00E968AB"/>
    <w:rsid w:val="00EA2FF2"/>
    <w:rsid w:val="00EA4A54"/>
    <w:rsid w:val="00EB6B8D"/>
    <w:rsid w:val="00ED791E"/>
    <w:rsid w:val="00EE0A75"/>
    <w:rsid w:val="00EF531C"/>
    <w:rsid w:val="00F0795B"/>
    <w:rsid w:val="00F1253D"/>
    <w:rsid w:val="00F34233"/>
    <w:rsid w:val="00F43D7C"/>
    <w:rsid w:val="00F52365"/>
    <w:rsid w:val="00F61A40"/>
    <w:rsid w:val="00F65C79"/>
    <w:rsid w:val="00F65FD9"/>
    <w:rsid w:val="00F7044B"/>
    <w:rsid w:val="00F82879"/>
    <w:rsid w:val="00F9147F"/>
    <w:rsid w:val="00FB0A19"/>
    <w:rsid w:val="00FB21DD"/>
    <w:rsid w:val="00FB7A6E"/>
    <w:rsid w:val="00FC171D"/>
    <w:rsid w:val="00FC28C9"/>
    <w:rsid w:val="00FC6B19"/>
    <w:rsid w:val="00FD1D4A"/>
    <w:rsid w:val="00FD3EB1"/>
    <w:rsid w:val="00FD7A67"/>
    <w:rsid w:val="00FF4A1E"/>
    <w:rsid w:val="00FF6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91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0036FD"/>
    <w:pPr>
      <w:spacing w:after="0" w:line="240" w:lineRule="auto"/>
    </w:pPr>
  </w:style>
  <w:style w:type="paragraph" w:styleId="Voetnoottekst">
    <w:name w:val="footnote text"/>
    <w:basedOn w:val="Standaard"/>
    <w:link w:val="VoetnoottekstChar"/>
    <w:uiPriority w:val="99"/>
    <w:semiHidden/>
    <w:unhideWhenUsed/>
    <w:rsid w:val="00072C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2CE2"/>
    <w:rPr>
      <w:sz w:val="20"/>
      <w:szCs w:val="20"/>
    </w:rPr>
  </w:style>
  <w:style w:type="character" w:styleId="Voetnootmarkering">
    <w:name w:val="footnote reference"/>
    <w:basedOn w:val="Standaardalinea-lettertype"/>
    <w:uiPriority w:val="99"/>
    <w:semiHidden/>
    <w:unhideWhenUsed/>
    <w:rsid w:val="00072CE2"/>
    <w:rPr>
      <w:vertAlign w:val="superscript"/>
    </w:rPr>
  </w:style>
  <w:style w:type="character" w:styleId="Verwijzingopmerking">
    <w:name w:val="annotation reference"/>
    <w:basedOn w:val="Standaardalinea-lettertype"/>
    <w:uiPriority w:val="99"/>
    <w:semiHidden/>
    <w:unhideWhenUsed/>
    <w:rsid w:val="00C74109"/>
    <w:rPr>
      <w:sz w:val="16"/>
      <w:szCs w:val="16"/>
    </w:rPr>
  </w:style>
  <w:style w:type="paragraph" w:styleId="Tekstopmerking">
    <w:name w:val="annotation text"/>
    <w:basedOn w:val="Standaard"/>
    <w:link w:val="TekstopmerkingChar"/>
    <w:uiPriority w:val="99"/>
    <w:unhideWhenUsed/>
    <w:rsid w:val="00C74109"/>
    <w:pPr>
      <w:spacing w:line="240" w:lineRule="auto"/>
    </w:pPr>
    <w:rPr>
      <w:sz w:val="20"/>
      <w:szCs w:val="20"/>
    </w:rPr>
  </w:style>
  <w:style w:type="character" w:customStyle="1" w:styleId="TekstopmerkingChar">
    <w:name w:val="Tekst opmerking Char"/>
    <w:basedOn w:val="Standaardalinea-lettertype"/>
    <w:link w:val="Tekstopmerking"/>
    <w:uiPriority w:val="99"/>
    <w:rsid w:val="00C74109"/>
    <w:rPr>
      <w:sz w:val="20"/>
      <w:szCs w:val="20"/>
    </w:rPr>
  </w:style>
  <w:style w:type="paragraph" w:styleId="Onderwerpvanopmerking">
    <w:name w:val="annotation subject"/>
    <w:basedOn w:val="Tekstopmerking"/>
    <w:next w:val="Tekstopmerking"/>
    <w:link w:val="OnderwerpvanopmerkingChar"/>
    <w:uiPriority w:val="99"/>
    <w:semiHidden/>
    <w:unhideWhenUsed/>
    <w:rsid w:val="00C74109"/>
    <w:rPr>
      <w:b/>
      <w:bCs/>
    </w:rPr>
  </w:style>
  <w:style w:type="character" w:customStyle="1" w:styleId="OnderwerpvanopmerkingChar">
    <w:name w:val="Onderwerp van opmerking Char"/>
    <w:basedOn w:val="TekstopmerkingChar"/>
    <w:link w:val="Onderwerpvanopmerking"/>
    <w:uiPriority w:val="99"/>
    <w:semiHidden/>
    <w:rsid w:val="00C74109"/>
    <w:rPr>
      <w:b/>
      <w:bCs/>
      <w:sz w:val="20"/>
      <w:szCs w:val="20"/>
    </w:rPr>
  </w:style>
  <w:style w:type="character" w:styleId="Hyperlink">
    <w:name w:val="Hyperlink"/>
    <w:basedOn w:val="Standaardalinea-lettertype"/>
    <w:uiPriority w:val="99"/>
    <w:unhideWhenUsed/>
    <w:rsid w:val="00FB7A6E"/>
    <w:rPr>
      <w:color w:val="0563C1" w:themeColor="hyperlink"/>
      <w:u w:val="single"/>
    </w:rPr>
  </w:style>
  <w:style w:type="character" w:styleId="Onopgelostemelding">
    <w:name w:val="Unresolved Mention"/>
    <w:basedOn w:val="Standaardalinea-lettertype"/>
    <w:uiPriority w:val="99"/>
    <w:semiHidden/>
    <w:unhideWhenUsed/>
    <w:rsid w:val="00FB7A6E"/>
    <w:rPr>
      <w:color w:val="605E5C"/>
      <w:shd w:val="clear" w:color="auto" w:fill="E1DFDD"/>
    </w:rPr>
  </w:style>
  <w:style w:type="paragraph" w:styleId="Lijstalinea">
    <w:name w:val="List Paragraph"/>
    <w:basedOn w:val="Standaard"/>
    <w:uiPriority w:val="1"/>
    <w:qFormat/>
    <w:rsid w:val="007F2562"/>
    <w:pPr>
      <w:widowControl w:val="0"/>
      <w:autoSpaceDE w:val="0"/>
      <w:autoSpaceDN w:val="0"/>
      <w:spacing w:before="122" w:after="0" w:line="240" w:lineRule="auto"/>
      <w:ind w:left="1265" w:firstLine="568"/>
      <w:jc w:val="both"/>
    </w:pPr>
    <w:rPr>
      <w:rFonts w:ascii="Times New Roman" w:eastAsia="Times New Roman" w:hAnsi="Times New Roman" w:cs="Times New Roman"/>
    </w:rPr>
  </w:style>
  <w:style w:type="character" w:styleId="GevolgdeHyperlink">
    <w:name w:val="FollowedHyperlink"/>
    <w:basedOn w:val="Standaardalinea-lettertype"/>
    <w:uiPriority w:val="99"/>
    <w:semiHidden/>
    <w:unhideWhenUsed/>
    <w:rsid w:val="00E36725"/>
    <w:rPr>
      <w:color w:val="954F72" w:themeColor="followedHyperlink"/>
      <w:u w:val="single"/>
    </w:rPr>
  </w:style>
  <w:style w:type="paragraph" w:styleId="Koptekst">
    <w:name w:val="header"/>
    <w:basedOn w:val="Standaard"/>
    <w:link w:val="KoptekstChar"/>
    <w:uiPriority w:val="99"/>
    <w:unhideWhenUsed/>
    <w:rsid w:val="00801E5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01E58"/>
  </w:style>
  <w:style w:type="paragraph" w:styleId="Voettekst">
    <w:name w:val="footer"/>
    <w:basedOn w:val="Standaard"/>
    <w:link w:val="VoettekstChar"/>
    <w:uiPriority w:val="99"/>
    <w:unhideWhenUsed/>
    <w:rsid w:val="00801E5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0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9985">
      <w:bodyDiv w:val="1"/>
      <w:marLeft w:val="0"/>
      <w:marRight w:val="0"/>
      <w:marTop w:val="0"/>
      <w:marBottom w:val="0"/>
      <w:divBdr>
        <w:top w:val="none" w:sz="0" w:space="0" w:color="auto"/>
        <w:left w:val="none" w:sz="0" w:space="0" w:color="auto"/>
        <w:bottom w:val="none" w:sz="0" w:space="0" w:color="auto"/>
        <w:right w:val="none" w:sz="0" w:space="0" w:color="auto"/>
      </w:divBdr>
    </w:div>
    <w:div w:id="140855864">
      <w:bodyDiv w:val="1"/>
      <w:marLeft w:val="0"/>
      <w:marRight w:val="0"/>
      <w:marTop w:val="0"/>
      <w:marBottom w:val="0"/>
      <w:divBdr>
        <w:top w:val="none" w:sz="0" w:space="0" w:color="auto"/>
        <w:left w:val="none" w:sz="0" w:space="0" w:color="auto"/>
        <w:bottom w:val="none" w:sz="0" w:space="0" w:color="auto"/>
        <w:right w:val="none" w:sz="0" w:space="0" w:color="auto"/>
      </w:divBdr>
    </w:div>
    <w:div w:id="9360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2226</ap:Words>
  <ap:Characters>12243</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2024-06-04T10:11:00.0000000Z</dcterms:created>
  <dcterms:modified xsi:type="dcterms:W3CDTF">2024-06-04T10:11:00.0000000Z</dcterms:modified>
  <version/>
  <category/>
</coreProperties>
</file>