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Pr="00DD3DF7" w:rsidR="00A828E3" w:rsidRDefault="00E02D08">
      <w:pPr>
        <w:pStyle w:val="PlatteTekst"/>
        <w:rPr>
          <w:szCs w:val="18"/>
        </w:rPr>
        <w:sectPr w:rsidRPr="00DD3DF7" w:rsidR="00A828E3" w:rsidSect="00BF62AD">
          <w:headerReference w:type="default" r:id="rId13"/>
          <w:footerReference w:type="default" r:id="rId14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DD3DF7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3B816515" wp14:anchorId="2E317C7C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E02D08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9B3610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 </w:t>
                            </w:r>
                            <w:r w:rsidR="00E02D08">
                              <w:t xml:space="preserve"> </w:t>
                            </w:r>
                            <w:r w:rsidR="00A71CE5">
                              <w:t xml:space="preserve"> </w:t>
                            </w:r>
                            <w:r w:rsidR="00D25B85">
                              <w:t>27</w:t>
                            </w:r>
                            <w:r w:rsidR="00474128">
                              <w:t xml:space="preserve"> </w:t>
                            </w:r>
                            <w:r w:rsidR="000A1717">
                              <w:t>mei</w:t>
                            </w:r>
                            <w:r w:rsidR="00474128">
                              <w:t xml:space="preserve"> </w:t>
                            </w:r>
                            <w:r w:rsidR="00E02D08">
                              <w:t>202</w:t>
                            </w:r>
                            <w:r w:rsidR="00A16DD6">
                              <w:t>4</w:t>
                            </w:r>
                          </w:p>
                          <w:p w:rsidR="00A42CDC" w:rsidRDefault="00A42CDC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317C7C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E02D08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9B3610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 </w:t>
                      </w:r>
                      <w:r w:rsidR="00E02D08">
                        <w:t xml:space="preserve"> </w:t>
                      </w:r>
                      <w:r w:rsidR="00A71CE5">
                        <w:t xml:space="preserve"> </w:t>
                      </w:r>
                      <w:r w:rsidR="00D25B85">
                        <w:t>27</w:t>
                      </w:r>
                      <w:r w:rsidR="00474128">
                        <w:t xml:space="preserve"> </w:t>
                      </w:r>
                      <w:r w:rsidR="000A1717">
                        <w:t>mei</w:t>
                      </w:r>
                      <w:r w:rsidR="00474128">
                        <w:t xml:space="preserve"> </w:t>
                      </w:r>
                      <w:r w:rsidR="00E02D08">
                        <w:t>202</w:t>
                      </w:r>
                      <w:r w:rsidR="00A16DD6">
                        <w:t>4</w:t>
                      </w:r>
                    </w:p>
                    <w:p w:rsidR="00A42CDC" w:rsidRDefault="00A42CDC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DD3DF7"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A8A41EB" wp14:anchorId="6E0FADC5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6E0FADC5">
                <v:path arrowok="t"/>
                <v:textbox inset="0,0,0,0">
                  <w:txbxContent>
                    <w:p w:rsidR="00A42CDC" w:rsidRDefault="00A42CDC"/>
                  </w:txbxContent>
                </v:textbox>
                <w10:wrap anchory="page"/>
              </v:shape>
            </w:pict>
          </mc:Fallback>
        </mc:AlternateContent>
      </w:r>
    </w:p>
    <w:p w:rsidRPr="00DD3DF7" w:rsidR="00E02D08" w:rsidP="35319F11" w:rsidRDefault="35319F11">
      <w:pPr>
        <w:rPr>
          <w:b/>
          <w:bCs/>
        </w:rPr>
      </w:pPr>
      <w:r w:rsidRPr="00DD3DF7">
        <w:rPr>
          <w:b/>
          <w:bCs/>
        </w:rPr>
        <w:t xml:space="preserve">Lijst van nieuwe EU-voorstellen </w:t>
      </w:r>
      <w:r w:rsidR="00ED7008">
        <w:rPr>
          <w:b/>
          <w:bCs/>
        </w:rPr>
        <w:t xml:space="preserve">(oudere lijsten zijn </w:t>
      </w:r>
      <w:hyperlink w:history="1" r:id="rId15">
        <w:r w:rsidRPr="006D0522" w:rsidR="00ED7008">
          <w:rPr>
            <w:rStyle w:val="Hyperlink"/>
            <w:b/>
            <w:bCs/>
          </w:rPr>
          <w:t>hier</w:t>
        </w:r>
      </w:hyperlink>
      <w:r w:rsidR="00ED7008">
        <w:rPr>
          <w:b/>
          <w:bCs/>
        </w:rPr>
        <w:t xml:space="preserve"> te vinden)</w:t>
      </w:r>
    </w:p>
    <w:p w:rsidRPr="00DD3DF7" w:rsidR="00E02D08" w:rsidP="00C727FA" w:rsidRDefault="00E02D08">
      <w:pPr>
        <w:rPr>
          <w:b/>
          <w:szCs w:val="18"/>
        </w:rPr>
      </w:pPr>
    </w:p>
    <w:p w:rsidRPr="00DD3DF7" w:rsidR="006F2511" w:rsidP="00C727FA" w:rsidRDefault="35319F11">
      <w:pPr>
        <w:rPr>
          <w:szCs w:val="18"/>
        </w:rPr>
      </w:pPr>
      <w:r w:rsidRPr="00DD3DF7">
        <w:t>De</w:t>
      </w:r>
      <w:r w:rsidRPr="00DD3DF7">
        <w:rPr>
          <w:b/>
          <w:bCs/>
        </w:rPr>
        <w:t xml:space="preserve"> </w:t>
      </w:r>
      <w:r w:rsidRPr="00DD3DF7">
        <w:t xml:space="preserve">Europese Commissie heeft in de periode tussen </w:t>
      </w:r>
      <w:r w:rsidR="00474128">
        <w:rPr>
          <w:b/>
        </w:rPr>
        <w:t xml:space="preserve">25 </w:t>
      </w:r>
      <w:r w:rsidR="000A1717">
        <w:rPr>
          <w:b/>
        </w:rPr>
        <w:t>april</w:t>
      </w:r>
      <w:r w:rsidR="00474128">
        <w:rPr>
          <w:b/>
        </w:rPr>
        <w:t xml:space="preserve"> en </w:t>
      </w:r>
      <w:r w:rsidR="00997961">
        <w:rPr>
          <w:b/>
        </w:rPr>
        <w:t>23</w:t>
      </w:r>
      <w:r w:rsidR="00474128">
        <w:rPr>
          <w:b/>
        </w:rPr>
        <w:t xml:space="preserve"> </w:t>
      </w:r>
      <w:r w:rsidR="000A1717">
        <w:rPr>
          <w:b/>
        </w:rPr>
        <w:t>mei</w:t>
      </w:r>
      <w:r w:rsidR="008A0A18">
        <w:rPr>
          <w:b/>
        </w:rPr>
        <w:t xml:space="preserve"> </w:t>
      </w:r>
      <w:r w:rsidR="00ED7008">
        <w:rPr>
          <w:b/>
          <w:bCs/>
        </w:rPr>
        <w:t>202</w:t>
      </w:r>
      <w:r w:rsidR="00A16DD6">
        <w:rPr>
          <w:b/>
          <w:bCs/>
        </w:rPr>
        <w:t>4</w:t>
      </w:r>
      <w:r w:rsidRPr="00DD3DF7">
        <w:t xml:space="preserve"> de volgende voorstellen voor Europese wetgeving, besluiten en andere beleidsvormende documenten aan de Tweede Kamer gestuurd: </w:t>
      </w:r>
    </w:p>
    <w:p w:rsidRPr="00DD3DF7" w:rsidR="00820149" w:rsidP="00C727FA" w:rsidRDefault="00820149">
      <w:pPr>
        <w:rPr>
          <w:szCs w:val="18"/>
        </w:rPr>
      </w:pPr>
    </w:p>
    <w:p w:rsidRPr="000A1717" w:rsidR="00820149" w:rsidP="35319F11" w:rsidRDefault="35319F11">
      <w:pPr>
        <w:pStyle w:val="Lijstalinea"/>
        <w:numPr>
          <w:ilvl w:val="0"/>
          <w:numId w:val="2"/>
        </w:numPr>
        <w:rPr>
          <w:b/>
          <w:bCs/>
        </w:rPr>
      </w:pPr>
      <w:r w:rsidRPr="00DD3DF7">
        <w:rPr>
          <w:b/>
          <w:bCs/>
        </w:rPr>
        <w:t>Nieuw voorgestelde EU-wetgeving</w:t>
      </w:r>
      <w:r w:rsidRPr="00DD3DF7" w:rsidR="00D27FE7">
        <w:br/>
      </w:r>
      <w:r w:rsidRPr="00DD3DF7">
        <w:t>(Verordeningen, richtlijnen en wetgevende besluiten)</w:t>
      </w:r>
    </w:p>
    <w:p w:rsidRPr="00DD3DF7" w:rsidR="000A1717" w:rsidP="000A1717" w:rsidRDefault="000A1717">
      <w:pPr>
        <w:pStyle w:val="Lijstalinea"/>
        <w:rPr>
          <w:b/>
          <w:bCs/>
        </w:rPr>
      </w:pPr>
      <w:r>
        <w:rPr>
          <w:bCs/>
        </w:rPr>
        <w:t>-Niet van toepassing</w:t>
      </w:r>
    </w:p>
    <w:p w:rsidRPr="00DD3DF7" w:rsidR="006E5214" w:rsidP="002A4BD8" w:rsidRDefault="006E5214">
      <w:pPr>
        <w:rPr>
          <w:szCs w:val="18"/>
        </w:rPr>
      </w:pPr>
    </w:p>
    <w:p w:rsidRPr="000A1717" w:rsidR="00820149" w:rsidP="35319F11" w:rsidRDefault="35319F11">
      <w:pPr>
        <w:pStyle w:val="Lijstalinea"/>
        <w:numPr>
          <w:ilvl w:val="0"/>
          <w:numId w:val="2"/>
        </w:numPr>
        <w:rPr>
          <w:b/>
          <w:bCs/>
        </w:rPr>
      </w:pPr>
      <w:r w:rsidRPr="00DD3DF7">
        <w:rPr>
          <w:b/>
          <w:bCs/>
        </w:rPr>
        <w:t xml:space="preserve">Nieuwe EU-documenten van niet-wetgevende aard </w:t>
      </w:r>
      <w:r w:rsidRPr="00DD3DF7" w:rsidR="00D27FE7">
        <w:br/>
      </w:r>
      <w:r w:rsidRPr="00DD3DF7">
        <w:t>(Mededelingen, aanbevelingen, actieplannen, consultaties, etc.)</w:t>
      </w:r>
    </w:p>
    <w:p w:rsidR="000A1717" w:rsidP="000A1717" w:rsidRDefault="000A1717">
      <w:pPr>
        <w:pStyle w:val="Lijstalinea"/>
        <w:rPr>
          <w:b/>
          <w:bCs/>
        </w:rPr>
      </w:pPr>
    </w:p>
    <w:p w:rsidR="003A479D" w:rsidP="003A479D" w:rsidRDefault="003A479D">
      <w:pPr>
        <w:pStyle w:val="Lijstalinea"/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="003A479D" w:rsidTr="000E4F6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79D" w:rsidP="000E4F67" w:rsidRDefault="003A479D">
            <w:pPr>
              <w:pStyle w:val="Lijstalinea"/>
              <w:numPr>
                <w:ilvl w:val="0"/>
                <w:numId w:val="11"/>
              </w:numPr>
              <w:spacing w:after="240"/>
              <w:ind w:left="312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79D" w:rsidP="000E4F67" w:rsidRDefault="003A479D">
            <w:pPr>
              <w:spacing w:after="240"/>
              <w:rPr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79D" w:rsidP="000E4F67" w:rsidRDefault="00997961">
            <w:pPr>
              <w:shd w:val="clear" w:color="auto" w:fill="FFFFFF"/>
              <w:spacing w:after="75"/>
              <w:rPr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 xml:space="preserve">Samenwerking op het gebied van directe belastingen – evaluatie </w:t>
            </w:r>
            <w:hyperlink w:history="1" r:id="rId16">
              <w:r>
                <w:rPr>
                  <w:rStyle w:val="Hyperlink"/>
                  <w:szCs w:val="18"/>
                  <w:lang w:eastAsia="nl-NL"/>
                </w:rPr>
                <w:t>Raadpleging</w:t>
              </w:r>
            </w:hyperlink>
          </w:p>
          <w:p w:rsidR="00F148E2" w:rsidP="000E4F67" w:rsidRDefault="00F148E2">
            <w:pPr>
              <w:shd w:val="clear" w:color="auto" w:fill="FFFFFF"/>
              <w:spacing w:after="75"/>
              <w:rPr>
                <w:szCs w:val="18"/>
                <w:lang w:eastAsia="nl-NL"/>
              </w:rPr>
            </w:pPr>
          </w:p>
        </w:tc>
      </w:tr>
      <w:tr w:rsidR="003A479D" w:rsidTr="000E4F6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3A479D" w:rsidP="000E4F67" w:rsidRDefault="003A479D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79D" w:rsidP="000E4F67" w:rsidRDefault="003A479D">
            <w:pPr>
              <w:spacing w:after="240"/>
              <w:rPr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F148E2" w:rsidR="003A479D" w:rsidP="000E4F67" w:rsidRDefault="00F148E2">
            <w:pPr>
              <w:spacing w:after="240"/>
              <w:rPr>
                <w:bCs/>
                <w:szCs w:val="18"/>
                <w:lang w:eastAsia="nl-NL"/>
              </w:rPr>
            </w:pPr>
            <w:r>
              <w:rPr>
                <w:bCs/>
                <w:szCs w:val="18"/>
                <w:lang w:eastAsia="nl-NL"/>
              </w:rPr>
              <w:t>Voor kennisgeving aannemen</w:t>
            </w:r>
          </w:p>
        </w:tc>
      </w:tr>
      <w:tr w:rsidRPr="004A4E1F" w:rsidR="003A479D" w:rsidTr="000E4F6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3A479D" w:rsidP="000E4F67" w:rsidRDefault="003A479D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479D" w:rsidP="000E4F67" w:rsidRDefault="003A479D">
            <w:pPr>
              <w:spacing w:after="240"/>
              <w:rPr>
                <w:szCs w:val="18"/>
                <w:lang w:eastAsia="nl-NL"/>
              </w:rPr>
            </w:pPr>
            <w:r w:rsidRPr="000A1717">
              <w:rPr>
                <w:color w:val="808080" w:themeColor="background1" w:themeShade="80"/>
                <w:szCs w:val="18"/>
                <w:lang w:eastAsia="nl-NL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65C38" w:rsidR="00F148E2" w:rsidP="00F148E2" w:rsidRDefault="00F148E2">
            <w:pPr>
              <w:spacing w:after="240"/>
              <w:rPr>
                <w:color w:val="808080" w:themeColor="background1" w:themeShade="80"/>
                <w:szCs w:val="18"/>
                <w:lang w:eastAsia="nl-NL"/>
              </w:rPr>
            </w:pPr>
            <w:r w:rsidRPr="00D65C38">
              <w:rPr>
                <w:color w:val="808080" w:themeColor="background1" w:themeShade="80"/>
                <w:szCs w:val="18"/>
                <w:lang w:eastAsia="nl-NL"/>
              </w:rPr>
              <w:t>Dit betreft de onlangs opengestelde openbare raadpleging in het kader van richtlijn 2011/16/EU (richtlijn administratieve samenwerking - DAC). Deze richtlijn voorziet in een veilig systeem voor administratieve samenwerking tussen de nationale belastingautoriteiten van de EU-lidstaten en in regels en procedures voor de uitwisseling van inlichtingen.</w:t>
            </w:r>
          </w:p>
          <w:p w:rsidRPr="004A4E1F" w:rsidR="003A479D" w:rsidP="00F148E2" w:rsidRDefault="00F148E2">
            <w:pPr>
              <w:spacing w:after="240"/>
              <w:rPr>
                <w:szCs w:val="18"/>
              </w:rPr>
            </w:pPr>
            <w:r w:rsidRPr="00D65C38">
              <w:rPr>
                <w:color w:val="808080" w:themeColor="background1" w:themeShade="80"/>
                <w:szCs w:val="18"/>
                <w:lang w:eastAsia="nl-NL"/>
              </w:rPr>
              <w:t>Met deze evaluatie wordt de doeltreffendheid, efficiëntie en blijvende relevantie van de DAC en de wijzigingen ervan (DAC2 tot en met DAC6), evenals de samenhang met andere beleidsinitiatieven en -prioriteiten en de toegevoegde waarde van de EU beoordeeld.</w:t>
            </w:r>
          </w:p>
        </w:tc>
      </w:tr>
    </w:tbl>
    <w:p w:rsidR="003A479D" w:rsidP="003A479D" w:rsidRDefault="003A479D">
      <w:pPr>
        <w:pStyle w:val="Lijstalinea"/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Pr="00D65C38" w:rsidR="00997961" w:rsidTr="000E4F6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7961" w:rsidP="000E4F67" w:rsidRDefault="00997961">
            <w:pPr>
              <w:pStyle w:val="Lijstalinea"/>
              <w:numPr>
                <w:ilvl w:val="0"/>
                <w:numId w:val="11"/>
              </w:numPr>
              <w:spacing w:after="240"/>
              <w:ind w:left="312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61" w:rsidP="000E4F67" w:rsidRDefault="00997961">
            <w:pPr>
              <w:spacing w:after="240"/>
              <w:rPr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65C38" w:rsidR="00D65C38" w:rsidP="00D65C38" w:rsidRDefault="00D65C38">
            <w:pPr>
              <w:shd w:val="clear" w:color="auto" w:fill="FFFFFF"/>
              <w:spacing w:after="75"/>
              <w:rPr>
                <w:szCs w:val="18"/>
                <w:lang w:val="en-GB" w:eastAsia="nl-NL"/>
              </w:rPr>
            </w:pPr>
            <w:r w:rsidRPr="00997961">
              <w:rPr>
                <w:szCs w:val="18"/>
                <w:lang w:val="en-GB" w:eastAsia="nl-NL"/>
              </w:rPr>
              <w:t xml:space="preserve">Proposal for a COUNCIL IMPLEMENTING DECISION amending Implementing Decision (EU) (ST 11046/21 INIT; ST 11046/21 ADD 1) of 8 September 2021 on the approval of the assessment of the recovery and resilience plan for Ireland </w:t>
            </w:r>
            <w:hyperlink w:history="1" r:id="rId17">
              <w:r w:rsidRPr="00997961">
                <w:rPr>
                  <w:rStyle w:val="Hyperlink"/>
                  <w:szCs w:val="18"/>
                  <w:lang w:val="en-GB" w:eastAsia="nl-NL"/>
                </w:rPr>
                <w:t>COM/2024/222</w:t>
              </w:r>
            </w:hyperlink>
          </w:p>
          <w:p w:rsidRPr="00D65C38" w:rsidR="00997961" w:rsidP="000E4F67" w:rsidRDefault="00997961">
            <w:pPr>
              <w:shd w:val="clear" w:color="auto" w:fill="FFFFFF"/>
              <w:spacing w:after="75"/>
              <w:rPr>
                <w:szCs w:val="18"/>
                <w:lang w:val="en-GB" w:eastAsia="nl-NL"/>
              </w:rPr>
            </w:pPr>
          </w:p>
        </w:tc>
      </w:tr>
      <w:tr w:rsidRPr="00D65C38" w:rsidR="00997961" w:rsidTr="000E4F6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D65C38" w:rsidR="00997961" w:rsidP="000E4F67" w:rsidRDefault="00997961">
            <w:pPr>
              <w:rPr>
                <w:rFonts w:eastAsiaTheme="minorHAnsi"/>
                <w:szCs w:val="18"/>
                <w:lang w:val="en-GB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61" w:rsidP="000E4F67" w:rsidRDefault="00997961">
            <w:pPr>
              <w:spacing w:after="240"/>
              <w:rPr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65C38" w:rsidR="00D65C38" w:rsidP="00D65C38" w:rsidRDefault="00D65C38">
            <w:pPr>
              <w:spacing w:after="240"/>
              <w:rPr>
                <w:bCs/>
                <w:szCs w:val="18"/>
                <w:lang w:eastAsia="nl-NL"/>
              </w:rPr>
            </w:pPr>
            <w:r>
              <w:rPr>
                <w:bCs/>
                <w:szCs w:val="18"/>
                <w:lang w:eastAsia="nl-NL"/>
              </w:rPr>
              <w:t>Desgewenst betrekken bij het commissiedebat van 13 juni a.s.  over m</w:t>
            </w:r>
            <w:r w:rsidRPr="00D65C38">
              <w:rPr>
                <w:bCs/>
                <w:szCs w:val="18"/>
                <w:lang w:eastAsia="nl-NL"/>
              </w:rPr>
              <w:t>acro-economische ontwikkelingen in Europees perspectief (incl. Eurogroep/</w:t>
            </w:r>
            <w:proofErr w:type="spellStart"/>
            <w:r w:rsidRPr="00D65C38">
              <w:rPr>
                <w:bCs/>
                <w:szCs w:val="18"/>
                <w:lang w:eastAsia="nl-NL"/>
              </w:rPr>
              <w:t>Ecofinraad</w:t>
            </w:r>
            <w:proofErr w:type="spellEnd"/>
            <w:r w:rsidRPr="00D65C38">
              <w:rPr>
                <w:bCs/>
                <w:szCs w:val="18"/>
                <w:lang w:eastAsia="nl-NL"/>
              </w:rPr>
              <w:t>)</w:t>
            </w:r>
          </w:p>
        </w:tc>
      </w:tr>
      <w:tr w:rsidRPr="00D25B85" w:rsidR="00997961" w:rsidTr="000E4F6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D65C38" w:rsidR="00997961" w:rsidP="000E4F67" w:rsidRDefault="00997961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961" w:rsidP="000E4F67" w:rsidRDefault="00997961">
            <w:pPr>
              <w:spacing w:after="240"/>
              <w:rPr>
                <w:szCs w:val="18"/>
                <w:lang w:eastAsia="nl-NL"/>
              </w:rPr>
            </w:pPr>
            <w:r w:rsidRPr="000A1717">
              <w:rPr>
                <w:color w:val="808080" w:themeColor="background1" w:themeShade="80"/>
                <w:szCs w:val="18"/>
                <w:lang w:eastAsia="nl-NL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C38" w:rsidP="00D65C38" w:rsidRDefault="00D65C38">
            <w:pPr>
              <w:spacing w:after="240"/>
              <w:rPr>
                <w:color w:val="808080" w:themeColor="background1" w:themeShade="80"/>
                <w:szCs w:val="18"/>
                <w:lang w:eastAsia="nl-NL"/>
              </w:rPr>
            </w:pPr>
            <w:r>
              <w:rPr>
                <w:color w:val="808080" w:themeColor="background1" w:themeShade="80"/>
                <w:szCs w:val="18"/>
                <w:lang w:eastAsia="nl-NL"/>
              </w:rPr>
              <w:t xml:space="preserve">De </w:t>
            </w:r>
            <w:r w:rsidRPr="00BF42FB">
              <w:rPr>
                <w:color w:val="808080" w:themeColor="background1" w:themeShade="80"/>
                <w:szCs w:val="18"/>
                <w:lang w:eastAsia="nl-NL"/>
              </w:rPr>
              <w:t>Commissie</w:t>
            </w:r>
            <w:r>
              <w:rPr>
                <w:color w:val="808080" w:themeColor="background1" w:themeShade="80"/>
                <w:szCs w:val="18"/>
                <w:lang w:eastAsia="nl-NL"/>
              </w:rPr>
              <w:t xml:space="preserve"> heeft </w:t>
            </w:r>
            <w:r w:rsidR="002472B6">
              <w:rPr>
                <w:color w:val="808080" w:themeColor="background1" w:themeShade="80"/>
                <w:szCs w:val="18"/>
                <w:lang w:eastAsia="nl-NL"/>
              </w:rPr>
              <w:t xml:space="preserve">middels het voorliggende concept uitvoeringsbesluit </w:t>
            </w:r>
            <w:r>
              <w:rPr>
                <w:color w:val="808080" w:themeColor="background1" w:themeShade="80"/>
                <w:szCs w:val="18"/>
                <w:lang w:eastAsia="nl-NL"/>
              </w:rPr>
              <w:t>positief geoordeeld over</w:t>
            </w:r>
            <w:r w:rsidRPr="00BF42FB">
              <w:rPr>
                <w:color w:val="808080" w:themeColor="background1" w:themeShade="80"/>
                <w:szCs w:val="18"/>
                <w:lang w:eastAsia="nl-NL"/>
              </w:rPr>
              <w:t xml:space="preserve"> </w:t>
            </w:r>
            <w:r>
              <w:rPr>
                <w:color w:val="808080" w:themeColor="background1" w:themeShade="80"/>
                <w:szCs w:val="18"/>
                <w:lang w:eastAsia="nl-NL"/>
              </w:rPr>
              <w:t>het verzoek van 22 maart jl. van Ierland om het Herstel- en V</w:t>
            </w:r>
            <w:r w:rsidR="001918C0">
              <w:rPr>
                <w:color w:val="808080" w:themeColor="background1" w:themeShade="80"/>
                <w:szCs w:val="18"/>
                <w:lang w:eastAsia="nl-NL"/>
              </w:rPr>
              <w:t>eerkrachtplan aan te passen</w:t>
            </w:r>
            <w:r>
              <w:rPr>
                <w:color w:val="808080" w:themeColor="background1" w:themeShade="80"/>
                <w:szCs w:val="18"/>
                <w:lang w:eastAsia="nl-NL"/>
              </w:rPr>
              <w:t xml:space="preserve">. Deze </w:t>
            </w:r>
            <w:r w:rsidR="001918C0">
              <w:rPr>
                <w:color w:val="808080" w:themeColor="background1" w:themeShade="80"/>
                <w:szCs w:val="18"/>
                <w:lang w:eastAsia="nl-NL"/>
              </w:rPr>
              <w:t xml:space="preserve">aanpassing </w:t>
            </w:r>
            <w:r>
              <w:rPr>
                <w:color w:val="808080" w:themeColor="background1" w:themeShade="80"/>
                <w:szCs w:val="18"/>
                <w:lang w:eastAsia="nl-NL"/>
              </w:rPr>
              <w:t xml:space="preserve">bestaat uit </w:t>
            </w:r>
            <w:r w:rsidR="001918C0">
              <w:rPr>
                <w:color w:val="808080" w:themeColor="background1" w:themeShade="80"/>
                <w:szCs w:val="18"/>
                <w:lang w:eastAsia="nl-NL"/>
              </w:rPr>
              <w:t xml:space="preserve">a) </w:t>
            </w:r>
            <w:r>
              <w:rPr>
                <w:color w:val="808080" w:themeColor="background1" w:themeShade="80"/>
                <w:szCs w:val="18"/>
                <w:lang w:eastAsia="nl-NL"/>
              </w:rPr>
              <w:t xml:space="preserve">toevoeging van een </w:t>
            </w:r>
            <w:proofErr w:type="spellStart"/>
            <w:r>
              <w:rPr>
                <w:color w:val="808080" w:themeColor="background1" w:themeShade="80"/>
                <w:szCs w:val="18"/>
                <w:lang w:eastAsia="nl-NL"/>
              </w:rPr>
              <w:t>RePowerEU</w:t>
            </w:r>
            <w:proofErr w:type="spellEnd"/>
            <w:r>
              <w:rPr>
                <w:color w:val="808080" w:themeColor="background1" w:themeShade="80"/>
                <w:szCs w:val="18"/>
                <w:lang w:eastAsia="nl-NL"/>
              </w:rPr>
              <w:t>-hoofdstuk –</w:t>
            </w:r>
            <w:r w:rsidR="001918C0">
              <w:rPr>
                <w:color w:val="808080" w:themeColor="background1" w:themeShade="80"/>
                <w:szCs w:val="18"/>
                <w:lang w:eastAsia="nl-NL"/>
              </w:rPr>
              <w:t xml:space="preserve"> dat in het teken staat van de duurzame transitie en </w:t>
            </w:r>
            <w:r>
              <w:rPr>
                <w:color w:val="808080" w:themeColor="background1" w:themeShade="80"/>
                <w:szCs w:val="18"/>
                <w:lang w:eastAsia="nl-NL"/>
              </w:rPr>
              <w:t>afbouw van de afhankelijkheid van Russische fossiele brandstoffen–</w:t>
            </w:r>
            <w:r w:rsidR="001918C0">
              <w:rPr>
                <w:color w:val="808080" w:themeColor="background1" w:themeShade="80"/>
                <w:szCs w:val="18"/>
                <w:lang w:eastAsia="nl-NL"/>
              </w:rPr>
              <w:t xml:space="preserve"> en b) een wijziging overeenkomstig artikel 21 HVF-</w:t>
            </w:r>
            <w:r w:rsidR="001918C0">
              <w:rPr>
                <w:color w:val="808080" w:themeColor="background1" w:themeShade="80"/>
                <w:szCs w:val="18"/>
                <w:lang w:eastAsia="nl-NL"/>
              </w:rPr>
              <w:lastRenderedPageBreak/>
              <w:t>verordening van vier maatregelen die door “objectieve omstandigheden” niet meer haalbaar zijn of waar een beter alternatief voorhanden is.</w:t>
            </w:r>
          </w:p>
          <w:p w:rsidRPr="00D25B85" w:rsidR="00997961" w:rsidP="00D25B85" w:rsidRDefault="002472B6">
            <w:pPr>
              <w:spacing w:after="240"/>
              <w:rPr>
                <w:color w:val="808080" w:themeColor="background1" w:themeShade="80"/>
                <w:szCs w:val="18"/>
                <w:lang w:eastAsia="nl-NL"/>
              </w:rPr>
            </w:pPr>
            <w:r>
              <w:rPr>
                <w:color w:val="808080" w:themeColor="background1" w:themeShade="80"/>
                <w:szCs w:val="18"/>
                <w:lang w:eastAsia="nl-NL"/>
              </w:rPr>
              <w:t xml:space="preserve">Goedkeuring van het gewijzigde Ierse HVP vereist </w:t>
            </w:r>
            <w:r w:rsidR="00D25B85">
              <w:rPr>
                <w:color w:val="808080" w:themeColor="background1" w:themeShade="80"/>
                <w:szCs w:val="18"/>
                <w:lang w:eastAsia="nl-NL"/>
              </w:rPr>
              <w:t>dat de Raad het voorliggende conceptuitvoeringsbesluit bekrachtigt.</w:t>
            </w:r>
          </w:p>
        </w:tc>
      </w:tr>
    </w:tbl>
    <w:p w:rsidRPr="00D25B85" w:rsidR="00997961" w:rsidP="00997961" w:rsidRDefault="00997961">
      <w:pPr>
        <w:rPr>
          <w:b/>
          <w:bCs/>
        </w:rPr>
      </w:pPr>
    </w:p>
    <w:p w:rsidRPr="00D25B85" w:rsidR="003A479D" w:rsidP="003A479D" w:rsidRDefault="003A479D">
      <w:pPr>
        <w:pStyle w:val="Lijstalinea"/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="000A1717" w:rsidTr="000A171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25B85" w:rsidR="000A1717" w:rsidP="000A1717" w:rsidRDefault="000A1717">
            <w:pPr>
              <w:pStyle w:val="Lijstalinea"/>
              <w:numPr>
                <w:ilvl w:val="0"/>
                <w:numId w:val="11"/>
              </w:numPr>
              <w:spacing w:after="240"/>
              <w:ind w:left="312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717" w:rsidRDefault="000A1717">
            <w:pPr>
              <w:spacing w:after="240"/>
              <w:rPr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717" w:rsidRDefault="000A1717">
            <w:pPr>
              <w:shd w:val="clear" w:color="auto" w:fill="FFFFFF"/>
              <w:spacing w:after="75"/>
              <w:rPr>
                <w:szCs w:val="18"/>
                <w:lang w:eastAsia="nl-NL"/>
              </w:rPr>
            </w:pPr>
            <w:r>
              <w:rPr>
                <w:color w:val="000000"/>
                <w:szCs w:val="18"/>
                <w:lang w:eastAsia="nl-NL"/>
              </w:rPr>
              <w:t xml:space="preserve">Voorstel voor een UITVOERINGSBESLUIT VAN DE RAAD tot wijziging van Uitvoeringsbesluit (EU) (ST 10150/21; ST 10150/21 ADD 1 REV 1) van 13 juli 2021 betreffende de goedkeuring van de beoordeling van het herstel- en veerkrachtplan voor Spanje </w:t>
            </w:r>
            <w:hyperlink w:history="1" r:id="rId18">
              <w:r>
                <w:rPr>
                  <w:rStyle w:val="Hyperlink"/>
                  <w:szCs w:val="18"/>
                  <w:lang w:eastAsia="nl-NL"/>
                </w:rPr>
                <w:t>COM(2024)185</w:t>
              </w:r>
            </w:hyperlink>
          </w:p>
        </w:tc>
      </w:tr>
      <w:tr w:rsidR="000A1717" w:rsidTr="000A171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0A1717" w:rsidP="000A1717" w:rsidRDefault="000A171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717" w:rsidP="000A1717" w:rsidRDefault="000A1717">
            <w:pPr>
              <w:spacing w:after="240"/>
              <w:rPr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717" w:rsidP="000A1717" w:rsidRDefault="00BF42FB">
            <w:pPr>
              <w:spacing w:after="240"/>
              <w:rPr>
                <w:b/>
                <w:bCs/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 xml:space="preserve">Is betrokken bij schriftelijke inbreng voor eurogroep en </w:t>
            </w:r>
            <w:proofErr w:type="spellStart"/>
            <w:r>
              <w:rPr>
                <w:szCs w:val="18"/>
                <w:lang w:eastAsia="nl-NL"/>
              </w:rPr>
              <w:t>ecofin</w:t>
            </w:r>
            <w:proofErr w:type="spellEnd"/>
            <w:r>
              <w:rPr>
                <w:szCs w:val="18"/>
                <w:lang w:eastAsia="nl-NL"/>
              </w:rPr>
              <w:t xml:space="preserve"> van 13 en 14 mei</w:t>
            </w:r>
          </w:p>
        </w:tc>
      </w:tr>
      <w:tr w:rsidRPr="004A4E1F" w:rsidR="000A1717" w:rsidTr="000A171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0A1717" w:rsidP="000A1717" w:rsidRDefault="000A171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717" w:rsidP="000A1717" w:rsidRDefault="000A1717">
            <w:pPr>
              <w:spacing w:after="240"/>
              <w:rPr>
                <w:szCs w:val="18"/>
                <w:lang w:eastAsia="nl-NL"/>
              </w:rPr>
            </w:pPr>
            <w:r w:rsidRPr="000A1717">
              <w:rPr>
                <w:color w:val="808080" w:themeColor="background1" w:themeShade="80"/>
                <w:szCs w:val="18"/>
                <w:lang w:eastAsia="nl-NL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F42FB" w:rsidR="005C4DA9" w:rsidP="00BF42FB" w:rsidRDefault="00BF42FB">
            <w:pPr>
              <w:spacing w:after="240"/>
              <w:rPr>
                <w:color w:val="808080" w:themeColor="background1" w:themeShade="80"/>
                <w:szCs w:val="18"/>
                <w:lang w:eastAsia="nl-NL"/>
              </w:rPr>
            </w:pPr>
            <w:r>
              <w:rPr>
                <w:color w:val="808080" w:themeColor="background1" w:themeShade="80"/>
                <w:szCs w:val="18"/>
                <w:lang w:eastAsia="nl-NL"/>
              </w:rPr>
              <w:t xml:space="preserve">De </w:t>
            </w:r>
            <w:r w:rsidRPr="00BF42FB" w:rsidR="005C4DA9">
              <w:rPr>
                <w:color w:val="808080" w:themeColor="background1" w:themeShade="80"/>
                <w:szCs w:val="18"/>
                <w:lang w:eastAsia="nl-NL"/>
              </w:rPr>
              <w:t>Commissie</w:t>
            </w:r>
            <w:r>
              <w:rPr>
                <w:color w:val="808080" w:themeColor="background1" w:themeShade="80"/>
                <w:szCs w:val="18"/>
                <w:lang w:eastAsia="nl-NL"/>
              </w:rPr>
              <w:t xml:space="preserve"> heeft positief geoordeeld over</w:t>
            </w:r>
            <w:r w:rsidRPr="00BF42FB" w:rsidR="005C4DA9">
              <w:rPr>
                <w:color w:val="808080" w:themeColor="background1" w:themeShade="80"/>
                <w:szCs w:val="18"/>
                <w:lang w:eastAsia="nl-NL"/>
              </w:rPr>
              <w:t xml:space="preserve"> een met redenen omkleed verzoek </w:t>
            </w:r>
            <w:r>
              <w:rPr>
                <w:color w:val="808080" w:themeColor="background1" w:themeShade="80"/>
                <w:szCs w:val="18"/>
                <w:lang w:eastAsia="nl-NL"/>
              </w:rPr>
              <w:t xml:space="preserve">van Spanje </w:t>
            </w:r>
            <w:r w:rsidRPr="00BF42FB" w:rsidR="005C4DA9">
              <w:rPr>
                <w:color w:val="808080" w:themeColor="background1" w:themeShade="80"/>
                <w:szCs w:val="18"/>
                <w:lang w:eastAsia="nl-NL"/>
              </w:rPr>
              <w:t>om met een beroep op “objectieve omstandigheden” (artikel 21 HVF-verordening) het HVP te wijzigen.</w:t>
            </w:r>
          </w:p>
          <w:p w:rsidRPr="00BF42FB" w:rsidR="00BF42FB" w:rsidP="00BF42FB" w:rsidRDefault="00BF42FB">
            <w:pPr>
              <w:spacing w:after="240"/>
              <w:rPr>
                <w:color w:val="808080" w:themeColor="background1" w:themeShade="80"/>
                <w:szCs w:val="18"/>
                <w:lang w:eastAsia="nl-NL"/>
              </w:rPr>
            </w:pPr>
            <w:r w:rsidRPr="00BF42FB">
              <w:rPr>
                <w:color w:val="808080" w:themeColor="background1" w:themeShade="80"/>
                <w:szCs w:val="18"/>
                <w:lang w:eastAsia="nl-NL"/>
              </w:rPr>
              <w:t>Zie verder</w:t>
            </w:r>
            <w:r w:rsidR="004A4E1F">
              <w:rPr>
                <w:color w:val="808080" w:themeColor="background1" w:themeShade="80"/>
                <w:szCs w:val="18"/>
                <w:lang w:eastAsia="nl-NL"/>
              </w:rPr>
              <w:t xml:space="preserve"> de</w:t>
            </w:r>
            <w:r w:rsidRPr="00BF42FB">
              <w:rPr>
                <w:color w:val="808080" w:themeColor="background1" w:themeShade="80"/>
                <w:szCs w:val="18"/>
                <w:lang w:eastAsia="nl-NL"/>
              </w:rPr>
              <w:t xml:space="preserve"> geannoteerde agenda van de eurogroep en </w:t>
            </w:r>
            <w:proofErr w:type="spellStart"/>
            <w:r w:rsidRPr="00BF42FB">
              <w:rPr>
                <w:color w:val="808080" w:themeColor="background1" w:themeShade="80"/>
                <w:szCs w:val="18"/>
                <w:lang w:eastAsia="nl-NL"/>
              </w:rPr>
              <w:t>ecofin</w:t>
            </w:r>
            <w:proofErr w:type="spellEnd"/>
            <w:r w:rsidRPr="00BF42FB">
              <w:rPr>
                <w:color w:val="808080" w:themeColor="background1" w:themeShade="80"/>
                <w:szCs w:val="18"/>
                <w:lang w:eastAsia="nl-NL"/>
              </w:rPr>
              <w:t xml:space="preserve"> van 13 en 14 mei. </w:t>
            </w:r>
          </w:p>
          <w:p w:rsidRPr="004A4E1F" w:rsidR="000A1717" w:rsidP="00BF42FB" w:rsidRDefault="000A1717">
            <w:pPr>
              <w:pStyle w:val="li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4A4E1F" w:rsidR="000A1717" w:rsidP="000A1717" w:rsidRDefault="000A1717">
      <w:pPr>
        <w:rPr>
          <w:rFonts w:eastAsiaTheme="minorHAnsi"/>
          <w:szCs w:val="18"/>
          <w14:ligatures w14:val="standardContextu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="000A1717" w:rsidTr="000A171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A4E1F" w:rsidR="000A1717" w:rsidP="000A1717" w:rsidRDefault="000A1717">
            <w:pPr>
              <w:pStyle w:val="Lijstalinea"/>
              <w:numPr>
                <w:ilvl w:val="0"/>
                <w:numId w:val="11"/>
              </w:numPr>
              <w:spacing w:after="240"/>
              <w:ind w:left="312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717" w:rsidRDefault="000A1717">
            <w:pPr>
              <w:spacing w:after="240"/>
              <w:rPr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717" w:rsidRDefault="000A1717">
            <w:pPr>
              <w:shd w:val="clear" w:color="auto" w:fill="FFFFFF"/>
              <w:spacing w:after="75"/>
              <w:rPr>
                <w:szCs w:val="18"/>
                <w:lang w:eastAsia="nl-NL"/>
              </w:rPr>
            </w:pPr>
            <w:r>
              <w:rPr>
                <w:color w:val="000000"/>
                <w:szCs w:val="18"/>
                <w:lang w:eastAsia="nl-NL"/>
              </w:rPr>
              <w:t xml:space="preserve">Voorstel voor een UITVOERINGSBESLUIT VAN DE RAAD tot wijziging van Uitvoeringsbesluit (EU) (ST 10160/21 INIT; ST 10160/21 ADD 1 REV 2) van 13 juli 2021 betreffende de goedkeuring van de beoordeling van het herstel- en veerkrachtplan voor Italië </w:t>
            </w:r>
            <w:hyperlink w:history="1" r:id="rId19">
              <w:r>
                <w:rPr>
                  <w:rStyle w:val="Hyperlink"/>
                  <w:szCs w:val="18"/>
                  <w:lang w:eastAsia="nl-NL"/>
                </w:rPr>
                <w:t>COM(2024)193</w:t>
              </w:r>
            </w:hyperlink>
          </w:p>
        </w:tc>
      </w:tr>
      <w:tr w:rsidR="000A1717" w:rsidTr="000A171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0A1717" w:rsidRDefault="000A171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717" w:rsidRDefault="000A1717">
            <w:pPr>
              <w:spacing w:after="240"/>
              <w:rPr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717" w:rsidRDefault="00BF42FB">
            <w:pPr>
              <w:spacing w:after="240"/>
              <w:rPr>
                <w:b/>
                <w:bCs/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 xml:space="preserve">Is betrokken bij schriftelijke inbreng voor eurogroep en </w:t>
            </w:r>
            <w:proofErr w:type="spellStart"/>
            <w:r>
              <w:rPr>
                <w:szCs w:val="18"/>
                <w:lang w:eastAsia="nl-NL"/>
              </w:rPr>
              <w:t>ecofin</w:t>
            </w:r>
            <w:proofErr w:type="spellEnd"/>
            <w:r>
              <w:rPr>
                <w:szCs w:val="18"/>
                <w:lang w:eastAsia="nl-NL"/>
              </w:rPr>
              <w:t xml:space="preserve"> van 13 en 14 mei</w:t>
            </w:r>
          </w:p>
        </w:tc>
      </w:tr>
      <w:tr w:rsidRPr="00BF42FB" w:rsidR="00BF42FB" w:rsidTr="000A171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BF42FB" w:rsidP="00BF42FB" w:rsidRDefault="00BF42FB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2FB" w:rsidP="00BF42FB" w:rsidRDefault="00BF42FB">
            <w:pPr>
              <w:spacing w:after="240"/>
              <w:rPr>
                <w:szCs w:val="18"/>
                <w:lang w:eastAsia="nl-NL"/>
              </w:rPr>
            </w:pPr>
            <w:r w:rsidRPr="000A1717">
              <w:rPr>
                <w:color w:val="808080" w:themeColor="background1" w:themeShade="80"/>
                <w:szCs w:val="18"/>
                <w:lang w:eastAsia="nl-NL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F42FB" w:rsidR="00BF42FB" w:rsidP="00BF42FB" w:rsidRDefault="00BF42FB">
            <w:pPr>
              <w:spacing w:after="240"/>
              <w:rPr>
                <w:color w:val="808080" w:themeColor="background1" w:themeShade="80"/>
                <w:szCs w:val="18"/>
                <w:lang w:eastAsia="nl-NL"/>
              </w:rPr>
            </w:pPr>
            <w:r>
              <w:rPr>
                <w:color w:val="808080" w:themeColor="background1" w:themeShade="80"/>
                <w:szCs w:val="18"/>
                <w:lang w:eastAsia="nl-NL"/>
              </w:rPr>
              <w:t xml:space="preserve">De </w:t>
            </w:r>
            <w:r w:rsidRPr="00BF42FB">
              <w:rPr>
                <w:color w:val="808080" w:themeColor="background1" w:themeShade="80"/>
                <w:szCs w:val="18"/>
                <w:lang w:eastAsia="nl-NL"/>
              </w:rPr>
              <w:t>Commissie</w:t>
            </w:r>
            <w:r>
              <w:rPr>
                <w:color w:val="808080" w:themeColor="background1" w:themeShade="80"/>
                <w:szCs w:val="18"/>
                <w:lang w:eastAsia="nl-NL"/>
              </w:rPr>
              <w:t xml:space="preserve"> heeft positief geoordeeld over</w:t>
            </w:r>
            <w:r w:rsidRPr="00BF42FB">
              <w:rPr>
                <w:color w:val="808080" w:themeColor="background1" w:themeShade="80"/>
                <w:szCs w:val="18"/>
                <w:lang w:eastAsia="nl-NL"/>
              </w:rPr>
              <w:t xml:space="preserve"> een met redenen omkleed verzoek </w:t>
            </w:r>
            <w:r>
              <w:rPr>
                <w:color w:val="808080" w:themeColor="background1" w:themeShade="80"/>
                <w:szCs w:val="18"/>
                <w:lang w:eastAsia="nl-NL"/>
              </w:rPr>
              <w:t xml:space="preserve">van Italië </w:t>
            </w:r>
            <w:r w:rsidRPr="00BF42FB">
              <w:rPr>
                <w:color w:val="808080" w:themeColor="background1" w:themeShade="80"/>
                <w:szCs w:val="18"/>
                <w:lang w:eastAsia="nl-NL"/>
              </w:rPr>
              <w:t>om met een beroep op “objectieve omstandigheden” (artikel 21 HVF-verordening) het HVP te wijzigen.</w:t>
            </w:r>
          </w:p>
          <w:p w:rsidRPr="00BF42FB" w:rsidR="00BF42FB" w:rsidP="00BF42FB" w:rsidRDefault="00BF42FB">
            <w:pPr>
              <w:spacing w:after="240"/>
              <w:rPr>
                <w:color w:val="808080" w:themeColor="background1" w:themeShade="80"/>
                <w:szCs w:val="18"/>
                <w:lang w:eastAsia="nl-NL"/>
              </w:rPr>
            </w:pPr>
            <w:r w:rsidRPr="00BF42FB">
              <w:rPr>
                <w:color w:val="808080" w:themeColor="background1" w:themeShade="80"/>
                <w:szCs w:val="18"/>
                <w:lang w:eastAsia="nl-NL"/>
              </w:rPr>
              <w:t xml:space="preserve">Zie verder </w:t>
            </w:r>
            <w:r w:rsidR="004A4E1F">
              <w:rPr>
                <w:color w:val="808080" w:themeColor="background1" w:themeShade="80"/>
                <w:szCs w:val="18"/>
                <w:lang w:eastAsia="nl-NL"/>
              </w:rPr>
              <w:t xml:space="preserve">de </w:t>
            </w:r>
            <w:r w:rsidRPr="00BF42FB">
              <w:rPr>
                <w:color w:val="808080" w:themeColor="background1" w:themeShade="80"/>
                <w:szCs w:val="18"/>
                <w:lang w:eastAsia="nl-NL"/>
              </w:rPr>
              <w:t xml:space="preserve">geannoteerde agenda van de eurogroep en </w:t>
            </w:r>
            <w:proofErr w:type="spellStart"/>
            <w:r w:rsidRPr="00BF42FB">
              <w:rPr>
                <w:color w:val="808080" w:themeColor="background1" w:themeShade="80"/>
                <w:szCs w:val="18"/>
                <w:lang w:eastAsia="nl-NL"/>
              </w:rPr>
              <w:t>ecofin</w:t>
            </w:r>
            <w:proofErr w:type="spellEnd"/>
            <w:r w:rsidRPr="00BF42FB">
              <w:rPr>
                <w:color w:val="808080" w:themeColor="background1" w:themeShade="80"/>
                <w:szCs w:val="18"/>
                <w:lang w:eastAsia="nl-NL"/>
              </w:rPr>
              <w:t xml:space="preserve"> van 13 en 14 mei. </w:t>
            </w:r>
          </w:p>
          <w:p w:rsidRPr="00BF42FB" w:rsidR="00BF42FB" w:rsidP="00BF42FB" w:rsidRDefault="00BF42FB">
            <w:pPr>
              <w:spacing w:after="240"/>
              <w:rPr>
                <w:szCs w:val="18"/>
                <w:lang w:eastAsia="nl-NL"/>
              </w:rPr>
            </w:pPr>
          </w:p>
        </w:tc>
      </w:tr>
    </w:tbl>
    <w:p w:rsidRPr="00BF42FB" w:rsidR="000A1717" w:rsidP="000A1717" w:rsidRDefault="000A1717">
      <w:pPr>
        <w:pStyle w:val="Lijstalinea"/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="000A1717" w:rsidTr="000A171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F42FB" w:rsidR="000A1717" w:rsidP="000A1717" w:rsidRDefault="000A1717">
            <w:pPr>
              <w:pStyle w:val="Lijstalinea"/>
              <w:numPr>
                <w:ilvl w:val="0"/>
                <w:numId w:val="11"/>
              </w:numPr>
              <w:spacing w:after="240"/>
              <w:ind w:left="312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717" w:rsidRDefault="000A1717">
            <w:pPr>
              <w:spacing w:after="240"/>
              <w:rPr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717" w:rsidRDefault="000A1717">
            <w:pPr>
              <w:shd w:val="clear" w:color="auto" w:fill="FFFFFF"/>
              <w:spacing w:after="75"/>
              <w:rPr>
                <w:szCs w:val="18"/>
                <w:lang w:eastAsia="nl-NL"/>
              </w:rPr>
            </w:pPr>
            <w:r>
              <w:rPr>
                <w:color w:val="000000"/>
                <w:szCs w:val="18"/>
                <w:lang w:eastAsia="nl-NL"/>
              </w:rPr>
              <w:t xml:space="preserve">JAARLIJKSE EVALUATIE DOOR DE COMMISSIE van de jaarlijkse activiteitenverslagen van de lidstaten inzake exportkredieten in de zin van Verordening (EU) nr. 1233/2011 </w:t>
            </w:r>
            <w:hyperlink w:history="1" r:id="rId20">
              <w:r>
                <w:rPr>
                  <w:rStyle w:val="Hyperlink"/>
                  <w:szCs w:val="18"/>
                  <w:lang w:eastAsia="nl-NL"/>
                </w:rPr>
                <w:t>COM(2024)186</w:t>
              </w:r>
            </w:hyperlink>
          </w:p>
        </w:tc>
      </w:tr>
      <w:tr w:rsidR="000A1717" w:rsidTr="000A171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0A1717" w:rsidP="000A1717" w:rsidRDefault="000A171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717" w:rsidP="000A1717" w:rsidRDefault="000A1717">
            <w:pPr>
              <w:spacing w:after="240"/>
              <w:rPr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717" w:rsidP="000A1717" w:rsidRDefault="00BF42FB">
            <w:pPr>
              <w:spacing w:after="240"/>
              <w:rPr>
                <w:b/>
                <w:bCs/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>Voor kennisgeving aannemen</w:t>
            </w:r>
          </w:p>
        </w:tc>
      </w:tr>
      <w:tr w:rsidR="000A1717" w:rsidTr="000A171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0A1717" w:rsidP="000A1717" w:rsidRDefault="000A171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717" w:rsidP="000A1717" w:rsidRDefault="000A1717">
            <w:pPr>
              <w:spacing w:after="240"/>
              <w:rPr>
                <w:szCs w:val="18"/>
                <w:lang w:eastAsia="nl-NL"/>
              </w:rPr>
            </w:pPr>
            <w:r w:rsidRPr="000A1717">
              <w:rPr>
                <w:color w:val="808080" w:themeColor="background1" w:themeShade="80"/>
                <w:szCs w:val="18"/>
                <w:lang w:eastAsia="nl-NL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504BDF" w:rsidR="000A1717" w:rsidP="00C74F30" w:rsidRDefault="00504BDF">
            <w:pPr>
              <w:spacing w:after="240"/>
              <w:rPr>
                <w:color w:val="808080" w:themeColor="background1" w:themeShade="80"/>
                <w:szCs w:val="18"/>
                <w:lang w:eastAsia="nl-NL"/>
              </w:rPr>
            </w:pPr>
            <w:r w:rsidRPr="00504BDF">
              <w:rPr>
                <w:color w:val="808080" w:themeColor="background1" w:themeShade="80"/>
                <w:szCs w:val="18"/>
                <w:lang w:eastAsia="nl-NL"/>
              </w:rPr>
              <w:t xml:space="preserve">De Commissie heeft </w:t>
            </w:r>
            <w:r w:rsidRPr="00504BDF" w:rsidR="00BF42FB">
              <w:rPr>
                <w:color w:val="808080" w:themeColor="background1" w:themeShade="80"/>
                <w:szCs w:val="18"/>
                <w:lang w:eastAsia="nl-NL"/>
              </w:rPr>
              <w:t xml:space="preserve">voor het jaar 2021 </w:t>
            </w:r>
            <w:r w:rsidRPr="00504BDF">
              <w:rPr>
                <w:color w:val="808080" w:themeColor="background1" w:themeShade="80"/>
                <w:szCs w:val="18"/>
                <w:lang w:eastAsia="nl-NL"/>
              </w:rPr>
              <w:t xml:space="preserve">de jaarlijkse evaluatie opgemaakt </w:t>
            </w:r>
            <w:r w:rsidRPr="00504BDF" w:rsidR="00BF42FB">
              <w:rPr>
                <w:color w:val="808080" w:themeColor="background1" w:themeShade="80"/>
                <w:szCs w:val="18"/>
                <w:lang w:eastAsia="nl-NL"/>
              </w:rPr>
              <w:t xml:space="preserve">van door de </w:t>
            </w:r>
            <w:r w:rsidR="00C74F30">
              <w:rPr>
                <w:color w:val="808080" w:themeColor="background1" w:themeShade="80"/>
                <w:szCs w:val="18"/>
                <w:lang w:eastAsia="nl-NL"/>
              </w:rPr>
              <w:t>lidstaten</w:t>
            </w:r>
            <w:r w:rsidRPr="00504BDF" w:rsidR="00BF42FB">
              <w:rPr>
                <w:color w:val="808080" w:themeColor="background1" w:themeShade="80"/>
                <w:szCs w:val="18"/>
                <w:lang w:eastAsia="nl-NL"/>
              </w:rPr>
              <w:t xml:space="preserve"> gesteunde </w:t>
            </w:r>
            <w:r w:rsidRPr="00504BDF" w:rsidR="00BF42FB">
              <w:rPr>
                <w:color w:val="808080" w:themeColor="background1" w:themeShade="80"/>
                <w:szCs w:val="18"/>
                <w:lang w:eastAsia="nl-NL"/>
              </w:rPr>
              <w:lastRenderedPageBreak/>
              <w:t>exportkredietactiviteiten</w:t>
            </w:r>
            <w:r w:rsidRPr="00504BDF">
              <w:rPr>
                <w:color w:val="808080" w:themeColor="background1" w:themeShade="80"/>
                <w:szCs w:val="18"/>
                <w:lang w:eastAsia="nl-NL"/>
              </w:rPr>
              <w:t xml:space="preserve"> </w:t>
            </w:r>
            <w:r w:rsidRPr="00504BDF" w:rsidR="00BF42FB">
              <w:rPr>
                <w:color w:val="808080" w:themeColor="background1" w:themeShade="80"/>
                <w:szCs w:val="18"/>
                <w:lang w:eastAsia="nl-NL"/>
              </w:rPr>
              <w:t>overeenkomstig</w:t>
            </w:r>
            <w:r w:rsidRPr="00504BDF">
              <w:rPr>
                <w:color w:val="808080" w:themeColor="background1" w:themeShade="80"/>
                <w:szCs w:val="18"/>
                <w:lang w:eastAsia="nl-NL"/>
              </w:rPr>
              <w:t xml:space="preserve"> Verordening (EU) nr. 1233/2011</w:t>
            </w:r>
            <w:r w:rsidR="00C74F30">
              <w:rPr>
                <w:color w:val="808080" w:themeColor="background1" w:themeShade="80"/>
                <w:szCs w:val="18"/>
                <w:lang w:eastAsia="nl-NL"/>
              </w:rPr>
              <w:t xml:space="preserve"> </w:t>
            </w:r>
            <w:r w:rsidRPr="00504BDF" w:rsidR="00BF42FB">
              <w:rPr>
                <w:color w:val="808080" w:themeColor="background1" w:themeShade="80"/>
                <w:szCs w:val="18"/>
                <w:lang w:eastAsia="nl-NL"/>
              </w:rPr>
              <w:t xml:space="preserve">betreffende de toepassing van bepaalde richtsnoeren op het gebied van door de overheid gesteunde exportkredieten. </w:t>
            </w:r>
            <w:r w:rsidRPr="00504BDF">
              <w:rPr>
                <w:color w:val="808080" w:themeColor="background1" w:themeShade="80"/>
                <w:szCs w:val="18"/>
                <w:lang w:eastAsia="nl-NL"/>
              </w:rPr>
              <w:t>Hiervoor stellen de nationale exportkredietinstellingen hun jaarlijkse activiteitenverslagen ter beschikking volgens een gestandaardiseerd checklistmodel.</w:t>
            </w:r>
            <w:r w:rsidRPr="00504BDF" w:rsidR="00BF42FB">
              <w:rPr>
                <w:color w:val="808080" w:themeColor="background1" w:themeShade="80"/>
                <w:szCs w:val="18"/>
                <w:lang w:eastAsia="nl-NL"/>
              </w:rPr>
              <w:t xml:space="preserve"> </w:t>
            </w:r>
            <w:r w:rsidRPr="00504BDF">
              <w:rPr>
                <w:color w:val="808080" w:themeColor="background1" w:themeShade="80"/>
                <w:szCs w:val="18"/>
                <w:lang w:eastAsia="nl-NL"/>
              </w:rPr>
              <w:t xml:space="preserve">Dit checklistmodel </w:t>
            </w:r>
            <w:r w:rsidRPr="00504BDF" w:rsidR="00BF42FB">
              <w:rPr>
                <w:color w:val="808080" w:themeColor="background1" w:themeShade="80"/>
                <w:szCs w:val="18"/>
                <w:lang w:eastAsia="nl-NL"/>
              </w:rPr>
              <w:t xml:space="preserve">omvat </w:t>
            </w:r>
            <w:r w:rsidRPr="00504BDF">
              <w:rPr>
                <w:color w:val="808080" w:themeColor="background1" w:themeShade="80"/>
                <w:szCs w:val="18"/>
                <w:lang w:eastAsia="nl-NL"/>
              </w:rPr>
              <w:t xml:space="preserve">onder </w:t>
            </w:r>
            <w:r w:rsidRPr="00504BDF" w:rsidR="00BF42FB">
              <w:rPr>
                <w:color w:val="808080" w:themeColor="background1" w:themeShade="80"/>
                <w:szCs w:val="18"/>
                <w:lang w:eastAsia="nl-NL"/>
              </w:rPr>
              <w:t>meer gedetailleerde informatie over mensenrechten, klimaatverandering en milieubescherming.</w:t>
            </w:r>
            <w:r w:rsidRPr="00504BDF">
              <w:rPr>
                <w:color w:val="808080" w:themeColor="background1" w:themeShade="80"/>
                <w:szCs w:val="18"/>
                <w:lang w:eastAsia="nl-NL"/>
              </w:rPr>
              <w:t xml:space="preserve"> Nederland is een van de twintig lidstaten die in 2021 exportkredietverzekeringen heeft verstrekt en derhalve ook een verslag daarover met de Commissie heeft gedeeld. Exportkredietverzekeringen worden in Nederland door </w:t>
            </w:r>
            <w:proofErr w:type="spellStart"/>
            <w:r w:rsidRPr="00504BDF">
              <w:rPr>
                <w:color w:val="808080" w:themeColor="background1" w:themeShade="80"/>
                <w:szCs w:val="18"/>
                <w:lang w:eastAsia="nl-NL"/>
              </w:rPr>
              <w:t>Atradius</w:t>
            </w:r>
            <w:proofErr w:type="spellEnd"/>
            <w:r w:rsidRPr="00504BDF">
              <w:rPr>
                <w:color w:val="808080" w:themeColor="background1" w:themeShade="80"/>
                <w:szCs w:val="18"/>
                <w:lang w:eastAsia="nl-NL"/>
              </w:rPr>
              <w:t xml:space="preserve"> verstrekt</w:t>
            </w:r>
            <w:r>
              <w:rPr>
                <w:color w:val="808080" w:themeColor="background1" w:themeShade="80"/>
                <w:szCs w:val="18"/>
                <w:lang w:eastAsia="nl-NL"/>
              </w:rPr>
              <w:t>.</w:t>
            </w:r>
          </w:p>
        </w:tc>
      </w:tr>
    </w:tbl>
    <w:p w:rsidRPr="00DD3DF7" w:rsidR="000A1717" w:rsidP="000A1717" w:rsidRDefault="000A1717">
      <w:pPr>
        <w:pStyle w:val="Lijstalinea"/>
        <w:rPr>
          <w:b/>
          <w:bCs/>
        </w:rPr>
      </w:pPr>
    </w:p>
    <w:sectPr w:rsidRPr="00DD3DF7" w:rsidR="000A1717" w:rsidSect="00BF62AD">
      <w:headerReference w:type="default" r:id="rId21"/>
      <w:footerReference w:type="default" r:id="rId22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659" w:rsidRDefault="004A6659">
      <w:r>
        <w:separator/>
      </w:r>
    </w:p>
  </w:endnote>
  <w:endnote w:type="continuationSeparator" w:id="0">
    <w:p w:rsidR="004A6659" w:rsidRDefault="004A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0C9DB7B2" wp14:editId="199CEBED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AC07B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9DB7B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AC07B5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413A8C8" wp14:editId="713ED7A5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13A8C8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5F259222" wp14:editId="3F6408C7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AC07B5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5922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AC07B5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BB19FBE" wp14:editId="684A39FA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B19FBE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659" w:rsidRDefault="004A6659">
      <w:r>
        <w:separator/>
      </w:r>
    </w:p>
  </w:footnote>
  <w:footnote w:type="continuationSeparator" w:id="0">
    <w:p w:rsidR="004A6659" w:rsidRDefault="004A6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068E9CFA" wp14:editId="2828E6C8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442A56D4" wp14:editId="2751EA7E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12E3D0BA" wp14:editId="48CB25BE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3D0BA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3473D060" wp14:editId="5A0DD15C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ctiveWritingStyle w:appName="MSWord" w:lang="nl-NL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508"/>
    <w:rsid w:val="000037E5"/>
    <w:rsid w:val="00004383"/>
    <w:rsid w:val="00006780"/>
    <w:rsid w:val="00010EF2"/>
    <w:rsid w:val="000123FA"/>
    <w:rsid w:val="00012D11"/>
    <w:rsid w:val="00013B5B"/>
    <w:rsid w:val="00016110"/>
    <w:rsid w:val="00017483"/>
    <w:rsid w:val="00026D47"/>
    <w:rsid w:val="000277A4"/>
    <w:rsid w:val="00031259"/>
    <w:rsid w:val="000339A6"/>
    <w:rsid w:val="00035057"/>
    <w:rsid w:val="00036674"/>
    <w:rsid w:val="000423A9"/>
    <w:rsid w:val="00045831"/>
    <w:rsid w:val="000472B9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75E8B"/>
    <w:rsid w:val="00084262"/>
    <w:rsid w:val="00084302"/>
    <w:rsid w:val="00085FA1"/>
    <w:rsid w:val="00087299"/>
    <w:rsid w:val="00090ED6"/>
    <w:rsid w:val="00094546"/>
    <w:rsid w:val="00094A9B"/>
    <w:rsid w:val="000A1717"/>
    <w:rsid w:val="000A1C2B"/>
    <w:rsid w:val="000A23C5"/>
    <w:rsid w:val="000A2D26"/>
    <w:rsid w:val="000B0BBA"/>
    <w:rsid w:val="000B2192"/>
    <w:rsid w:val="000B57A7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0AFA"/>
    <w:rsid w:val="000F359C"/>
    <w:rsid w:val="000F36CD"/>
    <w:rsid w:val="000F5363"/>
    <w:rsid w:val="000F5722"/>
    <w:rsid w:val="00102FE4"/>
    <w:rsid w:val="00105391"/>
    <w:rsid w:val="00120FD2"/>
    <w:rsid w:val="00125B8D"/>
    <w:rsid w:val="00127B2A"/>
    <w:rsid w:val="0013509E"/>
    <w:rsid w:val="00136167"/>
    <w:rsid w:val="0013623C"/>
    <w:rsid w:val="00136C5C"/>
    <w:rsid w:val="00137054"/>
    <w:rsid w:val="001401C7"/>
    <w:rsid w:val="00141D39"/>
    <w:rsid w:val="001445D4"/>
    <w:rsid w:val="00147017"/>
    <w:rsid w:val="00151AC8"/>
    <w:rsid w:val="001545B9"/>
    <w:rsid w:val="00154EC0"/>
    <w:rsid w:val="001551BD"/>
    <w:rsid w:val="001555A9"/>
    <w:rsid w:val="00160E6E"/>
    <w:rsid w:val="00161D1B"/>
    <w:rsid w:val="001706B1"/>
    <w:rsid w:val="00170AFB"/>
    <w:rsid w:val="001715CC"/>
    <w:rsid w:val="0017276C"/>
    <w:rsid w:val="0017367F"/>
    <w:rsid w:val="00174E29"/>
    <w:rsid w:val="00175DA6"/>
    <w:rsid w:val="00182004"/>
    <w:rsid w:val="00187402"/>
    <w:rsid w:val="0018775E"/>
    <w:rsid w:val="001918C0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8B2"/>
    <w:rsid w:val="001D3CD3"/>
    <w:rsid w:val="001D7B39"/>
    <w:rsid w:val="001E143A"/>
    <w:rsid w:val="001E1C84"/>
    <w:rsid w:val="001E39BA"/>
    <w:rsid w:val="001F1517"/>
    <w:rsid w:val="001F4221"/>
    <w:rsid w:val="001F6D9D"/>
    <w:rsid w:val="001F7012"/>
    <w:rsid w:val="002048D9"/>
    <w:rsid w:val="00206825"/>
    <w:rsid w:val="00210705"/>
    <w:rsid w:val="00211391"/>
    <w:rsid w:val="00216C27"/>
    <w:rsid w:val="00221D6B"/>
    <w:rsid w:val="0022374D"/>
    <w:rsid w:val="00224294"/>
    <w:rsid w:val="00227D85"/>
    <w:rsid w:val="00235B3D"/>
    <w:rsid w:val="00241DE4"/>
    <w:rsid w:val="00245D08"/>
    <w:rsid w:val="002472B6"/>
    <w:rsid w:val="00251996"/>
    <w:rsid w:val="002538C7"/>
    <w:rsid w:val="00262A1B"/>
    <w:rsid w:val="00266365"/>
    <w:rsid w:val="00271075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D3577"/>
    <w:rsid w:val="002D7845"/>
    <w:rsid w:val="002E04C1"/>
    <w:rsid w:val="002E43EB"/>
    <w:rsid w:val="002E5CC6"/>
    <w:rsid w:val="002E6686"/>
    <w:rsid w:val="002E72EA"/>
    <w:rsid w:val="002F363A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28A2"/>
    <w:rsid w:val="0033344D"/>
    <w:rsid w:val="003354DB"/>
    <w:rsid w:val="003410ED"/>
    <w:rsid w:val="00346125"/>
    <w:rsid w:val="0035285E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93BB7"/>
    <w:rsid w:val="003A2048"/>
    <w:rsid w:val="003A219A"/>
    <w:rsid w:val="003A332A"/>
    <w:rsid w:val="003A479D"/>
    <w:rsid w:val="003A5792"/>
    <w:rsid w:val="003B1D02"/>
    <w:rsid w:val="003B254F"/>
    <w:rsid w:val="003B2964"/>
    <w:rsid w:val="003B4119"/>
    <w:rsid w:val="003B484E"/>
    <w:rsid w:val="003B67E0"/>
    <w:rsid w:val="003C0D63"/>
    <w:rsid w:val="003C0FF3"/>
    <w:rsid w:val="003C2832"/>
    <w:rsid w:val="003D22ED"/>
    <w:rsid w:val="003D450D"/>
    <w:rsid w:val="003D5554"/>
    <w:rsid w:val="003D5683"/>
    <w:rsid w:val="003D660C"/>
    <w:rsid w:val="003E282D"/>
    <w:rsid w:val="003E6EA2"/>
    <w:rsid w:val="003F0545"/>
    <w:rsid w:val="003F628A"/>
    <w:rsid w:val="00403FAF"/>
    <w:rsid w:val="00405747"/>
    <w:rsid w:val="0041042A"/>
    <w:rsid w:val="00411808"/>
    <w:rsid w:val="0041634B"/>
    <w:rsid w:val="00416E67"/>
    <w:rsid w:val="00420882"/>
    <w:rsid w:val="0042300F"/>
    <w:rsid w:val="00424531"/>
    <w:rsid w:val="00424D04"/>
    <w:rsid w:val="004265B2"/>
    <w:rsid w:val="00427600"/>
    <w:rsid w:val="0043382C"/>
    <w:rsid w:val="0043446E"/>
    <w:rsid w:val="00434BC6"/>
    <w:rsid w:val="00436804"/>
    <w:rsid w:val="00441745"/>
    <w:rsid w:val="00442D7A"/>
    <w:rsid w:val="004521E2"/>
    <w:rsid w:val="00455D0F"/>
    <w:rsid w:val="004573F4"/>
    <w:rsid w:val="004577D5"/>
    <w:rsid w:val="004605A4"/>
    <w:rsid w:val="00461756"/>
    <w:rsid w:val="0046311A"/>
    <w:rsid w:val="00464184"/>
    <w:rsid w:val="00473A07"/>
    <w:rsid w:val="00473A85"/>
    <w:rsid w:val="00473B75"/>
    <w:rsid w:val="00474128"/>
    <w:rsid w:val="00474A4E"/>
    <w:rsid w:val="00474E1E"/>
    <w:rsid w:val="004760D1"/>
    <w:rsid w:val="00482405"/>
    <w:rsid w:val="00484658"/>
    <w:rsid w:val="00487FCF"/>
    <w:rsid w:val="00491847"/>
    <w:rsid w:val="004A0757"/>
    <w:rsid w:val="004A2857"/>
    <w:rsid w:val="004A48F2"/>
    <w:rsid w:val="004A4E1F"/>
    <w:rsid w:val="004A553E"/>
    <w:rsid w:val="004A6659"/>
    <w:rsid w:val="004B04EF"/>
    <w:rsid w:val="004B109E"/>
    <w:rsid w:val="004B447F"/>
    <w:rsid w:val="004B572A"/>
    <w:rsid w:val="004B5B19"/>
    <w:rsid w:val="004B5D78"/>
    <w:rsid w:val="004C7B01"/>
    <w:rsid w:val="004D469F"/>
    <w:rsid w:val="004E3424"/>
    <w:rsid w:val="004E426E"/>
    <w:rsid w:val="004E5595"/>
    <w:rsid w:val="00504BDF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2742B"/>
    <w:rsid w:val="005324DF"/>
    <w:rsid w:val="005376B8"/>
    <w:rsid w:val="00540F78"/>
    <w:rsid w:val="00543233"/>
    <w:rsid w:val="00543BB4"/>
    <w:rsid w:val="00554CBF"/>
    <w:rsid w:val="00561CE6"/>
    <w:rsid w:val="00565011"/>
    <w:rsid w:val="00574E91"/>
    <w:rsid w:val="00575841"/>
    <w:rsid w:val="00581C55"/>
    <w:rsid w:val="005825DC"/>
    <w:rsid w:val="005834BB"/>
    <w:rsid w:val="0058398B"/>
    <w:rsid w:val="0058632D"/>
    <w:rsid w:val="00591181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C4DA9"/>
    <w:rsid w:val="005D20CD"/>
    <w:rsid w:val="005E300D"/>
    <w:rsid w:val="005E5400"/>
    <w:rsid w:val="005E7B45"/>
    <w:rsid w:val="005F1EDF"/>
    <w:rsid w:val="005F3027"/>
    <w:rsid w:val="00605B5A"/>
    <w:rsid w:val="006060B3"/>
    <w:rsid w:val="0060611D"/>
    <w:rsid w:val="00613764"/>
    <w:rsid w:val="00617577"/>
    <w:rsid w:val="006200E7"/>
    <w:rsid w:val="00621260"/>
    <w:rsid w:val="00626F56"/>
    <w:rsid w:val="00626FD8"/>
    <w:rsid w:val="006301F4"/>
    <w:rsid w:val="00633333"/>
    <w:rsid w:val="0064051F"/>
    <w:rsid w:val="00643A98"/>
    <w:rsid w:val="006475E6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82002"/>
    <w:rsid w:val="00683ED4"/>
    <w:rsid w:val="00690F44"/>
    <w:rsid w:val="006919C8"/>
    <w:rsid w:val="00692C5E"/>
    <w:rsid w:val="0069362C"/>
    <w:rsid w:val="00693D3B"/>
    <w:rsid w:val="00694B16"/>
    <w:rsid w:val="006960C4"/>
    <w:rsid w:val="00697687"/>
    <w:rsid w:val="00697B74"/>
    <w:rsid w:val="006A15AD"/>
    <w:rsid w:val="006A45D8"/>
    <w:rsid w:val="006A4888"/>
    <w:rsid w:val="006A5210"/>
    <w:rsid w:val="006B0B28"/>
    <w:rsid w:val="006B488A"/>
    <w:rsid w:val="006C4176"/>
    <w:rsid w:val="006D276D"/>
    <w:rsid w:val="006D2B66"/>
    <w:rsid w:val="006D3AA5"/>
    <w:rsid w:val="006D4B9F"/>
    <w:rsid w:val="006D622B"/>
    <w:rsid w:val="006D77D8"/>
    <w:rsid w:val="006D7AEF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40D3B"/>
    <w:rsid w:val="007417AC"/>
    <w:rsid w:val="007439D7"/>
    <w:rsid w:val="00744BB9"/>
    <w:rsid w:val="00745D31"/>
    <w:rsid w:val="00755534"/>
    <w:rsid w:val="00757AA5"/>
    <w:rsid w:val="007642F9"/>
    <w:rsid w:val="00765D09"/>
    <w:rsid w:val="00770A61"/>
    <w:rsid w:val="00773074"/>
    <w:rsid w:val="00773C33"/>
    <w:rsid w:val="00781A50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B58FB"/>
    <w:rsid w:val="007D1DED"/>
    <w:rsid w:val="007D49C7"/>
    <w:rsid w:val="007D4B07"/>
    <w:rsid w:val="007E249D"/>
    <w:rsid w:val="007E4BFD"/>
    <w:rsid w:val="007E4FB5"/>
    <w:rsid w:val="007F04F9"/>
    <w:rsid w:val="007F714A"/>
    <w:rsid w:val="008021E9"/>
    <w:rsid w:val="00802974"/>
    <w:rsid w:val="00802D86"/>
    <w:rsid w:val="00802F06"/>
    <w:rsid w:val="008047D9"/>
    <w:rsid w:val="00804A4D"/>
    <w:rsid w:val="0081023D"/>
    <w:rsid w:val="0081050B"/>
    <w:rsid w:val="00812348"/>
    <w:rsid w:val="00814048"/>
    <w:rsid w:val="00820149"/>
    <w:rsid w:val="00820651"/>
    <w:rsid w:val="00826C29"/>
    <w:rsid w:val="00832AA8"/>
    <w:rsid w:val="00834690"/>
    <w:rsid w:val="0083576C"/>
    <w:rsid w:val="00840FA0"/>
    <w:rsid w:val="00843FBB"/>
    <w:rsid w:val="008454D2"/>
    <w:rsid w:val="00845DEC"/>
    <w:rsid w:val="0085294F"/>
    <w:rsid w:val="0085665C"/>
    <w:rsid w:val="00866593"/>
    <w:rsid w:val="00870719"/>
    <w:rsid w:val="00892314"/>
    <w:rsid w:val="0089371C"/>
    <w:rsid w:val="008963DE"/>
    <w:rsid w:val="00897AF1"/>
    <w:rsid w:val="008A0A18"/>
    <w:rsid w:val="008A4075"/>
    <w:rsid w:val="008A5C07"/>
    <w:rsid w:val="008A5F82"/>
    <w:rsid w:val="008B0C5F"/>
    <w:rsid w:val="008B33EB"/>
    <w:rsid w:val="008B3ABC"/>
    <w:rsid w:val="008B4B43"/>
    <w:rsid w:val="008B5E4B"/>
    <w:rsid w:val="008B7783"/>
    <w:rsid w:val="008C43A5"/>
    <w:rsid w:val="008C4443"/>
    <w:rsid w:val="008E1635"/>
    <w:rsid w:val="008E1DAE"/>
    <w:rsid w:val="008E363B"/>
    <w:rsid w:val="008E7DAC"/>
    <w:rsid w:val="008F0DC3"/>
    <w:rsid w:val="008F6A83"/>
    <w:rsid w:val="00901055"/>
    <w:rsid w:val="0090730F"/>
    <w:rsid w:val="00913B64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12D2"/>
    <w:rsid w:val="00942CDE"/>
    <w:rsid w:val="00946E0E"/>
    <w:rsid w:val="009531A4"/>
    <w:rsid w:val="00956342"/>
    <w:rsid w:val="009575DB"/>
    <w:rsid w:val="009612C2"/>
    <w:rsid w:val="009622D4"/>
    <w:rsid w:val="00962A95"/>
    <w:rsid w:val="00963CFB"/>
    <w:rsid w:val="009647CC"/>
    <w:rsid w:val="00970CA0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97961"/>
    <w:rsid w:val="009A5399"/>
    <w:rsid w:val="009A5F4C"/>
    <w:rsid w:val="009A7481"/>
    <w:rsid w:val="009B1792"/>
    <w:rsid w:val="009B2C99"/>
    <w:rsid w:val="009B3610"/>
    <w:rsid w:val="009B3CF3"/>
    <w:rsid w:val="009B46E4"/>
    <w:rsid w:val="009B4DCA"/>
    <w:rsid w:val="009B706C"/>
    <w:rsid w:val="009C2266"/>
    <w:rsid w:val="009C4971"/>
    <w:rsid w:val="009D0749"/>
    <w:rsid w:val="009E2113"/>
    <w:rsid w:val="009E6257"/>
    <w:rsid w:val="009F1C43"/>
    <w:rsid w:val="009F2CCC"/>
    <w:rsid w:val="00A009CA"/>
    <w:rsid w:val="00A04C8A"/>
    <w:rsid w:val="00A149AC"/>
    <w:rsid w:val="00A16DD6"/>
    <w:rsid w:val="00A20A7D"/>
    <w:rsid w:val="00A22DC8"/>
    <w:rsid w:val="00A324AB"/>
    <w:rsid w:val="00A33B04"/>
    <w:rsid w:val="00A34E30"/>
    <w:rsid w:val="00A362EB"/>
    <w:rsid w:val="00A37656"/>
    <w:rsid w:val="00A42CDC"/>
    <w:rsid w:val="00A464BD"/>
    <w:rsid w:val="00A47FBE"/>
    <w:rsid w:val="00A501AD"/>
    <w:rsid w:val="00A579E8"/>
    <w:rsid w:val="00A57E41"/>
    <w:rsid w:val="00A632DC"/>
    <w:rsid w:val="00A657BB"/>
    <w:rsid w:val="00A71CE5"/>
    <w:rsid w:val="00A77085"/>
    <w:rsid w:val="00A80CBB"/>
    <w:rsid w:val="00A828E3"/>
    <w:rsid w:val="00A946A6"/>
    <w:rsid w:val="00A95091"/>
    <w:rsid w:val="00A96541"/>
    <w:rsid w:val="00A968DA"/>
    <w:rsid w:val="00AA0328"/>
    <w:rsid w:val="00AA44E4"/>
    <w:rsid w:val="00AA5FFB"/>
    <w:rsid w:val="00AB0987"/>
    <w:rsid w:val="00AB365C"/>
    <w:rsid w:val="00AB601C"/>
    <w:rsid w:val="00AB6D0E"/>
    <w:rsid w:val="00AC07B5"/>
    <w:rsid w:val="00AC226A"/>
    <w:rsid w:val="00AC2D1E"/>
    <w:rsid w:val="00AC68C0"/>
    <w:rsid w:val="00AD0985"/>
    <w:rsid w:val="00AD0E6A"/>
    <w:rsid w:val="00AD151A"/>
    <w:rsid w:val="00AD33F2"/>
    <w:rsid w:val="00AD4211"/>
    <w:rsid w:val="00AE17EA"/>
    <w:rsid w:val="00AE3B5E"/>
    <w:rsid w:val="00AE4123"/>
    <w:rsid w:val="00AE4AA4"/>
    <w:rsid w:val="00AE681E"/>
    <w:rsid w:val="00AE69BE"/>
    <w:rsid w:val="00AE768D"/>
    <w:rsid w:val="00AF27EB"/>
    <w:rsid w:val="00AF294D"/>
    <w:rsid w:val="00AF7BAC"/>
    <w:rsid w:val="00B12256"/>
    <w:rsid w:val="00B14078"/>
    <w:rsid w:val="00B163F5"/>
    <w:rsid w:val="00B20204"/>
    <w:rsid w:val="00B257AD"/>
    <w:rsid w:val="00B2723B"/>
    <w:rsid w:val="00B30327"/>
    <w:rsid w:val="00B306FA"/>
    <w:rsid w:val="00B34C2F"/>
    <w:rsid w:val="00B53C93"/>
    <w:rsid w:val="00B54A2B"/>
    <w:rsid w:val="00B55826"/>
    <w:rsid w:val="00B56147"/>
    <w:rsid w:val="00B56913"/>
    <w:rsid w:val="00B60251"/>
    <w:rsid w:val="00B61E28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0A4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1A23"/>
    <w:rsid w:val="00BC2EAD"/>
    <w:rsid w:val="00BC3391"/>
    <w:rsid w:val="00BC7779"/>
    <w:rsid w:val="00BD13D9"/>
    <w:rsid w:val="00BD28EC"/>
    <w:rsid w:val="00BD3B5C"/>
    <w:rsid w:val="00BD520C"/>
    <w:rsid w:val="00BF2DEC"/>
    <w:rsid w:val="00BF42FB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2F1E"/>
    <w:rsid w:val="00C4727D"/>
    <w:rsid w:val="00C5067A"/>
    <w:rsid w:val="00C55060"/>
    <w:rsid w:val="00C60BB7"/>
    <w:rsid w:val="00C643E9"/>
    <w:rsid w:val="00C660F6"/>
    <w:rsid w:val="00C71065"/>
    <w:rsid w:val="00C727FA"/>
    <w:rsid w:val="00C74F30"/>
    <w:rsid w:val="00C75EFA"/>
    <w:rsid w:val="00C76646"/>
    <w:rsid w:val="00C776F3"/>
    <w:rsid w:val="00C77C19"/>
    <w:rsid w:val="00C81CF5"/>
    <w:rsid w:val="00C902C3"/>
    <w:rsid w:val="00C920B0"/>
    <w:rsid w:val="00C92FEA"/>
    <w:rsid w:val="00C9320A"/>
    <w:rsid w:val="00C95F3E"/>
    <w:rsid w:val="00C96B40"/>
    <w:rsid w:val="00C97A62"/>
    <w:rsid w:val="00CA2071"/>
    <w:rsid w:val="00CA2568"/>
    <w:rsid w:val="00CA2E09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520A"/>
    <w:rsid w:val="00CD57F3"/>
    <w:rsid w:val="00CD6193"/>
    <w:rsid w:val="00CD730D"/>
    <w:rsid w:val="00CE6987"/>
    <w:rsid w:val="00CE75D1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6E8"/>
    <w:rsid w:val="00D212CA"/>
    <w:rsid w:val="00D233A8"/>
    <w:rsid w:val="00D25B85"/>
    <w:rsid w:val="00D26280"/>
    <w:rsid w:val="00D27FE7"/>
    <w:rsid w:val="00D303E7"/>
    <w:rsid w:val="00D3073E"/>
    <w:rsid w:val="00D30C85"/>
    <w:rsid w:val="00D36A44"/>
    <w:rsid w:val="00D40390"/>
    <w:rsid w:val="00D4444E"/>
    <w:rsid w:val="00D46679"/>
    <w:rsid w:val="00D467E2"/>
    <w:rsid w:val="00D54FE2"/>
    <w:rsid w:val="00D5774F"/>
    <w:rsid w:val="00D64CF8"/>
    <w:rsid w:val="00D64F93"/>
    <w:rsid w:val="00D6591C"/>
    <w:rsid w:val="00D65C38"/>
    <w:rsid w:val="00D66250"/>
    <w:rsid w:val="00D67F7F"/>
    <w:rsid w:val="00D7255C"/>
    <w:rsid w:val="00D72CC9"/>
    <w:rsid w:val="00D75535"/>
    <w:rsid w:val="00DA28D1"/>
    <w:rsid w:val="00DA5144"/>
    <w:rsid w:val="00DB2B90"/>
    <w:rsid w:val="00DB3F6B"/>
    <w:rsid w:val="00DB464F"/>
    <w:rsid w:val="00DB6B9D"/>
    <w:rsid w:val="00DC0EBD"/>
    <w:rsid w:val="00DC1442"/>
    <w:rsid w:val="00DC165E"/>
    <w:rsid w:val="00DD3DF7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30EA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127C3"/>
    <w:rsid w:val="00E15CF6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3510"/>
    <w:rsid w:val="00E452DF"/>
    <w:rsid w:val="00E4701A"/>
    <w:rsid w:val="00E4794E"/>
    <w:rsid w:val="00E53C1E"/>
    <w:rsid w:val="00E63829"/>
    <w:rsid w:val="00E6432B"/>
    <w:rsid w:val="00E666D4"/>
    <w:rsid w:val="00E67989"/>
    <w:rsid w:val="00E74797"/>
    <w:rsid w:val="00E80096"/>
    <w:rsid w:val="00E80FBD"/>
    <w:rsid w:val="00E82B47"/>
    <w:rsid w:val="00E84D83"/>
    <w:rsid w:val="00E86E93"/>
    <w:rsid w:val="00E92779"/>
    <w:rsid w:val="00EA3A9D"/>
    <w:rsid w:val="00EA4B76"/>
    <w:rsid w:val="00EA546B"/>
    <w:rsid w:val="00EA6FF9"/>
    <w:rsid w:val="00EB409D"/>
    <w:rsid w:val="00EC4140"/>
    <w:rsid w:val="00EC7E69"/>
    <w:rsid w:val="00ED6644"/>
    <w:rsid w:val="00ED7008"/>
    <w:rsid w:val="00EE1C0C"/>
    <w:rsid w:val="00EE306C"/>
    <w:rsid w:val="00EE6B1E"/>
    <w:rsid w:val="00EF265E"/>
    <w:rsid w:val="00EF2F2A"/>
    <w:rsid w:val="00EF4583"/>
    <w:rsid w:val="00EF69C7"/>
    <w:rsid w:val="00F00296"/>
    <w:rsid w:val="00F00C07"/>
    <w:rsid w:val="00F06F0E"/>
    <w:rsid w:val="00F11149"/>
    <w:rsid w:val="00F148E2"/>
    <w:rsid w:val="00F14A3A"/>
    <w:rsid w:val="00F17D6A"/>
    <w:rsid w:val="00F21FB6"/>
    <w:rsid w:val="00F246AB"/>
    <w:rsid w:val="00F2571A"/>
    <w:rsid w:val="00F268FE"/>
    <w:rsid w:val="00F26D7C"/>
    <w:rsid w:val="00F2799A"/>
    <w:rsid w:val="00F27CD3"/>
    <w:rsid w:val="00F30E66"/>
    <w:rsid w:val="00F33E5F"/>
    <w:rsid w:val="00F40423"/>
    <w:rsid w:val="00F407B0"/>
    <w:rsid w:val="00F40D00"/>
    <w:rsid w:val="00F40F82"/>
    <w:rsid w:val="00F44CB2"/>
    <w:rsid w:val="00F51766"/>
    <w:rsid w:val="00F52221"/>
    <w:rsid w:val="00F522D4"/>
    <w:rsid w:val="00F52F89"/>
    <w:rsid w:val="00F53AC7"/>
    <w:rsid w:val="00F54DB9"/>
    <w:rsid w:val="00F55F1C"/>
    <w:rsid w:val="00F62D5D"/>
    <w:rsid w:val="00F65184"/>
    <w:rsid w:val="00F71F61"/>
    <w:rsid w:val="00F73681"/>
    <w:rsid w:val="00F83661"/>
    <w:rsid w:val="00F839FE"/>
    <w:rsid w:val="00F84683"/>
    <w:rsid w:val="00F85D51"/>
    <w:rsid w:val="00F85F4D"/>
    <w:rsid w:val="00F87AC5"/>
    <w:rsid w:val="00F9004F"/>
    <w:rsid w:val="00F9024C"/>
    <w:rsid w:val="00F938C6"/>
    <w:rsid w:val="00F9641A"/>
    <w:rsid w:val="00F9703B"/>
    <w:rsid w:val="00F97768"/>
    <w:rsid w:val="00FA03AA"/>
    <w:rsid w:val="00FA5C15"/>
    <w:rsid w:val="00FA6BD8"/>
    <w:rsid w:val="00FB07CB"/>
    <w:rsid w:val="00FB2944"/>
    <w:rsid w:val="00FB30DD"/>
    <w:rsid w:val="00FB63FB"/>
    <w:rsid w:val="00FB673E"/>
    <w:rsid w:val="00FB6B00"/>
    <w:rsid w:val="00FC2959"/>
    <w:rsid w:val="00FC6024"/>
    <w:rsid w:val="00FC69E1"/>
    <w:rsid w:val="00FD4911"/>
    <w:rsid w:val="00FD663A"/>
    <w:rsid w:val="00FD6BCB"/>
    <w:rsid w:val="00FE0FED"/>
    <w:rsid w:val="00FE47BF"/>
    <w:rsid w:val="00FE7DDE"/>
    <w:rsid w:val="00FF164C"/>
    <w:rsid w:val="00FF1DD3"/>
    <w:rsid w:val="00FF54A3"/>
    <w:rsid w:val="35319F11"/>
    <w:rsid w:val="43C8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uiPriority w:val="99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NormalTable0">
    <w:name w:val="Normal Table0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1">
    <w:name w:val="Standaard1"/>
    <w:basedOn w:val="Standaard"/>
    <w:rsid w:val="000A171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li">
    <w:name w:val="li"/>
    <w:basedOn w:val="Standaard"/>
    <w:rsid w:val="005C4DA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Standaard2">
    <w:name w:val="Standaard2"/>
    <w:basedOn w:val="Standaard"/>
    <w:rsid w:val="005C4DA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num">
    <w:name w:val="num"/>
    <w:basedOn w:val="Standaardalinea-lettertype"/>
    <w:rsid w:val="005C4DA9"/>
  </w:style>
  <w:style w:type="character" w:customStyle="1" w:styleId="normaltextrun">
    <w:name w:val="normaltextrun"/>
    <w:basedOn w:val="Standaardalinea-lettertype"/>
    <w:rsid w:val="005C4DA9"/>
  </w:style>
  <w:style w:type="character" w:customStyle="1" w:styleId="footnotereference">
    <w:name w:val="footnotereference"/>
    <w:basedOn w:val="Standaardalinea-lettertype"/>
    <w:rsid w:val="00D65C38"/>
  </w:style>
  <w:style w:type="paragraph" w:customStyle="1" w:styleId="Standaard3">
    <w:name w:val="Standaard3"/>
    <w:basedOn w:val="Standaard"/>
    <w:rsid w:val="00D65C3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8493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0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6171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hyperlink" Target="https://eur06.safelinks.protection.outlook.com/?url=https%3A%2F%2Feur-lex.europa.eu%2Flegal-content%2FEN%2FTXT%2F%3Furi%3DCELEX%253A52024PC0185%26qid%3D1714982814127&amp;data=05%7C02%7Ch.keesom%40tweedekamer.nl%7Ca829e237c6e44066729e08dc6f6cba8c%7C238cb5073f714afeaaab8382731a4345%7C0%7C0%7C638507760154986418%7CUnknown%7CTWFpbGZsb3d8eyJWIjoiMC4wLjAwMDAiLCJQIjoiV2luMzIiLCJBTiI6Ik1haWwiLCJXVCI6Mn0%3D%7C0%7C%7C%7C&amp;sdata=mgwYZd0TeQ6CySpd2QU6joNhRu7FbXdzIbEuZ4cCmYg%3D&amp;reserved=0" TargetMode="External" Id="rId18" /><Relationship Type="http://schemas.openxmlformats.org/officeDocument/2006/relationships/header" Target="header2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yperlink" Target="https://eur-lex.europa.eu/legal-content/NL/TXT/?uri=COM%3A2024%3A222%3AFIN&amp;qid=1716300849612" TargetMode="External" Id="rId17" /><Relationship Type="http://schemas.openxmlformats.org/officeDocument/2006/relationships/hyperlink" Target="https://ec.europa.eu/info/law/better-regulation/have-your-say/initiatives/13678-Samenwerking-op-het-gebied-van-directe-belastingen-evaluatie_nl" TargetMode="External" Id="rId16" /><Relationship Type="http://schemas.openxmlformats.org/officeDocument/2006/relationships/hyperlink" Target="https://eur06.safelinks.protection.outlook.com/?url=https%3A%2F%2Feur-lex.europa.eu%2Flegal-content%2FNL%2FTXT%2F%3Furi%3DCELEX%253A52024DC0186%26qid%3D1714986064794&amp;data=05%7C02%7Ch.keesom%40tweedekamer.nl%7Ca829e237c6e44066729e08dc6f6cba8c%7C238cb5073f714afeaaab8382731a4345%7C0%7C0%7C638507760155142657%7CUnknown%7CTWFpbGZsb3d8eyJWIjoiMC4wLjAwMDAiLCJQIjoiV2luMzIiLCJBTiI6Ik1haWwiLCJXVCI6Mn0%3D%7C0%7C%7C%7C&amp;sdata=Y7KLALyR%2FfsFW%2FLFop9YsJCTM6umt%2BXQY%2BUYII1JQt4%3D&amp;reserved=0" TargetMode="External" Id="rId20" /><Relationship Type="http://schemas.openxmlformats.org/officeDocument/2006/relationships/footnotes" Target="footnotes.xml" Id="rId11" /><Relationship Type="http://schemas.openxmlformats.org/officeDocument/2006/relationships/theme" Target="theme/theme1.xml" Id="rId24" /><Relationship Type="http://schemas.openxmlformats.org/officeDocument/2006/relationships/hyperlink" Target="https://teamsites/commissie/euza/Nieuwe%20Voorstellen/Forms/AllItems.aspx" TargetMode="External" Id="rId15" /><Relationship Type="http://schemas.openxmlformats.org/officeDocument/2006/relationships/fontTable" Target="fontTable.xml" Id="rId23" /><Relationship Type="http://schemas.openxmlformats.org/officeDocument/2006/relationships/webSettings" Target="webSettings.xml" Id="rId10" /><Relationship Type="http://schemas.openxmlformats.org/officeDocument/2006/relationships/hyperlink" Target="https://eur06.safelinks.protection.outlook.com/?url=https%3A%2F%2Feur-lex.europa.eu%2Flegal-content%2FEN%2FTXT%2F%3Furi%3DCELEX%253A52024PC0193%26qid%3D1714983291514&amp;data=05%7C02%7Ch.keesom%40tweedekamer.nl%7Ca829e237c6e44066729e08dc6f6cba8c%7C238cb5073f714afeaaab8382731a4345%7C0%7C0%7C638507760154986418%7CUnknown%7CTWFpbGZsb3d8eyJWIjoiMC4wLjAwMDAiLCJQIjoiV2luMzIiLCJBTiI6Ik1haWwiLCJXVCI6Mn0%3D%7C0%7C%7C%7C&amp;sdata=ngprjlqRyfLaN4FuZtZYbVDbo5U04IPT6eLsAH5%2Fv4k%3D&amp;reserved=0" TargetMode="External" Id="rId19" /><Relationship Type="http://schemas.openxmlformats.org/officeDocument/2006/relationships/settings" Target="settings.xml" Id="rId9" /><Relationship Type="http://schemas.openxmlformats.org/officeDocument/2006/relationships/footer" Target="footer1.xml" Id="rId14" /><Relationship Type="http://schemas.openxmlformats.org/officeDocument/2006/relationships/footer" Target="footer2.xml" Id="rId2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634</ap:Words>
  <ap:Characters>5834</ap:Characters>
  <ap:DocSecurity>4</ap:DocSecurity>
  <ap:Lines>48</ap:Lines>
  <ap:Paragraphs>12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2024-05-27T18:51:00.0000000Z</dcterms:created>
  <dcterms:modified xsi:type="dcterms:W3CDTF">2024-05-27T18:51:00.0000000Z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0x01010049664BF62C286D42A728FD6451A5C057</vt:lpwstr>
  </property>
  <property fmtid="{D5CDD505-2E9C-101B-9397-08002B2CF9AE}" pid="3" name="_dlc_DocIdItemGuid">
    <vt:lpwstr>7b4d5cca-553c-4452-ad29-10085e0a367e</vt:lpwstr>
  </property>
</Properties>
</file>