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55" w:rsidP="00105155" w:rsidRDefault="00105155" w14:paraId="6C1AB3BB" w14:textId="12EA7405">
      <w:pPr>
        <w:spacing w:after="0" w:line="240" w:lineRule="auto"/>
        <w:jc w:val="both"/>
        <w:rPr>
          <w:rFonts w:ascii="OrigGarmnd BT" w:hAnsi="OrigGarmnd BT"/>
          <w:sz w:val="24"/>
          <w:szCs w:val="24"/>
        </w:rPr>
      </w:pPr>
      <w:bookmarkStart w:name="_GoBack" w:id="0"/>
      <w:bookmarkEnd w:id="0"/>
      <w:r>
        <w:rPr>
          <w:rFonts w:ascii="OrigGarmnd BT" w:hAnsi="OrigGarmnd BT"/>
          <w:sz w:val="24"/>
          <w:szCs w:val="24"/>
        </w:rPr>
        <w:tab/>
      </w:r>
      <w:r>
        <w:rPr>
          <w:rFonts w:ascii="OrigGarmnd BT" w:hAnsi="OrigGarmnd BT"/>
          <w:sz w:val="24"/>
          <w:szCs w:val="24"/>
        </w:rPr>
        <w:tab/>
      </w:r>
      <w:r>
        <w:rPr>
          <w:rFonts w:ascii="OrigGarmnd BT" w:hAnsi="OrigGarmnd BT"/>
          <w:sz w:val="24"/>
          <w:szCs w:val="24"/>
        </w:rPr>
        <w:tab/>
      </w:r>
      <w:r>
        <w:rPr>
          <w:rFonts w:ascii="OrigGarmnd BT" w:hAnsi="OrigGarmnd BT"/>
          <w:sz w:val="24"/>
          <w:szCs w:val="24"/>
        </w:rPr>
        <w:tab/>
      </w:r>
      <w:r>
        <w:rPr>
          <w:rFonts w:ascii="OrigGarmnd BT" w:hAnsi="OrigGarmnd BT"/>
          <w:sz w:val="24"/>
          <w:szCs w:val="24"/>
        </w:rPr>
        <w:tab/>
        <w:t xml:space="preserve">14 </w:t>
      </w:r>
      <w:proofErr w:type="gramStart"/>
      <w:r>
        <w:rPr>
          <w:rFonts w:ascii="OrigGarmnd BT" w:hAnsi="OrigGarmnd BT"/>
          <w:sz w:val="24"/>
          <w:szCs w:val="24"/>
        </w:rPr>
        <w:t>April</w:t>
      </w:r>
      <w:proofErr w:type="gramEnd"/>
      <w:r>
        <w:rPr>
          <w:rFonts w:ascii="OrigGarmnd BT" w:hAnsi="OrigGarmnd BT"/>
          <w:sz w:val="24"/>
          <w:szCs w:val="24"/>
        </w:rPr>
        <w:t xml:space="preserve"> 2024</w:t>
      </w:r>
    </w:p>
    <w:p w:rsidR="00105155" w:rsidP="00105155" w:rsidRDefault="00105155" w14:paraId="6E5B0C2C" w14:textId="77777777">
      <w:pPr>
        <w:spacing w:after="0" w:line="240" w:lineRule="auto"/>
        <w:jc w:val="both"/>
        <w:rPr>
          <w:rFonts w:ascii="OrigGarmnd BT" w:hAnsi="OrigGarmnd BT"/>
          <w:sz w:val="24"/>
          <w:szCs w:val="24"/>
        </w:rPr>
      </w:pPr>
    </w:p>
    <w:p w:rsidR="00E37A1E" w:rsidP="00105155" w:rsidRDefault="00E37A1E" w14:paraId="5B6C4CC7" w14:textId="77777777">
      <w:pPr>
        <w:spacing w:after="0" w:line="240" w:lineRule="auto"/>
        <w:jc w:val="both"/>
        <w:rPr>
          <w:rFonts w:ascii="OrigGarmnd BT" w:hAnsi="OrigGarmnd BT"/>
          <w:sz w:val="24"/>
          <w:szCs w:val="24"/>
        </w:rPr>
      </w:pPr>
    </w:p>
    <w:p w:rsidRPr="00105155" w:rsidR="00105155" w:rsidP="00105155" w:rsidRDefault="00105155" w14:paraId="26F8D6C7" w14:textId="04E921AD">
      <w:pPr>
        <w:spacing w:after="0" w:line="240" w:lineRule="auto"/>
        <w:jc w:val="both"/>
        <w:rPr>
          <w:rFonts w:ascii="OrigGarmnd BT" w:hAnsi="OrigGarmnd BT"/>
          <w:b/>
          <w:bCs/>
          <w:sz w:val="24"/>
          <w:szCs w:val="24"/>
          <w:lang w:val="en-GB"/>
        </w:rPr>
      </w:pPr>
      <w:r w:rsidRPr="00105155">
        <w:rPr>
          <w:rFonts w:ascii="OrigGarmnd BT" w:hAnsi="OrigGarmnd BT"/>
          <w:b/>
          <w:bCs/>
          <w:sz w:val="24"/>
          <w:szCs w:val="24"/>
          <w:lang w:val="en-GB"/>
        </w:rPr>
        <w:t>Synopsis: Intervention of Mr Henrik Sjölinder on 23 May 2024 before the Standing Committee for Justice and Security</w:t>
      </w:r>
      <w:r w:rsidR="00A84BBE">
        <w:rPr>
          <w:rFonts w:ascii="OrigGarmnd BT" w:hAnsi="OrigGarmnd BT"/>
          <w:b/>
          <w:bCs/>
          <w:sz w:val="24"/>
          <w:szCs w:val="24"/>
          <w:lang w:val="en-GB"/>
        </w:rPr>
        <w:t xml:space="preserve"> of the Parliament in the Netherlands</w:t>
      </w:r>
      <w:r w:rsidRPr="00105155">
        <w:rPr>
          <w:rFonts w:ascii="OrigGarmnd BT" w:hAnsi="OrigGarmnd BT"/>
          <w:b/>
          <w:bCs/>
          <w:sz w:val="24"/>
          <w:szCs w:val="24"/>
          <w:lang w:val="en-GB"/>
        </w:rPr>
        <w:t>; illegal content online</w:t>
      </w:r>
    </w:p>
    <w:p w:rsidR="00105155" w:rsidP="00105155" w:rsidRDefault="00105155" w14:paraId="530E199E" w14:textId="77777777">
      <w:pPr>
        <w:spacing w:after="0" w:line="240" w:lineRule="auto"/>
        <w:jc w:val="both"/>
        <w:rPr>
          <w:lang w:val="en-GB"/>
        </w:rPr>
      </w:pPr>
    </w:p>
    <w:p w:rsidR="00A84BBE" w:rsidP="00105155" w:rsidRDefault="00A84BBE" w14:paraId="64C4B993" w14:textId="77777777">
      <w:pPr>
        <w:spacing w:after="0" w:line="240" w:lineRule="auto"/>
        <w:jc w:val="both"/>
        <w:rPr>
          <w:lang w:val="en-GB"/>
        </w:rPr>
      </w:pPr>
    </w:p>
    <w:p w:rsidR="00CF717A" w:rsidP="00105155" w:rsidRDefault="00105155" w14:paraId="7E025167" w14:textId="7B45E978">
      <w:pPr>
        <w:pStyle w:val="Liststycke"/>
        <w:numPr>
          <w:ilvl w:val="0"/>
          <w:numId w:val="37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Illegal content such as terrorism content, child sexual abuse material and hate speech is present </w:t>
      </w:r>
      <w:r w:rsidR="00E90205">
        <w:rPr>
          <w:lang w:val="en-GB"/>
        </w:rPr>
        <w:t xml:space="preserve">and disseminated </w:t>
      </w:r>
      <w:r>
        <w:rPr>
          <w:lang w:val="en-GB"/>
        </w:rPr>
        <w:t xml:space="preserve">in </w:t>
      </w:r>
      <w:r w:rsidR="002C46C3">
        <w:rPr>
          <w:lang w:val="en-GB"/>
        </w:rPr>
        <w:t xml:space="preserve">vast volumes in </w:t>
      </w:r>
      <w:r>
        <w:rPr>
          <w:lang w:val="en-GB"/>
        </w:rPr>
        <w:t>the online environment</w:t>
      </w:r>
      <w:r w:rsidR="002C46C3">
        <w:rPr>
          <w:lang w:val="en-GB"/>
        </w:rPr>
        <w:t xml:space="preserve">. In 2023, the Cyber Tipline of the US National Centre for Missing and Exploited Children </w:t>
      </w:r>
      <w:r w:rsidR="00E90205">
        <w:rPr>
          <w:lang w:val="en-GB"/>
        </w:rPr>
        <w:t xml:space="preserve">(NCMEC) </w:t>
      </w:r>
      <w:r w:rsidR="002C46C3">
        <w:rPr>
          <w:lang w:val="en-GB"/>
        </w:rPr>
        <w:t xml:space="preserve">received 36,2 million reports of suspected child sexual exploitation online. The aftermath of Hamas´ attack on Israel on 7 October 2023 </w:t>
      </w:r>
      <w:r w:rsidR="00E90205">
        <w:rPr>
          <w:lang w:val="en-GB"/>
        </w:rPr>
        <w:t>saw a surge in anti-Semitic and anti-Muslim hate speech online.</w:t>
      </w:r>
    </w:p>
    <w:p w:rsidR="00E90205" w:rsidP="00E90205" w:rsidRDefault="00E90205" w14:paraId="4C4E69B6" w14:textId="77777777">
      <w:pPr>
        <w:pStyle w:val="Liststycke"/>
        <w:spacing w:after="0" w:line="240" w:lineRule="auto"/>
        <w:jc w:val="both"/>
        <w:rPr>
          <w:lang w:val="en-GB"/>
        </w:rPr>
      </w:pPr>
    </w:p>
    <w:p w:rsidRPr="00695686" w:rsidR="00695686" w:rsidP="00695686" w:rsidRDefault="00E90205" w14:paraId="16A02183" w14:textId="782A342A">
      <w:pPr>
        <w:pStyle w:val="Liststycke"/>
        <w:numPr>
          <w:ilvl w:val="0"/>
          <w:numId w:val="37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Curbing illegal content online requires new legal powers at national and EU-levels</w:t>
      </w:r>
      <w:r w:rsidR="00E571F9">
        <w:rPr>
          <w:lang w:val="en-GB"/>
        </w:rPr>
        <w:t xml:space="preserve"> (administrative law rather than criminal law)</w:t>
      </w:r>
      <w:r>
        <w:rPr>
          <w:lang w:val="en-GB"/>
        </w:rPr>
        <w:t xml:space="preserve">, cross-border cooperation and new functions in national and EU administrations. </w:t>
      </w:r>
      <w:r w:rsidR="00695686">
        <w:rPr>
          <w:lang w:val="en-GB"/>
        </w:rPr>
        <w:t>The EU can inter alia:</w:t>
      </w:r>
    </w:p>
    <w:p w:rsidR="00695686" w:rsidP="00695686" w:rsidRDefault="00695686" w14:paraId="11E84C9D" w14:textId="5A98DC36">
      <w:pPr>
        <w:pStyle w:val="Liststycke"/>
        <w:numPr>
          <w:ilvl w:val="0"/>
          <w:numId w:val="38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provide common definitions of different types of illegal </w:t>
      </w:r>
      <w:proofErr w:type="gramStart"/>
      <w:r>
        <w:rPr>
          <w:lang w:val="en-GB"/>
        </w:rPr>
        <w:t>content;</w:t>
      </w:r>
      <w:proofErr w:type="gramEnd"/>
    </w:p>
    <w:p w:rsidR="00695686" w:rsidP="00695686" w:rsidRDefault="00695686" w14:paraId="1D8054C1" w14:textId="003B5526">
      <w:pPr>
        <w:pStyle w:val="Liststycke"/>
        <w:numPr>
          <w:ilvl w:val="0"/>
          <w:numId w:val="38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bring online platforms into the jurisdiction of the EU and set </w:t>
      </w:r>
      <w:proofErr w:type="gramStart"/>
      <w:r>
        <w:rPr>
          <w:lang w:val="en-GB"/>
        </w:rPr>
        <w:t>standards;</w:t>
      </w:r>
      <w:proofErr w:type="gramEnd"/>
    </w:p>
    <w:p w:rsidR="00695686" w:rsidP="00695686" w:rsidRDefault="00695686" w14:paraId="13998424" w14:textId="3BC3F722">
      <w:pPr>
        <w:pStyle w:val="Liststycke"/>
        <w:numPr>
          <w:ilvl w:val="0"/>
          <w:numId w:val="38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facilitate cooperation and a common understanding among EU-institutions, national </w:t>
      </w:r>
      <w:proofErr w:type="gramStart"/>
      <w:r>
        <w:rPr>
          <w:lang w:val="en-GB"/>
        </w:rPr>
        <w:t>authorities</w:t>
      </w:r>
      <w:proofErr w:type="gramEnd"/>
      <w:r>
        <w:rPr>
          <w:lang w:val="en-GB"/>
        </w:rPr>
        <w:t xml:space="preserve"> and online platforms such as within the EU Internet Forum (EUIF) and the Code of Conduct on hate speech.</w:t>
      </w:r>
    </w:p>
    <w:p w:rsidR="00695686" w:rsidP="00695686" w:rsidRDefault="00695686" w14:paraId="7B10E140" w14:textId="77777777">
      <w:pPr>
        <w:spacing w:after="0" w:line="240" w:lineRule="auto"/>
        <w:jc w:val="both"/>
        <w:rPr>
          <w:lang w:val="en-GB"/>
        </w:rPr>
      </w:pPr>
    </w:p>
    <w:p w:rsidR="00695686" w:rsidP="00695686" w:rsidRDefault="00E37A1E" w14:paraId="491E8749" w14:textId="5451ADE3">
      <w:pPr>
        <w:pStyle w:val="Liststycke"/>
        <w:numPr>
          <w:ilvl w:val="0"/>
          <w:numId w:val="39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While the online platforms by far remove most content themselves according to their terms of service, th</w:t>
      </w:r>
      <w:r w:rsidR="00E571F9">
        <w:rPr>
          <w:lang w:val="en-GB"/>
        </w:rPr>
        <w:t>e present legal development includes:</w:t>
      </w:r>
    </w:p>
    <w:p w:rsidR="00E571F9" w:rsidP="00E571F9" w:rsidRDefault="00E571F9" w14:paraId="5841CFCA" w14:textId="44E117FE">
      <w:pPr>
        <w:pStyle w:val="Liststycke"/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- the TCO Regulation on terrorism content applicable as of 7 June 2022; application </w:t>
      </w:r>
      <w:r w:rsidR="007A313E">
        <w:rPr>
          <w:lang w:val="en-GB"/>
        </w:rPr>
        <w:t>of both referrals and removal orders are</w:t>
      </w:r>
      <w:r>
        <w:rPr>
          <w:lang w:val="en-GB"/>
        </w:rPr>
        <w:t xml:space="preserve"> surging in particular after </w:t>
      </w:r>
      <w:proofErr w:type="spellStart"/>
      <w:r>
        <w:rPr>
          <w:lang w:val="en-GB"/>
        </w:rPr>
        <w:t>Hamas´attack</w:t>
      </w:r>
      <w:proofErr w:type="spellEnd"/>
      <w:r>
        <w:rPr>
          <w:lang w:val="en-GB"/>
        </w:rPr>
        <w:t xml:space="preserve"> on </w:t>
      </w:r>
      <w:proofErr w:type="gramStart"/>
      <w:r>
        <w:rPr>
          <w:lang w:val="en-GB"/>
        </w:rPr>
        <w:t>Israel;</w:t>
      </w:r>
      <w:proofErr w:type="gramEnd"/>
    </w:p>
    <w:p w:rsidR="0061497A" w:rsidP="00E571F9" w:rsidRDefault="00E571F9" w14:paraId="7F1CCCF2" w14:textId="0CE3ED88">
      <w:pPr>
        <w:pStyle w:val="Liststycke"/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- the Digital Services Act (the DSA) into force on 16 November 2022 and fully applicable as of 17 February 2024; systemic risks of very large online platforms and search engines are being monitored by the Commission and national implementation is </w:t>
      </w:r>
      <w:r w:rsidR="007A313E">
        <w:rPr>
          <w:lang w:val="en-GB"/>
        </w:rPr>
        <w:t xml:space="preserve">now </w:t>
      </w:r>
      <w:r>
        <w:rPr>
          <w:lang w:val="en-GB"/>
        </w:rPr>
        <w:t>taking place; obligations to establish points of contact and mechanisms</w:t>
      </w:r>
      <w:r w:rsidR="0061497A">
        <w:rPr>
          <w:lang w:val="en-GB"/>
        </w:rPr>
        <w:t xml:space="preserve"> for notice and </w:t>
      </w:r>
      <w:proofErr w:type="gramStart"/>
      <w:r w:rsidR="0061497A">
        <w:rPr>
          <w:lang w:val="en-GB"/>
        </w:rPr>
        <w:t>action;</w:t>
      </w:r>
      <w:proofErr w:type="gramEnd"/>
    </w:p>
    <w:p w:rsidR="0061497A" w:rsidP="00E571F9" w:rsidRDefault="0061497A" w14:paraId="0AD593E3" w14:textId="1297CB0C">
      <w:pPr>
        <w:pStyle w:val="Liststycke"/>
        <w:spacing w:after="0" w:line="240" w:lineRule="auto"/>
        <w:jc w:val="both"/>
        <w:rPr>
          <w:lang w:val="en-GB"/>
        </w:rPr>
      </w:pPr>
      <w:r>
        <w:rPr>
          <w:lang w:val="en-GB"/>
        </w:rPr>
        <w:t>- The proposal for a Regulation on Child Sexual Abuse;</w:t>
      </w:r>
      <w:r w:rsidR="00C17B87">
        <w:rPr>
          <w:lang w:val="en-GB"/>
        </w:rPr>
        <w:t xml:space="preserve"> Articles on reporting, notice and action, removal or disabling of access, blocking and </w:t>
      </w:r>
      <w:proofErr w:type="gramStart"/>
      <w:r w:rsidR="00C17B87">
        <w:rPr>
          <w:lang w:val="en-GB"/>
        </w:rPr>
        <w:t>delisting;</w:t>
      </w:r>
      <w:proofErr w:type="gramEnd"/>
    </w:p>
    <w:p w:rsidR="0061497A" w:rsidP="00E571F9" w:rsidRDefault="0061497A" w14:paraId="2BC19F4C" w14:textId="37FD1878">
      <w:pPr>
        <w:pStyle w:val="Liststycke"/>
        <w:spacing w:after="0" w:line="240" w:lineRule="auto"/>
        <w:jc w:val="both"/>
        <w:rPr>
          <w:lang w:val="en-GB"/>
        </w:rPr>
      </w:pPr>
      <w:r>
        <w:rPr>
          <w:lang w:val="en-GB"/>
        </w:rPr>
        <w:t>- The Directive on combating violence against women and domestic violence</w:t>
      </w:r>
      <w:r w:rsidR="00C17B87">
        <w:rPr>
          <w:lang w:val="en-GB"/>
        </w:rPr>
        <w:t xml:space="preserve"> adopted on 7 May </w:t>
      </w:r>
      <w:proofErr w:type="gramStart"/>
      <w:r w:rsidR="00C17B87">
        <w:rPr>
          <w:lang w:val="en-GB"/>
        </w:rPr>
        <w:t>2024</w:t>
      </w:r>
      <w:r>
        <w:rPr>
          <w:lang w:val="en-GB"/>
        </w:rPr>
        <w:t>;</w:t>
      </w:r>
      <w:proofErr w:type="gramEnd"/>
      <w:r>
        <w:rPr>
          <w:lang w:val="en-GB"/>
        </w:rPr>
        <w:t xml:space="preserve"> Article </w:t>
      </w:r>
      <w:r w:rsidR="00C17B87">
        <w:rPr>
          <w:lang w:val="en-GB"/>
        </w:rPr>
        <w:t>25 on removal or disabling of access of non-consensual sexual imagery, cyber stalking and cyber harassment.</w:t>
      </w:r>
    </w:p>
    <w:p w:rsidR="00E37A1E" w:rsidP="00E37A1E" w:rsidRDefault="00E37A1E" w14:paraId="060684D4" w14:textId="77777777">
      <w:pPr>
        <w:spacing w:after="0" w:line="240" w:lineRule="auto"/>
        <w:jc w:val="both"/>
        <w:rPr>
          <w:lang w:val="en-GB"/>
        </w:rPr>
      </w:pPr>
    </w:p>
    <w:p w:rsidR="00E37A1E" w:rsidP="00E37A1E" w:rsidRDefault="00E37A1E" w14:paraId="72A9B8AC" w14:textId="3B1A483A">
      <w:pPr>
        <w:pStyle w:val="Liststycke"/>
        <w:numPr>
          <w:ilvl w:val="0"/>
          <w:numId w:val="39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Establishing Internet Referral Units at national level </w:t>
      </w:r>
      <w:r w:rsidR="007A313E">
        <w:rPr>
          <w:lang w:val="en-GB"/>
        </w:rPr>
        <w:t xml:space="preserve">including for the purpose to reflect the IRU at Europol set up in 2016 to combat terrorism content. </w:t>
      </w:r>
      <w:r>
        <w:rPr>
          <w:lang w:val="en-GB"/>
        </w:rPr>
        <w:t xml:space="preserve"> </w:t>
      </w:r>
    </w:p>
    <w:p w:rsidR="00E37A1E" w:rsidP="00E37A1E" w:rsidRDefault="00E37A1E" w14:paraId="127287CE" w14:textId="77777777">
      <w:pPr>
        <w:spacing w:after="0" w:line="240" w:lineRule="auto"/>
        <w:jc w:val="both"/>
        <w:rPr>
          <w:lang w:val="en-GB"/>
        </w:rPr>
      </w:pPr>
    </w:p>
    <w:p w:rsidRPr="00E37A1E" w:rsidR="00E37A1E" w:rsidP="00E37A1E" w:rsidRDefault="00C94F60" w14:paraId="3F8D15C4" w14:textId="44EA5B9C">
      <w:pPr>
        <w:pStyle w:val="Liststycke"/>
        <w:numPr>
          <w:ilvl w:val="0"/>
          <w:numId w:val="39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Safeguarding</w:t>
      </w:r>
      <w:r w:rsidR="00E37A1E">
        <w:rPr>
          <w:lang w:val="en-GB"/>
        </w:rPr>
        <w:t xml:space="preserve"> fundamental rights</w:t>
      </w:r>
      <w:r>
        <w:rPr>
          <w:lang w:val="en-GB"/>
        </w:rPr>
        <w:t>, in particular the freedom of expression and information</w:t>
      </w:r>
      <w:r w:rsidR="00E37A1E">
        <w:rPr>
          <w:lang w:val="en-GB"/>
        </w:rPr>
        <w:t xml:space="preserve"> </w:t>
      </w:r>
    </w:p>
    <w:p w:rsidR="0061497A" w:rsidP="00E571F9" w:rsidRDefault="0061497A" w14:paraId="0FF99411" w14:textId="77777777">
      <w:pPr>
        <w:pStyle w:val="Liststycke"/>
        <w:spacing w:after="0" w:line="240" w:lineRule="auto"/>
        <w:jc w:val="both"/>
        <w:rPr>
          <w:lang w:val="en-GB"/>
        </w:rPr>
      </w:pPr>
    </w:p>
    <w:p w:rsidRPr="00012CEA" w:rsidR="00E571F9" w:rsidP="00C94F60" w:rsidRDefault="00E571F9" w14:paraId="3C376B6D" w14:textId="6DC9525A">
      <w:pPr>
        <w:pStyle w:val="Liststycke"/>
        <w:spacing w:after="0" w:line="240" w:lineRule="auto"/>
        <w:jc w:val="both"/>
        <w:rPr>
          <w:lang w:val="en-GB"/>
        </w:rPr>
      </w:pPr>
    </w:p>
    <w:sectPr w:rsidRPr="00012CEA" w:rsidR="00E571F9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AA28" w14:textId="77777777" w:rsidR="009D1B3D" w:rsidRDefault="009D1B3D" w:rsidP="00A87A54">
      <w:pPr>
        <w:spacing w:after="0" w:line="240" w:lineRule="auto"/>
      </w:pPr>
      <w:r>
        <w:separator/>
      </w:r>
    </w:p>
  </w:endnote>
  <w:endnote w:type="continuationSeparator" w:id="0">
    <w:p w14:paraId="41C083C0" w14:textId="77777777" w:rsidR="009D1B3D" w:rsidRDefault="009D1B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altName w:val="Original Garamond"/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D03D" w14:textId="77777777" w:rsidR="009D1B3D" w:rsidRDefault="009D1B3D" w:rsidP="00A87A54">
      <w:pPr>
        <w:spacing w:after="0" w:line="240" w:lineRule="auto"/>
      </w:pPr>
      <w:r>
        <w:separator/>
      </w:r>
    </w:p>
  </w:footnote>
  <w:footnote w:type="continuationSeparator" w:id="0">
    <w:p w14:paraId="6F5FF6AC" w14:textId="77777777" w:rsidR="009D1B3D" w:rsidRDefault="009D1B3D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F5C5E"/>
    <w:multiLevelType w:val="hybridMultilevel"/>
    <w:tmpl w:val="A0D21256"/>
    <w:lvl w:ilvl="0" w:tplc="DC5431F2">
      <w:start w:val="14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151A22"/>
    <w:multiLevelType w:val="hybridMultilevel"/>
    <w:tmpl w:val="276E1B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D0E02"/>
    <w:multiLevelType w:val="multilevel"/>
    <w:tmpl w:val="1B563932"/>
    <w:numStyleLink w:val="RKNumreradlista"/>
  </w:abstractNum>
  <w:abstractNum w:abstractNumId="2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53A05A92"/>
    <w:multiLevelType w:val="multilevel"/>
    <w:tmpl w:val="1B563932"/>
    <w:numStyleLink w:val="RKNumreradlista"/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41E53"/>
    <w:multiLevelType w:val="hybridMultilevel"/>
    <w:tmpl w:val="F64416EA"/>
    <w:lvl w:ilvl="0" w:tplc="041D000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8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5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30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abstractNum w:abstractNumId="38" w15:restartNumberingAfterBreak="0">
    <w:nsid w:val="77DC0FCA"/>
    <w:multiLevelType w:val="hybridMultilevel"/>
    <w:tmpl w:val="6A20D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78545">
    <w:abstractNumId w:val="22"/>
  </w:num>
  <w:num w:numId="2" w16cid:durableId="1625379627">
    <w:abstractNumId w:val="29"/>
  </w:num>
  <w:num w:numId="3" w16cid:durableId="1913421655">
    <w:abstractNumId w:val="4"/>
  </w:num>
  <w:num w:numId="4" w16cid:durableId="2143574786">
    <w:abstractNumId w:val="1"/>
  </w:num>
  <w:num w:numId="5" w16cid:durableId="123933820">
    <w:abstractNumId w:val="5"/>
  </w:num>
  <w:num w:numId="6" w16cid:durableId="1320496328">
    <w:abstractNumId w:val="3"/>
  </w:num>
  <w:num w:numId="7" w16cid:durableId="1084449013">
    <w:abstractNumId w:val="19"/>
  </w:num>
  <w:num w:numId="8" w16cid:durableId="1663896566">
    <w:abstractNumId w:val="17"/>
  </w:num>
  <w:num w:numId="9" w16cid:durableId="677587457">
    <w:abstractNumId w:val="8"/>
  </w:num>
  <w:num w:numId="10" w16cid:durableId="1709380213">
    <w:abstractNumId w:val="14"/>
  </w:num>
  <w:num w:numId="11" w16cid:durableId="1891575585">
    <w:abstractNumId w:val="18"/>
  </w:num>
  <w:num w:numId="12" w16cid:durableId="1524830703">
    <w:abstractNumId w:val="34"/>
  </w:num>
  <w:num w:numId="13" w16cid:durableId="1425146021">
    <w:abstractNumId w:val="27"/>
  </w:num>
  <w:num w:numId="14" w16cid:durableId="443618940">
    <w:abstractNumId w:val="9"/>
  </w:num>
  <w:num w:numId="15" w16cid:durableId="1897663953">
    <w:abstractNumId w:val="7"/>
  </w:num>
  <w:num w:numId="16" w16cid:durableId="1501119383">
    <w:abstractNumId w:val="31"/>
  </w:num>
  <w:num w:numId="17" w16cid:durableId="1477843291">
    <w:abstractNumId w:val="28"/>
  </w:num>
  <w:num w:numId="18" w16cid:durableId="1265651710">
    <w:abstractNumId w:val="6"/>
  </w:num>
  <w:num w:numId="19" w16cid:durableId="1022708409">
    <w:abstractNumId w:val="0"/>
  </w:num>
  <w:num w:numId="20" w16cid:durableId="1664431173">
    <w:abstractNumId w:val="2"/>
  </w:num>
  <w:num w:numId="21" w16cid:durableId="102506925">
    <w:abstractNumId w:val="16"/>
  </w:num>
  <w:num w:numId="22" w16cid:durableId="659117225">
    <w:abstractNumId w:val="11"/>
  </w:num>
  <w:num w:numId="23" w16cid:durableId="800196339">
    <w:abstractNumId w:val="24"/>
  </w:num>
  <w:num w:numId="24" w16cid:durableId="344134464">
    <w:abstractNumId w:val="25"/>
  </w:num>
  <w:num w:numId="25" w16cid:durableId="23138331">
    <w:abstractNumId w:val="36"/>
  </w:num>
  <w:num w:numId="26" w16cid:durableId="1051613208">
    <w:abstractNumId w:val="21"/>
  </w:num>
  <w:num w:numId="27" w16cid:durableId="214633696">
    <w:abstractNumId w:val="32"/>
  </w:num>
  <w:num w:numId="28" w16cid:durableId="1169559807">
    <w:abstractNumId w:val="15"/>
  </w:num>
  <w:num w:numId="29" w16cid:durableId="222982659">
    <w:abstractNumId w:val="13"/>
  </w:num>
  <w:num w:numId="30" w16cid:durableId="471482811">
    <w:abstractNumId w:val="33"/>
  </w:num>
  <w:num w:numId="31" w16cid:durableId="700664467">
    <w:abstractNumId w:val="12"/>
  </w:num>
  <w:num w:numId="32" w16cid:durableId="733897181">
    <w:abstractNumId w:val="26"/>
  </w:num>
  <w:num w:numId="33" w16cid:durableId="523327671">
    <w:abstractNumId w:val="30"/>
  </w:num>
  <w:num w:numId="34" w16cid:durableId="311368838">
    <w:abstractNumId w:val="37"/>
  </w:num>
  <w:num w:numId="35" w16cid:durableId="904298297">
    <w:abstractNumId w:val="23"/>
  </w:num>
  <w:num w:numId="36" w16cid:durableId="344790513">
    <w:abstractNumId w:val="35"/>
  </w:num>
  <w:num w:numId="37" w16cid:durableId="2036150928">
    <w:abstractNumId w:val="38"/>
  </w:num>
  <w:num w:numId="38" w16cid:durableId="577440544">
    <w:abstractNumId w:val="10"/>
  </w:num>
  <w:num w:numId="39" w16cid:durableId="21231843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55"/>
    <w:rsid w:val="00004D5C"/>
    <w:rsid w:val="00005F68"/>
    <w:rsid w:val="00012B00"/>
    <w:rsid w:val="00012CEA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05155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C46C3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497A"/>
    <w:rsid w:val="006175D7"/>
    <w:rsid w:val="006208E5"/>
    <w:rsid w:val="00631F82"/>
    <w:rsid w:val="00654B4D"/>
    <w:rsid w:val="00670A48"/>
    <w:rsid w:val="00672F6F"/>
    <w:rsid w:val="0069523C"/>
    <w:rsid w:val="00695686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27FC"/>
    <w:rsid w:val="0079641B"/>
    <w:rsid w:val="007A313E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1B3D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4BBE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17B87"/>
    <w:rsid w:val="00C2071A"/>
    <w:rsid w:val="00C20ACB"/>
    <w:rsid w:val="00C26068"/>
    <w:rsid w:val="00C271A8"/>
    <w:rsid w:val="00C37A77"/>
    <w:rsid w:val="00C4042C"/>
    <w:rsid w:val="00C461E6"/>
    <w:rsid w:val="00C93EBA"/>
    <w:rsid w:val="00C94F60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37A1E"/>
    <w:rsid w:val="00E469E4"/>
    <w:rsid w:val="00E475C3"/>
    <w:rsid w:val="00E509B0"/>
    <w:rsid w:val="00E571F9"/>
    <w:rsid w:val="00E7634A"/>
    <w:rsid w:val="00E82BA3"/>
    <w:rsid w:val="00E90205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8E6C"/>
  <w15:chartTrackingRefBased/>
  <w15:docId w15:val="{B9CFB8B2-D54C-4645-9A35-378F42AE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basedOn w:val="Normal"/>
    <w:uiPriority w:val="34"/>
    <w:semiHidden/>
    <w:qFormat/>
    <w:rsid w:val="00105155"/>
    <w:pPr>
      <w:ind w:left="720"/>
      <w:contextualSpacing/>
    </w:pPr>
  </w:style>
  <w:style w:type="character" w:customStyle="1" w:styleId="c2-font-futura-pt-bold">
    <w:name w:val="c2-font-futura-pt-bold"/>
    <w:basedOn w:val="Standardstycketeckensnitt"/>
    <w:rsid w:val="002C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398</ap:Words>
  <ap:Characters>2111</ap:Characters>
  <ap:DocSecurity>0</ap:DocSecurity>
  <ap:Lines>17</ap:Lines>
  <ap:Paragraphs>5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2024-05-14T09:32:00.0000000Z</lastPrinted>
  <dcterms:created xsi:type="dcterms:W3CDTF">2024-05-13T06:41:00.0000000Z</dcterms:created>
  <dcterms:modified xsi:type="dcterms:W3CDTF">2024-05-14T12:26:00.0000000Z</dcterms:modified>
  <version/>
  <category/>
</coreProperties>
</file>