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Pr="00560439" w:rsidR="003B4752">
        <w:trPr>
          <w:cantSplit/>
        </w:trPr>
        <w:tc>
          <w:tcPr>
            <w:tcW w:w="9212" w:type="dxa"/>
            <w:gridSpan w:val="2"/>
          </w:tcPr>
          <w:p w:rsidRPr="00560439" w:rsidR="003B4752" w:rsidRDefault="003B4752">
            <w:pPr>
              <w:tabs>
                <w:tab w:val="left" w:pos="-1440"/>
                <w:tab w:val="left" w:pos="-720"/>
              </w:tabs>
              <w:suppressAutoHyphens/>
              <w:rPr>
                <w:szCs w:val="24"/>
              </w:rPr>
            </w:pPr>
          </w:p>
        </w:tc>
      </w:tr>
      <w:tr w:rsidRPr="00560439" w:rsidR="003B4752">
        <w:trPr>
          <w:cantSplit/>
        </w:trPr>
        <w:tc>
          <w:tcPr>
            <w:tcW w:w="9212" w:type="dxa"/>
            <w:gridSpan w:val="2"/>
          </w:tcPr>
          <w:p w:rsidRPr="00560439" w:rsidR="003B4752" w:rsidRDefault="003B4752">
            <w:pPr>
              <w:tabs>
                <w:tab w:val="left" w:pos="-1440"/>
                <w:tab w:val="left" w:pos="-720"/>
              </w:tabs>
              <w:suppressAutoHyphens/>
              <w:rPr>
                <w:b/>
                <w:szCs w:val="24"/>
              </w:rPr>
            </w:pPr>
          </w:p>
        </w:tc>
      </w:tr>
      <w:tr w:rsidRPr="00560439" w:rsidR="009833D1">
        <w:tc>
          <w:tcPr>
            <w:tcW w:w="2622" w:type="dxa"/>
          </w:tcPr>
          <w:p w:rsidRPr="00560439" w:rsidR="009833D1" w:rsidRDefault="001A46D2">
            <w:pPr>
              <w:widowControl w:val="0"/>
              <w:rPr>
                <w:b/>
                <w:szCs w:val="24"/>
              </w:rPr>
            </w:pPr>
            <w:r w:rsidRPr="00560439">
              <w:rPr>
                <w:b/>
                <w:szCs w:val="24"/>
              </w:rPr>
              <w:t>35 754</w:t>
            </w:r>
          </w:p>
        </w:tc>
        <w:tc>
          <w:tcPr>
            <w:tcW w:w="6590" w:type="dxa"/>
          </w:tcPr>
          <w:p w:rsidRPr="00560439" w:rsidR="001A46D2" w:rsidRDefault="001A46D2">
            <w:pPr>
              <w:rPr>
                <w:b/>
                <w:szCs w:val="24"/>
              </w:rPr>
            </w:pPr>
            <w:bookmarkStart w:name="_GoBack" w:id="0"/>
            <w:r w:rsidRPr="00560439">
              <w:rPr>
                <w:b/>
                <w:bCs/>
                <w:szCs w:val="24"/>
              </w:rPr>
              <w:t>Voorstel van wet van de leden Bikker, Westerveld, Krul, Diederik van Dijk, Dobbe, Kostić, Van der Plas en Joseph tot wijziging van de Wet publieke gezondheid ter bevordering en verankering van integrale suïcidepreventie (Wet integrale suïcidepreventie)</w:t>
            </w:r>
          </w:p>
          <w:bookmarkEnd w:id="0"/>
          <w:p w:rsidRPr="00560439" w:rsidR="009833D1" w:rsidRDefault="009833D1">
            <w:pPr>
              <w:widowControl w:val="0"/>
              <w:rPr>
                <w:b/>
                <w:szCs w:val="24"/>
              </w:rPr>
            </w:pPr>
          </w:p>
        </w:tc>
      </w:tr>
      <w:tr w:rsidRPr="00560439" w:rsidR="003B4752">
        <w:tc>
          <w:tcPr>
            <w:tcW w:w="2622" w:type="dxa"/>
          </w:tcPr>
          <w:p w:rsidRPr="00560439" w:rsidR="003B4752" w:rsidRDefault="003B4752">
            <w:pPr>
              <w:tabs>
                <w:tab w:val="left" w:pos="284"/>
              </w:tabs>
              <w:rPr>
                <w:b/>
                <w:szCs w:val="24"/>
              </w:rPr>
            </w:pPr>
          </w:p>
        </w:tc>
        <w:tc>
          <w:tcPr>
            <w:tcW w:w="6590" w:type="dxa"/>
          </w:tcPr>
          <w:p w:rsidRPr="00560439" w:rsidR="003B4752" w:rsidRDefault="003B4752">
            <w:pPr>
              <w:tabs>
                <w:tab w:val="left" w:pos="284"/>
              </w:tabs>
              <w:rPr>
                <w:b/>
                <w:szCs w:val="24"/>
              </w:rPr>
            </w:pPr>
          </w:p>
        </w:tc>
      </w:tr>
      <w:tr w:rsidRPr="00560439" w:rsidR="003B4752">
        <w:tc>
          <w:tcPr>
            <w:tcW w:w="2622" w:type="dxa"/>
          </w:tcPr>
          <w:p w:rsidRPr="00560439" w:rsidR="003B4752" w:rsidP="00560439" w:rsidRDefault="003B4752">
            <w:pPr>
              <w:tabs>
                <w:tab w:val="left" w:pos="284"/>
              </w:tabs>
              <w:rPr>
                <w:b/>
                <w:szCs w:val="24"/>
              </w:rPr>
            </w:pPr>
            <w:r w:rsidRPr="00560439">
              <w:rPr>
                <w:b/>
                <w:szCs w:val="24"/>
              </w:rPr>
              <w:t xml:space="preserve">Nr. </w:t>
            </w:r>
            <w:r w:rsidRPr="00560439" w:rsidR="00071E4B">
              <w:rPr>
                <w:b/>
                <w:szCs w:val="24"/>
              </w:rPr>
              <w:t>14</w:t>
            </w:r>
          </w:p>
        </w:tc>
        <w:tc>
          <w:tcPr>
            <w:tcW w:w="6590" w:type="dxa"/>
          </w:tcPr>
          <w:p w:rsidRPr="00560439" w:rsidR="003B4752" w:rsidRDefault="003B4752">
            <w:pPr>
              <w:tabs>
                <w:tab w:val="left" w:pos="284"/>
              </w:tabs>
              <w:rPr>
                <w:b/>
                <w:szCs w:val="24"/>
              </w:rPr>
            </w:pPr>
            <w:r w:rsidRPr="00560439">
              <w:rPr>
                <w:b/>
                <w:szCs w:val="24"/>
              </w:rPr>
              <w:t>NOTA VAN WIJZIGING</w:t>
            </w:r>
          </w:p>
          <w:p w:rsidRPr="00560439" w:rsidR="003B4752" w:rsidP="00560439" w:rsidRDefault="003B4752">
            <w:pPr>
              <w:tabs>
                <w:tab w:val="left" w:pos="284"/>
              </w:tabs>
              <w:rPr>
                <w:szCs w:val="24"/>
              </w:rPr>
            </w:pPr>
            <w:r w:rsidRPr="00560439">
              <w:rPr>
                <w:szCs w:val="24"/>
              </w:rPr>
              <w:t xml:space="preserve">Ontvangen </w:t>
            </w:r>
            <w:r w:rsidRPr="00560439" w:rsidR="00560439">
              <w:rPr>
                <w:szCs w:val="24"/>
              </w:rPr>
              <w:t>13 mei 2024</w:t>
            </w:r>
          </w:p>
        </w:tc>
      </w:tr>
    </w:tbl>
    <w:p w:rsidRPr="00560439" w:rsidR="009833D1" w:rsidP="00FE223B" w:rsidRDefault="009833D1">
      <w:pPr>
        <w:tabs>
          <w:tab w:val="left" w:pos="284"/>
        </w:tabs>
        <w:rPr>
          <w:szCs w:val="24"/>
        </w:rPr>
      </w:pPr>
    </w:p>
    <w:p w:rsidRPr="00560439" w:rsidR="007B364D" w:rsidP="00560439" w:rsidRDefault="007B364D">
      <w:pPr>
        <w:ind w:firstLine="284"/>
        <w:rPr>
          <w:szCs w:val="24"/>
        </w:rPr>
      </w:pPr>
      <w:r w:rsidRPr="00560439">
        <w:rPr>
          <w:szCs w:val="24"/>
        </w:rPr>
        <w:t>Het voorstel van wet wordt als volgt gewijzigd:</w:t>
      </w:r>
    </w:p>
    <w:p w:rsidRPr="00560439" w:rsidR="007B364D" w:rsidP="007B364D" w:rsidRDefault="007B364D">
      <w:pPr>
        <w:rPr>
          <w:szCs w:val="24"/>
        </w:rPr>
      </w:pPr>
    </w:p>
    <w:p w:rsidRPr="00560439" w:rsidR="0058274A" w:rsidP="007B364D" w:rsidRDefault="0058274A">
      <w:pPr>
        <w:rPr>
          <w:szCs w:val="24"/>
        </w:rPr>
      </w:pPr>
      <w:r w:rsidRPr="00560439">
        <w:rPr>
          <w:szCs w:val="24"/>
        </w:rPr>
        <w:t>A</w:t>
      </w:r>
    </w:p>
    <w:p w:rsidRPr="00560439" w:rsidR="0058274A" w:rsidP="007B364D" w:rsidRDefault="0058274A">
      <w:pPr>
        <w:rPr>
          <w:szCs w:val="24"/>
        </w:rPr>
      </w:pPr>
    </w:p>
    <w:p w:rsidRPr="00560439" w:rsidR="0058274A" w:rsidP="007B364D" w:rsidRDefault="0058274A">
      <w:pPr>
        <w:rPr>
          <w:szCs w:val="24"/>
        </w:rPr>
      </w:pPr>
      <w:r w:rsidRPr="00560439">
        <w:rPr>
          <w:szCs w:val="24"/>
        </w:rPr>
        <w:tab/>
        <w:t>Artikel III wordt als volgt gewijzigd:</w:t>
      </w:r>
    </w:p>
    <w:p w:rsidRPr="00560439" w:rsidR="0058274A" w:rsidP="007B364D" w:rsidRDefault="0058274A">
      <w:pPr>
        <w:rPr>
          <w:szCs w:val="24"/>
        </w:rPr>
      </w:pPr>
    </w:p>
    <w:p w:rsidRPr="00560439" w:rsidR="007B364D" w:rsidP="0058274A" w:rsidRDefault="0058274A">
      <w:pPr>
        <w:rPr>
          <w:szCs w:val="24"/>
        </w:rPr>
      </w:pPr>
      <w:r w:rsidRPr="00560439">
        <w:rPr>
          <w:szCs w:val="24"/>
        </w:rPr>
        <w:tab/>
        <w:t xml:space="preserve">1. </w:t>
      </w:r>
      <w:r w:rsidRPr="00560439" w:rsidR="00F65748">
        <w:rPr>
          <w:szCs w:val="24"/>
        </w:rPr>
        <w:t>In o</w:t>
      </w:r>
      <w:r w:rsidRPr="00560439" w:rsidR="007B364D">
        <w:rPr>
          <w:szCs w:val="24"/>
        </w:rPr>
        <w:t>nder</w:t>
      </w:r>
      <w:r w:rsidRPr="00560439" w:rsidR="00F65748">
        <w:rPr>
          <w:szCs w:val="24"/>
        </w:rPr>
        <w:t>deel</w:t>
      </w:r>
      <w:r w:rsidRPr="00560439" w:rsidR="007B364D">
        <w:rPr>
          <w:szCs w:val="24"/>
        </w:rPr>
        <w:t xml:space="preserve"> a, </w:t>
      </w:r>
      <w:r w:rsidRPr="00560439" w:rsidR="00F65748">
        <w:rPr>
          <w:szCs w:val="24"/>
        </w:rPr>
        <w:t>sub</w:t>
      </w:r>
      <w:r w:rsidRPr="00560439" w:rsidR="007B364D">
        <w:rPr>
          <w:szCs w:val="24"/>
        </w:rPr>
        <w:t>onderdeel 3</w:t>
      </w:r>
      <w:r w:rsidRPr="00560439">
        <w:rPr>
          <w:szCs w:val="24"/>
        </w:rPr>
        <w:t>, wordt “artikel 12k” vervangen door “artikel 12l”.</w:t>
      </w:r>
    </w:p>
    <w:p w:rsidRPr="00560439" w:rsidR="0058274A" w:rsidP="007B364D" w:rsidRDefault="0058274A">
      <w:pPr>
        <w:rPr>
          <w:szCs w:val="24"/>
        </w:rPr>
      </w:pPr>
    </w:p>
    <w:p w:rsidRPr="00560439" w:rsidR="0058274A" w:rsidP="00560439" w:rsidRDefault="00F65748">
      <w:pPr>
        <w:ind w:firstLine="284"/>
        <w:rPr>
          <w:szCs w:val="24"/>
        </w:rPr>
      </w:pPr>
      <w:r w:rsidRPr="00560439">
        <w:rPr>
          <w:szCs w:val="24"/>
        </w:rPr>
        <w:t xml:space="preserve">2. Aan </w:t>
      </w:r>
      <w:r w:rsidRPr="00560439" w:rsidR="0058274A">
        <w:rPr>
          <w:szCs w:val="24"/>
        </w:rPr>
        <w:t>onder</w:t>
      </w:r>
      <w:r w:rsidRPr="00560439">
        <w:rPr>
          <w:szCs w:val="24"/>
        </w:rPr>
        <w:t>deel</w:t>
      </w:r>
      <w:r w:rsidRPr="00560439" w:rsidR="0058274A">
        <w:rPr>
          <w:szCs w:val="24"/>
        </w:rPr>
        <w:t xml:space="preserve"> b wordt een </w:t>
      </w:r>
      <w:r w:rsidRPr="00560439">
        <w:rPr>
          <w:szCs w:val="24"/>
        </w:rPr>
        <w:t>sub</w:t>
      </w:r>
      <w:r w:rsidRPr="00560439" w:rsidR="0058274A">
        <w:rPr>
          <w:szCs w:val="24"/>
        </w:rPr>
        <w:t>onderdeel toegevoegd, luidende:</w:t>
      </w:r>
    </w:p>
    <w:p w:rsidRPr="00560439" w:rsidR="0058274A" w:rsidP="00560439" w:rsidRDefault="0058274A">
      <w:pPr>
        <w:ind w:firstLine="284"/>
        <w:rPr>
          <w:szCs w:val="24"/>
        </w:rPr>
      </w:pPr>
      <w:r w:rsidRPr="00560439">
        <w:rPr>
          <w:szCs w:val="24"/>
        </w:rPr>
        <w:t>3. Na artikel III wordt een artikel ingevoegd, luidende:</w:t>
      </w:r>
    </w:p>
    <w:p w:rsidRPr="00560439" w:rsidR="0058274A" w:rsidP="0058274A" w:rsidRDefault="0058274A">
      <w:pPr>
        <w:rPr>
          <w:szCs w:val="24"/>
        </w:rPr>
      </w:pPr>
    </w:p>
    <w:p w:rsidRPr="00560439" w:rsidR="0058274A" w:rsidP="0058274A" w:rsidRDefault="0058274A">
      <w:pPr>
        <w:rPr>
          <w:b/>
          <w:szCs w:val="24"/>
        </w:rPr>
      </w:pPr>
      <w:r w:rsidRPr="00560439">
        <w:rPr>
          <w:b/>
          <w:szCs w:val="24"/>
        </w:rPr>
        <w:t>ARTIKEL IIIA</w:t>
      </w:r>
    </w:p>
    <w:p w:rsidRPr="00560439" w:rsidR="0058274A" w:rsidP="0058274A" w:rsidRDefault="0058274A">
      <w:pPr>
        <w:rPr>
          <w:szCs w:val="24"/>
        </w:rPr>
      </w:pPr>
    </w:p>
    <w:p w:rsidRPr="00560439" w:rsidR="0058274A" w:rsidP="00560439" w:rsidRDefault="0058274A">
      <w:pPr>
        <w:ind w:firstLine="284"/>
        <w:rPr>
          <w:szCs w:val="24"/>
        </w:rPr>
      </w:pPr>
      <w:r w:rsidRPr="00560439">
        <w:rPr>
          <w:szCs w:val="24"/>
        </w:rPr>
        <w:t>In artikel II van de Wet integrale suïcidepreventie wordt “artikel 12b” telkens vervangen door “artikel 12l”.</w:t>
      </w:r>
    </w:p>
    <w:p w:rsidRPr="00560439" w:rsidR="0058274A" w:rsidP="007B364D" w:rsidRDefault="0058274A">
      <w:pPr>
        <w:rPr>
          <w:szCs w:val="24"/>
        </w:rPr>
      </w:pPr>
    </w:p>
    <w:p w:rsidRPr="00560439" w:rsidR="0058274A" w:rsidP="007B364D" w:rsidRDefault="00F65748">
      <w:pPr>
        <w:rPr>
          <w:szCs w:val="24"/>
        </w:rPr>
      </w:pPr>
      <w:r w:rsidRPr="00560439">
        <w:rPr>
          <w:szCs w:val="24"/>
        </w:rPr>
        <w:t>B</w:t>
      </w:r>
    </w:p>
    <w:p w:rsidRPr="00560439" w:rsidR="007B364D" w:rsidP="007B364D" w:rsidRDefault="007B364D">
      <w:pPr>
        <w:rPr>
          <w:szCs w:val="24"/>
        </w:rPr>
      </w:pPr>
    </w:p>
    <w:p w:rsidRPr="00560439" w:rsidR="007B364D" w:rsidP="00560439" w:rsidRDefault="007B364D">
      <w:pPr>
        <w:ind w:firstLine="284"/>
        <w:rPr>
          <w:szCs w:val="24"/>
        </w:rPr>
      </w:pPr>
      <w:r w:rsidRPr="00560439">
        <w:rPr>
          <w:szCs w:val="24"/>
        </w:rPr>
        <w:t xml:space="preserve">Na artikel III wordt een artikel ingevoegd, luidende: </w:t>
      </w:r>
    </w:p>
    <w:p w:rsidRPr="00560439" w:rsidR="007B364D" w:rsidP="007B364D" w:rsidRDefault="007B364D">
      <w:pPr>
        <w:rPr>
          <w:szCs w:val="24"/>
        </w:rPr>
      </w:pPr>
    </w:p>
    <w:p w:rsidRPr="00560439" w:rsidR="007B364D" w:rsidP="007B364D" w:rsidRDefault="007B364D">
      <w:pPr>
        <w:rPr>
          <w:b/>
          <w:bCs/>
          <w:szCs w:val="24"/>
        </w:rPr>
      </w:pPr>
      <w:r w:rsidRPr="00560439">
        <w:rPr>
          <w:b/>
          <w:bCs/>
          <w:szCs w:val="24"/>
        </w:rPr>
        <w:t>ARTIKEL IIIA</w:t>
      </w:r>
    </w:p>
    <w:p w:rsidRPr="00560439" w:rsidR="007B364D" w:rsidP="007B364D" w:rsidRDefault="007B364D">
      <w:pPr>
        <w:rPr>
          <w:szCs w:val="24"/>
        </w:rPr>
      </w:pPr>
    </w:p>
    <w:p w:rsidRPr="00560439" w:rsidR="007B364D" w:rsidP="007B364D" w:rsidRDefault="007B364D">
      <w:pPr>
        <w:ind w:firstLine="284"/>
        <w:rPr>
          <w:szCs w:val="24"/>
        </w:rPr>
      </w:pPr>
      <w:r w:rsidRPr="00560439">
        <w:rPr>
          <w:szCs w:val="24"/>
        </w:rPr>
        <w:t xml:space="preserve">Indien het bij koninklijke boodschap van 15 mei 2023 ingediende voorstel van wet tot wijziging van een aantal wetten op het terrein van het Ministerie van Volksgezondheid, Welzijn en Sport (Verzamelwet VWS 2023; Kamerstukken 36357) tot wet is of wordt verheven en artikel VIIIA van die wet: </w:t>
      </w:r>
    </w:p>
    <w:p w:rsidRPr="00560439" w:rsidR="007B364D" w:rsidP="007B364D" w:rsidRDefault="007B364D">
      <w:pPr>
        <w:rPr>
          <w:szCs w:val="24"/>
        </w:rPr>
      </w:pPr>
    </w:p>
    <w:p w:rsidRPr="00560439" w:rsidR="007B364D" w:rsidP="007B364D" w:rsidRDefault="007B364D">
      <w:pPr>
        <w:ind w:firstLine="284"/>
        <w:rPr>
          <w:szCs w:val="24"/>
        </w:rPr>
      </w:pPr>
      <w:r w:rsidRPr="00560439">
        <w:rPr>
          <w:szCs w:val="24"/>
        </w:rPr>
        <w:t xml:space="preserve">a. eerder in werking treedt of is getreden dan artikel I, onderdeel A, van deze wet, wordt in artikel I, onderdeel A, van deze wet “het tweede onderdeel ac” vervangen door “onderdeel ad” en worden de toe voegen onderdelen ad en ae verletterd tot onderdelen ae en af. </w:t>
      </w:r>
    </w:p>
    <w:p w:rsidRPr="00560439" w:rsidR="007B364D" w:rsidP="007B364D" w:rsidRDefault="007B364D">
      <w:pPr>
        <w:rPr>
          <w:szCs w:val="24"/>
        </w:rPr>
      </w:pPr>
    </w:p>
    <w:p w:rsidRPr="00560439" w:rsidR="007B364D" w:rsidP="007B364D" w:rsidRDefault="007B364D">
      <w:pPr>
        <w:ind w:firstLine="284"/>
        <w:rPr>
          <w:szCs w:val="24"/>
        </w:rPr>
      </w:pPr>
      <w:r w:rsidRPr="00560439">
        <w:rPr>
          <w:szCs w:val="24"/>
        </w:rPr>
        <w:t xml:space="preserve">b. later in werking treedt dan artikel I, onderdeel A, van deze wet, wordt in artikel VIIIA van die wet aan het slot ingevoegd “, onder verlettering van de onderdelen ad en ae tot onderdelen ae en af. </w:t>
      </w:r>
    </w:p>
    <w:p w:rsidRPr="00560439" w:rsidR="007B364D" w:rsidP="007B364D" w:rsidRDefault="007B364D">
      <w:pPr>
        <w:pStyle w:val="Huisstijl-Ondertekeningvervolg"/>
        <w:spacing w:line="276" w:lineRule="auto"/>
        <w:rPr>
          <w:rFonts w:ascii="Times New Roman" w:hAnsi="Times New Roman" w:cs="Times New Roman"/>
          <w:b/>
          <w:i w:val="0"/>
          <w:sz w:val="24"/>
        </w:rPr>
      </w:pPr>
    </w:p>
    <w:p w:rsidRPr="00560439" w:rsidR="007B364D" w:rsidP="007B364D" w:rsidRDefault="007B364D">
      <w:pPr>
        <w:pStyle w:val="Huisstijl-Ondertekeningvervolg"/>
        <w:spacing w:line="276" w:lineRule="auto"/>
        <w:rPr>
          <w:rFonts w:ascii="Times New Roman" w:hAnsi="Times New Roman" w:cs="Times New Roman"/>
          <w:b/>
          <w:i w:val="0"/>
          <w:sz w:val="24"/>
        </w:rPr>
      </w:pPr>
      <w:r w:rsidRPr="00560439">
        <w:rPr>
          <w:rFonts w:ascii="Times New Roman" w:hAnsi="Times New Roman" w:cs="Times New Roman"/>
          <w:b/>
          <w:i w:val="0"/>
          <w:sz w:val="24"/>
        </w:rPr>
        <w:t>Toelichting</w:t>
      </w:r>
    </w:p>
    <w:p w:rsidRPr="00560439" w:rsidR="007B364D" w:rsidP="007B364D" w:rsidRDefault="007B364D">
      <w:pPr>
        <w:pStyle w:val="Huisstijl-Ondertekeningvervolg"/>
        <w:spacing w:line="276" w:lineRule="auto"/>
        <w:rPr>
          <w:rFonts w:ascii="Times New Roman" w:hAnsi="Times New Roman" w:cs="Times New Roman"/>
          <w:b/>
          <w:i w:val="0"/>
          <w:sz w:val="24"/>
        </w:rPr>
      </w:pPr>
    </w:p>
    <w:p w:rsidRPr="00560439" w:rsidR="00F65748" w:rsidP="007B364D" w:rsidRDefault="007B364D">
      <w:pPr>
        <w:tabs>
          <w:tab w:val="left" w:pos="284"/>
        </w:tabs>
        <w:rPr>
          <w:bCs/>
          <w:szCs w:val="24"/>
        </w:rPr>
      </w:pPr>
      <w:r w:rsidRPr="00560439">
        <w:rPr>
          <w:bCs/>
          <w:szCs w:val="24"/>
        </w:rPr>
        <w:lastRenderedPageBreak/>
        <w:t xml:space="preserve">Met deze nota van wijziging wordt voorzien in </w:t>
      </w:r>
      <w:r w:rsidRPr="00560439" w:rsidR="00F65748">
        <w:rPr>
          <w:bCs/>
          <w:szCs w:val="24"/>
        </w:rPr>
        <w:t xml:space="preserve">twee wijzigingen die samenhangen met de samenloop met twee andere wetsvoorstellen. </w:t>
      </w:r>
    </w:p>
    <w:p w:rsidRPr="00560439" w:rsidR="00F65748" w:rsidP="007B364D" w:rsidRDefault="00F65748">
      <w:pPr>
        <w:tabs>
          <w:tab w:val="left" w:pos="284"/>
        </w:tabs>
        <w:rPr>
          <w:bCs/>
          <w:szCs w:val="24"/>
        </w:rPr>
      </w:pPr>
    </w:p>
    <w:p w:rsidRPr="00560439" w:rsidR="00F65748" w:rsidP="007B364D" w:rsidRDefault="00F65748">
      <w:pPr>
        <w:tabs>
          <w:tab w:val="left" w:pos="284"/>
        </w:tabs>
        <w:rPr>
          <w:szCs w:val="24"/>
        </w:rPr>
      </w:pPr>
      <w:r w:rsidRPr="00560439">
        <w:rPr>
          <w:bCs/>
          <w:szCs w:val="24"/>
        </w:rPr>
        <w:t xml:space="preserve">Onderdeel A betreft een correctie en noodzakelijke aanvulling van artikel III van het voorstel. Die wijzigingen zijn nodig om de samenloop met het voorstel van wet houdende wijziging </w:t>
      </w:r>
      <w:r w:rsidRPr="00560439">
        <w:rPr>
          <w:szCs w:val="24"/>
        </w:rPr>
        <w:t>van de Wet publieke gezondheid vanwege de invoering van een vergunningplicht en een meldplicht ter zake van het verrichten van handelingen met poliovirus en enkele andere wijzigingen (Kamerstukken 36334) goed te regelen. Het betreft een louter technische wijziging.</w:t>
      </w:r>
    </w:p>
    <w:p w:rsidRPr="00560439" w:rsidR="00F65748" w:rsidP="007B364D" w:rsidRDefault="00F65748">
      <w:pPr>
        <w:tabs>
          <w:tab w:val="left" w:pos="284"/>
        </w:tabs>
        <w:rPr>
          <w:szCs w:val="24"/>
        </w:rPr>
      </w:pPr>
    </w:p>
    <w:p w:rsidRPr="00560439" w:rsidR="007B364D" w:rsidP="007B364D" w:rsidRDefault="00F65748">
      <w:pPr>
        <w:tabs>
          <w:tab w:val="left" w:pos="284"/>
        </w:tabs>
        <w:rPr>
          <w:szCs w:val="24"/>
        </w:rPr>
      </w:pPr>
      <w:r w:rsidRPr="00560439">
        <w:rPr>
          <w:szCs w:val="24"/>
        </w:rPr>
        <w:t xml:space="preserve">In onderdeel B is </w:t>
      </w:r>
      <w:r w:rsidRPr="00560439" w:rsidR="007B364D">
        <w:rPr>
          <w:bCs/>
          <w:szCs w:val="24"/>
        </w:rPr>
        <w:t>een noodzakelijke samenloopbepaling met het voorstel van de Verzamelwet VWS 2023</w:t>
      </w:r>
      <w:r w:rsidRPr="00560439">
        <w:rPr>
          <w:bCs/>
          <w:szCs w:val="24"/>
        </w:rPr>
        <w:t xml:space="preserve"> geregeld. </w:t>
      </w:r>
      <w:r w:rsidRPr="00560439" w:rsidR="007B364D">
        <w:rPr>
          <w:bCs/>
          <w:szCs w:val="24"/>
        </w:rPr>
        <w:t>Het gaat hier</w:t>
      </w:r>
      <w:r w:rsidRPr="00560439">
        <w:rPr>
          <w:bCs/>
          <w:szCs w:val="24"/>
        </w:rPr>
        <w:t>bij eveneens</w:t>
      </w:r>
      <w:r w:rsidRPr="00560439" w:rsidR="007B364D">
        <w:rPr>
          <w:bCs/>
          <w:szCs w:val="24"/>
        </w:rPr>
        <w:t xml:space="preserve"> louter om een technische wijziging, namelijk een verlettering van de betreffende onderdelen.</w:t>
      </w:r>
    </w:p>
    <w:p w:rsidRPr="00560439" w:rsidR="007B364D" w:rsidP="007B364D" w:rsidRDefault="007B364D">
      <w:pPr>
        <w:tabs>
          <w:tab w:val="left" w:pos="284"/>
        </w:tabs>
        <w:rPr>
          <w:bCs/>
          <w:szCs w:val="24"/>
        </w:rPr>
      </w:pPr>
    </w:p>
    <w:p w:rsidRPr="00560439" w:rsidR="007B364D" w:rsidP="007B364D" w:rsidRDefault="007B364D">
      <w:pPr>
        <w:tabs>
          <w:tab w:val="left" w:pos="284"/>
        </w:tabs>
        <w:rPr>
          <w:bCs/>
          <w:szCs w:val="24"/>
        </w:rPr>
      </w:pPr>
      <w:r w:rsidRPr="00560439">
        <w:rPr>
          <w:bCs/>
          <w:szCs w:val="24"/>
        </w:rPr>
        <w:t>Bikker</w:t>
      </w:r>
    </w:p>
    <w:p w:rsidRPr="00560439" w:rsidR="007B364D" w:rsidP="007B364D" w:rsidRDefault="007B364D">
      <w:pPr>
        <w:tabs>
          <w:tab w:val="left" w:pos="284"/>
        </w:tabs>
        <w:rPr>
          <w:bCs/>
          <w:szCs w:val="24"/>
        </w:rPr>
      </w:pPr>
      <w:r w:rsidRPr="00560439">
        <w:rPr>
          <w:bCs/>
          <w:szCs w:val="24"/>
        </w:rPr>
        <w:t>Westerveld</w:t>
      </w:r>
    </w:p>
    <w:p w:rsidRPr="00560439" w:rsidR="007B364D" w:rsidP="007B364D" w:rsidRDefault="007B364D">
      <w:pPr>
        <w:tabs>
          <w:tab w:val="left" w:pos="284"/>
        </w:tabs>
        <w:rPr>
          <w:bCs/>
          <w:szCs w:val="24"/>
        </w:rPr>
      </w:pPr>
      <w:r w:rsidRPr="00560439">
        <w:rPr>
          <w:bCs/>
          <w:szCs w:val="24"/>
        </w:rPr>
        <w:t>Krul</w:t>
      </w:r>
    </w:p>
    <w:p w:rsidRPr="00560439" w:rsidR="007B364D" w:rsidP="007B364D" w:rsidRDefault="007B364D">
      <w:pPr>
        <w:tabs>
          <w:tab w:val="left" w:pos="284"/>
        </w:tabs>
        <w:rPr>
          <w:bCs/>
          <w:szCs w:val="24"/>
        </w:rPr>
      </w:pPr>
      <w:r w:rsidRPr="00560439">
        <w:rPr>
          <w:bCs/>
          <w:szCs w:val="24"/>
        </w:rPr>
        <w:t>Diederik van dijk</w:t>
      </w:r>
    </w:p>
    <w:p w:rsidRPr="00560439" w:rsidR="007B364D" w:rsidP="007B364D" w:rsidRDefault="007B364D">
      <w:pPr>
        <w:tabs>
          <w:tab w:val="left" w:pos="284"/>
        </w:tabs>
        <w:rPr>
          <w:bCs/>
          <w:szCs w:val="24"/>
        </w:rPr>
      </w:pPr>
      <w:r w:rsidRPr="00560439">
        <w:rPr>
          <w:bCs/>
          <w:szCs w:val="24"/>
        </w:rPr>
        <w:t>Dobbe</w:t>
      </w:r>
    </w:p>
    <w:p w:rsidRPr="00560439" w:rsidR="007B364D" w:rsidP="007B364D" w:rsidRDefault="007B364D">
      <w:pPr>
        <w:tabs>
          <w:tab w:val="left" w:pos="284"/>
        </w:tabs>
        <w:rPr>
          <w:bCs/>
          <w:szCs w:val="24"/>
        </w:rPr>
      </w:pPr>
      <w:r w:rsidRPr="00560439">
        <w:rPr>
          <w:bCs/>
          <w:szCs w:val="24"/>
        </w:rPr>
        <w:t>Kostić</w:t>
      </w:r>
    </w:p>
    <w:p w:rsidRPr="00560439" w:rsidR="007B364D" w:rsidP="007B364D" w:rsidRDefault="007B364D">
      <w:pPr>
        <w:tabs>
          <w:tab w:val="left" w:pos="284"/>
        </w:tabs>
        <w:rPr>
          <w:bCs/>
          <w:szCs w:val="24"/>
        </w:rPr>
      </w:pPr>
      <w:r w:rsidRPr="00560439">
        <w:rPr>
          <w:bCs/>
          <w:szCs w:val="24"/>
        </w:rPr>
        <w:t>Van der Plas</w:t>
      </w:r>
    </w:p>
    <w:p w:rsidRPr="00560439" w:rsidR="007B364D" w:rsidP="007B364D" w:rsidRDefault="007B364D">
      <w:pPr>
        <w:tabs>
          <w:tab w:val="left" w:pos="284"/>
        </w:tabs>
        <w:rPr>
          <w:szCs w:val="24"/>
        </w:rPr>
      </w:pPr>
      <w:r w:rsidRPr="00560439">
        <w:rPr>
          <w:bCs/>
          <w:szCs w:val="24"/>
        </w:rPr>
        <w:t>Joseph</w:t>
      </w:r>
    </w:p>
    <w:sectPr w:rsidRPr="00560439" w:rsidR="007B364D">
      <w:footerReference w:type="even" r:id="rId6"/>
      <w:footerReference w:type="default" r:id="rId7"/>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D2" w:rsidRDefault="001A46D2">
      <w:r>
        <w:separator/>
      </w:r>
    </w:p>
  </w:endnote>
  <w:endnote w:type="continuationSeparator" w:id="0">
    <w:p w:rsidR="001A46D2" w:rsidRDefault="001A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6029" w:usb3="00000000" w:csb0="0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752" w:rsidRDefault="003B47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4DD0">
      <w:rPr>
        <w:rStyle w:val="Paginanummer"/>
        <w:noProof/>
      </w:rPr>
      <w:t>2</w:t>
    </w:r>
    <w:r>
      <w:rPr>
        <w:rStyle w:val="Paginanummer"/>
      </w:rPr>
      <w:fldChar w:fldCharType="end"/>
    </w:r>
  </w:p>
  <w:p w:rsidR="003B4752" w:rsidRDefault="003B475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D2" w:rsidRDefault="001A46D2">
      <w:r>
        <w:separator/>
      </w:r>
    </w:p>
  </w:footnote>
  <w:footnote w:type="continuationSeparator" w:id="0">
    <w:p w:rsidR="001A46D2" w:rsidRDefault="001A4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D2"/>
    <w:rsid w:val="00071E4B"/>
    <w:rsid w:val="001A46D2"/>
    <w:rsid w:val="003B4752"/>
    <w:rsid w:val="004A1C45"/>
    <w:rsid w:val="004D5FF9"/>
    <w:rsid w:val="00560439"/>
    <w:rsid w:val="0058274A"/>
    <w:rsid w:val="00794DD0"/>
    <w:rsid w:val="007B364D"/>
    <w:rsid w:val="007C02C8"/>
    <w:rsid w:val="009833D1"/>
    <w:rsid w:val="00F65748"/>
    <w:rsid w:val="00FE2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E89FB-95DC-4E3E-AED3-B673105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Huisstijl-Ondertekeningvervolg">
    <w:name w:val="Huisstijl - Ondertekening vervolg"/>
    <w:basedOn w:val="Standaard"/>
    <w:uiPriority w:val="99"/>
    <w:rsid w:val="007B364D"/>
    <w:pPr>
      <w:widowControl w:val="0"/>
      <w:suppressAutoHyphens/>
      <w:autoSpaceDN w:val="0"/>
      <w:spacing w:line="240" w:lineRule="exact"/>
      <w:textAlignment w:val="baseline"/>
    </w:pPr>
    <w:rPr>
      <w:rFonts w:ascii="Verdana" w:eastAsia="DejaVu Sans" w:hAnsi="Verdana" w:cs="Lohit Hindi"/>
      <w:i/>
      <w:kern w:val="3"/>
      <w:sz w:val="18"/>
      <w:szCs w:val="24"/>
      <w:lang w:eastAsia="zh-CN" w:bidi="hi-IN"/>
    </w:rPr>
  </w:style>
  <w:style w:type="paragraph" w:styleId="Ballontekst">
    <w:name w:val="Balloon Text"/>
    <w:basedOn w:val="Standaard"/>
    <w:link w:val="BallontekstChar"/>
    <w:semiHidden/>
    <w:unhideWhenUsed/>
    <w:rsid w:val="007B364D"/>
    <w:rPr>
      <w:rFonts w:ascii="Segoe UI" w:hAnsi="Segoe UI" w:cs="Segoe UI"/>
      <w:sz w:val="18"/>
      <w:szCs w:val="18"/>
    </w:rPr>
  </w:style>
  <w:style w:type="character" w:customStyle="1" w:styleId="BallontekstChar">
    <w:name w:val="Ballontekst Char"/>
    <w:basedOn w:val="Standaardalinea-lettertype"/>
    <w:link w:val="Ballontekst"/>
    <w:semiHidden/>
    <w:rsid w:val="007B364D"/>
    <w:rPr>
      <w:rFonts w:ascii="Segoe UI" w:hAnsi="Segoe UI" w:cs="Segoe UI"/>
      <w:sz w:val="18"/>
      <w:szCs w:val="18"/>
    </w:rPr>
  </w:style>
  <w:style w:type="paragraph" w:styleId="Lijstalinea">
    <w:name w:val="List Paragraph"/>
    <w:basedOn w:val="Standaard"/>
    <w:uiPriority w:val="34"/>
    <w:qFormat/>
    <w:rsid w:val="0058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nv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381</ap:Words>
  <ap:Characters>2100</ap:Characters>
  <ap:DocSecurity>4</ap:DocSecurity>
  <ap:Lines>17</ap:Lines>
  <ap:Paragraphs>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2024-05-13T15:16:00.0000000Z</dcterms:created>
  <dcterms:modified xsi:type="dcterms:W3CDTF">2024-05-13T15:16:00.0000000Z</dcterms:modified>
  <dc:description>------------------------</dc:description>
  <dc:subject/>
  <keywords/>
  <version/>
  <category/>
</coreProperties>
</file>