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C3D5B" w:rsidTr="00FC3D5B" w14:paraId="0541546D" w14:textId="77777777">
        <w:sdt>
          <w:sdtPr>
            <w:tag w:val="bmZaakNummerAdvies"/>
            <w:id w:val="-91780946"/>
            <w:lock w:val="sdtLocked"/>
            <w:placeholder>
              <w:docPart w:val="DefaultPlaceholder_-1854013440"/>
            </w:placeholder>
          </w:sdtPr>
          <w:sdtEndPr/>
          <w:sdtContent>
            <w:tc>
              <w:tcPr>
                <w:tcW w:w="4251" w:type="dxa"/>
              </w:tcPr>
              <w:p w:rsidR="00FC3D5B" w:rsidRDefault="00FC3D5B" w14:paraId="0241BE49" w14:textId="7E4542C5">
                <w:r>
                  <w:t>No. W05.24.00042/I</w:t>
                </w:r>
              </w:p>
            </w:tc>
          </w:sdtContent>
        </w:sdt>
        <w:sdt>
          <w:sdtPr>
            <w:tag w:val="bmDatumAdvies"/>
            <w:id w:val="-1023088664"/>
            <w:lock w:val="sdtLocked"/>
            <w:placeholder>
              <w:docPart w:val="DefaultPlaceholder_-1854013440"/>
            </w:placeholder>
          </w:sdtPr>
          <w:sdtEndPr/>
          <w:sdtContent>
            <w:tc>
              <w:tcPr>
                <w:tcW w:w="4252" w:type="dxa"/>
              </w:tcPr>
              <w:p w:rsidR="00FC3D5B" w:rsidRDefault="00FC3D5B" w14:paraId="2F2DA5E0" w14:textId="54EBF21E">
                <w:r>
                  <w:t>'s-Gravenhage, 11 april 2024</w:t>
                </w:r>
              </w:p>
            </w:tc>
          </w:sdtContent>
        </w:sdt>
      </w:tr>
    </w:tbl>
    <w:p w:rsidR="00FC3D5B" w:rsidRDefault="00FC3D5B" w14:paraId="235EF2F6" w14:textId="77777777"/>
    <w:p w:rsidR="00FC3D5B" w:rsidRDefault="00FC3D5B" w14:paraId="1C0A8EA2" w14:textId="77777777"/>
    <w:p w:rsidR="00FC3D5B" w:rsidRDefault="00FC3D5B" w14:paraId="385E9A2F" w14:textId="77777777"/>
    <w:sdt>
      <w:sdtPr>
        <w:tag w:val="bmAanhef"/>
        <w:id w:val="-1826818196"/>
        <w:lock w:val="sdtLocked"/>
        <w:placeholder>
          <w:docPart w:val="B5C87CDF6085468C808C175C1F6FC923"/>
        </w:placeholder>
      </w:sdtPr>
      <w:sdtEndPr/>
      <w:sdtContent>
        <w:p w:rsidR="00FC3D5B" w:rsidRDefault="00FC3D5B" w14:paraId="0E8C92CC" w14:textId="77777777">
          <w:pPr>
            <w:rPr>
              <w:color w:val="000000"/>
            </w:rPr>
          </w:pPr>
          <w:r>
            <w:rPr>
              <w:color w:val="000000"/>
            </w:rPr>
            <w:t>Bij Kabinetsmissive van 7 maart 2024, no.2024000614, heeft Uwe Majesteit, op voordracht van de Minister van Onderwijs, Cultuur en Wetenschap, bij de Afdeling advisering van de Raad van State ter overweging aanhangig gemaakt het voorstel van wet tot wijziging van onder meer de Wet op het hoger onderwijs en wetenschappelijk onderzoek in verband met het stellen van voorschriften met betrekking tot de onderwijstaal, de mogelijkheid regie te voeren op een doelmatig onderwijsaanbod en de toegankelijkheid van het hoger onderwijs (Wet internationalisering in balans), met memorie van toelichting.</w:t>
          </w:r>
        </w:p>
        <w:p w:rsidR="004905CA" w:rsidRDefault="00342151" w14:paraId="2F76FC6F" w14:textId="5E716BA4"/>
      </w:sdtContent>
    </w:sdt>
    <w:sdt>
      <w:sdtPr>
        <w:tag w:val="bmVrijeTekst1"/>
        <w:id w:val="1601769265"/>
        <w:lock w:val="sdtLocked"/>
        <w:placeholder>
          <w:docPart w:val="0C71BA55C34A4B8F8C48277DEFDAA203"/>
        </w:placeholder>
      </w:sdtPr>
      <w:sdtEndPr/>
      <w:sdtContent>
        <w:p w:rsidRPr="00FD3C10" w:rsidR="000F4212" w:rsidP="000F4212" w:rsidRDefault="000F4212" w14:paraId="7CBEA084" w14:textId="608A9AF5">
          <w:pPr>
            <w:rPr>
              <w:szCs w:val="22"/>
            </w:rPr>
          </w:pPr>
          <w:r w:rsidRPr="00FD3C10">
            <w:rPr>
              <w:szCs w:val="22"/>
            </w:rPr>
            <w:t xml:space="preserve">Het wetsvoorstel bevat maatregelen die erop gericht zijn de instroom van internationale studenten in het hoger onderwijs beter te kunnen beheersen </w:t>
          </w:r>
          <w:r w:rsidRPr="00FD3C10" w:rsidDel="006315F0">
            <w:rPr>
              <w:szCs w:val="22"/>
            </w:rPr>
            <w:t>(meer gerichte numerus fixus, niet-EER-fixus, noodfixus)</w:t>
          </w:r>
          <w:r w:rsidDel="006315F0">
            <w:rPr>
              <w:szCs w:val="22"/>
            </w:rPr>
            <w:t xml:space="preserve"> </w:t>
          </w:r>
          <w:r>
            <w:rPr>
              <w:szCs w:val="22"/>
            </w:rPr>
            <w:t>en</w:t>
          </w:r>
          <w:r w:rsidRPr="00FD3C10">
            <w:rPr>
              <w:szCs w:val="22"/>
            </w:rPr>
            <w:t xml:space="preserve"> de doelmatigheid van het onderwijsaanbod van anderstalig hoger onderwijs te vergroten</w:t>
          </w:r>
          <w:r w:rsidRPr="00FD3C10" w:rsidDel="006315F0">
            <w:rPr>
              <w:szCs w:val="22"/>
            </w:rPr>
            <w:t xml:space="preserve"> (invoering doelmatigheidstoets anderstalig onderwijs</w:t>
          </w:r>
          <w:r w:rsidRPr="00FD3C10">
            <w:rPr>
              <w:szCs w:val="22"/>
            </w:rPr>
            <w:t>)</w:t>
          </w:r>
          <w:r>
            <w:rPr>
              <w:szCs w:val="22"/>
            </w:rPr>
            <w:t>. Daarnaast is een doelstelling de positie van het</w:t>
          </w:r>
          <w:r w:rsidRPr="00FD3C10">
            <w:rPr>
              <w:szCs w:val="22"/>
            </w:rPr>
            <w:t xml:space="preserve"> Nederlands als taal in het hoger onderwijs te behouden en te versterken (versterking taalbeleid en uitbreiding zorgplicht). </w:t>
          </w:r>
          <w:r>
            <w:rPr>
              <w:szCs w:val="22"/>
            </w:rPr>
            <w:t>Ten slotte</w:t>
          </w:r>
          <w:r w:rsidRPr="00FD3C10">
            <w:rPr>
              <w:szCs w:val="22"/>
            </w:rPr>
            <w:t xml:space="preserve"> voorziet het voorstel in een wijziging van de Wet referentieniveaus Nederlandse taal en rekenen</w:t>
          </w:r>
          <w:r>
            <w:rPr>
              <w:szCs w:val="22"/>
            </w:rPr>
            <w:t>,</w:t>
          </w:r>
          <w:r w:rsidRPr="00FD3C10">
            <w:rPr>
              <w:szCs w:val="22"/>
            </w:rPr>
            <w:t xml:space="preserve"> met als doel een grondslag te bieden voor een zogenoemde omkeerregeling in het middelbaar beroepsonderwijs (mbo).</w:t>
          </w:r>
        </w:p>
        <w:p w:rsidRPr="00FD3C10" w:rsidR="000F4212" w:rsidP="000F4212" w:rsidRDefault="000F4212" w14:paraId="3820E708" w14:textId="77777777">
          <w:pPr>
            <w:rPr>
              <w:szCs w:val="22"/>
            </w:rPr>
          </w:pPr>
        </w:p>
        <w:p w:rsidRPr="00FD3C10" w:rsidR="000F4212" w:rsidP="000F4212" w:rsidRDefault="000F4212" w14:paraId="614BFA24" w14:textId="1039FCD9">
          <w:pPr>
            <w:rPr>
              <w:szCs w:val="22"/>
            </w:rPr>
          </w:pPr>
          <w:bookmarkStart w:name="_Hlk162683470" w:id="0"/>
          <w:r w:rsidRPr="00FD3C10">
            <w:rPr>
              <w:szCs w:val="22"/>
            </w:rPr>
            <w:t xml:space="preserve">De Afdeling advisering van de Raad van State deelt de opvatting van de regering dat de sterke en blijvende instroom van internationale studenten in sommige delen en sectoren van het hoger onderwijs vraagt om een strategische herbezinning en een visie gericht op een duurzame balans. Daarbij moet enerzijds het belang van internationalisering </w:t>
          </w:r>
          <w:r>
            <w:rPr>
              <w:szCs w:val="22"/>
            </w:rPr>
            <w:t xml:space="preserve">voor de arbeidsmarkt, de kenniseconomie en het onderwijs </w:t>
          </w:r>
          <w:r w:rsidRPr="00FD3C10">
            <w:rPr>
              <w:szCs w:val="22"/>
            </w:rPr>
            <w:t>worden erkend</w:t>
          </w:r>
          <w:r w:rsidR="00BE4645">
            <w:rPr>
              <w:szCs w:val="22"/>
            </w:rPr>
            <w:t>.</w:t>
          </w:r>
          <w:r w:rsidRPr="00FD3C10">
            <w:rPr>
              <w:szCs w:val="22"/>
            </w:rPr>
            <w:t xml:space="preserve"> </w:t>
          </w:r>
          <w:r w:rsidR="00BE4645">
            <w:rPr>
              <w:szCs w:val="22"/>
            </w:rPr>
            <w:t>A</w:t>
          </w:r>
          <w:r w:rsidRPr="00FD3C10">
            <w:rPr>
              <w:szCs w:val="22"/>
            </w:rPr>
            <w:t xml:space="preserve">nderzijds </w:t>
          </w:r>
          <w:r w:rsidR="00AD38BB">
            <w:rPr>
              <w:szCs w:val="22"/>
            </w:rPr>
            <w:t xml:space="preserve">moet </w:t>
          </w:r>
          <w:r w:rsidRPr="00FD3C10">
            <w:rPr>
              <w:szCs w:val="22"/>
            </w:rPr>
            <w:t xml:space="preserve">recht worden gedaan aan de houdbaarheid </w:t>
          </w:r>
          <w:r>
            <w:rPr>
              <w:szCs w:val="22"/>
            </w:rPr>
            <w:t xml:space="preserve">en duurzaamheid </w:t>
          </w:r>
          <w:r w:rsidRPr="00FD3C10">
            <w:rPr>
              <w:szCs w:val="22"/>
            </w:rPr>
            <w:t>van het stelsel in termen van kwaliteit, toegankelijkheid en doelmatigheid</w:t>
          </w:r>
          <w:bookmarkEnd w:id="0"/>
          <w:r w:rsidRPr="00FD3C10">
            <w:rPr>
              <w:szCs w:val="22"/>
            </w:rPr>
            <w:t xml:space="preserve">. Het is van belang om hieraan invulling en uitwerking te geven vanuit een toekomstgerichte visie op </w:t>
          </w:r>
          <w:r>
            <w:rPr>
              <w:szCs w:val="22"/>
            </w:rPr>
            <w:t xml:space="preserve">de </w:t>
          </w:r>
          <w:r w:rsidRPr="00FD3C10">
            <w:rPr>
              <w:szCs w:val="22"/>
            </w:rPr>
            <w:t xml:space="preserve">internationalisering van het hoger onderwijs, binnen </w:t>
          </w:r>
          <w:r w:rsidR="003E45AF">
            <w:rPr>
              <w:szCs w:val="22"/>
            </w:rPr>
            <w:t>de</w:t>
          </w:r>
          <w:r w:rsidRPr="00FD3C10">
            <w:rPr>
              <w:szCs w:val="22"/>
            </w:rPr>
            <w:t xml:space="preserve"> context van </w:t>
          </w:r>
          <w:r w:rsidR="00510803">
            <w:rPr>
              <w:szCs w:val="22"/>
            </w:rPr>
            <w:t xml:space="preserve">lange termijn </w:t>
          </w:r>
          <w:r w:rsidRPr="00FD3C10">
            <w:rPr>
              <w:szCs w:val="22"/>
            </w:rPr>
            <w:t xml:space="preserve">ontwikkelingen </w:t>
          </w:r>
          <w:r w:rsidR="00C459A3">
            <w:rPr>
              <w:szCs w:val="22"/>
            </w:rPr>
            <w:t>i</w:t>
          </w:r>
          <w:r w:rsidRPr="00FD3C10">
            <w:rPr>
              <w:szCs w:val="22"/>
            </w:rPr>
            <w:t xml:space="preserve">n maatschappij en arbeidsmarkt. </w:t>
          </w:r>
        </w:p>
        <w:p w:rsidRPr="00FD3C10" w:rsidR="000F4212" w:rsidP="000F4212" w:rsidRDefault="000F4212" w14:paraId="3AC827EC" w14:textId="77777777">
          <w:pPr>
            <w:rPr>
              <w:szCs w:val="22"/>
            </w:rPr>
          </w:pPr>
        </w:p>
        <w:p w:rsidR="007D4AE0" w:rsidP="000F4212" w:rsidRDefault="000F4212" w14:paraId="4D80EB1B" w14:textId="021B92BC">
          <w:pPr>
            <w:rPr>
              <w:szCs w:val="22"/>
            </w:rPr>
          </w:pPr>
          <w:r w:rsidRPr="00FD3C10">
            <w:rPr>
              <w:szCs w:val="22"/>
            </w:rPr>
            <w:t xml:space="preserve">Tegen </w:t>
          </w:r>
          <w:r w:rsidR="00BA4479">
            <w:rPr>
              <w:szCs w:val="22"/>
            </w:rPr>
            <w:t>de</w:t>
          </w:r>
          <w:r w:rsidRPr="00FD3C10" w:rsidR="00BA4479">
            <w:rPr>
              <w:szCs w:val="22"/>
            </w:rPr>
            <w:t xml:space="preserve"> </w:t>
          </w:r>
          <w:r w:rsidRPr="00FD3C10">
            <w:rPr>
              <w:szCs w:val="22"/>
            </w:rPr>
            <w:t xml:space="preserve">achtergrond </w:t>
          </w:r>
          <w:r w:rsidR="00BA4479">
            <w:rPr>
              <w:szCs w:val="22"/>
            </w:rPr>
            <w:t xml:space="preserve">van het streven naar een duurzame balans </w:t>
          </w:r>
          <w:r w:rsidR="00ED2B80">
            <w:rPr>
              <w:szCs w:val="22"/>
            </w:rPr>
            <w:t>heeft</w:t>
          </w:r>
          <w:r w:rsidRPr="00FD3C10" w:rsidR="001E0689">
            <w:rPr>
              <w:szCs w:val="22"/>
            </w:rPr>
            <w:t xml:space="preserve"> </w:t>
          </w:r>
          <w:r w:rsidRPr="00FD3C10">
            <w:rPr>
              <w:szCs w:val="22"/>
            </w:rPr>
            <w:t>de Afdeling</w:t>
          </w:r>
          <w:r w:rsidR="00ED2B80">
            <w:rPr>
              <w:szCs w:val="22"/>
            </w:rPr>
            <w:t xml:space="preserve"> begrip voor</w:t>
          </w:r>
          <w:r w:rsidRPr="00FD3C10">
            <w:rPr>
              <w:szCs w:val="22"/>
            </w:rPr>
            <w:t xml:space="preserve"> de invoering van een doelmatigheidstoets voor anderstalige associate degree</w:t>
          </w:r>
          <w:r w:rsidRPr="00FD3C10">
            <w:rPr>
              <w:szCs w:val="22"/>
              <w:vertAlign w:val="superscript"/>
            </w:rPr>
            <w:footnoteReference w:id="2"/>
          </w:r>
          <w:r w:rsidRPr="00FD3C10">
            <w:rPr>
              <w:szCs w:val="22"/>
            </w:rPr>
            <w:t xml:space="preserve"> en bacheloropleidingen of -trajecten vanuit het perspectief van het </w:t>
          </w:r>
          <w:r>
            <w:rPr>
              <w:szCs w:val="22"/>
            </w:rPr>
            <w:t>onderwijs</w:t>
          </w:r>
          <w:r w:rsidRPr="00FD3C10">
            <w:rPr>
              <w:szCs w:val="22"/>
            </w:rPr>
            <w:t xml:space="preserve">stelsel als geheel. Daarbij adviseert zij expliciet </w:t>
          </w:r>
          <w:r w:rsidR="00E25D5D">
            <w:rPr>
              <w:szCs w:val="22"/>
            </w:rPr>
            <w:t xml:space="preserve">in de wet </w:t>
          </w:r>
          <w:r>
            <w:rPr>
              <w:szCs w:val="22"/>
            </w:rPr>
            <w:t>vast te leggen</w:t>
          </w:r>
          <w:r w:rsidRPr="00FD3C10">
            <w:rPr>
              <w:szCs w:val="22"/>
            </w:rPr>
            <w:t xml:space="preserve"> </w:t>
          </w:r>
          <w:r>
            <w:rPr>
              <w:szCs w:val="22"/>
            </w:rPr>
            <w:t xml:space="preserve">dat instellingen </w:t>
          </w:r>
          <w:r w:rsidR="00E71C98">
            <w:rPr>
              <w:szCs w:val="22"/>
            </w:rPr>
            <w:t xml:space="preserve">gezamenlijke </w:t>
          </w:r>
          <w:r w:rsidRPr="00916337">
            <w:rPr>
              <w:szCs w:val="22"/>
            </w:rPr>
            <w:t xml:space="preserve">aanvragen </w:t>
          </w:r>
          <w:r>
            <w:rPr>
              <w:szCs w:val="22"/>
            </w:rPr>
            <w:t xml:space="preserve">kunnen doen </w:t>
          </w:r>
          <w:r w:rsidR="00D77F4C">
            <w:rPr>
              <w:szCs w:val="22"/>
            </w:rPr>
            <w:t>met betrekking tot</w:t>
          </w:r>
          <w:r w:rsidRPr="00916337">
            <w:rPr>
              <w:szCs w:val="22"/>
            </w:rPr>
            <w:t xml:space="preserve"> meerdere, met elkaar samenhangende opleidingen</w:t>
          </w:r>
          <w:r>
            <w:rPr>
              <w:szCs w:val="22"/>
            </w:rPr>
            <w:t xml:space="preserve"> (</w:t>
          </w:r>
          <w:r w:rsidRPr="00FD3C10">
            <w:rPr>
              <w:szCs w:val="22"/>
            </w:rPr>
            <w:t>clusteraanvragen</w:t>
          </w:r>
          <w:r>
            <w:rPr>
              <w:szCs w:val="22"/>
            </w:rPr>
            <w:t>)</w:t>
          </w:r>
          <w:r w:rsidRPr="00FD3C10">
            <w:rPr>
              <w:szCs w:val="22"/>
            </w:rPr>
            <w:t xml:space="preserve"> en </w:t>
          </w:r>
          <w:r w:rsidRPr="00FD3C10">
            <w:rPr>
              <w:szCs w:val="22"/>
            </w:rPr>
            <w:lastRenderedPageBreak/>
            <w:t xml:space="preserve">instellingen te verplichten daartoe op overeenstemming gericht overleg te voeren. </w:t>
          </w:r>
        </w:p>
        <w:p w:rsidR="00CD6AF3" w:rsidP="000F4212" w:rsidRDefault="00CD6AF3" w14:paraId="5980DF42" w14:textId="77777777">
          <w:pPr>
            <w:rPr>
              <w:szCs w:val="22"/>
            </w:rPr>
          </w:pPr>
        </w:p>
        <w:p w:rsidR="00CD6AF3" w:rsidP="000F4212" w:rsidRDefault="00CD6AF3" w14:paraId="19F31941" w14:textId="7A565685">
          <w:pPr>
            <w:rPr>
              <w:szCs w:val="22"/>
            </w:rPr>
          </w:pPr>
          <w:r>
            <w:rPr>
              <w:szCs w:val="22"/>
            </w:rPr>
            <w:t xml:space="preserve">Verder adviseert de Afdeling om </w:t>
          </w:r>
          <w:r w:rsidR="004951D8">
            <w:rPr>
              <w:szCs w:val="22"/>
            </w:rPr>
            <w:t>in het kader van</w:t>
          </w:r>
          <w:r w:rsidR="00922A8C">
            <w:rPr>
              <w:szCs w:val="22"/>
            </w:rPr>
            <w:t xml:space="preserve"> de</w:t>
          </w:r>
          <w:r w:rsidR="004951D8">
            <w:rPr>
              <w:szCs w:val="22"/>
            </w:rPr>
            <w:t xml:space="preserve"> rechtszekerheid en proportionaliteit</w:t>
          </w:r>
          <w:r w:rsidRPr="00FD3C10" w:rsidR="004951D8">
            <w:rPr>
              <w:szCs w:val="22"/>
            </w:rPr>
            <w:t xml:space="preserve"> </w:t>
          </w:r>
          <w:r w:rsidR="004951D8">
            <w:rPr>
              <w:szCs w:val="22"/>
            </w:rPr>
            <w:t>het ultimum-remedium-karakter van de doelmatigheidstoetsing van bestaand anderstalig opleidingsaanbod alsnog in de wettekst tot uitdrukking te brengen.</w:t>
          </w:r>
          <w:r w:rsidR="0063620E">
            <w:rPr>
              <w:szCs w:val="22"/>
            </w:rPr>
            <w:t xml:space="preserve"> </w:t>
          </w:r>
          <w:r w:rsidR="00276EB9">
            <w:rPr>
              <w:szCs w:val="22"/>
            </w:rPr>
            <w:t>Daarnaast</w:t>
          </w:r>
          <w:r w:rsidR="0063620E">
            <w:rPr>
              <w:szCs w:val="22"/>
            </w:rPr>
            <w:t xml:space="preserve"> moet duidelijk worden gemaakt of bij</w:t>
          </w:r>
          <w:r w:rsidRPr="0063620E" w:rsidR="0063620E">
            <w:rPr>
              <w:szCs w:val="22"/>
            </w:rPr>
            <w:t xml:space="preserve"> de weging van de doelmatigheidscriteria ook de beschikbaarheid van personeel een plaats krijgt</w:t>
          </w:r>
          <w:r w:rsidR="00D838AF">
            <w:rPr>
              <w:szCs w:val="22"/>
            </w:rPr>
            <w:t>. Indien dit het geval is dient hiertoe ook een wettelijke grondslag te worden opgenomen.</w:t>
          </w:r>
          <w:r w:rsidR="00276EB9">
            <w:rPr>
              <w:szCs w:val="22"/>
            </w:rPr>
            <w:t xml:space="preserve"> </w:t>
          </w:r>
        </w:p>
        <w:p w:rsidR="007D4AE0" w:rsidP="000F4212" w:rsidRDefault="007D4AE0" w14:paraId="6CEA9DB6" w14:textId="77777777">
          <w:pPr>
            <w:rPr>
              <w:szCs w:val="22"/>
            </w:rPr>
          </w:pPr>
        </w:p>
        <w:p w:rsidR="004476D4" w:rsidP="000F4212" w:rsidRDefault="000F4212" w14:paraId="08AB1AE4" w14:textId="64EDAA6F">
          <w:pPr>
            <w:rPr>
              <w:szCs w:val="22"/>
            </w:rPr>
          </w:pPr>
          <w:r w:rsidRPr="00FD3C10">
            <w:rPr>
              <w:szCs w:val="22"/>
            </w:rPr>
            <w:t xml:space="preserve">De Afdeling adviseert de doelmatigheidstoets </w:t>
          </w:r>
          <w:r>
            <w:rPr>
              <w:szCs w:val="22"/>
            </w:rPr>
            <w:t xml:space="preserve">voor anderstalig onderwijs </w:t>
          </w:r>
          <w:r w:rsidRPr="00FD3C10">
            <w:rPr>
              <w:szCs w:val="22"/>
            </w:rPr>
            <w:t xml:space="preserve">vooralsnog niet </w:t>
          </w:r>
          <w:r>
            <w:rPr>
              <w:szCs w:val="22"/>
            </w:rPr>
            <w:t xml:space="preserve">voor </w:t>
          </w:r>
          <w:r w:rsidRPr="00FD3C10">
            <w:rPr>
              <w:szCs w:val="22"/>
            </w:rPr>
            <w:t xml:space="preserve">het hoger beroepsonderwijs (hbo) </w:t>
          </w:r>
          <w:r>
            <w:rPr>
              <w:szCs w:val="22"/>
            </w:rPr>
            <w:t>te laten gelden</w:t>
          </w:r>
          <w:r w:rsidRPr="00FD3C10">
            <w:rPr>
              <w:szCs w:val="22"/>
            </w:rPr>
            <w:t>, dan wel deze sector aan een verlicht toetsingsregime te onderwerpen</w:t>
          </w:r>
          <w:r w:rsidR="00AD38BB">
            <w:rPr>
              <w:szCs w:val="22"/>
            </w:rPr>
            <w:t>.</w:t>
          </w:r>
          <w:r w:rsidRPr="00FD3C10">
            <w:rPr>
              <w:szCs w:val="22"/>
            </w:rPr>
            <w:t xml:space="preserve"> </w:t>
          </w:r>
          <w:r w:rsidR="00AD38BB">
            <w:rPr>
              <w:szCs w:val="22"/>
            </w:rPr>
            <w:t>D</w:t>
          </w:r>
          <w:r w:rsidRPr="00FD3C10">
            <w:rPr>
              <w:szCs w:val="22"/>
            </w:rPr>
            <w:t xml:space="preserve">e internationalisering in het hbo </w:t>
          </w:r>
          <w:r w:rsidR="00AD38BB">
            <w:rPr>
              <w:szCs w:val="22"/>
            </w:rPr>
            <w:t>is immers</w:t>
          </w:r>
          <w:r w:rsidR="00B34798">
            <w:rPr>
              <w:szCs w:val="22"/>
            </w:rPr>
            <w:t xml:space="preserve"> </w:t>
          </w:r>
          <w:r w:rsidR="00460845">
            <w:rPr>
              <w:szCs w:val="22"/>
            </w:rPr>
            <w:t xml:space="preserve">beperkt en </w:t>
          </w:r>
          <w:r w:rsidR="00B34798">
            <w:rPr>
              <w:szCs w:val="22"/>
            </w:rPr>
            <w:t xml:space="preserve">heeft </w:t>
          </w:r>
          <w:r w:rsidRPr="00FD3C10">
            <w:rPr>
              <w:szCs w:val="22"/>
            </w:rPr>
            <w:t>een ander karakter dan in het wetenschappelijk onderwijs (wo)</w:t>
          </w:r>
          <w:r w:rsidR="00B34798">
            <w:rPr>
              <w:szCs w:val="22"/>
            </w:rPr>
            <w:t>. Ook heeft</w:t>
          </w:r>
          <w:r w:rsidRPr="00FD3C10">
            <w:rPr>
              <w:szCs w:val="22"/>
            </w:rPr>
            <w:t xml:space="preserve"> </w:t>
          </w:r>
          <w:r>
            <w:rPr>
              <w:szCs w:val="22"/>
            </w:rPr>
            <w:t xml:space="preserve">het hbo </w:t>
          </w:r>
          <w:r w:rsidRPr="00FD3C10">
            <w:rPr>
              <w:szCs w:val="22"/>
            </w:rPr>
            <w:t xml:space="preserve">al jaren een stabiele instroom </w:t>
          </w:r>
          <w:r>
            <w:rPr>
              <w:szCs w:val="22"/>
            </w:rPr>
            <w:t>van internationale studenten</w:t>
          </w:r>
          <w:r w:rsidRPr="00FD3C10">
            <w:rPr>
              <w:szCs w:val="22"/>
            </w:rPr>
            <w:t>.</w:t>
          </w:r>
        </w:p>
        <w:p w:rsidR="004476D4" w:rsidP="000F4212" w:rsidRDefault="004476D4" w14:paraId="455F00E7" w14:textId="77777777">
          <w:pPr>
            <w:rPr>
              <w:szCs w:val="22"/>
            </w:rPr>
          </w:pPr>
        </w:p>
        <w:p w:rsidRPr="00FD3C10" w:rsidR="000F4212" w:rsidP="000F4212" w:rsidRDefault="000F4212" w14:paraId="2BB05157" w14:textId="1EC2CB58">
          <w:pPr>
            <w:rPr>
              <w:szCs w:val="22"/>
            </w:rPr>
          </w:pPr>
          <w:r w:rsidRPr="00FD3C10">
            <w:rPr>
              <w:szCs w:val="22"/>
            </w:rPr>
            <w:t>D</w:t>
          </w:r>
          <w:r w:rsidR="00460845">
            <w:rPr>
              <w:szCs w:val="22"/>
            </w:rPr>
            <w:t>e Afdeling begrijpt d</w:t>
          </w:r>
          <w:r w:rsidRPr="00FD3C10">
            <w:rPr>
              <w:szCs w:val="22"/>
            </w:rPr>
            <w:t>at masteropleidingen niet aan de doelmatigheidstoets worden onderworpen, gelet op de sterke verwevenheid tussen onderwijs en onderzoek</w:t>
          </w:r>
          <w:r w:rsidR="00274F68">
            <w:rPr>
              <w:szCs w:val="22"/>
            </w:rPr>
            <w:t>.</w:t>
          </w:r>
          <w:r w:rsidRPr="00FD3C10">
            <w:rPr>
              <w:szCs w:val="22"/>
            </w:rPr>
            <w:t xml:space="preserve"> </w:t>
          </w:r>
          <w:r w:rsidR="00337F7E">
            <w:rPr>
              <w:szCs w:val="22"/>
            </w:rPr>
            <w:t xml:space="preserve">Ook </w:t>
          </w:r>
          <w:r w:rsidR="003B7028">
            <w:rPr>
              <w:szCs w:val="22"/>
            </w:rPr>
            <w:t xml:space="preserve">zijn </w:t>
          </w:r>
          <w:r w:rsidRPr="00FD3C10">
            <w:rPr>
              <w:szCs w:val="22"/>
            </w:rPr>
            <w:t xml:space="preserve">deze veelal anderstalige opleidingen </w:t>
          </w:r>
          <w:r w:rsidR="003B7028">
            <w:rPr>
              <w:szCs w:val="22"/>
            </w:rPr>
            <w:t xml:space="preserve">van betekenis </w:t>
          </w:r>
          <w:r w:rsidRPr="00FD3C10">
            <w:rPr>
              <w:szCs w:val="22"/>
            </w:rPr>
            <w:t xml:space="preserve">voor het behouden en </w:t>
          </w:r>
          <w:r w:rsidR="004476D4">
            <w:rPr>
              <w:szCs w:val="22"/>
            </w:rPr>
            <w:t>aantrekken</w:t>
          </w:r>
          <w:r w:rsidRPr="00FD3C10" w:rsidR="004476D4">
            <w:rPr>
              <w:szCs w:val="22"/>
            </w:rPr>
            <w:t xml:space="preserve"> </w:t>
          </w:r>
          <w:r w:rsidRPr="00FD3C10">
            <w:rPr>
              <w:szCs w:val="22"/>
            </w:rPr>
            <w:t xml:space="preserve">van internationaal (wetenschappelijk) onderzoekstalent. </w:t>
          </w:r>
        </w:p>
        <w:p w:rsidRPr="00FD3C10" w:rsidR="000F4212" w:rsidP="000F4212" w:rsidRDefault="000F4212" w14:paraId="262D50D2" w14:textId="77777777">
          <w:pPr>
            <w:rPr>
              <w:szCs w:val="22"/>
            </w:rPr>
          </w:pPr>
        </w:p>
        <w:p w:rsidRPr="00FD3C10" w:rsidR="000F4212" w:rsidP="000F4212" w:rsidRDefault="000F4212" w14:paraId="33825671" w14:textId="31FFBA93">
          <w:pPr>
            <w:rPr>
              <w:szCs w:val="22"/>
            </w:rPr>
          </w:pPr>
          <w:r w:rsidRPr="00FD3C10">
            <w:rPr>
              <w:szCs w:val="22"/>
            </w:rPr>
            <w:t xml:space="preserve">De Afdeling is positief over de voorstellen </w:t>
          </w:r>
          <w:r>
            <w:rPr>
              <w:szCs w:val="22"/>
            </w:rPr>
            <w:t>op grond waarvan de instellingen een maximum kunnen stellen aan</w:t>
          </w:r>
          <w:r w:rsidRPr="00916337">
            <w:rPr>
              <w:szCs w:val="22"/>
            </w:rPr>
            <w:t xml:space="preserve"> </w:t>
          </w:r>
          <w:r>
            <w:rPr>
              <w:szCs w:val="22"/>
            </w:rPr>
            <w:t>het aantal tot een opleiding of traject toe te laten studenten (</w:t>
          </w:r>
          <w:r w:rsidRPr="00FD3C10">
            <w:rPr>
              <w:szCs w:val="22"/>
            </w:rPr>
            <w:t>fixusmaatregelen</w:t>
          </w:r>
          <w:r>
            <w:rPr>
              <w:szCs w:val="22"/>
            </w:rPr>
            <w:t>)</w:t>
          </w:r>
          <w:r w:rsidRPr="00FD3C10">
            <w:rPr>
              <w:szCs w:val="22"/>
            </w:rPr>
            <w:t xml:space="preserve">, die stroken met haar eerdere advisering op dit onderdeel in het kader van het wetsvoorstel </w:t>
          </w:r>
          <w:r w:rsidR="005C2DE1">
            <w:rPr>
              <w:szCs w:val="22"/>
            </w:rPr>
            <w:t>t</w:t>
          </w:r>
          <w:r w:rsidRPr="00FD3C10">
            <w:rPr>
              <w:szCs w:val="22"/>
            </w:rPr>
            <w:t>aal en toegankelijkheid.</w:t>
          </w:r>
          <w:r w:rsidRPr="00FD3C10">
            <w:rPr>
              <w:rStyle w:val="Voetnootmarkering"/>
              <w:szCs w:val="22"/>
            </w:rPr>
            <w:footnoteReference w:id="3"/>
          </w:r>
          <w:r w:rsidRPr="00FD3C10">
            <w:rPr>
              <w:szCs w:val="22"/>
            </w:rPr>
            <w:t xml:space="preserve"> Wat betreft de voorgestelde taalmaatregelen adviseert de Afdeling om de zorgplicht voor taalvaardigheid nader uit te werken </w:t>
          </w:r>
          <w:r>
            <w:rPr>
              <w:szCs w:val="22"/>
            </w:rPr>
            <w:t>in</w:t>
          </w:r>
          <w:r w:rsidRPr="00FD3C10">
            <w:rPr>
              <w:szCs w:val="22"/>
            </w:rPr>
            <w:t xml:space="preserve"> bestuurlijke afspraken</w:t>
          </w:r>
          <w:r>
            <w:rPr>
              <w:szCs w:val="22"/>
            </w:rPr>
            <w:t>,</w:t>
          </w:r>
          <w:r w:rsidRPr="00FD3C10">
            <w:rPr>
              <w:szCs w:val="22"/>
            </w:rPr>
            <w:t xml:space="preserve"> met duidelijke uitgangspunten die leiden tot meetbare resultaten.</w:t>
          </w:r>
        </w:p>
        <w:p w:rsidRPr="00FD3C10" w:rsidR="000F4212" w:rsidP="000F4212" w:rsidRDefault="000F4212" w14:paraId="2A3AF1D6" w14:textId="77777777">
          <w:pPr>
            <w:rPr>
              <w:szCs w:val="22"/>
            </w:rPr>
          </w:pPr>
        </w:p>
        <w:p w:rsidR="001025A5" w:rsidP="001025A5" w:rsidRDefault="000F4212" w14:paraId="1A3A99D0" w14:textId="6907591E">
          <w:pPr>
            <w:rPr>
              <w:szCs w:val="22"/>
            </w:rPr>
          </w:pPr>
          <w:r w:rsidRPr="00FD3C10">
            <w:rPr>
              <w:szCs w:val="22"/>
            </w:rPr>
            <w:t>V</w:t>
          </w:r>
          <w:r w:rsidR="00E61D28">
            <w:rPr>
              <w:szCs w:val="22"/>
            </w:rPr>
            <w:t>erder</w:t>
          </w:r>
          <w:r w:rsidRPr="00FD3C10">
            <w:rPr>
              <w:szCs w:val="22"/>
            </w:rPr>
            <w:t xml:space="preserve"> maakt de Afdeling opmerkingen over de verhouding tot </w:t>
          </w:r>
          <w:r w:rsidR="001025A5">
            <w:rPr>
              <w:szCs w:val="22"/>
            </w:rPr>
            <w:t xml:space="preserve">het Unierecht. Zij adviseert om de rechtvaardiging van de voorgestelde taalmaatregelen niet in het licht van het vrij verkeer, maar </w:t>
          </w:r>
          <w:r w:rsidR="00C40A09">
            <w:rPr>
              <w:szCs w:val="22"/>
            </w:rPr>
            <w:t>voor zover relevant</w:t>
          </w:r>
          <w:r w:rsidR="00861705">
            <w:rPr>
              <w:szCs w:val="22"/>
            </w:rPr>
            <w:t xml:space="preserve"> </w:t>
          </w:r>
          <w:r w:rsidR="001025A5">
            <w:rPr>
              <w:szCs w:val="22"/>
            </w:rPr>
            <w:t>in het licht van het unieburgerschap te plaatsen.</w:t>
          </w:r>
          <w:r w:rsidR="009D5667">
            <w:rPr>
              <w:szCs w:val="22"/>
            </w:rPr>
            <w:t xml:space="preserve"> Ook adviseert zij om in de toelichting nader in te gaan op het onderscheid tussen EER- en niet-EER-studenten</w:t>
          </w:r>
          <w:r w:rsidR="002878E1">
            <w:rPr>
              <w:szCs w:val="22"/>
            </w:rPr>
            <w:t xml:space="preserve"> in het kader van de numerus fixusmaatregelen</w:t>
          </w:r>
          <w:r w:rsidR="009D5667">
            <w:rPr>
              <w:szCs w:val="22"/>
            </w:rPr>
            <w:t xml:space="preserve">. </w:t>
          </w:r>
        </w:p>
        <w:p w:rsidR="009D5667" w:rsidP="000F4212" w:rsidRDefault="009D5667" w14:paraId="6B766061" w14:textId="749FFF64">
          <w:pPr>
            <w:rPr>
              <w:szCs w:val="22"/>
            </w:rPr>
          </w:pPr>
        </w:p>
        <w:p w:rsidRPr="00FD3C10" w:rsidR="000F4212" w:rsidP="000F4212" w:rsidRDefault="00E67FB7" w14:paraId="325C6ED7" w14:textId="3E0E0D3C">
          <w:pPr>
            <w:rPr>
              <w:szCs w:val="22"/>
            </w:rPr>
          </w:pPr>
          <w:r>
            <w:rPr>
              <w:szCs w:val="22"/>
            </w:rPr>
            <w:t xml:space="preserve">Daarnaast </w:t>
          </w:r>
          <w:r w:rsidR="00061672">
            <w:rPr>
              <w:szCs w:val="22"/>
            </w:rPr>
            <w:t xml:space="preserve">wijst de Afdeling op </w:t>
          </w:r>
          <w:r w:rsidR="004854DC">
            <w:rPr>
              <w:szCs w:val="22"/>
            </w:rPr>
            <w:t>het belang van overgangsfinanciering</w:t>
          </w:r>
          <w:r w:rsidR="00490477">
            <w:rPr>
              <w:szCs w:val="22"/>
            </w:rPr>
            <w:t>. Ook adviseert zij om de Afdeling Bestuursrechtspraak van de Raad van State te consulteren over</w:t>
          </w:r>
          <w:r w:rsidR="004854DC">
            <w:rPr>
              <w:szCs w:val="22"/>
            </w:rPr>
            <w:t xml:space="preserve"> </w:t>
          </w:r>
          <w:r w:rsidR="00061672">
            <w:rPr>
              <w:szCs w:val="22"/>
            </w:rPr>
            <w:t xml:space="preserve">de </w:t>
          </w:r>
          <w:r w:rsidRPr="00FD3C10" w:rsidR="000F4212">
            <w:rPr>
              <w:szCs w:val="22"/>
            </w:rPr>
            <w:t>gevolgen voor de rechtspraktijk</w:t>
          </w:r>
          <w:r w:rsidR="00490477">
            <w:rPr>
              <w:szCs w:val="22"/>
            </w:rPr>
            <w:t xml:space="preserve">. </w:t>
          </w:r>
          <w:r w:rsidR="00727331">
            <w:rPr>
              <w:szCs w:val="22"/>
            </w:rPr>
            <w:t>De Afdeling</w:t>
          </w:r>
          <w:r w:rsidR="00D6350B">
            <w:rPr>
              <w:szCs w:val="22"/>
            </w:rPr>
            <w:t xml:space="preserve"> vraagt </w:t>
          </w:r>
          <w:r w:rsidR="00890EDE">
            <w:rPr>
              <w:szCs w:val="22"/>
            </w:rPr>
            <w:t>verder</w:t>
          </w:r>
          <w:r w:rsidR="004854DC">
            <w:rPr>
              <w:szCs w:val="22"/>
            </w:rPr>
            <w:t xml:space="preserve"> </w:t>
          </w:r>
          <w:r w:rsidR="007F0A3A">
            <w:rPr>
              <w:szCs w:val="22"/>
            </w:rPr>
            <w:t xml:space="preserve">om een duiding van de verhouding </w:t>
          </w:r>
          <w:r w:rsidR="00D6350B">
            <w:rPr>
              <w:szCs w:val="22"/>
            </w:rPr>
            <w:t xml:space="preserve">van dit wetsvoorstel </w:t>
          </w:r>
          <w:r w:rsidR="007F0A3A">
            <w:rPr>
              <w:szCs w:val="22"/>
            </w:rPr>
            <w:t>tot een amendement op de begrotingswet OCW</w:t>
          </w:r>
          <w:r w:rsidR="00EE001A">
            <w:rPr>
              <w:szCs w:val="22"/>
            </w:rPr>
            <w:t xml:space="preserve"> betreffende </w:t>
          </w:r>
          <w:r w:rsidR="00E95F2A">
            <w:rPr>
              <w:szCs w:val="22"/>
            </w:rPr>
            <w:t xml:space="preserve">het </w:t>
          </w:r>
          <w:r w:rsidR="004A117C">
            <w:rPr>
              <w:szCs w:val="22"/>
            </w:rPr>
            <w:t>eerder kunnen</w:t>
          </w:r>
          <w:r w:rsidR="00E95F2A">
            <w:rPr>
              <w:szCs w:val="22"/>
            </w:rPr>
            <w:t xml:space="preserve"> invoeren van een</w:t>
          </w:r>
          <w:r w:rsidR="00727331">
            <w:rPr>
              <w:szCs w:val="22"/>
            </w:rPr>
            <w:t xml:space="preserve"> numerus fixusmaatregel</w:t>
          </w:r>
          <w:r w:rsidRPr="00FD3C10" w:rsidR="000F4212">
            <w:rPr>
              <w:szCs w:val="22"/>
            </w:rPr>
            <w:t xml:space="preserve">. </w:t>
          </w:r>
          <w:r w:rsidR="00D6350B">
            <w:rPr>
              <w:szCs w:val="22"/>
            </w:rPr>
            <w:t>Ten slotte</w:t>
          </w:r>
          <w:r w:rsidRPr="00FD3C10" w:rsidR="00D6350B">
            <w:rPr>
              <w:szCs w:val="22"/>
            </w:rPr>
            <w:t xml:space="preserve"> </w:t>
          </w:r>
          <w:r w:rsidRPr="00FD3C10" w:rsidR="000F4212">
            <w:rPr>
              <w:szCs w:val="22"/>
            </w:rPr>
            <w:t xml:space="preserve">wordt geadviseerd de omkeerregeling in het mbo uit dit wetsvoorstel te halen. </w:t>
          </w:r>
        </w:p>
        <w:p w:rsidRPr="00FD3C10" w:rsidR="000F4212" w:rsidP="000F4212" w:rsidRDefault="000F4212" w14:paraId="1F150E9E" w14:textId="77777777">
          <w:pPr>
            <w:rPr>
              <w:szCs w:val="22"/>
            </w:rPr>
          </w:pPr>
        </w:p>
        <w:p w:rsidRPr="00FD3C10" w:rsidR="000F4212" w:rsidP="000F4212" w:rsidRDefault="000F4212" w14:paraId="05DE7514" w14:textId="77777777">
          <w:pPr>
            <w:rPr>
              <w:szCs w:val="22"/>
            </w:rPr>
          </w:pPr>
          <w:r w:rsidRPr="00FD3C10">
            <w:rPr>
              <w:szCs w:val="22"/>
            </w:rPr>
            <w:t>In verband met deze opmerkingen is aanpassing van het wetsvoorstel en de toelichting wenselijk.</w:t>
          </w:r>
        </w:p>
        <w:p w:rsidRPr="00FD3C10" w:rsidR="000F4212" w:rsidP="000F4212" w:rsidRDefault="000F4212" w14:paraId="423E4427" w14:textId="77777777">
          <w:pPr>
            <w:rPr>
              <w:szCs w:val="22"/>
            </w:rPr>
          </w:pPr>
        </w:p>
        <w:p w:rsidRPr="00FD3C10" w:rsidR="000F4212" w:rsidP="000F4212" w:rsidRDefault="000F4212" w14:paraId="69C9555F" w14:textId="77777777">
          <w:pPr>
            <w:rPr>
              <w:szCs w:val="22"/>
              <w:u w:val="single"/>
            </w:rPr>
          </w:pPr>
          <w:r w:rsidRPr="00FD3C10">
            <w:rPr>
              <w:szCs w:val="22"/>
            </w:rPr>
            <w:t xml:space="preserve">1. </w:t>
          </w:r>
          <w:r w:rsidRPr="00FD3C10">
            <w:rPr>
              <w:szCs w:val="22"/>
            </w:rPr>
            <w:tab/>
          </w:r>
          <w:r w:rsidRPr="00FD3C10">
            <w:rPr>
              <w:szCs w:val="22"/>
              <w:u w:val="single"/>
            </w:rPr>
            <w:t xml:space="preserve">Inhoud van het wetsvoorstel </w:t>
          </w:r>
        </w:p>
        <w:p w:rsidRPr="00FD3C10" w:rsidR="000F4212" w:rsidP="000F4212" w:rsidRDefault="000F4212" w14:paraId="6BDD091B" w14:textId="77777777">
          <w:pPr>
            <w:rPr>
              <w:szCs w:val="22"/>
              <w:u w:val="single"/>
            </w:rPr>
          </w:pPr>
        </w:p>
        <w:p w:rsidR="000F4212" w:rsidP="000F4212" w:rsidRDefault="000F4212" w14:paraId="19B34AB8" w14:textId="16622CCA">
          <w:pPr>
            <w:rPr>
              <w:szCs w:val="22"/>
            </w:rPr>
          </w:pPr>
          <w:r w:rsidRPr="00FD3C10">
            <w:rPr>
              <w:szCs w:val="22"/>
            </w:rPr>
            <w:t xml:space="preserve">Het wetsvoorstel vormt de uitwerking van maatregelen die </w:t>
          </w:r>
          <w:r w:rsidR="00D74E1A">
            <w:rPr>
              <w:szCs w:val="22"/>
            </w:rPr>
            <w:t xml:space="preserve">al </w:t>
          </w:r>
          <w:r w:rsidRPr="00FD3C10">
            <w:rPr>
              <w:szCs w:val="22"/>
            </w:rPr>
            <w:t xml:space="preserve">eerder zijn aangekondigd in </w:t>
          </w:r>
          <w:r>
            <w:rPr>
              <w:szCs w:val="22"/>
            </w:rPr>
            <w:t>een</w:t>
          </w:r>
          <w:r w:rsidRPr="00FD3C10">
            <w:rPr>
              <w:szCs w:val="22"/>
            </w:rPr>
            <w:t xml:space="preserve"> </w:t>
          </w:r>
          <w:bookmarkStart w:name="_Hlk162688126" w:id="1"/>
          <w:r w:rsidRPr="00FD3C10">
            <w:rPr>
              <w:szCs w:val="22"/>
            </w:rPr>
            <w:t xml:space="preserve">brief </w:t>
          </w:r>
          <w:r>
            <w:rPr>
              <w:szCs w:val="22"/>
            </w:rPr>
            <w:t xml:space="preserve">van de minister van OCW </w:t>
          </w:r>
          <w:r w:rsidRPr="00FD3C10">
            <w:rPr>
              <w:szCs w:val="22"/>
            </w:rPr>
            <w:t xml:space="preserve">aan de </w:t>
          </w:r>
          <w:bookmarkStart w:name="_Hlk157011908" w:id="2"/>
          <w:r w:rsidRPr="00FD3C10">
            <w:rPr>
              <w:szCs w:val="22"/>
            </w:rPr>
            <w:t>Tweede Kamer, ‘Beheersing van internationale studentenstromen in het hoger onderwijs’, van 21 april 2023</w:t>
          </w:r>
          <w:bookmarkEnd w:id="2"/>
          <w:r w:rsidRPr="00FD3C10">
            <w:rPr>
              <w:szCs w:val="22"/>
            </w:rPr>
            <w:t>.</w:t>
          </w:r>
          <w:r w:rsidRPr="00FD3C10">
            <w:rPr>
              <w:szCs w:val="22"/>
              <w:vertAlign w:val="superscript"/>
            </w:rPr>
            <w:footnoteReference w:id="4"/>
          </w:r>
          <w:r w:rsidRPr="00FD3C10">
            <w:rPr>
              <w:szCs w:val="22"/>
            </w:rPr>
            <w:t xml:space="preserve"> </w:t>
          </w:r>
          <w:bookmarkEnd w:id="1"/>
          <w:r w:rsidRPr="00FD3C10">
            <w:rPr>
              <w:szCs w:val="22"/>
            </w:rPr>
            <w:t xml:space="preserve">Doel van het voorstel is het realiseren van een duurzame balans </w:t>
          </w:r>
          <w:r>
            <w:rPr>
              <w:szCs w:val="22"/>
            </w:rPr>
            <w:t>i</w:t>
          </w:r>
          <w:r w:rsidRPr="00FD3C10">
            <w:rPr>
              <w:szCs w:val="22"/>
            </w:rPr>
            <w:t>n de internationalisering van het hoger onderwijs in het licht van de maatschappelijke kosten en baten ervan. Volgens de regering kunnen de instellingen goede redenen hebben om bepaalde opleidingen in het Engels te verzorgen. Maar de individuele keuzes van de instellingen kunnen leiden tot problematische gevolgen op stelselniveau, zodat een bredere belangafweging noodzakelijk is. Daarbij is ook een doelstelling van het wetsvoorstel om de positie van het Nederlands als taal in het hoger onderwijs te behouden en te versterken.</w:t>
          </w:r>
        </w:p>
        <w:p w:rsidR="000F4212" w:rsidP="000F4212" w:rsidRDefault="000F4212" w14:paraId="0E463CB4" w14:textId="77777777">
          <w:pPr>
            <w:rPr>
              <w:szCs w:val="22"/>
            </w:rPr>
          </w:pPr>
        </w:p>
        <w:p w:rsidRPr="00FD3C10" w:rsidR="000F4212" w:rsidP="000F4212" w:rsidRDefault="000F4212" w14:paraId="37938049" w14:textId="625BFEE9">
          <w:pPr>
            <w:rPr>
              <w:szCs w:val="22"/>
            </w:rPr>
          </w:pPr>
          <w:r w:rsidRPr="00FD3C10">
            <w:rPr>
              <w:szCs w:val="22"/>
            </w:rPr>
            <w:t>Het voorstel regelt:</w:t>
          </w:r>
        </w:p>
        <w:p w:rsidR="000F4212" w:rsidP="009B52DC" w:rsidRDefault="000F4212" w14:paraId="30AD4185" w14:textId="63E6453F">
          <w:pPr>
            <w:pStyle w:val="Lijstalinea"/>
            <w:numPr>
              <w:ilvl w:val="0"/>
              <w:numId w:val="12"/>
            </w:numPr>
            <w:ind w:left="284" w:hanging="284"/>
            <w:rPr>
              <w:szCs w:val="22"/>
            </w:rPr>
          </w:pPr>
          <w:r w:rsidRPr="009B52DC">
            <w:rPr>
              <w:szCs w:val="22"/>
            </w:rPr>
            <w:t xml:space="preserve">de invoering van de mogelijkheid om een </w:t>
          </w:r>
          <w:r w:rsidRPr="009B52DC">
            <w:rPr>
              <w:i/>
              <w:iCs/>
              <w:szCs w:val="22"/>
            </w:rPr>
            <w:t>fixusmaatregel</w:t>
          </w:r>
          <w:r w:rsidRPr="009B52DC">
            <w:rPr>
              <w:szCs w:val="22"/>
            </w:rPr>
            <w:t xml:space="preserve"> toe te passen op enkel een traject</w:t>
          </w:r>
          <w:r w:rsidRPr="00FD3C10">
            <w:rPr>
              <w:szCs w:val="22"/>
              <w:vertAlign w:val="superscript"/>
            </w:rPr>
            <w:footnoteReference w:id="5"/>
          </w:r>
          <w:r w:rsidRPr="009B52DC">
            <w:rPr>
              <w:szCs w:val="22"/>
            </w:rPr>
            <w:t xml:space="preserve"> binnen een opleiding, en de ruimte te bieden om binnen een capaciteitsfixus een maxim</w:t>
          </w:r>
          <w:r w:rsidRPr="009B52DC" w:rsidR="00980972">
            <w:rPr>
              <w:szCs w:val="22"/>
            </w:rPr>
            <w:t>um</w:t>
          </w:r>
          <w:r w:rsidRPr="009B52DC">
            <w:rPr>
              <w:szCs w:val="22"/>
            </w:rPr>
            <w:t xml:space="preserve"> aantal plaatsen voor niet-EER-studenten</w:t>
          </w:r>
          <w:r w:rsidRPr="00FD3C10">
            <w:rPr>
              <w:szCs w:val="22"/>
              <w:vertAlign w:val="superscript"/>
            </w:rPr>
            <w:footnoteReference w:id="6"/>
          </w:r>
          <w:r w:rsidRPr="009B52DC">
            <w:rPr>
              <w:szCs w:val="22"/>
            </w:rPr>
            <w:t xml:space="preserve"> vast te stellen.</w:t>
          </w:r>
          <w:r w:rsidRPr="00FD3C10">
            <w:rPr>
              <w:rStyle w:val="Voetnootmarkering"/>
              <w:szCs w:val="22"/>
            </w:rPr>
            <w:footnoteReference w:id="7"/>
          </w:r>
          <w:r w:rsidRPr="009B52DC">
            <w:rPr>
              <w:szCs w:val="22"/>
            </w:rPr>
            <w:t xml:space="preserve"> Ook geeft het voorstel instellingen de bevoegdheid om bij een onverwachte en grote groei van het aantal aanmeldingen eenmalig een noodfixus in te stellen.</w:t>
          </w:r>
          <w:r w:rsidRPr="00FD3C10">
            <w:rPr>
              <w:rStyle w:val="Voetnootmarkering"/>
              <w:szCs w:val="22"/>
            </w:rPr>
            <w:footnoteReference w:id="8"/>
          </w:r>
          <w:r w:rsidRPr="009B52DC">
            <w:rPr>
              <w:szCs w:val="22"/>
            </w:rPr>
            <w:t xml:space="preserve"> Instellingen krijgen hiermee meer mogelijkheden om gerichter te sturen op de instroom van </w:t>
          </w:r>
          <w:r w:rsidR="00D83626">
            <w:rPr>
              <w:szCs w:val="22"/>
            </w:rPr>
            <w:t>internationale</w:t>
          </w:r>
          <w:r w:rsidRPr="009B52DC">
            <w:rPr>
              <w:szCs w:val="22"/>
            </w:rPr>
            <w:t xml:space="preserve"> studenten en d</w:t>
          </w:r>
          <w:r w:rsidRPr="009B52DC" w:rsidR="00975770">
            <w:rPr>
              <w:szCs w:val="22"/>
            </w:rPr>
            <w:t>us op d</w:t>
          </w:r>
          <w:r w:rsidRPr="009B52DC">
            <w:rPr>
              <w:szCs w:val="22"/>
            </w:rPr>
            <w:t>e samenstelling van de studentenpopulatie</w:t>
          </w:r>
          <w:r w:rsidR="00CA1C73">
            <w:rPr>
              <w:szCs w:val="22"/>
            </w:rPr>
            <w:t>.</w:t>
          </w:r>
        </w:p>
        <w:p w:rsidR="00CA1C73" w:rsidP="00FC3D5B" w:rsidRDefault="00CA1C73" w14:paraId="2D71D1DA" w14:textId="77777777">
          <w:pPr>
            <w:pStyle w:val="Lijstalinea"/>
            <w:ind w:left="284"/>
            <w:rPr>
              <w:szCs w:val="22"/>
            </w:rPr>
          </w:pPr>
        </w:p>
        <w:p w:rsidR="000F4212" w:rsidP="000F4212" w:rsidRDefault="000F4212" w14:paraId="01B74C5C" w14:textId="3F870D3D">
          <w:pPr>
            <w:pStyle w:val="Lijstalinea"/>
            <w:numPr>
              <w:ilvl w:val="0"/>
              <w:numId w:val="12"/>
            </w:numPr>
            <w:ind w:left="284" w:hanging="284"/>
            <w:rPr>
              <w:szCs w:val="22"/>
            </w:rPr>
          </w:pPr>
          <w:r w:rsidRPr="00CA1C73">
            <w:rPr>
              <w:szCs w:val="22"/>
            </w:rPr>
            <w:t xml:space="preserve">de toetsing door de minister van OCW van de </w:t>
          </w:r>
          <w:r w:rsidRPr="00CA1C73">
            <w:rPr>
              <w:i/>
              <w:iCs/>
              <w:szCs w:val="22"/>
            </w:rPr>
            <w:t>(macro)doelmatigheid,</w:t>
          </w:r>
          <w:r w:rsidRPr="00CA1C73">
            <w:rPr>
              <w:i/>
              <w:szCs w:val="22"/>
            </w:rPr>
            <w:t xml:space="preserve"> zowel van nieuw als van bestaand anderstalig aanbod</w:t>
          </w:r>
          <w:r w:rsidRPr="00CA1C73">
            <w:rPr>
              <w:szCs w:val="22"/>
            </w:rPr>
            <w:t>.</w:t>
          </w:r>
          <w:r w:rsidRPr="00FD3C10">
            <w:rPr>
              <w:rStyle w:val="Voetnootmarkering"/>
              <w:szCs w:val="22"/>
            </w:rPr>
            <w:footnoteReference w:id="9"/>
          </w:r>
          <w:r w:rsidRPr="00CA1C73">
            <w:rPr>
              <w:szCs w:val="22"/>
            </w:rPr>
            <w:t xml:space="preserve"> De minister laat zich </w:t>
          </w:r>
          <w:r w:rsidRPr="00CA1C73" w:rsidR="002D1641">
            <w:rPr>
              <w:szCs w:val="22"/>
            </w:rPr>
            <w:t>bij het al dan niet verlenen van instemming</w:t>
          </w:r>
          <w:r w:rsidRPr="00CA1C73">
            <w:rPr>
              <w:szCs w:val="22"/>
            </w:rPr>
            <w:t xml:space="preserve"> adviseren door de Commissie Doelmatigheid Hoger Onderwijs (CDHO). Uit de toelichting blijkt dat het de sterke voorkeur heeft dat de instellingen met elkaar de anderstalige opleidingen en trajecten inventariseren</w:t>
          </w:r>
          <w:r w:rsidR="001573FE">
            <w:rPr>
              <w:szCs w:val="22"/>
            </w:rPr>
            <w:t>.</w:t>
          </w:r>
          <w:r w:rsidRPr="00CA1C73">
            <w:rPr>
              <w:szCs w:val="22"/>
            </w:rPr>
            <w:t xml:space="preserve"> </w:t>
          </w:r>
          <w:r w:rsidR="00F77C38">
            <w:rPr>
              <w:szCs w:val="22"/>
            </w:rPr>
            <w:t xml:space="preserve">Die </w:t>
          </w:r>
          <w:r w:rsidR="00C51F0E">
            <w:rPr>
              <w:szCs w:val="22"/>
            </w:rPr>
            <w:t>worden vervolgens</w:t>
          </w:r>
          <w:r w:rsidRPr="00CA1C73">
            <w:rPr>
              <w:szCs w:val="22"/>
            </w:rPr>
            <w:t xml:space="preserve"> aan de hand van een aantal wettelijke criteria</w:t>
          </w:r>
          <w:r w:rsidR="00C51F0E">
            <w:rPr>
              <w:rStyle w:val="Voetnootmarkering"/>
              <w:szCs w:val="22"/>
            </w:rPr>
            <w:footnoteReference w:id="10"/>
          </w:r>
          <w:r w:rsidRPr="00CA1C73">
            <w:rPr>
              <w:szCs w:val="22"/>
            </w:rPr>
            <w:t xml:space="preserve"> </w:t>
          </w:r>
          <w:r w:rsidR="00C51F0E">
            <w:rPr>
              <w:szCs w:val="22"/>
            </w:rPr>
            <w:t xml:space="preserve">worden </w:t>
          </w:r>
          <w:r w:rsidRPr="00CA1C73">
            <w:rPr>
              <w:szCs w:val="22"/>
            </w:rPr>
            <w:t>beoorde</w:t>
          </w:r>
          <w:r w:rsidR="00C51F0E">
            <w:rPr>
              <w:szCs w:val="22"/>
            </w:rPr>
            <w:t>e</w:t>
          </w:r>
          <w:r w:rsidRPr="00CA1C73">
            <w:rPr>
              <w:szCs w:val="22"/>
            </w:rPr>
            <w:t>l</w:t>
          </w:r>
          <w:r w:rsidR="00C51F0E">
            <w:rPr>
              <w:szCs w:val="22"/>
            </w:rPr>
            <w:t>d</w:t>
          </w:r>
          <w:r w:rsidRPr="00CA1C73">
            <w:rPr>
              <w:szCs w:val="22"/>
            </w:rPr>
            <w:t xml:space="preserve"> in hoeverre het bestaande anderstalige aanbod doelmatig is </w:t>
          </w:r>
          <w:r w:rsidRPr="00CA1C73">
            <w:rPr>
              <w:i/>
              <w:iCs/>
              <w:szCs w:val="22"/>
            </w:rPr>
            <w:t>(zelfregie</w:t>
          </w:r>
          <w:r w:rsidRPr="00CA1C73">
            <w:rPr>
              <w:szCs w:val="22"/>
            </w:rPr>
            <w:t>)</w:t>
          </w:r>
          <w:r w:rsidR="0055606C">
            <w:rPr>
              <w:szCs w:val="22"/>
            </w:rPr>
            <w:t>.</w:t>
          </w:r>
          <w:r w:rsidRPr="00CA1C73">
            <w:rPr>
              <w:szCs w:val="22"/>
            </w:rPr>
            <w:t xml:space="preserve"> </w:t>
          </w:r>
          <w:r w:rsidR="0055606C">
            <w:rPr>
              <w:szCs w:val="22"/>
            </w:rPr>
            <w:t>D</w:t>
          </w:r>
          <w:r w:rsidRPr="00CA1C73">
            <w:rPr>
              <w:szCs w:val="22"/>
            </w:rPr>
            <w:t xml:space="preserve">aarna </w:t>
          </w:r>
          <w:r w:rsidR="0055606C">
            <w:rPr>
              <w:szCs w:val="22"/>
            </w:rPr>
            <w:t xml:space="preserve">neemt </w:t>
          </w:r>
          <w:r w:rsidRPr="00CA1C73">
            <w:rPr>
              <w:szCs w:val="22"/>
            </w:rPr>
            <w:t>de minister op</w:t>
          </w:r>
          <w:r w:rsidRPr="00CA1C73" w:rsidR="00965AA9">
            <w:rPr>
              <w:szCs w:val="22"/>
            </w:rPr>
            <w:t xml:space="preserve"> de</w:t>
          </w:r>
          <w:r w:rsidRPr="00CA1C73">
            <w:rPr>
              <w:szCs w:val="22"/>
            </w:rPr>
            <w:t xml:space="preserve"> gezamenlijke </w:t>
          </w:r>
          <w:r w:rsidRPr="00CA1C73" w:rsidR="006707D9">
            <w:rPr>
              <w:szCs w:val="22"/>
            </w:rPr>
            <w:t>cluster</w:t>
          </w:r>
          <w:r w:rsidRPr="00CA1C73">
            <w:rPr>
              <w:szCs w:val="22"/>
            </w:rPr>
            <w:t>aanvragen van de instellingen een besluit tot al dan niet instemmen met (voortzetting van) de opleidingen en trajecten.</w:t>
          </w:r>
          <w:r w:rsidRPr="00FD3C10">
            <w:rPr>
              <w:rStyle w:val="Voetnootmarkering"/>
              <w:szCs w:val="22"/>
            </w:rPr>
            <w:footnoteReference w:id="11"/>
          </w:r>
          <w:r w:rsidRPr="00CA1C73">
            <w:rPr>
              <w:szCs w:val="22"/>
            </w:rPr>
            <w:t xml:space="preserve"> De minister wordt daarnaast bevoegd om de verleende </w:t>
          </w:r>
          <w:r w:rsidRPr="00CA1C73" w:rsidR="002D1641">
            <w:rPr>
              <w:szCs w:val="22"/>
            </w:rPr>
            <w:t>in</w:t>
          </w:r>
          <w:r w:rsidRPr="00CA1C73">
            <w:rPr>
              <w:szCs w:val="22"/>
            </w:rPr>
            <w:t>stemming voor anderstalig onderwijs in te trekken of hier voorwaarden aan te verbinden.</w:t>
          </w:r>
          <w:r w:rsidRPr="00FD3C10">
            <w:rPr>
              <w:rStyle w:val="Voetnootmarkering"/>
              <w:szCs w:val="22"/>
            </w:rPr>
            <w:footnoteReference w:id="12"/>
          </w:r>
          <w:bookmarkStart w:name="_Hlk161784590" w:id="4"/>
        </w:p>
        <w:p w:rsidRPr="00CA1C73" w:rsidR="00CA1C73" w:rsidP="00FC3D5B" w:rsidRDefault="00CA1C73" w14:paraId="1BD978AC" w14:textId="77777777">
          <w:pPr>
            <w:rPr>
              <w:szCs w:val="22"/>
            </w:rPr>
          </w:pPr>
        </w:p>
        <w:bookmarkEnd w:id="4"/>
        <w:p w:rsidRPr="00CA1C73" w:rsidR="000F4212" w:rsidP="00FC3D5B" w:rsidRDefault="000F4212" w14:paraId="6FF90C02" w14:textId="6DBEDD3E">
          <w:pPr>
            <w:pStyle w:val="Lijstalinea"/>
            <w:numPr>
              <w:ilvl w:val="0"/>
              <w:numId w:val="12"/>
            </w:numPr>
            <w:ind w:left="284" w:hanging="284"/>
            <w:rPr>
              <w:szCs w:val="22"/>
            </w:rPr>
          </w:pPr>
          <w:r w:rsidRPr="00CA1C73">
            <w:rPr>
              <w:szCs w:val="22"/>
            </w:rPr>
            <w:t>de modernisering van het </w:t>
          </w:r>
          <w:r w:rsidRPr="00CA1C73">
            <w:rPr>
              <w:i/>
              <w:iCs/>
              <w:szCs w:val="22"/>
            </w:rPr>
            <w:t xml:space="preserve">taalbeleid </w:t>
          </w:r>
          <w:r w:rsidRPr="00CA1C73">
            <w:rPr>
              <w:szCs w:val="22"/>
            </w:rPr>
            <w:t xml:space="preserve">van instellingen voor hoger onderwijs. Ten aanzien van de </w:t>
          </w:r>
          <w:r w:rsidRPr="00CA1C73">
            <w:rPr>
              <w:i/>
              <w:iCs/>
              <w:szCs w:val="22"/>
            </w:rPr>
            <w:t>onderwijstaal</w:t>
          </w:r>
          <w:r w:rsidRPr="00CA1C73">
            <w:rPr>
              <w:szCs w:val="22"/>
            </w:rPr>
            <w:t xml:space="preserve"> komt er in zoverre meer ruimte om anderstalig onderwijs te verzorgen, dat het uitgangspunt dat opleidingen in beginsel in het Nederlands worden verzorgd wordt beperkt tot associate degree- en bacheloropleidingen en -trajecten</w:t>
          </w:r>
          <w:r w:rsidR="00106675">
            <w:rPr>
              <w:szCs w:val="22"/>
            </w:rPr>
            <w:t>.</w:t>
          </w:r>
          <w:r>
            <w:rPr>
              <w:rStyle w:val="Voetnootmarkering"/>
              <w:szCs w:val="22"/>
            </w:rPr>
            <w:footnoteReference w:id="13"/>
          </w:r>
          <w:r w:rsidRPr="00CA1C73">
            <w:rPr>
              <w:szCs w:val="22"/>
            </w:rPr>
            <w:t xml:space="preserve"> </w:t>
          </w:r>
          <w:r w:rsidR="00106675">
            <w:rPr>
              <w:szCs w:val="22"/>
            </w:rPr>
            <w:t>D</w:t>
          </w:r>
          <w:r w:rsidRPr="00CA1C73">
            <w:rPr>
              <w:szCs w:val="22"/>
            </w:rPr>
            <w:t xml:space="preserve">it uitgangspunt </w:t>
          </w:r>
          <w:r w:rsidR="00106675">
            <w:rPr>
              <w:szCs w:val="22"/>
            </w:rPr>
            <w:t>zal</w:t>
          </w:r>
          <w:r w:rsidRPr="00CA1C73">
            <w:rPr>
              <w:szCs w:val="22"/>
            </w:rPr>
            <w:t xml:space="preserve"> niet meer voor masteropleidingen gelden.</w:t>
          </w:r>
          <w:bookmarkStart w:name="_Hlk162612624" w:id="5"/>
          <w:r w:rsidRPr="00CA1C73">
            <w:rPr>
              <w:szCs w:val="22"/>
            </w:rPr>
            <w:t xml:space="preserve"> De verplichting tot bevordering van de </w:t>
          </w:r>
          <w:r w:rsidRPr="00CA1C73">
            <w:rPr>
              <w:i/>
              <w:iCs/>
              <w:szCs w:val="22"/>
            </w:rPr>
            <w:t>Nederlandse taalvaardigheid</w:t>
          </w:r>
          <w:r w:rsidRPr="00CA1C73">
            <w:rPr>
              <w:szCs w:val="22"/>
            </w:rPr>
            <w:t xml:space="preserve"> van Nederlandse studenten wordt geconcretiseerd en uitgebreid tot alle – ook anderstalige – studenten, mede om de blijfkans</w:t>
          </w:r>
          <w:r>
            <w:rPr>
              <w:rStyle w:val="Voetnootmarkering"/>
              <w:szCs w:val="22"/>
            </w:rPr>
            <w:footnoteReference w:id="14"/>
          </w:r>
          <w:r w:rsidRPr="00CA1C73">
            <w:rPr>
              <w:szCs w:val="22"/>
            </w:rPr>
            <w:t xml:space="preserve"> van internationale afgestudeerden te vergroten.</w:t>
          </w:r>
          <w:r w:rsidRPr="00FD3C10">
            <w:rPr>
              <w:rStyle w:val="Voetnootmarkering"/>
              <w:szCs w:val="22"/>
            </w:rPr>
            <w:footnoteReference w:id="15"/>
          </w:r>
          <w:r w:rsidRPr="00CA1C73">
            <w:rPr>
              <w:szCs w:val="22"/>
            </w:rPr>
            <w:t xml:space="preserve"> </w:t>
          </w:r>
        </w:p>
        <w:bookmarkEnd w:id="5"/>
        <w:p w:rsidRPr="00FD3C10" w:rsidR="000F4212" w:rsidP="000F4212" w:rsidRDefault="000F4212" w14:paraId="404E9779" w14:textId="77777777">
          <w:pPr>
            <w:rPr>
              <w:szCs w:val="22"/>
            </w:rPr>
          </w:pPr>
        </w:p>
        <w:p w:rsidRPr="00FD3C10" w:rsidR="000F4212" w:rsidP="000F4212" w:rsidRDefault="000F4212" w14:paraId="2215D959" w14:textId="4B41B175">
          <w:pPr>
            <w:rPr>
              <w:szCs w:val="22"/>
            </w:rPr>
          </w:pPr>
          <w:r w:rsidRPr="00FD3C10">
            <w:rPr>
              <w:szCs w:val="22"/>
            </w:rPr>
            <w:t>Daarnaast voorziet het voorstel in een wijziging van de Wet referentieniveaus Nederlandse taal en rekenen</w:t>
          </w:r>
          <w:r w:rsidR="00DC0D2D">
            <w:rPr>
              <w:szCs w:val="22"/>
            </w:rPr>
            <w:t>.</w:t>
          </w:r>
          <w:r w:rsidRPr="00FD3C10">
            <w:rPr>
              <w:szCs w:val="22"/>
            </w:rPr>
            <w:t xml:space="preserve"> </w:t>
          </w:r>
          <w:r w:rsidR="00DC0D2D">
            <w:rPr>
              <w:szCs w:val="22"/>
            </w:rPr>
            <w:t>H</w:t>
          </w:r>
          <w:r w:rsidRPr="00FD3C10">
            <w:rPr>
              <w:szCs w:val="22"/>
            </w:rPr>
            <w:t xml:space="preserve">et doel </w:t>
          </w:r>
          <w:r w:rsidR="00DC0D2D">
            <w:rPr>
              <w:szCs w:val="22"/>
            </w:rPr>
            <w:t xml:space="preserve">hiervan is </w:t>
          </w:r>
          <w:r w:rsidRPr="00FD3C10">
            <w:rPr>
              <w:szCs w:val="22"/>
            </w:rPr>
            <w:t xml:space="preserve">een grondslag te bieden voor een </w:t>
          </w:r>
          <w:r w:rsidR="00625316">
            <w:rPr>
              <w:szCs w:val="22"/>
            </w:rPr>
            <w:t>zogenoemde</w:t>
          </w:r>
          <w:r w:rsidRPr="00FD3C10" w:rsidR="00625316">
            <w:rPr>
              <w:szCs w:val="22"/>
            </w:rPr>
            <w:t xml:space="preserve"> </w:t>
          </w:r>
          <w:r w:rsidRPr="00FD3C10">
            <w:rPr>
              <w:szCs w:val="22"/>
            </w:rPr>
            <w:t>omkeerregeling in het mbo.</w:t>
          </w:r>
          <w:r w:rsidRPr="00FD3C10">
            <w:rPr>
              <w:rStyle w:val="Voetnootmarkering"/>
              <w:szCs w:val="22"/>
            </w:rPr>
            <w:footnoteReference w:id="16"/>
          </w:r>
          <w:r w:rsidRPr="00FD3C10">
            <w:rPr>
              <w:szCs w:val="22"/>
            </w:rPr>
            <w:t xml:space="preserve"> Hierdoor wordt het voor internationale studenten mogelijk om een lager niveau voor Nederlands te compenseren met een hoger niveau in een andere taal. </w:t>
          </w:r>
        </w:p>
        <w:p w:rsidRPr="00FD3C10" w:rsidR="000F4212" w:rsidP="000F4212" w:rsidRDefault="000F4212" w14:paraId="3B3FDD62" w14:textId="77777777">
          <w:pPr>
            <w:rPr>
              <w:szCs w:val="22"/>
            </w:rPr>
          </w:pPr>
        </w:p>
        <w:p w:rsidRPr="00FD3C10" w:rsidR="000F4212" w:rsidP="000F4212" w:rsidRDefault="000F4212" w14:paraId="1C1CDF55" w14:textId="77777777">
          <w:pPr>
            <w:rPr>
              <w:szCs w:val="22"/>
              <w:u w:val="single"/>
            </w:rPr>
          </w:pPr>
          <w:r w:rsidRPr="00FD3C10">
            <w:rPr>
              <w:szCs w:val="22"/>
            </w:rPr>
            <w:t xml:space="preserve">2. </w:t>
          </w:r>
          <w:r w:rsidRPr="00FD3C10">
            <w:rPr>
              <w:szCs w:val="22"/>
            </w:rPr>
            <w:tab/>
          </w:r>
          <w:r w:rsidRPr="00FD3C10">
            <w:rPr>
              <w:szCs w:val="22"/>
              <w:u w:val="single"/>
            </w:rPr>
            <w:t>Aanleiding en achtergrond</w:t>
          </w:r>
        </w:p>
        <w:p w:rsidRPr="00FD3C10" w:rsidR="000F4212" w:rsidP="000F4212" w:rsidRDefault="000F4212" w14:paraId="1AB0747B" w14:textId="77777777">
          <w:pPr>
            <w:rPr>
              <w:szCs w:val="22"/>
            </w:rPr>
          </w:pPr>
        </w:p>
        <w:p w:rsidR="00E5569E" w:rsidP="000F4212" w:rsidRDefault="000F4212" w14:paraId="694E9529" w14:textId="77777777">
          <w:pPr>
            <w:rPr>
              <w:szCs w:val="22"/>
            </w:rPr>
          </w:pPr>
          <w:r w:rsidRPr="00FD3C10">
            <w:rPr>
              <w:szCs w:val="22"/>
            </w:rPr>
            <w:t>Vanaf de start van het Bologna-proces (1999) en de Europese Hoger Onderwijsruimte hebben opeenvolgende kabinetten ingezet op een stimulering van de studentmobiliteit en uitwisseling tussen hoger onderwijsstelsels.</w:t>
          </w:r>
          <w:r w:rsidRPr="00FD3C10">
            <w:rPr>
              <w:szCs w:val="22"/>
              <w:vertAlign w:val="superscript"/>
            </w:rPr>
            <w:footnoteReference w:id="17"/>
          </w:r>
          <w:r w:rsidRPr="00FD3C10">
            <w:rPr>
              <w:szCs w:val="22"/>
            </w:rPr>
            <w:t xml:space="preserve"> Aan de keuze om internationalisering te stimuleren liggen verschillende redenen ten grondslag. Internationalisering draagt eraan bij dat Nederland, als land met een kenniseconomie, internationaal talent kan aantrekken en aan zich kan binden en de economische infrastructuur kan versterken door een gunstig klimaat voor innovatie en ondernemerschap te scheppen. In relatie tot de arbeidsmarkt is internationalisering van belang vanwege de grensoverschrijdende concurrentie om schaars talent, met name voor tekortsectoren als techniek en ICT</w:t>
          </w:r>
          <w:r>
            <w:rPr>
              <w:szCs w:val="22"/>
            </w:rPr>
            <w:t xml:space="preserve">. </w:t>
          </w:r>
        </w:p>
        <w:p w:rsidR="00E5569E" w:rsidP="000F4212" w:rsidRDefault="00E5569E" w14:paraId="21A321F4" w14:textId="77777777">
          <w:pPr>
            <w:rPr>
              <w:szCs w:val="22"/>
            </w:rPr>
          </w:pPr>
        </w:p>
        <w:p w:rsidRPr="00FD3C10" w:rsidR="000F4212" w:rsidP="000F4212" w:rsidRDefault="000F4212" w14:paraId="7E7159C9" w14:textId="63D5948B">
          <w:pPr>
            <w:rPr>
              <w:szCs w:val="22"/>
            </w:rPr>
          </w:pPr>
          <w:r>
            <w:rPr>
              <w:szCs w:val="22"/>
            </w:rPr>
            <w:t>Daarbij kan internationalisering</w:t>
          </w:r>
          <w:r w:rsidRPr="00FD3C10">
            <w:rPr>
              <w:szCs w:val="22"/>
            </w:rPr>
            <w:t xml:space="preserve"> ook een deel van het antwoord vormen op de problemen </w:t>
          </w:r>
          <w:r>
            <w:rPr>
              <w:szCs w:val="22"/>
            </w:rPr>
            <w:t>van</w:t>
          </w:r>
          <w:r w:rsidRPr="00FD3C10">
            <w:rPr>
              <w:szCs w:val="22"/>
            </w:rPr>
            <w:t xml:space="preserve"> </w:t>
          </w:r>
          <w:r>
            <w:rPr>
              <w:szCs w:val="22"/>
            </w:rPr>
            <w:t xml:space="preserve">ontgroening en </w:t>
          </w:r>
          <w:r w:rsidRPr="00FD3C10">
            <w:rPr>
              <w:szCs w:val="22"/>
            </w:rPr>
            <w:t xml:space="preserve">vergrijzing en de daarmee samenhangende vermindering van </w:t>
          </w:r>
          <w:r w:rsidR="009378AC">
            <w:rPr>
              <w:szCs w:val="22"/>
            </w:rPr>
            <w:t xml:space="preserve">het </w:t>
          </w:r>
          <w:r>
            <w:rPr>
              <w:szCs w:val="22"/>
            </w:rPr>
            <w:t>Nederlands</w:t>
          </w:r>
          <w:r w:rsidR="00B40CB3">
            <w:rPr>
              <w:szCs w:val="22"/>
            </w:rPr>
            <w:t>e</w:t>
          </w:r>
          <w:r>
            <w:rPr>
              <w:szCs w:val="22"/>
            </w:rPr>
            <w:t xml:space="preserve"> </w:t>
          </w:r>
          <w:r w:rsidRPr="00FD3C10">
            <w:rPr>
              <w:szCs w:val="22"/>
            </w:rPr>
            <w:t xml:space="preserve">arbeidsaanbod. Internationalisering is </w:t>
          </w:r>
          <w:r>
            <w:rPr>
              <w:szCs w:val="22"/>
            </w:rPr>
            <w:t xml:space="preserve">verder </w:t>
          </w:r>
          <w:r w:rsidRPr="00FD3C10">
            <w:rPr>
              <w:szCs w:val="22"/>
            </w:rPr>
            <w:t>van belang om de kwaliteit van het hoger onderwijs te waarborgen en aansluiting te houden bij de top van de internationale wetenschap</w:t>
          </w:r>
          <w:r w:rsidR="005B7C99">
            <w:rPr>
              <w:szCs w:val="22"/>
            </w:rPr>
            <w:t>.</w:t>
          </w:r>
          <w:r w:rsidR="00CE4457">
            <w:rPr>
              <w:szCs w:val="22"/>
            </w:rPr>
            <w:t xml:space="preserve"> </w:t>
          </w:r>
          <w:r w:rsidR="005B7C99">
            <w:rPr>
              <w:szCs w:val="22"/>
            </w:rPr>
            <w:t xml:space="preserve">Dat is </w:t>
          </w:r>
          <w:r w:rsidR="00130F74">
            <w:rPr>
              <w:szCs w:val="22"/>
            </w:rPr>
            <w:t xml:space="preserve">ook in het belang van de Nederlandse studenten. </w:t>
          </w:r>
          <w:r w:rsidRPr="00FD3C10">
            <w:rPr>
              <w:szCs w:val="22"/>
            </w:rPr>
            <w:t>Ten slotte leidt de instroom van buitenlandse studenten tot extra inkomsten voor het hoger onderwijs en tot verhoging van het bruto nationaal product.</w:t>
          </w:r>
          <w:r w:rsidRPr="00FD3C10">
            <w:rPr>
              <w:rStyle w:val="Voetnootmarkering"/>
              <w:szCs w:val="22"/>
            </w:rPr>
            <w:footnoteReference w:id="18"/>
          </w:r>
        </w:p>
        <w:p w:rsidRPr="00FD3C10" w:rsidR="000F4212" w:rsidP="000F4212" w:rsidRDefault="000F4212" w14:paraId="5D8E82AE" w14:textId="77777777">
          <w:pPr>
            <w:rPr>
              <w:szCs w:val="22"/>
            </w:rPr>
          </w:pPr>
        </w:p>
        <w:p w:rsidRPr="00FD3C10" w:rsidR="000F4212" w:rsidP="000F4212" w:rsidRDefault="000F4212" w14:paraId="3F38476B" w14:textId="1E276938">
          <w:pPr>
            <w:rPr>
              <w:szCs w:val="22"/>
            </w:rPr>
          </w:pPr>
          <w:r w:rsidRPr="00FD3C10">
            <w:rPr>
              <w:szCs w:val="22"/>
            </w:rPr>
            <w:t>Inmiddels heeft de internationalisering in het hoger onderwijs een hoge vlucht genomen.</w:t>
          </w:r>
          <w:r w:rsidR="00D56FD6">
            <w:rPr>
              <w:rStyle w:val="Voetnootmarkering"/>
              <w:szCs w:val="22"/>
            </w:rPr>
            <w:footnoteReference w:id="19"/>
          </w:r>
          <w:r w:rsidRPr="00FD3C10">
            <w:rPr>
              <w:szCs w:val="22"/>
            </w:rPr>
            <w:t xml:space="preserve"> Sinds 2015 is het totale aantal studenten van circa 700.000 naar bijna 820.000 gegroeid (2023). Deze groei is vooral toe te schrijven aan de grote stijging van het aantal internationale studenten in het wetenschappelijk onderwijs (wo).</w:t>
          </w:r>
          <w:r w:rsidRPr="00FD3C10">
            <w:rPr>
              <w:rStyle w:val="Voetnootmarkering"/>
              <w:szCs w:val="22"/>
            </w:rPr>
            <w:footnoteReference w:id="20"/>
          </w:r>
          <w:r w:rsidRPr="00FD3C10">
            <w:rPr>
              <w:szCs w:val="22"/>
            </w:rPr>
            <w:t xml:space="preserve"> Was in 2012 nog 14 procent van de nieuwe wo-bachelorstudenten afkomstig uit het buitenland, inmiddels is bijna 40 procent van de eerstejaars internationaal. In het hbo is de stijging in dezelfde periode een stuk kleiner (van 8 procent naar 12 procent).</w:t>
          </w:r>
        </w:p>
        <w:p w:rsidRPr="00FD3C10" w:rsidR="000F4212" w:rsidP="000F4212" w:rsidRDefault="000F4212" w14:paraId="6D18B786" w14:textId="77777777">
          <w:pPr>
            <w:rPr>
              <w:szCs w:val="22"/>
            </w:rPr>
          </w:pPr>
        </w:p>
        <w:p w:rsidRPr="00FD3C10" w:rsidR="000F4212" w:rsidP="000F4212" w:rsidRDefault="003F20A3" w14:paraId="68457FD8" w14:textId="4675E799">
          <w:pPr>
            <w:rPr>
              <w:szCs w:val="22"/>
            </w:rPr>
          </w:pPr>
          <w:r>
            <w:rPr>
              <w:szCs w:val="22"/>
            </w:rPr>
            <w:t>De</w:t>
          </w:r>
          <w:r w:rsidRPr="00FD3C10">
            <w:rPr>
              <w:szCs w:val="22"/>
            </w:rPr>
            <w:t xml:space="preserve"> </w:t>
          </w:r>
          <w:r w:rsidR="00DB0468">
            <w:rPr>
              <w:szCs w:val="22"/>
            </w:rPr>
            <w:t>internationalisering</w:t>
          </w:r>
          <w:r w:rsidRPr="00FD3C10" w:rsidR="000F4212">
            <w:rPr>
              <w:szCs w:val="22"/>
            </w:rPr>
            <w:t xml:space="preserve"> heeft er onder meer toe geleid dat in 2021 29 procent van de wo-bachelors en 78 procent van de wo-masters alleen in het Engels was te volgen en dat op dit moment een op de vier studenten in de wo-master uit het buitenland komt. Deze cijfers liggen ver boven het Europees gemiddelde. In het hbo wordt </w:t>
          </w:r>
          <w:r w:rsidR="000F4212">
            <w:rPr>
              <w:szCs w:val="22"/>
            </w:rPr>
            <w:t xml:space="preserve">nog </w:t>
          </w:r>
          <w:r w:rsidRPr="00FD3C10" w:rsidR="000F4212">
            <w:rPr>
              <w:szCs w:val="22"/>
            </w:rPr>
            <w:t xml:space="preserve">vooral Nederlandstalig onderwijs verzorgd. Op dit moment is het aandeel Engelstalige hbo-bacheloropleidingen </w:t>
          </w:r>
          <w:r w:rsidRPr="00FD3C10" w:rsidDel="007F4B81" w:rsidR="000F4212">
            <w:rPr>
              <w:szCs w:val="22"/>
            </w:rPr>
            <w:t>10</w:t>
          </w:r>
          <w:r w:rsidRPr="00FD3C10" w:rsidR="000F4212">
            <w:rPr>
              <w:szCs w:val="22"/>
            </w:rPr>
            <w:t xml:space="preserve"> procent en het aandeel Engelstalige hbo-masteropleidingen 25 procent.</w:t>
          </w:r>
          <w:r w:rsidRPr="00FD3C10" w:rsidR="000F4212">
            <w:rPr>
              <w:rStyle w:val="Voetnootmarkering"/>
              <w:szCs w:val="22"/>
            </w:rPr>
            <w:footnoteReference w:id="21"/>
          </w:r>
          <w:r w:rsidRPr="00FD3C10" w:rsidR="000F4212">
            <w:rPr>
              <w:szCs w:val="22"/>
            </w:rPr>
            <w:t xml:space="preserve"> </w:t>
          </w:r>
        </w:p>
        <w:p w:rsidRPr="00FD3C10" w:rsidR="000F4212" w:rsidP="000F4212" w:rsidRDefault="000F4212" w14:paraId="4D467E86" w14:textId="77777777">
          <w:pPr>
            <w:rPr>
              <w:szCs w:val="22"/>
            </w:rPr>
          </w:pPr>
        </w:p>
        <w:p w:rsidR="003F20A3" w:rsidP="000F4212" w:rsidRDefault="000F4212" w14:paraId="77BE67D5" w14:textId="7BA1837A">
          <w:pPr>
            <w:rPr>
              <w:szCs w:val="22"/>
            </w:rPr>
          </w:pPr>
          <w:r w:rsidRPr="00FD3C10">
            <w:rPr>
              <w:szCs w:val="22"/>
            </w:rPr>
            <w:t>De toenemende internationalisering van het hoger onderwijs kent niet alleen voordelen</w:t>
          </w:r>
          <w:r w:rsidR="0039149D">
            <w:rPr>
              <w:szCs w:val="22"/>
            </w:rPr>
            <w:t>,</w:t>
          </w:r>
          <w:r w:rsidRPr="00FD3C10">
            <w:rPr>
              <w:szCs w:val="22"/>
            </w:rPr>
            <w:t xml:space="preserve"> </w:t>
          </w:r>
          <w:r>
            <w:rPr>
              <w:szCs w:val="22"/>
            </w:rPr>
            <w:t>maar heeft ook nadelen en</w:t>
          </w:r>
          <w:r w:rsidRPr="00FD3C10">
            <w:rPr>
              <w:szCs w:val="22"/>
            </w:rPr>
            <w:t xml:space="preserve"> risico</w:t>
          </w:r>
          <w:r w:rsidR="00E544C5">
            <w:rPr>
              <w:szCs w:val="22"/>
            </w:rPr>
            <w:t>’</w:t>
          </w:r>
          <w:r w:rsidRPr="00FD3C10">
            <w:rPr>
              <w:szCs w:val="22"/>
            </w:rPr>
            <w:t xml:space="preserve">s uit een oogpunt van </w:t>
          </w:r>
          <w:r>
            <w:rPr>
              <w:szCs w:val="22"/>
            </w:rPr>
            <w:t xml:space="preserve">de </w:t>
          </w:r>
          <w:r w:rsidRPr="00FD3C10">
            <w:rPr>
              <w:szCs w:val="22"/>
            </w:rPr>
            <w:t xml:space="preserve">kwaliteit, toegankelijkheid en doelmatigheid van </w:t>
          </w:r>
          <w:r>
            <w:rPr>
              <w:szCs w:val="22"/>
            </w:rPr>
            <w:t xml:space="preserve">het </w:t>
          </w:r>
          <w:r w:rsidRPr="00FD3C10">
            <w:rPr>
              <w:szCs w:val="22"/>
            </w:rPr>
            <w:t xml:space="preserve">onderwijs. De instroom van buitenlandse studenten kan bij populaire opleidingen de onderwijskwaliteit onder druk zetten, vanwege gebrek aan capaciteit en hoge werkdruk voor docenten. Volgens de toelichting </w:t>
          </w:r>
          <w:r>
            <w:rPr>
              <w:szCs w:val="22"/>
            </w:rPr>
            <w:t xml:space="preserve">zijn </w:t>
          </w:r>
          <w:r w:rsidRPr="00FD3C10">
            <w:rPr>
              <w:szCs w:val="22"/>
            </w:rPr>
            <w:t xml:space="preserve">bij diverse instellingen inmiddels de </w:t>
          </w:r>
          <w:r>
            <w:rPr>
              <w:szCs w:val="22"/>
            </w:rPr>
            <w:t xml:space="preserve">grenzen </w:t>
          </w:r>
          <w:r w:rsidRPr="00FD3C10">
            <w:rPr>
              <w:szCs w:val="22"/>
            </w:rPr>
            <w:t xml:space="preserve">bereikt, </w:t>
          </w:r>
          <w:r w:rsidR="00E544C5">
            <w:rPr>
              <w:szCs w:val="22"/>
            </w:rPr>
            <w:t xml:space="preserve">vooral </w:t>
          </w:r>
          <w:r w:rsidRPr="00FD3C10">
            <w:rPr>
              <w:szCs w:val="22"/>
            </w:rPr>
            <w:t xml:space="preserve">op diverse locaties in het wo, bij verschillende instellingen en opleidingen. Daarnaast zijn er zorgen over de beheersing van de Nederlandse taal. </w:t>
          </w:r>
        </w:p>
        <w:p w:rsidR="003F20A3" w:rsidP="000F4212" w:rsidRDefault="003F20A3" w14:paraId="76D53A52" w14:textId="77777777">
          <w:pPr>
            <w:rPr>
              <w:szCs w:val="22"/>
            </w:rPr>
          </w:pPr>
        </w:p>
        <w:p w:rsidRPr="00FD3C10" w:rsidR="000F4212" w:rsidP="000F4212" w:rsidRDefault="000F4212" w14:paraId="2470BA97" w14:textId="6828A708">
          <w:pPr>
            <w:rPr>
              <w:szCs w:val="22"/>
            </w:rPr>
          </w:pPr>
          <w:r w:rsidRPr="00FD3C10">
            <w:rPr>
              <w:szCs w:val="22"/>
            </w:rPr>
            <w:t xml:space="preserve">Voorts zou de toegankelijkheid voor Nederlandse studenten in het gedrang kunnen komen bij bepaalde </w:t>
          </w:r>
          <w:r w:rsidR="00C57FE8">
            <w:rPr>
              <w:szCs w:val="22"/>
            </w:rPr>
            <w:t>anderstalige</w:t>
          </w:r>
          <w:r w:rsidRPr="00FD3C10" w:rsidR="00C57FE8">
            <w:rPr>
              <w:szCs w:val="22"/>
            </w:rPr>
            <w:t xml:space="preserve"> </w:t>
          </w:r>
          <w:r w:rsidRPr="00FD3C10">
            <w:rPr>
              <w:szCs w:val="22"/>
            </w:rPr>
            <w:t xml:space="preserve">opleidingen, en is het gebrek aan studentenhuisvesting in </w:t>
          </w:r>
          <w:r>
            <w:rPr>
              <w:szCs w:val="22"/>
            </w:rPr>
            <w:t>sommig</w:t>
          </w:r>
          <w:r w:rsidRPr="00FD3C10">
            <w:rPr>
              <w:szCs w:val="22"/>
            </w:rPr>
            <w:t xml:space="preserve">e steden problematisch (de meeste </w:t>
          </w:r>
          <w:r>
            <w:rPr>
              <w:szCs w:val="22"/>
            </w:rPr>
            <w:t>internationale</w:t>
          </w:r>
          <w:r w:rsidRPr="00FD3C10">
            <w:rPr>
              <w:szCs w:val="22"/>
            </w:rPr>
            <w:t xml:space="preserve"> studenten zijn in enkele steden geconcentreerd).</w:t>
          </w:r>
          <w:r>
            <w:rPr>
              <w:rStyle w:val="Voetnootmarkering"/>
              <w:szCs w:val="22"/>
            </w:rPr>
            <w:footnoteReference w:id="22"/>
          </w:r>
          <w:r w:rsidRPr="00FD3C10">
            <w:rPr>
              <w:szCs w:val="22"/>
            </w:rPr>
            <w:t xml:space="preserve"> Ten slotte staat de financiering van het hoger onderwijs onder druk. De instroom van EER-studenten </w:t>
          </w:r>
          <w:r w:rsidR="00B0320B">
            <w:rPr>
              <w:szCs w:val="22"/>
            </w:rPr>
            <w:t xml:space="preserve">is </w:t>
          </w:r>
          <w:r w:rsidRPr="00FD3C10">
            <w:rPr>
              <w:szCs w:val="22"/>
            </w:rPr>
            <w:t>elk jaar groter dan geraamd</w:t>
          </w:r>
          <w:r w:rsidR="002E26F7">
            <w:rPr>
              <w:szCs w:val="22"/>
            </w:rPr>
            <w:t>, terwijl</w:t>
          </w:r>
          <w:r w:rsidRPr="00FD3C10">
            <w:rPr>
              <w:szCs w:val="22"/>
            </w:rPr>
            <w:t xml:space="preserve"> de totale beschikbare middelen voor het hoger onderwijs vooraf in de Rijksbegroting worden opgenomen</w:t>
          </w:r>
          <w:r w:rsidR="002E26F7">
            <w:rPr>
              <w:szCs w:val="22"/>
            </w:rPr>
            <w:t>.</w:t>
          </w:r>
          <w:r w:rsidRPr="00FD3C10">
            <w:rPr>
              <w:szCs w:val="22"/>
            </w:rPr>
            <w:t xml:space="preserve"> </w:t>
          </w:r>
          <w:r w:rsidR="002E26F7">
            <w:rPr>
              <w:szCs w:val="22"/>
            </w:rPr>
            <w:t xml:space="preserve">Als gevolg daarvan </w:t>
          </w:r>
          <w:r w:rsidRPr="00FD3C10">
            <w:rPr>
              <w:szCs w:val="22"/>
            </w:rPr>
            <w:t>daalt de bekostiging per student</w:t>
          </w:r>
          <w:r>
            <w:rPr>
              <w:szCs w:val="22"/>
            </w:rPr>
            <w:t xml:space="preserve">, </w:t>
          </w:r>
          <w:r w:rsidRPr="00FD3C10">
            <w:rPr>
              <w:szCs w:val="22"/>
            </w:rPr>
            <w:t xml:space="preserve">terwijl de uitgaven toenemen. Volgens de toelichting is er inmiddels een gebrek aan financiële mogelijkheden om de groei </w:t>
          </w:r>
          <w:r>
            <w:rPr>
              <w:szCs w:val="22"/>
            </w:rPr>
            <w:t xml:space="preserve">van het aantal internationale studenten </w:t>
          </w:r>
          <w:r w:rsidRPr="00FD3C10">
            <w:rPr>
              <w:szCs w:val="22"/>
            </w:rPr>
            <w:t>nog langer te faciliteren.</w:t>
          </w:r>
          <w:r w:rsidRPr="00FD3C10">
            <w:rPr>
              <w:szCs w:val="22"/>
              <w:vertAlign w:val="superscript"/>
            </w:rPr>
            <w:footnoteReference w:id="23"/>
          </w:r>
          <w:r w:rsidRPr="00FD3C10">
            <w:rPr>
              <w:szCs w:val="22"/>
            </w:rPr>
            <w:t xml:space="preserve"> </w:t>
          </w:r>
        </w:p>
        <w:p w:rsidRPr="00FD3C10" w:rsidR="000F4212" w:rsidP="000F4212" w:rsidRDefault="000F4212" w14:paraId="13B2F984" w14:textId="77777777">
          <w:pPr>
            <w:rPr>
              <w:szCs w:val="22"/>
            </w:rPr>
          </w:pPr>
        </w:p>
        <w:p w:rsidRPr="00FD3C10" w:rsidR="000F4212" w:rsidP="000F4212" w:rsidRDefault="000F4212" w14:paraId="541AFB71" w14:textId="2B3B4D5B">
          <w:pPr>
            <w:rPr>
              <w:szCs w:val="22"/>
            </w:rPr>
          </w:pPr>
          <w:r w:rsidRPr="00FD3C10">
            <w:rPr>
              <w:szCs w:val="22"/>
            </w:rPr>
            <w:t>Tegen deze achtergrond introduceert het wetsvoorstel maatregelen die erop gericht zijn de instroom van internationale studenten in het hoger onderwijs te beheersen,</w:t>
          </w:r>
          <w:r w:rsidR="00BF31E4">
            <w:rPr>
              <w:rStyle w:val="Voetnootmarkering"/>
              <w:szCs w:val="22"/>
            </w:rPr>
            <w:footnoteReference w:id="24"/>
          </w:r>
          <w:r w:rsidRPr="00FD3C10">
            <w:rPr>
              <w:szCs w:val="22"/>
            </w:rPr>
            <w:t xml:space="preserve"> de doelmatigheid van het internationale onderwijsaanbod in het hoger onderwijs te vergroten</w:t>
          </w:r>
          <w:r w:rsidR="00BF31E4">
            <w:rPr>
              <w:rStyle w:val="Voetnootmarkering"/>
              <w:szCs w:val="22"/>
            </w:rPr>
            <w:footnoteReference w:id="25"/>
          </w:r>
          <w:r w:rsidRPr="00FD3C10">
            <w:rPr>
              <w:szCs w:val="22"/>
            </w:rPr>
            <w:t xml:space="preserve"> en het Nederlands als taal in het hoger onderwijs te behouden en te versterken</w:t>
          </w:r>
          <w:r w:rsidR="00BF31E4">
            <w:rPr>
              <w:rStyle w:val="Voetnootmarkering"/>
              <w:szCs w:val="22"/>
            </w:rPr>
            <w:footnoteReference w:id="26"/>
          </w:r>
          <w:r w:rsidRPr="00FD3C10">
            <w:rPr>
              <w:szCs w:val="22"/>
            </w:rPr>
            <w:t>.</w:t>
          </w:r>
        </w:p>
        <w:p w:rsidRPr="00FD3C10" w:rsidR="000F4212" w:rsidP="000F4212" w:rsidRDefault="000F4212" w14:paraId="2A2D0AA0" w14:textId="77777777">
          <w:pPr>
            <w:rPr>
              <w:szCs w:val="22"/>
            </w:rPr>
          </w:pPr>
          <w:r w:rsidRPr="00FD3C10">
            <w:rPr>
              <w:szCs w:val="22"/>
            </w:rPr>
            <w:t xml:space="preserve"> </w:t>
          </w:r>
        </w:p>
        <w:p w:rsidRPr="00FD3C10" w:rsidR="000F4212" w:rsidP="000F4212" w:rsidRDefault="000F4212" w14:paraId="1CFD572C" w14:textId="5A818F19">
          <w:pPr>
            <w:rPr>
              <w:szCs w:val="22"/>
            </w:rPr>
          </w:pPr>
          <w:r w:rsidRPr="00FD3C10">
            <w:rPr>
              <w:szCs w:val="22"/>
            </w:rPr>
            <w:t xml:space="preserve">Een deel van de maatregelen </w:t>
          </w:r>
          <w:r w:rsidR="00BF31E4">
            <w:rPr>
              <w:szCs w:val="22"/>
            </w:rPr>
            <w:t xml:space="preserve">is </w:t>
          </w:r>
          <w:r w:rsidRPr="00FD3C10">
            <w:rPr>
              <w:szCs w:val="22"/>
            </w:rPr>
            <w:t xml:space="preserve">reeds voorgesteld in het wetsvoorstel </w:t>
          </w:r>
          <w:r>
            <w:rPr>
              <w:szCs w:val="22"/>
            </w:rPr>
            <w:t>t</w:t>
          </w:r>
          <w:r w:rsidRPr="00FD3C10">
            <w:rPr>
              <w:szCs w:val="22"/>
            </w:rPr>
            <w:t xml:space="preserve">aal en </w:t>
          </w:r>
          <w:r>
            <w:rPr>
              <w:szCs w:val="22"/>
            </w:rPr>
            <w:t>t</w:t>
          </w:r>
          <w:r w:rsidRPr="00FD3C10">
            <w:rPr>
              <w:szCs w:val="22"/>
            </w:rPr>
            <w:t>oegankelijkheid.</w:t>
          </w:r>
          <w:r w:rsidRPr="00FD3C10">
            <w:rPr>
              <w:szCs w:val="22"/>
              <w:vertAlign w:val="superscript"/>
            </w:rPr>
            <w:footnoteReference w:id="27"/>
          </w:r>
          <w:r w:rsidRPr="00FD3C10">
            <w:rPr>
              <w:szCs w:val="22"/>
            </w:rPr>
            <w:t xml:space="preserve"> In de toelichting wordt de intrekking van dit wetsvoorstel aangekondigd.</w:t>
          </w:r>
          <w:r w:rsidRPr="00FD3C10">
            <w:rPr>
              <w:szCs w:val="22"/>
              <w:vertAlign w:val="superscript"/>
            </w:rPr>
            <w:footnoteReference w:id="28"/>
          </w:r>
          <w:r w:rsidRPr="00FD3C10">
            <w:rPr>
              <w:szCs w:val="22"/>
            </w:rPr>
            <w:t xml:space="preserve"> De reden hiervoor is dat het </w:t>
          </w:r>
          <w:r>
            <w:rPr>
              <w:szCs w:val="22"/>
            </w:rPr>
            <w:t xml:space="preserve">voorliggende voorstel van een Wet internationalisering in balans </w:t>
          </w:r>
          <w:r w:rsidRPr="00FD3C10">
            <w:rPr>
              <w:szCs w:val="22"/>
            </w:rPr>
            <w:t>instellingen enerzijds meer ruimte geeft om de internationale studentenstroom te beheersen</w:t>
          </w:r>
          <w:r w:rsidR="00BF31E4">
            <w:rPr>
              <w:szCs w:val="22"/>
            </w:rPr>
            <w:t>.</w:t>
          </w:r>
          <w:r w:rsidRPr="00FD3C10">
            <w:rPr>
              <w:szCs w:val="22"/>
            </w:rPr>
            <w:t xml:space="preserve"> </w:t>
          </w:r>
          <w:r w:rsidR="00BF31E4">
            <w:rPr>
              <w:szCs w:val="22"/>
            </w:rPr>
            <w:t>A</w:t>
          </w:r>
          <w:r w:rsidRPr="00FD3C10">
            <w:rPr>
              <w:szCs w:val="22"/>
            </w:rPr>
            <w:t>nderzijds</w:t>
          </w:r>
          <w:r w:rsidR="00D21CCE">
            <w:rPr>
              <w:szCs w:val="22"/>
            </w:rPr>
            <w:t xml:space="preserve"> verwacht het</w:t>
          </w:r>
          <w:r w:rsidR="002C7498">
            <w:rPr>
              <w:szCs w:val="22"/>
            </w:rPr>
            <w:t xml:space="preserve"> </w:t>
          </w:r>
          <w:r w:rsidRPr="00FD3C10">
            <w:rPr>
              <w:szCs w:val="22"/>
            </w:rPr>
            <w:t xml:space="preserve">van de instellingen grotere inspanningen op het terrein van het taalbeleid. Een wezenlijk verschil is </w:t>
          </w:r>
          <w:r>
            <w:rPr>
              <w:szCs w:val="22"/>
            </w:rPr>
            <w:t xml:space="preserve">daarbij </w:t>
          </w:r>
          <w:r w:rsidRPr="00FD3C10">
            <w:rPr>
              <w:szCs w:val="22"/>
            </w:rPr>
            <w:t>dat het criterium dat anderstalig onderwijs van meerwaarde moet zijn voor de student</w:t>
          </w:r>
          <w:r>
            <w:rPr>
              <w:szCs w:val="22"/>
            </w:rPr>
            <w:t xml:space="preserve"> </w:t>
          </w:r>
          <w:r w:rsidRPr="00FD3C10" w:rsidR="00D858A5">
            <w:rPr>
              <w:szCs w:val="22"/>
            </w:rPr>
            <w:t xml:space="preserve">niet meer </w:t>
          </w:r>
          <w:r>
            <w:rPr>
              <w:szCs w:val="22"/>
            </w:rPr>
            <w:t>leidend is</w:t>
          </w:r>
          <w:r w:rsidRPr="00FD3C10">
            <w:rPr>
              <w:szCs w:val="22"/>
            </w:rPr>
            <w:t>. In plaats daarvan wordt het gebruik van een andere taal dan het Nederlands gekoppeld aan doelmatigheidsargumenten. Daarmee stapt de regering over van het accentueren van de meerwaarde voor de student naar het redeneren vanuit de meerwaarde voor de samenleving, aldus de toelichting.</w:t>
          </w:r>
          <w:r w:rsidR="003B1ED2">
            <w:rPr>
              <w:rStyle w:val="Voetnootmarkering"/>
              <w:szCs w:val="22"/>
            </w:rPr>
            <w:footnoteReference w:id="29"/>
          </w:r>
        </w:p>
        <w:p w:rsidRPr="00FD3C10" w:rsidR="000F4212" w:rsidP="000F4212" w:rsidRDefault="000F4212" w14:paraId="3E05EB8E" w14:textId="77777777">
          <w:pPr>
            <w:rPr>
              <w:szCs w:val="22"/>
            </w:rPr>
          </w:pPr>
        </w:p>
        <w:p w:rsidRPr="00FD3C10" w:rsidR="000F4212" w:rsidP="000F4212" w:rsidRDefault="000F4212" w14:paraId="042A85C0" w14:textId="2EDC7896">
          <w:pPr>
            <w:rPr>
              <w:szCs w:val="22"/>
              <w:u w:val="single"/>
            </w:rPr>
          </w:pPr>
          <w:r w:rsidRPr="00FD3C10">
            <w:rPr>
              <w:szCs w:val="22"/>
            </w:rPr>
            <w:t>3.</w:t>
          </w:r>
          <w:r w:rsidRPr="00FD3C10">
            <w:rPr>
              <w:szCs w:val="22"/>
            </w:rPr>
            <w:tab/>
          </w:r>
          <w:r w:rsidRPr="0061379A">
            <w:rPr>
              <w:szCs w:val="22"/>
              <w:u w:val="single"/>
            </w:rPr>
            <w:t xml:space="preserve">Toekomstgerichte </w:t>
          </w:r>
          <w:r w:rsidRPr="00FD3C10">
            <w:rPr>
              <w:szCs w:val="22"/>
              <w:u w:val="single"/>
            </w:rPr>
            <w:t>visie op internationalisering van het hoger onderwijs</w:t>
          </w:r>
        </w:p>
        <w:p w:rsidRPr="00FD3C10" w:rsidR="000F4212" w:rsidP="000F4212" w:rsidRDefault="000F4212" w14:paraId="6E59BE16" w14:textId="77777777">
          <w:pPr>
            <w:rPr>
              <w:szCs w:val="22"/>
            </w:rPr>
          </w:pPr>
        </w:p>
        <w:p w:rsidR="00FC4701" w:rsidP="000F4212" w:rsidRDefault="000F4212" w14:paraId="2B455FF8" w14:textId="52347611">
          <w:pPr>
            <w:rPr>
              <w:szCs w:val="22"/>
            </w:rPr>
          </w:pPr>
          <w:r w:rsidRPr="00FD3C10">
            <w:rPr>
              <w:szCs w:val="22"/>
            </w:rPr>
            <w:t>De Afdeling deelt de opvatting van de regering dat de sterke en blijvende instroom van internationale studenten in sommige delen en sectoren van het hoger onderwijs tegen grenzen aanloopt</w:t>
          </w:r>
          <w:r w:rsidR="00D21CCE">
            <w:rPr>
              <w:szCs w:val="22"/>
            </w:rPr>
            <w:t>.</w:t>
          </w:r>
          <w:r w:rsidRPr="00FD3C10">
            <w:rPr>
              <w:szCs w:val="22"/>
            </w:rPr>
            <w:t xml:space="preserve"> </w:t>
          </w:r>
          <w:r w:rsidR="00D21CCE">
            <w:rPr>
              <w:szCs w:val="22"/>
            </w:rPr>
            <w:t>D</w:t>
          </w:r>
          <w:r w:rsidRPr="00FD3C10">
            <w:rPr>
              <w:szCs w:val="22"/>
            </w:rPr>
            <w:t xml:space="preserve">aardoor </w:t>
          </w:r>
          <w:r w:rsidR="00D21CCE">
            <w:rPr>
              <w:szCs w:val="22"/>
            </w:rPr>
            <w:t xml:space="preserve">is </w:t>
          </w:r>
          <w:r w:rsidRPr="00FD3C10">
            <w:rPr>
              <w:szCs w:val="22"/>
            </w:rPr>
            <w:t>het meer van belang geworden om een nieuwe uitgangssituatie te scheppen</w:t>
          </w:r>
          <w:r w:rsidR="00D103F0">
            <w:rPr>
              <w:szCs w:val="22"/>
            </w:rPr>
            <w:t>.</w:t>
          </w:r>
          <w:r w:rsidRPr="00FD3C10">
            <w:rPr>
              <w:szCs w:val="22"/>
            </w:rPr>
            <w:t xml:space="preserve"> </w:t>
          </w:r>
          <w:r w:rsidR="00D103F0">
            <w:rPr>
              <w:szCs w:val="22"/>
            </w:rPr>
            <w:t xml:space="preserve">Een positie </w:t>
          </w:r>
          <w:r w:rsidRPr="00FD3C10">
            <w:rPr>
              <w:szCs w:val="22"/>
            </w:rPr>
            <w:t xml:space="preserve">waarbij de waardevolle aspecten van internationalisering behouden blijven, </w:t>
          </w:r>
          <w:r>
            <w:rPr>
              <w:szCs w:val="22"/>
            </w:rPr>
            <w:t>en</w:t>
          </w:r>
          <w:r w:rsidRPr="00FD3C10">
            <w:rPr>
              <w:szCs w:val="22"/>
            </w:rPr>
            <w:t xml:space="preserve"> tevens recht wordt gedaan aan de houdbaarheid van het stelsel in termen van kwaliteit, toegankelijkheid en doelmatigheid. Internationalisering versterkt de internationale reputatie van het hoger onderwijs en helpt bij het wereldwijd aantrekken van talent. Dat is ook van belang voor de Nederlandse kenniseconomie en de samenleving als geheel. </w:t>
          </w:r>
        </w:p>
        <w:p w:rsidR="00FC4701" w:rsidP="000F4212" w:rsidRDefault="00FC4701" w14:paraId="336245DD" w14:textId="77777777">
          <w:pPr>
            <w:rPr>
              <w:szCs w:val="22"/>
            </w:rPr>
          </w:pPr>
        </w:p>
        <w:p w:rsidRPr="00FD3C10" w:rsidR="000F4212" w:rsidP="000F4212" w:rsidRDefault="000F4212" w14:paraId="03DE39B2" w14:textId="0A20933B">
          <w:pPr>
            <w:rPr>
              <w:szCs w:val="22"/>
            </w:rPr>
          </w:pPr>
          <w:r w:rsidRPr="00FD3C10">
            <w:rPr>
              <w:szCs w:val="22"/>
            </w:rPr>
            <w:t>Tot 2040 zal sprake zijn van een sterke krimp in de beroepsbevolking als gevolg van vergrijzing</w:t>
          </w:r>
          <w:r>
            <w:rPr>
              <w:szCs w:val="22"/>
            </w:rPr>
            <w:t>, en zal het aantal Nederlandse studenten dalen</w:t>
          </w:r>
          <w:r w:rsidRPr="00FD3C10">
            <w:rPr>
              <w:szCs w:val="22"/>
            </w:rPr>
            <w:t>.</w:t>
          </w:r>
          <w:r>
            <w:rPr>
              <w:rStyle w:val="Voetnootmarkering"/>
              <w:szCs w:val="22"/>
            </w:rPr>
            <w:footnoteReference w:id="30"/>
          </w:r>
          <w:r w:rsidRPr="00FD3C10">
            <w:rPr>
              <w:szCs w:val="22"/>
            </w:rPr>
            <w:t xml:space="preserve"> Er zijn al sectoren waarin de landelijke tekorten op de arbeidsmarkt uitzonderlijk groot zijn.</w:t>
          </w:r>
          <w:r w:rsidR="00D103F0">
            <w:rPr>
              <w:rStyle w:val="Voetnootmarkering"/>
              <w:szCs w:val="22"/>
            </w:rPr>
            <w:footnoteReference w:id="31"/>
          </w:r>
          <w:r w:rsidRPr="00FD3C10">
            <w:rPr>
              <w:szCs w:val="22"/>
            </w:rPr>
            <w:t xml:space="preserve"> Dat is overigens niet een louter Nederlandse ontwikkeling. In verschillende Europese landen wordt er daarom meer dan voorheen naar gestreefd het aantal kennismigranten</w:t>
          </w:r>
          <w:r w:rsidR="004E7E3E">
            <w:rPr>
              <w:szCs w:val="22"/>
            </w:rPr>
            <w:t xml:space="preserve"> en internationale studenten</w:t>
          </w:r>
          <w:r w:rsidRPr="00FD3C10">
            <w:rPr>
              <w:szCs w:val="22"/>
            </w:rPr>
            <w:t xml:space="preserve"> te vergroten.</w:t>
          </w:r>
          <w:r w:rsidRPr="00FD3C10">
            <w:rPr>
              <w:rStyle w:val="Voetnootmarkering"/>
              <w:szCs w:val="22"/>
            </w:rPr>
            <w:footnoteReference w:id="32"/>
          </w:r>
          <w:r w:rsidRPr="00FD3C10">
            <w:rPr>
              <w:szCs w:val="22"/>
            </w:rPr>
            <w:t xml:space="preserve"> </w:t>
          </w:r>
        </w:p>
        <w:p w:rsidRPr="00FD3C10" w:rsidR="000F4212" w:rsidP="000F4212" w:rsidRDefault="000F4212" w14:paraId="7F58241F" w14:textId="77777777">
          <w:pPr>
            <w:rPr>
              <w:szCs w:val="22"/>
            </w:rPr>
          </w:pPr>
        </w:p>
        <w:p w:rsidRPr="00FD3C10" w:rsidR="000F4212" w:rsidP="000F4212" w:rsidRDefault="000F4212" w14:paraId="736EBDE2" w14:textId="5B0ACF08">
          <w:pPr>
            <w:rPr>
              <w:szCs w:val="22"/>
            </w:rPr>
          </w:pPr>
          <w:r w:rsidRPr="00FD3C10">
            <w:rPr>
              <w:szCs w:val="22"/>
            </w:rPr>
            <w:t xml:space="preserve">Omdat de spankracht van het onderwijsstelsel niet onbeperkt is, is het van belang </w:t>
          </w:r>
          <w:r w:rsidR="00E5280D">
            <w:rPr>
              <w:szCs w:val="22"/>
            </w:rPr>
            <w:t>d</w:t>
          </w:r>
          <w:r w:rsidR="00971950">
            <w:rPr>
              <w:szCs w:val="22"/>
            </w:rPr>
            <w:t xml:space="preserve">e </w:t>
          </w:r>
          <w:r w:rsidRPr="00FD3C10">
            <w:rPr>
              <w:szCs w:val="22"/>
            </w:rPr>
            <w:t xml:space="preserve">opleidingscapaciteit </w:t>
          </w:r>
          <w:r w:rsidR="00D103F0">
            <w:rPr>
              <w:szCs w:val="22"/>
            </w:rPr>
            <w:t xml:space="preserve">vooral </w:t>
          </w:r>
          <w:r w:rsidRPr="00FD3C10">
            <w:rPr>
              <w:szCs w:val="22"/>
            </w:rPr>
            <w:t>daar in te zetten waar de meerwaarde het grootst is</w:t>
          </w:r>
          <w:r w:rsidR="00FB5F7F">
            <w:rPr>
              <w:szCs w:val="22"/>
            </w:rPr>
            <w:t>.</w:t>
          </w:r>
          <w:r w:rsidRPr="00FD3C10">
            <w:rPr>
              <w:szCs w:val="22"/>
            </w:rPr>
            <w:t xml:space="preserve"> </w:t>
          </w:r>
          <w:r w:rsidR="00FB5F7F">
            <w:rPr>
              <w:szCs w:val="22"/>
            </w:rPr>
            <w:t>D</w:t>
          </w:r>
          <w:r w:rsidRPr="00FD3C10">
            <w:rPr>
              <w:szCs w:val="22"/>
            </w:rPr>
            <w:t xml:space="preserve">aarmee </w:t>
          </w:r>
          <w:r w:rsidR="00FB5F7F">
            <w:rPr>
              <w:szCs w:val="22"/>
            </w:rPr>
            <w:t xml:space="preserve">draagt het </w:t>
          </w:r>
          <w:r w:rsidRPr="00FD3C10">
            <w:rPr>
              <w:szCs w:val="22"/>
            </w:rPr>
            <w:t>tegelijk</w:t>
          </w:r>
          <w:r>
            <w:rPr>
              <w:szCs w:val="22"/>
            </w:rPr>
            <w:t>ertijd</w:t>
          </w:r>
          <w:r w:rsidRPr="00FD3C10">
            <w:rPr>
              <w:szCs w:val="22"/>
            </w:rPr>
            <w:t xml:space="preserve"> bij aan een stimulerend studie- en onderzoekklimaat. In 2013 wees de SER er al op dat veel buitenlandse studenten een studie volgen waarbij op dit moment geen krapte bestaat op de arbeidsmarkt en de baankansen over het algemeen niet groot zijn</w:t>
          </w:r>
          <w:r w:rsidR="006D2CE3">
            <w:rPr>
              <w:szCs w:val="22"/>
            </w:rPr>
            <w:t>.</w:t>
          </w:r>
          <w:r w:rsidRPr="00FD3C10">
            <w:rPr>
              <w:szCs w:val="22"/>
              <w:vertAlign w:val="superscript"/>
            </w:rPr>
            <w:footnoteReference w:id="33"/>
          </w:r>
          <w:r>
            <w:rPr>
              <w:i/>
              <w:iCs/>
              <w:szCs w:val="22"/>
            </w:rPr>
            <w:t xml:space="preserve"> </w:t>
          </w:r>
          <w:r w:rsidR="006D2CE3">
            <w:rPr>
              <w:szCs w:val="22"/>
            </w:rPr>
            <w:t>D</w:t>
          </w:r>
          <w:r w:rsidRPr="00FD3C10">
            <w:rPr>
              <w:szCs w:val="22"/>
            </w:rPr>
            <w:t xml:space="preserve">aarin verschillen zij </w:t>
          </w:r>
          <w:r>
            <w:rPr>
              <w:szCs w:val="22"/>
            </w:rPr>
            <w:t xml:space="preserve">overigens </w:t>
          </w:r>
          <w:r w:rsidRPr="00FD3C10">
            <w:rPr>
              <w:szCs w:val="22"/>
            </w:rPr>
            <w:t>niet van Nederlandse studenten</w:t>
          </w:r>
          <w:r>
            <w:rPr>
              <w:szCs w:val="22"/>
            </w:rPr>
            <w:t>.</w:t>
          </w:r>
          <w:r w:rsidRPr="00FD3C10">
            <w:rPr>
              <w:i/>
              <w:iCs/>
              <w:szCs w:val="22"/>
            </w:rPr>
            <w:t xml:space="preserve"> </w:t>
          </w:r>
          <w:r w:rsidRPr="00FD3C10">
            <w:rPr>
              <w:szCs w:val="22"/>
            </w:rPr>
            <w:t xml:space="preserve">Het is </w:t>
          </w:r>
          <w:r w:rsidR="000C1215">
            <w:rPr>
              <w:szCs w:val="22"/>
            </w:rPr>
            <w:t>in dit licht</w:t>
          </w:r>
          <w:r w:rsidRPr="00FD3C10">
            <w:rPr>
              <w:szCs w:val="22"/>
            </w:rPr>
            <w:t xml:space="preserve"> da</w:t>
          </w:r>
          <w:r>
            <w:rPr>
              <w:szCs w:val="22"/>
            </w:rPr>
            <w:t>n ook</w:t>
          </w:r>
          <w:r w:rsidRPr="00FD3C10">
            <w:rPr>
              <w:szCs w:val="22"/>
            </w:rPr>
            <w:t xml:space="preserve"> begrijpelijk dat de regering het volledige aanbod aan bestaande anderstalige opleidingen kritisch tegen het licht wil houden</w:t>
          </w:r>
          <w:r w:rsidR="006D2CE3">
            <w:rPr>
              <w:szCs w:val="22"/>
            </w:rPr>
            <w:t>.</w:t>
          </w:r>
          <w:r w:rsidRPr="00FD3C10">
            <w:rPr>
              <w:szCs w:val="22"/>
            </w:rPr>
            <w:t xml:space="preserve"> </w:t>
          </w:r>
          <w:r w:rsidR="006D2CE3">
            <w:rPr>
              <w:szCs w:val="22"/>
            </w:rPr>
            <w:t xml:space="preserve">Op die manier kan </w:t>
          </w:r>
          <w:r w:rsidR="00A73DBF">
            <w:rPr>
              <w:szCs w:val="22"/>
            </w:rPr>
            <w:t xml:space="preserve">de </w:t>
          </w:r>
          <w:r w:rsidRPr="00FD3C10">
            <w:rPr>
              <w:szCs w:val="22"/>
            </w:rPr>
            <w:t xml:space="preserve">opleidingscapaciteit gerichter worden ingezet, en </w:t>
          </w:r>
          <w:r w:rsidR="00D402EF">
            <w:rPr>
              <w:szCs w:val="22"/>
            </w:rPr>
            <w:t xml:space="preserve">kan </w:t>
          </w:r>
          <w:r>
            <w:rPr>
              <w:szCs w:val="22"/>
            </w:rPr>
            <w:t xml:space="preserve">zij </w:t>
          </w:r>
          <w:r w:rsidRPr="00FD3C10">
            <w:rPr>
              <w:szCs w:val="22"/>
            </w:rPr>
            <w:t>daarnaast ook nieuwe anderstalige opleidingen op basis van doelmatigheid gaan beoordelen.</w:t>
          </w:r>
        </w:p>
        <w:p w:rsidRPr="00FD3C10" w:rsidR="000F4212" w:rsidP="000F4212" w:rsidRDefault="000F4212" w14:paraId="7A77746B" w14:textId="77777777">
          <w:pPr>
            <w:rPr>
              <w:szCs w:val="22"/>
            </w:rPr>
          </w:pPr>
        </w:p>
        <w:p w:rsidRPr="00FD3C10" w:rsidR="000F4212" w:rsidP="000F4212" w:rsidRDefault="000F4212" w14:paraId="53BA2DAC" w14:textId="37144CCD">
          <w:pPr>
            <w:rPr>
              <w:szCs w:val="22"/>
            </w:rPr>
          </w:pPr>
          <w:r w:rsidRPr="0061379A">
            <w:rPr>
              <w:szCs w:val="22"/>
            </w:rPr>
            <w:t>Ook de mogelijkheid tot het instellen van numeri fixi kan bijdragen aan een doelmatiger opleidingsaanbod. De Afdeling onderschrijft de voorstellen inzake de fixus-maatregelen, die stroken met haar eerdere advisering op dit onderdeel</w:t>
          </w:r>
          <w:r w:rsidR="00D402EF">
            <w:rPr>
              <w:szCs w:val="22"/>
            </w:rPr>
            <w:t>.</w:t>
          </w:r>
          <w:r w:rsidRPr="0061379A">
            <w:rPr>
              <w:rStyle w:val="Voetnootmarkering"/>
              <w:szCs w:val="22"/>
            </w:rPr>
            <w:footnoteReference w:id="34"/>
          </w:r>
          <w:r w:rsidRPr="0061379A">
            <w:rPr>
              <w:szCs w:val="22"/>
            </w:rPr>
            <w:t xml:space="preserve"> </w:t>
          </w:r>
          <w:r w:rsidR="00D402EF">
            <w:rPr>
              <w:szCs w:val="22"/>
            </w:rPr>
            <w:t xml:space="preserve">Zij </w:t>
          </w:r>
          <w:r w:rsidRPr="0061379A">
            <w:rPr>
              <w:szCs w:val="22"/>
            </w:rPr>
            <w:t xml:space="preserve">wijst er op dat er vanuit de hoger onderwijsinstellingen een </w:t>
          </w:r>
          <w:r w:rsidR="001241DD">
            <w:rPr>
              <w:szCs w:val="22"/>
            </w:rPr>
            <w:t xml:space="preserve">dringende en </w:t>
          </w:r>
          <w:r w:rsidRPr="0061379A">
            <w:rPr>
              <w:szCs w:val="22"/>
            </w:rPr>
            <w:t>spoedeisende vraag is om dit instrumentarium.</w:t>
          </w:r>
          <w:r w:rsidRPr="00FD3C10">
            <w:rPr>
              <w:szCs w:val="22"/>
            </w:rPr>
            <w:t xml:space="preserve"> </w:t>
          </w:r>
        </w:p>
        <w:p w:rsidRPr="00FD3C10" w:rsidR="000F4212" w:rsidP="000F4212" w:rsidRDefault="000F4212" w14:paraId="2877029E" w14:textId="77777777">
          <w:pPr>
            <w:rPr>
              <w:szCs w:val="22"/>
            </w:rPr>
          </w:pPr>
        </w:p>
        <w:p w:rsidR="00D402EF" w:rsidP="000F4212" w:rsidRDefault="000F4212" w14:paraId="0B75A3DA" w14:textId="1902855F">
          <w:pPr>
            <w:rPr>
              <w:szCs w:val="22"/>
            </w:rPr>
          </w:pPr>
          <w:r w:rsidRPr="00FD3C10">
            <w:rPr>
              <w:szCs w:val="22"/>
            </w:rPr>
            <w:t xml:space="preserve">Het voorstel heeft </w:t>
          </w:r>
          <w:r w:rsidR="005A1041">
            <w:rPr>
              <w:szCs w:val="22"/>
            </w:rPr>
            <w:t>in hoofdzaak</w:t>
          </w:r>
          <w:r w:rsidRPr="00FD3C10">
            <w:rPr>
              <w:szCs w:val="22"/>
            </w:rPr>
            <w:t xml:space="preserve"> betrekking op het stelsel van hoger onderwijs</w:t>
          </w:r>
          <w:r w:rsidR="00504968">
            <w:rPr>
              <w:szCs w:val="22"/>
            </w:rPr>
            <w:t xml:space="preserve"> en probeert daarbij een duurzame balans te </w:t>
          </w:r>
          <w:r w:rsidR="007232D0">
            <w:rPr>
              <w:szCs w:val="22"/>
            </w:rPr>
            <w:t>bereiken</w:t>
          </w:r>
          <w:r w:rsidRPr="00FD3C10">
            <w:rPr>
              <w:szCs w:val="22"/>
            </w:rPr>
            <w:t xml:space="preserve">. </w:t>
          </w:r>
          <w:r w:rsidR="00053090">
            <w:rPr>
              <w:szCs w:val="22"/>
            </w:rPr>
            <w:t>Er zijn</w:t>
          </w:r>
          <w:r w:rsidRPr="00FD3C10">
            <w:rPr>
              <w:szCs w:val="22"/>
            </w:rPr>
            <w:t xml:space="preserve"> scenario’s gepubliceerd ten behoeve van de toekomstvisie op het hoger onderwijs</w:t>
          </w:r>
          <w:r w:rsidR="002D4CC3">
            <w:rPr>
              <w:szCs w:val="22"/>
            </w:rPr>
            <w:t xml:space="preserve"> en </w:t>
          </w:r>
          <w:r w:rsidR="007562CC">
            <w:rPr>
              <w:szCs w:val="22"/>
            </w:rPr>
            <w:t>de bekostigingssystematiek</w:t>
          </w:r>
          <w:r w:rsidR="002A49DE">
            <w:rPr>
              <w:szCs w:val="22"/>
            </w:rPr>
            <w:t>. Een</w:t>
          </w:r>
          <w:r w:rsidRPr="00FD3C10">
            <w:rPr>
              <w:szCs w:val="22"/>
            </w:rPr>
            <w:t xml:space="preserve"> volgend kabinet </w:t>
          </w:r>
          <w:r w:rsidR="00053090">
            <w:rPr>
              <w:szCs w:val="22"/>
            </w:rPr>
            <w:t xml:space="preserve">zal </w:t>
          </w:r>
          <w:r w:rsidRPr="00FD3C10">
            <w:rPr>
              <w:szCs w:val="22"/>
            </w:rPr>
            <w:t>daar keuzes over maken.</w:t>
          </w:r>
          <w:r w:rsidRPr="00FD3C10">
            <w:rPr>
              <w:szCs w:val="22"/>
              <w:vertAlign w:val="superscript"/>
            </w:rPr>
            <w:footnoteReference w:id="35"/>
          </w:r>
          <w:r w:rsidRPr="00FD3C10">
            <w:rPr>
              <w:szCs w:val="22"/>
            </w:rPr>
            <w:t xml:space="preserve"> </w:t>
          </w:r>
        </w:p>
        <w:p w:rsidR="00D402EF" w:rsidP="000F4212" w:rsidRDefault="00D402EF" w14:paraId="357E7794" w14:textId="77777777">
          <w:pPr>
            <w:rPr>
              <w:szCs w:val="22"/>
            </w:rPr>
          </w:pPr>
        </w:p>
        <w:p w:rsidR="000F4212" w:rsidP="000F4212" w:rsidRDefault="000F4212" w14:paraId="78AC26C9" w14:textId="10C33EAB">
          <w:pPr>
            <w:rPr>
              <w:szCs w:val="22"/>
            </w:rPr>
          </w:pPr>
          <w:r w:rsidRPr="00FD3C10">
            <w:rPr>
              <w:szCs w:val="22"/>
            </w:rPr>
            <w:t>De Afdeling merkt op dat dergelijke keuzes in samenhang</w:t>
          </w:r>
          <w:r w:rsidR="001E6E6D">
            <w:rPr>
              <w:szCs w:val="22"/>
            </w:rPr>
            <w:t xml:space="preserve">, </w:t>
          </w:r>
          <w:r w:rsidRPr="00FD3C10">
            <w:rPr>
              <w:szCs w:val="22"/>
            </w:rPr>
            <w:t xml:space="preserve">moeten worden bezien, </w:t>
          </w:r>
          <w:r w:rsidR="005A4215">
            <w:rPr>
              <w:szCs w:val="22"/>
            </w:rPr>
            <w:t>mede gelet op de mogelijk ingrijpende gevolgen voor hoger onderwijsinstellingen</w:t>
          </w:r>
          <w:r w:rsidR="001E6E6D">
            <w:rPr>
              <w:szCs w:val="22"/>
            </w:rPr>
            <w:t>, ook op de lange termijn</w:t>
          </w:r>
          <w:r w:rsidR="005A4215">
            <w:rPr>
              <w:szCs w:val="22"/>
            </w:rPr>
            <w:t>.</w:t>
          </w:r>
          <w:r w:rsidR="00A45A1F">
            <w:rPr>
              <w:szCs w:val="22"/>
            </w:rPr>
            <w:t xml:space="preserve"> </w:t>
          </w:r>
          <w:r w:rsidR="007454A1">
            <w:rPr>
              <w:szCs w:val="22"/>
            </w:rPr>
            <w:t>Daarbij is het aangewezen om te a</w:t>
          </w:r>
          <w:r w:rsidRPr="00A45A1F" w:rsidR="00A45A1F">
            <w:rPr>
              <w:szCs w:val="22"/>
            </w:rPr>
            <w:t>nticiperen op prognoses én scenario's</w:t>
          </w:r>
          <w:r w:rsidR="007454A1">
            <w:rPr>
              <w:szCs w:val="22"/>
            </w:rPr>
            <w:t>,</w:t>
          </w:r>
          <w:r w:rsidRPr="00A45A1F" w:rsidR="00A45A1F">
            <w:rPr>
              <w:szCs w:val="22"/>
            </w:rPr>
            <w:t xml:space="preserve"> gericht op de toekomstige behoeften van maatschappij en arbeidsmarkt, gebaseerd op een economische structuurvisie voor </w:t>
          </w:r>
          <w:r w:rsidRPr="00FD3C10">
            <w:rPr>
              <w:szCs w:val="22"/>
            </w:rPr>
            <w:t>Nederland.</w:t>
          </w:r>
          <w:r w:rsidRPr="00FD3C10">
            <w:rPr>
              <w:rStyle w:val="Voetnootmarkering"/>
              <w:szCs w:val="22"/>
            </w:rPr>
            <w:footnoteReference w:id="36"/>
          </w:r>
          <w:r w:rsidRPr="00FD3C10">
            <w:rPr>
              <w:szCs w:val="22"/>
            </w:rPr>
            <w:t xml:space="preserve"> Hieraan zou aandacht kunnen worden besteed in de aankomende Strategische Agenda Hoger Onderwijs en Onderzoek.</w:t>
          </w:r>
        </w:p>
        <w:p w:rsidR="000F4212" w:rsidP="000F4212" w:rsidRDefault="000F4212" w14:paraId="7F58E07B" w14:textId="77777777">
          <w:pPr>
            <w:rPr>
              <w:szCs w:val="22"/>
            </w:rPr>
          </w:pPr>
        </w:p>
        <w:p w:rsidRPr="00FD3C10" w:rsidR="000F4212" w:rsidP="000F4212" w:rsidRDefault="000F4212" w14:paraId="0FA8CB71" w14:textId="3B0C7242">
          <w:pPr>
            <w:rPr>
              <w:szCs w:val="22"/>
            </w:rPr>
          </w:pPr>
          <w:r w:rsidRPr="00FD3C10">
            <w:rPr>
              <w:szCs w:val="22"/>
            </w:rPr>
            <w:t>Vervolgens zouden die keuzes bij de uitwerking en uitvoering van dit wetsvoorstel kunnen worden betrokken, onder andere bij de uitwerking van de criteria voor de doelmatigheidstoetsing. Tevens is van belang dat de regionale arbeidsmarkt</w:t>
          </w:r>
          <w:r>
            <w:rPr>
              <w:szCs w:val="22"/>
            </w:rPr>
            <w:t xml:space="preserve"> en</w:t>
          </w:r>
          <w:r w:rsidRPr="00FD3C10">
            <w:rPr>
              <w:szCs w:val="22"/>
            </w:rPr>
            <w:t xml:space="preserve"> ontwikkelingen als krimp en groei worden meegenomen.</w:t>
          </w:r>
          <w:r w:rsidRPr="00FD3C10">
            <w:rPr>
              <w:szCs w:val="22"/>
              <w:vertAlign w:val="superscript"/>
            </w:rPr>
            <w:footnoteReference w:id="37"/>
          </w:r>
          <w:r w:rsidRPr="00FD3C10">
            <w:rPr>
              <w:szCs w:val="22"/>
            </w:rPr>
            <w:t xml:space="preserve"> Samen met andere departementen (</w:t>
          </w:r>
          <w:r>
            <w:rPr>
              <w:szCs w:val="22"/>
            </w:rPr>
            <w:t xml:space="preserve">zoals </w:t>
          </w:r>
          <w:r w:rsidRPr="00FD3C10">
            <w:rPr>
              <w:szCs w:val="22"/>
            </w:rPr>
            <w:t>SZW</w:t>
          </w:r>
          <w:r>
            <w:rPr>
              <w:szCs w:val="22"/>
            </w:rPr>
            <w:t xml:space="preserve"> en</w:t>
          </w:r>
          <w:r w:rsidRPr="00FD3C10">
            <w:rPr>
              <w:szCs w:val="22"/>
            </w:rPr>
            <w:t xml:space="preserve"> EZK) moet in verband met deze vraagstukken samenhangend beleid voor de lange termijn worden ge</w:t>
          </w:r>
          <w:r>
            <w:rPr>
              <w:szCs w:val="22"/>
            </w:rPr>
            <w:t>formulee</w:t>
          </w:r>
          <w:r w:rsidRPr="00FD3C10">
            <w:rPr>
              <w:szCs w:val="22"/>
            </w:rPr>
            <w:t>rd</w:t>
          </w:r>
          <w:r>
            <w:rPr>
              <w:szCs w:val="22"/>
            </w:rPr>
            <w:t xml:space="preserve"> en uitgevoerd</w:t>
          </w:r>
          <w:r w:rsidRPr="00FD3C10">
            <w:rPr>
              <w:szCs w:val="22"/>
            </w:rPr>
            <w:t>.</w:t>
          </w:r>
          <w:r w:rsidRPr="00FD3C10">
            <w:rPr>
              <w:rStyle w:val="Voetnootmarkering"/>
              <w:szCs w:val="22"/>
            </w:rPr>
            <w:footnoteReference w:id="38"/>
          </w:r>
          <w:r w:rsidRPr="00FD3C10">
            <w:rPr>
              <w:szCs w:val="22"/>
            </w:rPr>
            <w:t xml:space="preserve"> Daar</w:t>
          </w:r>
          <w:r>
            <w:rPr>
              <w:szCs w:val="22"/>
            </w:rPr>
            <w:t>toe</w:t>
          </w:r>
          <w:r w:rsidRPr="00FD3C10">
            <w:rPr>
              <w:szCs w:val="22"/>
            </w:rPr>
            <w:t xml:space="preserve"> is afstemming met decentrale overheden, maatschappelijke organisaties, onderwijskoepels, vakbonden en het bedrijfsleven aangewezen.</w:t>
          </w:r>
          <w:r w:rsidRPr="00FD3C10">
            <w:rPr>
              <w:szCs w:val="22"/>
              <w:vertAlign w:val="superscript"/>
            </w:rPr>
            <w:footnoteReference w:id="39"/>
          </w:r>
          <w:r w:rsidRPr="00FD3C10">
            <w:rPr>
              <w:szCs w:val="22"/>
            </w:rPr>
            <w:t xml:space="preserve"> </w:t>
          </w:r>
        </w:p>
        <w:p w:rsidRPr="00FD3C10" w:rsidR="000F4212" w:rsidP="000F4212" w:rsidRDefault="000F4212" w14:paraId="59917229" w14:textId="77777777">
          <w:pPr>
            <w:rPr>
              <w:szCs w:val="22"/>
            </w:rPr>
          </w:pPr>
        </w:p>
        <w:p w:rsidR="00C10E78" w:rsidP="000F4212" w:rsidRDefault="000F4212" w14:paraId="77914617" w14:textId="44F623B3">
          <w:pPr>
            <w:rPr>
              <w:szCs w:val="22"/>
            </w:rPr>
          </w:pPr>
          <w:r w:rsidRPr="0061379A">
            <w:rPr>
              <w:szCs w:val="22"/>
            </w:rPr>
            <w:t xml:space="preserve">De Afdeling adviseert om in de toelichting nader in te gaan op </w:t>
          </w:r>
          <w:r w:rsidRPr="00456A9A" w:rsidR="00456A9A">
            <w:rPr>
              <w:szCs w:val="22"/>
            </w:rPr>
            <w:t>deze samenhang</w:t>
          </w:r>
          <w:r w:rsidR="00E75349">
            <w:rPr>
              <w:szCs w:val="22"/>
            </w:rPr>
            <w:t>.</w:t>
          </w:r>
          <w:r w:rsidRPr="00456A9A" w:rsidR="00456A9A">
            <w:rPr>
              <w:szCs w:val="22"/>
            </w:rPr>
            <w:t xml:space="preserve"> </w:t>
          </w:r>
          <w:r w:rsidR="00E75349">
            <w:rPr>
              <w:szCs w:val="22"/>
            </w:rPr>
            <w:t xml:space="preserve">Zij </w:t>
          </w:r>
          <w:r w:rsidR="00AE467C">
            <w:rPr>
              <w:szCs w:val="22"/>
            </w:rPr>
            <w:t xml:space="preserve">adviseert </w:t>
          </w:r>
          <w:r w:rsidRPr="00456A9A" w:rsidR="00456A9A">
            <w:rPr>
              <w:szCs w:val="22"/>
            </w:rPr>
            <w:t>hierop terug te komen</w:t>
          </w:r>
          <w:r w:rsidR="00456A9A">
            <w:rPr>
              <w:szCs w:val="22"/>
            </w:rPr>
            <w:t xml:space="preserve"> </w:t>
          </w:r>
          <w:r w:rsidRPr="0061379A">
            <w:rPr>
              <w:szCs w:val="22"/>
            </w:rPr>
            <w:t>bij de uitwerking en uitvoering van het wetsvoorstel</w:t>
          </w:r>
          <w:r>
            <w:rPr>
              <w:szCs w:val="22"/>
            </w:rPr>
            <w:t xml:space="preserve">, alsook bij </w:t>
          </w:r>
          <w:r w:rsidRPr="0061379A">
            <w:rPr>
              <w:szCs w:val="22"/>
            </w:rPr>
            <w:t xml:space="preserve">de uitwerking van een toekomstgerichte visie </w:t>
          </w:r>
          <w:r w:rsidR="00914402">
            <w:rPr>
              <w:szCs w:val="22"/>
            </w:rPr>
            <w:t>op de</w:t>
          </w:r>
          <w:r w:rsidRPr="0061379A">
            <w:rPr>
              <w:szCs w:val="22"/>
            </w:rPr>
            <w:t xml:space="preserve"> internationalisering van het hoger onderwijs</w:t>
          </w:r>
          <w:r w:rsidR="00914402">
            <w:rPr>
              <w:szCs w:val="22"/>
            </w:rPr>
            <w:t xml:space="preserve"> in het licht van</w:t>
          </w:r>
          <w:r>
            <w:rPr>
              <w:szCs w:val="22"/>
            </w:rPr>
            <w:t xml:space="preserve"> </w:t>
          </w:r>
          <w:r w:rsidR="006A5472">
            <w:rPr>
              <w:szCs w:val="22"/>
            </w:rPr>
            <w:t>een economische structuurvisie voor Nederland.</w:t>
          </w:r>
        </w:p>
        <w:p w:rsidRPr="00FD3C10" w:rsidR="00AE467C" w:rsidP="000F4212" w:rsidRDefault="00AE467C" w14:paraId="4D4F532A" w14:textId="77777777">
          <w:pPr>
            <w:rPr>
              <w:szCs w:val="22"/>
            </w:rPr>
          </w:pPr>
        </w:p>
        <w:p w:rsidRPr="00FD3C10" w:rsidR="000F4212" w:rsidP="000F4212" w:rsidRDefault="000F4212" w14:paraId="3CA82840" w14:textId="77777777">
          <w:pPr>
            <w:rPr>
              <w:szCs w:val="22"/>
              <w:u w:val="single"/>
            </w:rPr>
          </w:pPr>
          <w:r w:rsidRPr="00FD3C10">
            <w:rPr>
              <w:szCs w:val="22"/>
            </w:rPr>
            <w:t xml:space="preserve">4. </w:t>
          </w:r>
          <w:r w:rsidRPr="00FD3C10">
            <w:rPr>
              <w:szCs w:val="22"/>
            </w:rPr>
            <w:tab/>
          </w:r>
          <w:r w:rsidRPr="00FD3C10">
            <w:rPr>
              <w:szCs w:val="22"/>
              <w:u w:val="single"/>
            </w:rPr>
            <w:t>Doelmatigheidstoets anderstalige AD- en bacheloropleidingen</w:t>
          </w:r>
        </w:p>
        <w:p w:rsidRPr="00FD3C10" w:rsidR="000F4212" w:rsidP="000F4212" w:rsidRDefault="000F4212" w14:paraId="1A1D02D5" w14:textId="77777777">
          <w:pPr>
            <w:rPr>
              <w:szCs w:val="22"/>
              <w:u w:val="single"/>
            </w:rPr>
          </w:pPr>
        </w:p>
        <w:p w:rsidRPr="00FD3C10" w:rsidR="000F4212" w:rsidP="000F4212" w:rsidRDefault="000F4212" w14:paraId="66026837" w14:textId="70C2215C">
          <w:pPr>
            <w:rPr>
              <w:i/>
              <w:iCs/>
              <w:szCs w:val="22"/>
            </w:rPr>
          </w:pPr>
          <w:r w:rsidRPr="00FD3C10">
            <w:rPr>
              <w:szCs w:val="22"/>
            </w:rPr>
            <w:t>a.</w:t>
          </w:r>
          <w:r w:rsidRPr="00FD3C10">
            <w:rPr>
              <w:szCs w:val="22"/>
            </w:rPr>
            <w:tab/>
          </w:r>
          <w:r w:rsidRPr="00FD3C10">
            <w:rPr>
              <w:i/>
              <w:iCs/>
              <w:szCs w:val="22"/>
            </w:rPr>
            <w:t xml:space="preserve">Zelfregie en samenwerking </w:t>
          </w:r>
        </w:p>
        <w:p w:rsidR="00194A23" w:rsidP="000F4212" w:rsidRDefault="000F4212" w14:paraId="34AB412F" w14:textId="77777777">
          <w:pPr>
            <w:rPr>
              <w:szCs w:val="22"/>
            </w:rPr>
          </w:pPr>
          <w:r w:rsidRPr="00FD3C10">
            <w:rPr>
              <w:szCs w:val="22"/>
            </w:rPr>
            <w:t>Het wetsvoorstel verplicht instellingen om de continuering van de bestaande anderstalige AD- en bacheloropleidingen ter instemming aan de minister van OCW voor te leggen.</w:t>
          </w:r>
          <w:r w:rsidRPr="00FD3C10">
            <w:rPr>
              <w:rStyle w:val="Voetnootmarkering"/>
              <w:szCs w:val="22"/>
            </w:rPr>
            <w:footnoteReference w:id="40"/>
          </w:r>
          <w:r w:rsidRPr="00FD3C10">
            <w:rPr>
              <w:szCs w:val="22"/>
            </w:rPr>
            <w:t xml:space="preserve"> Daarbij zal </w:t>
          </w:r>
          <w:r>
            <w:rPr>
              <w:szCs w:val="22"/>
            </w:rPr>
            <w:t>de minister</w:t>
          </w:r>
          <w:r w:rsidRPr="00FD3C10">
            <w:rPr>
              <w:szCs w:val="22"/>
            </w:rPr>
            <w:t xml:space="preserve"> onder meer beoordelen of de betreffende opleiding past binnen het taalbeleid van de instelling en of deze doelmatig is gelet op het totale opleidingsaanbod, de arbeidsmarkt, </w:t>
          </w:r>
          <w:r>
            <w:rPr>
              <w:szCs w:val="22"/>
            </w:rPr>
            <w:t>de r</w:t>
          </w:r>
          <w:r w:rsidRPr="00FD3C10">
            <w:rPr>
              <w:szCs w:val="22"/>
            </w:rPr>
            <w:t xml:space="preserve">egionale omstandigheden en de internationale uniciteit </w:t>
          </w:r>
          <w:r>
            <w:rPr>
              <w:szCs w:val="22"/>
            </w:rPr>
            <w:t>dan wel</w:t>
          </w:r>
          <w:r w:rsidRPr="00FD3C10">
            <w:rPr>
              <w:szCs w:val="22"/>
            </w:rPr>
            <w:t xml:space="preserve"> positionering. </w:t>
          </w:r>
        </w:p>
        <w:p w:rsidR="00194A23" w:rsidP="000F4212" w:rsidRDefault="00194A23" w14:paraId="37546000" w14:textId="77777777">
          <w:pPr>
            <w:rPr>
              <w:szCs w:val="22"/>
            </w:rPr>
          </w:pPr>
        </w:p>
        <w:p w:rsidRPr="00FD3C10" w:rsidR="000F4212" w:rsidP="000F4212" w:rsidRDefault="000F4212" w14:paraId="0564E0B9" w14:textId="3B43E927">
          <w:pPr>
            <w:rPr>
              <w:szCs w:val="22"/>
            </w:rPr>
          </w:pPr>
          <w:r w:rsidRPr="00FD3C10">
            <w:rPr>
              <w:szCs w:val="22"/>
            </w:rPr>
            <w:t>Uit de toelichting blijkt dat de instellingen geacht worden er naar te streven in sectorale overleggen tot afstemming te komen en gezamenlijk toe te werken naar een doelmatig anderstalig aanbod.</w:t>
          </w:r>
          <w:r w:rsidRPr="00FD3C10">
            <w:rPr>
              <w:szCs w:val="22"/>
              <w:vertAlign w:val="superscript"/>
            </w:rPr>
            <w:footnoteReference w:id="41"/>
          </w:r>
          <w:r w:rsidRPr="00FD3C10">
            <w:rPr>
              <w:szCs w:val="22"/>
            </w:rPr>
            <w:t xml:space="preserve"> In </w:t>
          </w:r>
          <w:r>
            <w:rPr>
              <w:szCs w:val="22"/>
            </w:rPr>
            <w:t>een</w:t>
          </w:r>
          <w:r w:rsidRPr="00FD3C10">
            <w:rPr>
              <w:szCs w:val="22"/>
            </w:rPr>
            <w:t xml:space="preserve"> ministeriële regeling</w:t>
          </w:r>
          <w:r w:rsidRPr="00FD3C10">
            <w:rPr>
              <w:rStyle w:val="Voetnootmarkering"/>
              <w:szCs w:val="22"/>
            </w:rPr>
            <w:footnoteReference w:id="42"/>
          </w:r>
          <w:r w:rsidRPr="00FD3C10">
            <w:rPr>
              <w:szCs w:val="22"/>
            </w:rPr>
            <w:t xml:space="preserve"> zal de instellingen de gelegenheid worden geboden om </w:t>
          </w:r>
          <w:r>
            <w:rPr>
              <w:szCs w:val="22"/>
            </w:rPr>
            <w:t xml:space="preserve">gezamenlijk </w:t>
          </w:r>
          <w:r w:rsidRPr="00FD3C10">
            <w:rPr>
              <w:szCs w:val="22"/>
            </w:rPr>
            <w:t>clusteraanvra</w:t>
          </w:r>
          <w:r>
            <w:rPr>
              <w:szCs w:val="22"/>
            </w:rPr>
            <w:t>gen</w:t>
          </w:r>
          <w:r w:rsidRPr="00FD3C10">
            <w:rPr>
              <w:szCs w:val="22"/>
            </w:rPr>
            <w:t xml:space="preserve"> in te dienen.</w:t>
          </w:r>
          <w:r w:rsidRPr="00FD3C10">
            <w:rPr>
              <w:szCs w:val="22"/>
              <w:vertAlign w:val="superscript"/>
            </w:rPr>
            <w:footnoteReference w:id="43"/>
          </w:r>
          <w:r w:rsidRPr="00FD3C10">
            <w:rPr>
              <w:szCs w:val="22"/>
            </w:rPr>
            <w:t xml:space="preserve"> De huidige macrodoelmatigheidsregeling biedt instellingen hiertoe reeds de mogelijkheid bij de aanvraag voor het starten van nieuwe opleidingen.</w:t>
          </w:r>
          <w:r w:rsidRPr="00FD3C10">
            <w:rPr>
              <w:szCs w:val="22"/>
              <w:vertAlign w:val="superscript"/>
            </w:rPr>
            <w:footnoteReference w:id="44"/>
          </w:r>
          <w:r w:rsidRPr="00FD3C10">
            <w:rPr>
              <w:szCs w:val="22"/>
            </w:rPr>
            <w:t xml:space="preserve"> </w:t>
          </w:r>
        </w:p>
        <w:p w:rsidRPr="00FD3C10" w:rsidR="000F4212" w:rsidP="000F4212" w:rsidRDefault="000F4212" w14:paraId="0A0DCB6A" w14:textId="77777777">
          <w:pPr>
            <w:rPr>
              <w:szCs w:val="22"/>
            </w:rPr>
          </w:pPr>
        </w:p>
        <w:p w:rsidRPr="00FD3C10" w:rsidR="000F4212" w:rsidP="000F4212" w:rsidRDefault="000F4212" w14:paraId="4E414972" w14:textId="433D2D6A">
          <w:pPr>
            <w:rPr>
              <w:szCs w:val="22"/>
            </w:rPr>
          </w:pPr>
          <w:r w:rsidRPr="00FD3C10">
            <w:rPr>
              <w:szCs w:val="22"/>
            </w:rPr>
            <w:t xml:space="preserve">De Afdeling </w:t>
          </w:r>
          <w:r w:rsidR="0082148F">
            <w:rPr>
              <w:szCs w:val="22"/>
            </w:rPr>
            <w:t>heeft begrip voor</w:t>
          </w:r>
          <w:r w:rsidRPr="00FD3C10" w:rsidR="0082148F">
            <w:rPr>
              <w:szCs w:val="22"/>
            </w:rPr>
            <w:t xml:space="preserve"> </w:t>
          </w:r>
          <w:r w:rsidRPr="00FD3C10">
            <w:rPr>
              <w:szCs w:val="22"/>
            </w:rPr>
            <w:t xml:space="preserve">de keuze voor deze sturingsfilosofie. Eerder zijn via bestuursakkoorden en sectorplannen al met succes stelselherzieningen tot </w:t>
          </w:r>
          <w:r w:rsidR="00BE3FC0">
            <w:rPr>
              <w:szCs w:val="22"/>
            </w:rPr>
            <w:t>stand</w:t>
          </w:r>
          <w:r w:rsidRPr="00FD3C10">
            <w:rPr>
              <w:szCs w:val="22"/>
            </w:rPr>
            <w:t xml:space="preserve"> gebracht in het hoger onderwijsstelsel</w:t>
          </w:r>
          <w:r w:rsidR="00251932">
            <w:rPr>
              <w:szCs w:val="22"/>
            </w:rPr>
            <w:t>.</w:t>
          </w:r>
          <w:r w:rsidRPr="00FD3C10">
            <w:rPr>
              <w:szCs w:val="22"/>
            </w:rPr>
            <w:t xml:space="preserve"> </w:t>
          </w:r>
          <w:r w:rsidR="00251932">
            <w:rPr>
              <w:szCs w:val="22"/>
            </w:rPr>
            <w:t xml:space="preserve">Ook </w:t>
          </w:r>
          <w:r w:rsidRPr="00FD3C10">
            <w:rPr>
              <w:szCs w:val="22"/>
            </w:rPr>
            <w:t>zijn er met het oog op doelmatigheid herverdelingsoperaties uitgevoerd.</w:t>
          </w:r>
          <w:r w:rsidRPr="00FD3C10">
            <w:rPr>
              <w:szCs w:val="22"/>
              <w:vertAlign w:val="superscript"/>
            </w:rPr>
            <w:footnoteReference w:id="45"/>
          </w:r>
          <w:r w:rsidRPr="00FD3C10">
            <w:rPr>
              <w:szCs w:val="22"/>
            </w:rPr>
            <w:t xml:space="preserve"> </w:t>
          </w:r>
          <w:r w:rsidR="00251932">
            <w:rPr>
              <w:szCs w:val="22"/>
            </w:rPr>
            <w:t>Verder</w:t>
          </w:r>
          <w:r w:rsidRPr="00FD3C10">
            <w:rPr>
              <w:szCs w:val="22"/>
            </w:rPr>
            <w:t xml:space="preserve"> is vaker geadviseerd om te komen tot meer regievoering en een strategie gericht op spreiding en concentratie van het opleidingsaanbod.</w:t>
          </w:r>
          <w:r w:rsidRPr="00FD3C10">
            <w:rPr>
              <w:szCs w:val="22"/>
              <w:vertAlign w:val="superscript"/>
            </w:rPr>
            <w:footnoteReference w:id="46"/>
          </w:r>
          <w:r w:rsidRPr="00FD3C10">
            <w:rPr>
              <w:szCs w:val="22"/>
            </w:rPr>
            <w:t xml:space="preserve"> In het Bestuursakkoord 2022 zijn reeds afspraken gemaakt over het beheersen van internationale studentenstromen en het behoud van Nederlands als academische taal.</w:t>
          </w:r>
          <w:r w:rsidRPr="00FD3C10">
            <w:rPr>
              <w:szCs w:val="22"/>
              <w:vertAlign w:val="superscript"/>
            </w:rPr>
            <w:footnoteReference w:id="47"/>
          </w:r>
          <w:r w:rsidRPr="00FD3C10">
            <w:rPr>
              <w:szCs w:val="22"/>
            </w:rPr>
            <w:t xml:space="preserve"> En recent hebben de koepelorganisaties Vereniging Hogescholen (VH) en Universiteiten van Nederland (UNL) op verzoek van de minister, daartoe opgeroepen door de Tweede Kamer, elk een eerste plan opgeleverd met maatregelen om invulling te geven aan deze zelfregie.</w:t>
          </w:r>
          <w:r w:rsidRPr="00FD3C10">
            <w:rPr>
              <w:szCs w:val="22"/>
              <w:vertAlign w:val="superscript"/>
            </w:rPr>
            <w:footnoteReference w:id="48"/>
          </w:r>
          <w:r w:rsidRPr="00FD3C10">
            <w:rPr>
              <w:szCs w:val="22"/>
            </w:rPr>
            <w:t xml:space="preserve"> Dit sluit aan bij de gekozen sturingsfilosofie die uit een combinatie van zelfregie, bestuurlijke afspraken en wettelijke maatregelen bestaat.</w:t>
          </w:r>
        </w:p>
        <w:p w:rsidRPr="00FD3C10" w:rsidR="000F4212" w:rsidP="000F4212" w:rsidRDefault="000F4212" w14:paraId="39AB6D23" w14:textId="77777777">
          <w:pPr>
            <w:rPr>
              <w:szCs w:val="22"/>
            </w:rPr>
          </w:pPr>
        </w:p>
        <w:p w:rsidR="00D91414" w:rsidP="000F4212" w:rsidRDefault="000F4212" w14:paraId="5CCA6189" w14:textId="546A268B">
          <w:pPr>
            <w:rPr>
              <w:szCs w:val="22"/>
            </w:rPr>
          </w:pPr>
          <w:r w:rsidRPr="00FD3C10">
            <w:rPr>
              <w:szCs w:val="22"/>
            </w:rPr>
            <w:t>De tekst van het wetsvoorstel</w:t>
          </w:r>
          <w:r w:rsidRPr="00FD3C10">
            <w:rPr>
              <w:rStyle w:val="Voetnootmarkering"/>
              <w:szCs w:val="22"/>
            </w:rPr>
            <w:footnoteReference w:id="49"/>
          </w:r>
          <w:r w:rsidRPr="00FD3C10">
            <w:rPr>
              <w:szCs w:val="22"/>
            </w:rPr>
            <w:t xml:space="preserve"> gaat </w:t>
          </w:r>
          <w:r>
            <w:rPr>
              <w:szCs w:val="22"/>
            </w:rPr>
            <w:t xml:space="preserve">niettemin </w:t>
          </w:r>
          <w:r w:rsidRPr="00FD3C10">
            <w:rPr>
              <w:szCs w:val="22"/>
            </w:rPr>
            <w:t xml:space="preserve">uit van de situatie dat </w:t>
          </w:r>
          <w:r w:rsidR="005D4957">
            <w:rPr>
              <w:szCs w:val="22"/>
            </w:rPr>
            <w:t xml:space="preserve">individuele </w:t>
          </w:r>
          <w:r w:rsidRPr="00FD3C10">
            <w:rPr>
              <w:szCs w:val="22"/>
            </w:rPr>
            <w:t xml:space="preserve">instellingen afzonderlijk en per opleiding een aparte aanvraag indienen. Dat is begrijpelijk, gelet op de autonomie van de instellingen en de mogelijkheid dat instellingen geen overeenstemming weten te bereiken. </w:t>
          </w:r>
          <w:r w:rsidR="00A52DF1">
            <w:rPr>
              <w:szCs w:val="22"/>
            </w:rPr>
            <w:t xml:space="preserve">Bij </w:t>
          </w:r>
          <w:r w:rsidRPr="00FD3C10">
            <w:rPr>
              <w:szCs w:val="22"/>
            </w:rPr>
            <w:t>de gekozen sturingsfilosofie</w:t>
          </w:r>
          <w:r w:rsidR="00A52DF1">
            <w:rPr>
              <w:szCs w:val="22"/>
            </w:rPr>
            <w:t xml:space="preserve"> is</w:t>
          </w:r>
          <w:r w:rsidRPr="00FD3C10">
            <w:rPr>
              <w:szCs w:val="22"/>
            </w:rPr>
            <w:t xml:space="preserve"> het nadrukkelijk de intentie dat instellingen gezamenlijk tot een strategie komen met het oog op spreiding en concentratie van opleidingen</w:t>
          </w:r>
          <w:r w:rsidR="000E27FD">
            <w:rPr>
              <w:szCs w:val="22"/>
            </w:rPr>
            <w:t xml:space="preserve">. </w:t>
          </w:r>
        </w:p>
        <w:p w:rsidR="00D91414" w:rsidP="000F4212" w:rsidRDefault="00D91414" w14:paraId="51DFAC3A" w14:textId="77777777">
          <w:pPr>
            <w:rPr>
              <w:szCs w:val="22"/>
            </w:rPr>
          </w:pPr>
        </w:p>
        <w:p w:rsidRPr="00FD3C10" w:rsidR="000F4212" w:rsidP="000F4212" w:rsidRDefault="000E27FD" w14:paraId="00869F93" w14:textId="072839E2">
          <w:pPr>
            <w:rPr>
              <w:szCs w:val="22"/>
            </w:rPr>
          </w:pPr>
          <w:r>
            <w:rPr>
              <w:szCs w:val="22"/>
            </w:rPr>
            <w:t xml:space="preserve">Gelet daarop </w:t>
          </w:r>
          <w:r w:rsidR="00714D1C">
            <w:rPr>
              <w:szCs w:val="22"/>
            </w:rPr>
            <w:t>adviseert de Afdeling</w:t>
          </w:r>
          <w:r w:rsidRPr="00FD3C10" w:rsidR="000F4212">
            <w:rPr>
              <w:szCs w:val="22"/>
            </w:rPr>
            <w:t xml:space="preserve"> om deze – blijkens de toelichting </w:t>
          </w:r>
          <w:r w:rsidR="000F4212">
            <w:rPr>
              <w:szCs w:val="22"/>
            </w:rPr>
            <w:t xml:space="preserve">sterk </w:t>
          </w:r>
          <w:r w:rsidRPr="00FD3C10" w:rsidR="000F4212">
            <w:rPr>
              <w:szCs w:val="22"/>
            </w:rPr>
            <w:t xml:space="preserve">geprefereerde – strategie in de wettekst tot uitdrukking te laten komen. Daartoe zou in de wet zelf de preferentie voor de (regionale of sectorale) clusteraanvragen voor de continuering van bestaande anderstalige opleidingen </w:t>
          </w:r>
          <w:r w:rsidR="008F6BB9">
            <w:rPr>
              <w:szCs w:val="22"/>
            </w:rPr>
            <w:t>kunnen</w:t>
          </w:r>
          <w:r w:rsidRPr="00FD3C10" w:rsidR="008F6BB9">
            <w:rPr>
              <w:szCs w:val="22"/>
            </w:rPr>
            <w:t xml:space="preserve"> </w:t>
          </w:r>
          <w:r w:rsidRPr="00FD3C10" w:rsidR="000F4212">
            <w:rPr>
              <w:szCs w:val="22"/>
            </w:rPr>
            <w:t>worden opgenomen</w:t>
          </w:r>
          <w:r w:rsidR="000F4212">
            <w:rPr>
              <w:szCs w:val="22"/>
            </w:rPr>
            <w:t xml:space="preserve">. Om </w:t>
          </w:r>
          <w:r w:rsidR="003E0585">
            <w:rPr>
              <w:szCs w:val="22"/>
            </w:rPr>
            <w:t xml:space="preserve">in dit verband </w:t>
          </w:r>
          <w:r w:rsidRPr="00FD3C10" w:rsidR="000F4212">
            <w:rPr>
              <w:szCs w:val="22"/>
            </w:rPr>
            <w:t>een zo goed mogelijke samenwerking en legitimatie naar de geledingen binnen de instellingen</w:t>
          </w:r>
          <w:r w:rsidR="000F4212">
            <w:rPr>
              <w:szCs w:val="22"/>
            </w:rPr>
            <w:t xml:space="preserve"> te bevorderen,</w:t>
          </w:r>
          <w:r w:rsidRPr="00FD3C10" w:rsidR="000F4212">
            <w:rPr>
              <w:szCs w:val="22"/>
            </w:rPr>
            <w:t xml:space="preserve"> </w:t>
          </w:r>
          <w:r w:rsidR="003E0585">
            <w:rPr>
              <w:szCs w:val="22"/>
            </w:rPr>
            <w:t xml:space="preserve">zou </w:t>
          </w:r>
          <w:r w:rsidRPr="00FD3C10" w:rsidR="000F4212">
            <w:rPr>
              <w:szCs w:val="22"/>
            </w:rPr>
            <w:t xml:space="preserve">een verplichting tot het voeren van op overeenstemming gericht overleg in de wet </w:t>
          </w:r>
          <w:r w:rsidR="00A92BEA">
            <w:rPr>
              <w:szCs w:val="22"/>
            </w:rPr>
            <w:t>kunnen</w:t>
          </w:r>
          <w:r w:rsidRPr="00FD3C10" w:rsidR="000F4212">
            <w:rPr>
              <w:szCs w:val="22"/>
            </w:rPr>
            <w:t xml:space="preserve"> worden opgenomen.</w:t>
          </w:r>
          <w:r w:rsidRPr="00FD3C10" w:rsidR="000F4212">
            <w:rPr>
              <w:szCs w:val="22"/>
              <w:vertAlign w:val="superscript"/>
            </w:rPr>
            <w:footnoteReference w:id="50"/>
          </w:r>
          <w:r w:rsidRPr="00FD3C10" w:rsidR="000F4212">
            <w:rPr>
              <w:szCs w:val="22"/>
            </w:rPr>
            <w:t xml:space="preserve"> </w:t>
          </w:r>
        </w:p>
        <w:p w:rsidRPr="00FD3C10" w:rsidR="000F4212" w:rsidP="000F4212" w:rsidRDefault="000F4212" w14:paraId="47A4854C" w14:textId="77777777">
          <w:pPr>
            <w:rPr>
              <w:szCs w:val="22"/>
            </w:rPr>
          </w:pPr>
        </w:p>
        <w:p w:rsidRPr="00FD3C10" w:rsidR="000F4212" w:rsidP="000F4212" w:rsidRDefault="000F4212" w14:paraId="0D9A859D" w14:textId="77777777">
          <w:pPr>
            <w:rPr>
              <w:szCs w:val="22"/>
            </w:rPr>
          </w:pPr>
          <w:r w:rsidRPr="00FD3C10">
            <w:rPr>
              <w:szCs w:val="22"/>
            </w:rPr>
            <w:t xml:space="preserve">De Afdeling adviseert het wetsvoorstel in deze zin aan te passen. </w:t>
          </w:r>
        </w:p>
        <w:p w:rsidRPr="00FD3C10" w:rsidR="000F4212" w:rsidP="000F4212" w:rsidRDefault="000F4212" w14:paraId="7C047E2C" w14:textId="77777777">
          <w:pPr>
            <w:rPr>
              <w:szCs w:val="22"/>
              <w:u w:val="single"/>
            </w:rPr>
          </w:pPr>
        </w:p>
        <w:p w:rsidRPr="00FD3C10" w:rsidR="000F4212" w:rsidP="000F4212" w:rsidRDefault="000F4212" w14:paraId="53694948" w14:textId="6286C1FA">
          <w:pPr>
            <w:rPr>
              <w:i/>
              <w:iCs/>
              <w:szCs w:val="22"/>
            </w:rPr>
          </w:pPr>
          <w:r w:rsidRPr="00FD3C10">
            <w:rPr>
              <w:szCs w:val="22"/>
            </w:rPr>
            <w:t>b.</w:t>
          </w:r>
          <w:r w:rsidRPr="00FD3C10">
            <w:rPr>
              <w:i/>
              <w:iCs/>
              <w:szCs w:val="22"/>
            </w:rPr>
            <w:tab/>
            <w:t>Rechtszekerheid en proportionaliteit</w:t>
          </w:r>
        </w:p>
        <w:p w:rsidRPr="00FD3C10" w:rsidR="000F4212" w:rsidP="000F4212" w:rsidRDefault="000F4212" w14:paraId="092D2D32" w14:textId="77777777">
          <w:pPr>
            <w:rPr>
              <w:szCs w:val="22"/>
            </w:rPr>
          </w:pPr>
          <w:r w:rsidRPr="00FD3C10">
            <w:rPr>
              <w:szCs w:val="22"/>
            </w:rPr>
            <w:t>De Afdeling merkt op dat de doelmatigheidstoetsing van bestaand anderstalig opleidingsaanbod een potentieel ingrijpend instrument</w:t>
          </w:r>
          <w:r>
            <w:rPr>
              <w:szCs w:val="22"/>
            </w:rPr>
            <w:t xml:space="preserve"> is</w:t>
          </w:r>
          <w:r w:rsidRPr="00FD3C10">
            <w:rPr>
              <w:szCs w:val="22"/>
            </w:rPr>
            <w:t xml:space="preserve">. </w:t>
          </w:r>
          <w:r>
            <w:rPr>
              <w:szCs w:val="22"/>
            </w:rPr>
            <w:t xml:space="preserve">In dit verband </w:t>
          </w:r>
          <w:r w:rsidRPr="00FD3C10">
            <w:rPr>
              <w:szCs w:val="22"/>
            </w:rPr>
            <w:t xml:space="preserve">is het </w:t>
          </w:r>
          <w:r>
            <w:rPr>
              <w:szCs w:val="22"/>
            </w:rPr>
            <w:t>zaak</w:t>
          </w:r>
          <w:r w:rsidRPr="00FD3C10">
            <w:rPr>
              <w:szCs w:val="22"/>
            </w:rPr>
            <w:t xml:space="preserve"> om de belangen van hoger onderwijsinstellingen, onderwijspersoneel en studenten zo goed mogelijk te waarborgen. </w:t>
          </w:r>
        </w:p>
        <w:p w:rsidRPr="00FD3C10" w:rsidR="000F4212" w:rsidP="000F4212" w:rsidRDefault="000F4212" w14:paraId="252B8911" w14:textId="77777777">
          <w:pPr>
            <w:rPr>
              <w:szCs w:val="22"/>
            </w:rPr>
          </w:pPr>
        </w:p>
        <w:p w:rsidRPr="00FD3C10" w:rsidR="000F4212" w:rsidP="000F4212" w:rsidRDefault="000F4212" w14:paraId="123629F8" w14:textId="3EBE7099">
          <w:pPr>
            <w:rPr>
              <w:szCs w:val="22"/>
            </w:rPr>
          </w:pPr>
          <w:r w:rsidRPr="0061379A">
            <w:rPr>
              <w:szCs w:val="22"/>
            </w:rPr>
            <w:t>De Afdeling constateert dat de regering in de toelichting tegemoet is gekomen aan de zorgen over de rechtszekerheid van instellingen over de uitwerking van de toets anderstalig onderwijs.</w:t>
          </w:r>
          <w:r w:rsidRPr="0061379A">
            <w:rPr>
              <w:rStyle w:val="Voetnootmarkering"/>
              <w:szCs w:val="22"/>
            </w:rPr>
            <w:footnoteReference w:id="51"/>
          </w:r>
          <w:r w:rsidRPr="0061379A">
            <w:rPr>
              <w:szCs w:val="22"/>
            </w:rPr>
            <w:t xml:space="preserve"> Daartoe is een uitgebreide uitleg gegeven </w:t>
          </w:r>
          <w:r w:rsidR="00F93472">
            <w:rPr>
              <w:szCs w:val="22"/>
            </w:rPr>
            <w:t xml:space="preserve">over </w:t>
          </w:r>
          <w:r w:rsidRPr="0061379A">
            <w:rPr>
              <w:szCs w:val="22"/>
            </w:rPr>
            <w:t>de</w:t>
          </w:r>
          <w:r w:rsidR="00F93472">
            <w:rPr>
              <w:szCs w:val="22"/>
            </w:rPr>
            <w:t xml:space="preserve"> inhoud van de</w:t>
          </w:r>
          <w:r w:rsidRPr="0061379A">
            <w:rPr>
              <w:szCs w:val="22"/>
            </w:rPr>
            <w:t xml:space="preserve"> doelmatigheidstoetsing</w:t>
          </w:r>
          <w:r>
            <w:rPr>
              <w:szCs w:val="22"/>
            </w:rPr>
            <w:t>. Bovendien is er alsnog</w:t>
          </w:r>
          <w:r w:rsidRPr="0061379A">
            <w:rPr>
              <w:szCs w:val="22"/>
            </w:rPr>
            <w:t xml:space="preserve"> voor gekozen om de criteria uit te werken in een algemene maatregel van bestuur.</w:t>
          </w:r>
          <w:r w:rsidRPr="0061379A">
            <w:rPr>
              <w:rStyle w:val="Voetnootmarkering"/>
              <w:szCs w:val="22"/>
            </w:rPr>
            <w:footnoteReference w:id="52"/>
          </w:r>
          <w:r w:rsidRPr="0061379A">
            <w:rPr>
              <w:szCs w:val="22"/>
            </w:rPr>
            <w:t xml:space="preserve"> </w:t>
          </w:r>
        </w:p>
        <w:p w:rsidRPr="00FD3C10" w:rsidR="000F4212" w:rsidP="000F4212" w:rsidRDefault="000F4212" w14:paraId="42F4CBF0" w14:textId="77777777">
          <w:pPr>
            <w:rPr>
              <w:szCs w:val="22"/>
            </w:rPr>
          </w:pPr>
        </w:p>
        <w:p w:rsidR="000F4212" w:rsidP="000F4212" w:rsidRDefault="000F4212" w14:paraId="78F6CFD6" w14:textId="219ABAD0">
          <w:pPr>
            <w:rPr>
              <w:szCs w:val="22"/>
            </w:rPr>
          </w:pPr>
          <w:r w:rsidRPr="00FD3C10">
            <w:rPr>
              <w:szCs w:val="22"/>
            </w:rPr>
            <w:t>Verder blijkt uit de toelichting dat de minister slechts in laatste instantie zijn doorzettingsmacht wil gebruiken om te interveniëren in bestaand anderstalig onderwijsaanbod.</w:t>
          </w:r>
          <w:r w:rsidRPr="00FD3C10">
            <w:rPr>
              <w:szCs w:val="22"/>
              <w:vertAlign w:val="superscript"/>
            </w:rPr>
            <w:footnoteReference w:id="53"/>
          </w:r>
          <w:r w:rsidRPr="00FD3C10">
            <w:rPr>
              <w:szCs w:val="22"/>
            </w:rPr>
            <w:t xml:space="preserve"> De Afdeling merkt op dat dit </w:t>
          </w:r>
          <w:r w:rsidRPr="0061379A">
            <w:rPr>
              <w:i/>
              <w:iCs/>
              <w:szCs w:val="22"/>
            </w:rPr>
            <w:t>ultimum remedium</w:t>
          </w:r>
          <w:r w:rsidRPr="00FD3C10">
            <w:rPr>
              <w:szCs w:val="22"/>
            </w:rPr>
            <w:t xml:space="preserve">-karakter van belang is voor de proportionaliteit van de maatregelen, maar dat </w:t>
          </w:r>
          <w:r w:rsidR="00D4642C">
            <w:rPr>
              <w:szCs w:val="22"/>
            </w:rPr>
            <w:t xml:space="preserve">dit </w:t>
          </w:r>
          <w:r w:rsidRPr="00FD3C10">
            <w:rPr>
              <w:szCs w:val="22"/>
            </w:rPr>
            <w:t>nog</w:t>
          </w:r>
          <w:r w:rsidR="003B64C1">
            <w:rPr>
              <w:szCs w:val="22"/>
            </w:rPr>
            <w:t xml:space="preserve"> niet</w:t>
          </w:r>
          <w:r w:rsidR="0057632B">
            <w:rPr>
              <w:szCs w:val="22"/>
            </w:rPr>
            <w:t xml:space="preserve"> </w:t>
          </w:r>
          <w:r w:rsidRPr="00FD3C10">
            <w:rPr>
              <w:szCs w:val="22"/>
            </w:rPr>
            <w:t>in de wettekst</w:t>
          </w:r>
          <w:r w:rsidR="0057632B">
            <w:rPr>
              <w:szCs w:val="22"/>
            </w:rPr>
            <w:t xml:space="preserve"> </w:t>
          </w:r>
          <w:r w:rsidR="002B31A3">
            <w:rPr>
              <w:szCs w:val="22"/>
            </w:rPr>
            <w:t>tot uit</w:t>
          </w:r>
          <w:r w:rsidR="00D4642C">
            <w:rPr>
              <w:szCs w:val="22"/>
            </w:rPr>
            <w:t>drukk</w:t>
          </w:r>
          <w:r w:rsidR="002B31A3">
            <w:rPr>
              <w:szCs w:val="22"/>
            </w:rPr>
            <w:t>ing komt</w:t>
          </w:r>
          <w:r w:rsidRPr="00FD3C10">
            <w:rPr>
              <w:szCs w:val="22"/>
            </w:rPr>
            <w:t xml:space="preserve">. </w:t>
          </w:r>
        </w:p>
        <w:p w:rsidRPr="00FD3C10" w:rsidR="009B16E9" w:rsidP="000F4212" w:rsidRDefault="009B16E9" w14:paraId="6E4921EE" w14:textId="77777777">
          <w:pPr>
            <w:rPr>
              <w:szCs w:val="22"/>
            </w:rPr>
          </w:pPr>
        </w:p>
        <w:p w:rsidRPr="00FD3C10" w:rsidR="000F4212" w:rsidP="000F4212" w:rsidRDefault="000F4212" w14:paraId="2F9041CD" w14:textId="2FDF1C6E">
          <w:pPr>
            <w:rPr>
              <w:szCs w:val="22"/>
            </w:rPr>
          </w:pPr>
          <w:r w:rsidRPr="00FD3C10">
            <w:rPr>
              <w:szCs w:val="22"/>
            </w:rPr>
            <w:t xml:space="preserve">De Afdeling adviseert om in de toelichting op het voorgaande in te gaan en </w:t>
          </w:r>
          <w:r w:rsidR="00547AE1">
            <w:rPr>
              <w:szCs w:val="22"/>
            </w:rPr>
            <w:t>het ultimum-remedium-karakter van de doelmatigheidstoetsing van bestaand anderstalig opleidingsaanbod</w:t>
          </w:r>
          <w:r w:rsidR="002B31A3">
            <w:rPr>
              <w:szCs w:val="22"/>
            </w:rPr>
            <w:t xml:space="preserve"> en het op basis </w:t>
          </w:r>
          <w:r w:rsidR="00EC235B">
            <w:rPr>
              <w:szCs w:val="22"/>
            </w:rPr>
            <w:t xml:space="preserve">daarvan ingrijpen in het aanbod </w:t>
          </w:r>
          <w:r w:rsidR="00547AE1">
            <w:rPr>
              <w:szCs w:val="22"/>
            </w:rPr>
            <w:t>alsnog in de wettekst tot uitdrukking te brengen.</w:t>
          </w:r>
        </w:p>
        <w:p w:rsidRPr="00FD3C10" w:rsidR="000F4212" w:rsidP="000F4212" w:rsidRDefault="000F4212" w14:paraId="4C390F18" w14:textId="77777777">
          <w:pPr>
            <w:rPr>
              <w:szCs w:val="22"/>
            </w:rPr>
          </w:pPr>
        </w:p>
        <w:p w:rsidRPr="00FD3C10" w:rsidR="000F4212" w:rsidP="000F4212" w:rsidRDefault="000F4212" w14:paraId="4404D958" w14:textId="66CC81E3">
          <w:pPr>
            <w:rPr>
              <w:i/>
              <w:iCs/>
              <w:szCs w:val="22"/>
            </w:rPr>
          </w:pPr>
          <w:r w:rsidRPr="00FD3C10">
            <w:rPr>
              <w:szCs w:val="22"/>
            </w:rPr>
            <w:t>c.</w:t>
          </w:r>
          <w:r w:rsidRPr="00FD3C10">
            <w:rPr>
              <w:szCs w:val="22"/>
            </w:rPr>
            <w:tab/>
          </w:r>
          <w:r w:rsidRPr="00FD3C10">
            <w:rPr>
              <w:i/>
              <w:iCs/>
              <w:szCs w:val="22"/>
            </w:rPr>
            <w:t>Doelmatigheidscriteria</w:t>
          </w:r>
        </w:p>
        <w:p w:rsidRPr="00FD3C10" w:rsidR="000F4212" w:rsidP="000F4212" w:rsidRDefault="000F4212" w14:paraId="0912E5B4" w14:textId="77777777">
          <w:pPr>
            <w:rPr>
              <w:szCs w:val="22"/>
            </w:rPr>
          </w:pPr>
          <w:r w:rsidRPr="00FD3C10">
            <w:rPr>
              <w:szCs w:val="22"/>
            </w:rPr>
            <w:t xml:space="preserve">Het tweede lid van de </w:t>
          </w:r>
          <w:r>
            <w:rPr>
              <w:szCs w:val="22"/>
            </w:rPr>
            <w:t xml:space="preserve">voorgestelde </w:t>
          </w:r>
          <w:r w:rsidRPr="00FD3C10">
            <w:rPr>
              <w:szCs w:val="22"/>
            </w:rPr>
            <w:t xml:space="preserve">artikelen 6.3 en 6.4 </w:t>
          </w:r>
          <w:r>
            <w:rPr>
              <w:szCs w:val="22"/>
            </w:rPr>
            <w:t xml:space="preserve">van de WHW </w:t>
          </w:r>
          <w:r w:rsidRPr="00FD3C10">
            <w:rPr>
              <w:szCs w:val="22"/>
            </w:rPr>
            <w:t xml:space="preserve">bevat de criteria voor de toets anderstalig onderwijs. Op grond van deze </w:t>
          </w:r>
          <w:r>
            <w:rPr>
              <w:szCs w:val="22"/>
            </w:rPr>
            <w:t>bepaling</w:t>
          </w:r>
          <w:r w:rsidRPr="00FD3C10">
            <w:rPr>
              <w:szCs w:val="22"/>
            </w:rPr>
            <w:t xml:space="preserve">en stemt de minister van OCW in met het verzorgen van een anderstalige opleiding of </w:t>
          </w:r>
          <w:r>
            <w:rPr>
              <w:szCs w:val="22"/>
            </w:rPr>
            <w:t xml:space="preserve">anderstalig </w:t>
          </w:r>
          <w:r w:rsidRPr="00FD3C10">
            <w:rPr>
              <w:szCs w:val="22"/>
            </w:rPr>
            <w:t>traject indien aan deze criteria is voldaan. Deze criteria worden in samenhang bezien en onderling afgewogen in de oordeelsvorming over de doelmatigheid. De exacte wijze van toetsing aan de criteria zal zoals gezegd nader worden geconcretiseerd in een algemene maatregel van bestuur.</w:t>
          </w:r>
          <w:r>
            <w:rPr>
              <w:rStyle w:val="Voetnootmarkering"/>
              <w:szCs w:val="22"/>
            </w:rPr>
            <w:footnoteReference w:id="54"/>
          </w:r>
          <w:r w:rsidRPr="00FD3C10">
            <w:rPr>
              <w:szCs w:val="22"/>
            </w:rPr>
            <w:t xml:space="preserve"> </w:t>
          </w:r>
        </w:p>
        <w:p w:rsidRPr="00FD3C10" w:rsidR="000F4212" w:rsidP="000F4212" w:rsidRDefault="000F4212" w14:paraId="3502F0F9" w14:textId="77777777">
          <w:pPr>
            <w:rPr>
              <w:szCs w:val="22"/>
            </w:rPr>
          </w:pPr>
        </w:p>
        <w:p w:rsidRPr="00FD3C10" w:rsidR="000F4212" w:rsidP="000F4212" w:rsidRDefault="000F4212" w14:paraId="4CE35E57" w14:textId="74737DB1">
          <w:pPr>
            <w:rPr>
              <w:szCs w:val="22"/>
            </w:rPr>
          </w:pPr>
          <w:r w:rsidRPr="00FD3C10">
            <w:rPr>
              <w:szCs w:val="22"/>
            </w:rPr>
            <w:t>Volgens de toelichting speelt bij elk van deze criteria mee in welke mate er personeel beschikbaar is dat (op een niveau</w:t>
          </w:r>
          <w:r>
            <w:rPr>
              <w:szCs w:val="22"/>
            </w:rPr>
            <w:t>,</w:t>
          </w:r>
          <w:r w:rsidRPr="00FD3C10">
            <w:rPr>
              <w:szCs w:val="22"/>
            </w:rPr>
            <w:t xml:space="preserve"> </w:t>
          </w:r>
          <w:r>
            <w:rPr>
              <w:szCs w:val="22"/>
            </w:rPr>
            <w:t>vereist</w:t>
          </w:r>
          <w:r w:rsidRPr="00FD3C10">
            <w:rPr>
              <w:szCs w:val="22"/>
            </w:rPr>
            <w:t xml:space="preserve"> voor kwalitatief goed onderwijs) in het Nederlands kan doceren.</w:t>
          </w:r>
          <w:r>
            <w:rPr>
              <w:rStyle w:val="Voetnootmarkering"/>
              <w:szCs w:val="22"/>
            </w:rPr>
            <w:footnoteReference w:id="55"/>
          </w:r>
          <w:r w:rsidRPr="00FD3C10">
            <w:rPr>
              <w:szCs w:val="22"/>
            </w:rPr>
            <w:t xml:space="preserve"> Dit </w:t>
          </w:r>
          <w:r w:rsidR="005C0F91">
            <w:rPr>
              <w:szCs w:val="22"/>
            </w:rPr>
            <w:t>vooronderstelt</w:t>
          </w:r>
          <w:r w:rsidR="005E40C7">
            <w:rPr>
              <w:szCs w:val="22"/>
            </w:rPr>
            <w:t xml:space="preserve"> </w:t>
          </w:r>
          <w:r w:rsidRPr="00FD3C10">
            <w:rPr>
              <w:szCs w:val="22"/>
            </w:rPr>
            <w:t xml:space="preserve">dat de instelling bij het beroep op regionale omstandigheden, arbeidsmarkt of internationale uniciteit </w:t>
          </w:r>
          <w:r w:rsidR="00E03267">
            <w:rPr>
              <w:szCs w:val="22"/>
            </w:rPr>
            <w:t>dan wel</w:t>
          </w:r>
          <w:r w:rsidRPr="00FD3C10" w:rsidR="00700703">
            <w:rPr>
              <w:szCs w:val="22"/>
            </w:rPr>
            <w:t xml:space="preserve"> </w:t>
          </w:r>
          <w:r w:rsidRPr="00FD3C10" w:rsidDel="005C0F91">
            <w:rPr>
              <w:szCs w:val="22"/>
            </w:rPr>
            <w:t xml:space="preserve">positionering </w:t>
          </w:r>
          <w:r>
            <w:rPr>
              <w:szCs w:val="22"/>
            </w:rPr>
            <w:t xml:space="preserve">onder omstandigheden </w:t>
          </w:r>
          <w:r w:rsidRPr="00FD3C10">
            <w:rPr>
              <w:szCs w:val="22"/>
            </w:rPr>
            <w:t xml:space="preserve">kan motiveren </w:t>
          </w:r>
          <w:r>
            <w:rPr>
              <w:szCs w:val="22"/>
            </w:rPr>
            <w:t>dat</w:t>
          </w:r>
          <w:r w:rsidRPr="00FD3C10">
            <w:rPr>
              <w:szCs w:val="22"/>
            </w:rPr>
            <w:t xml:space="preserve"> de inzet van anderstalig personeel </w:t>
          </w:r>
          <w:r>
            <w:rPr>
              <w:szCs w:val="22"/>
            </w:rPr>
            <w:t>bij gebreke van geschikt Nederlandstalig personeel voor</w:t>
          </w:r>
          <w:r w:rsidRPr="00FD3C10">
            <w:rPr>
              <w:szCs w:val="22"/>
            </w:rPr>
            <w:t xml:space="preserve"> de opleiding of het traject noodzakelijk is om goed onderwijs te verzorgen. </w:t>
          </w:r>
          <w:bookmarkStart w:name="_Hlk162698264" w:id="6"/>
          <w:r w:rsidRPr="00FD3C10">
            <w:rPr>
              <w:szCs w:val="22"/>
            </w:rPr>
            <w:t xml:space="preserve">In de voorgestelde wettekst is de </w:t>
          </w:r>
          <w:r>
            <w:rPr>
              <w:szCs w:val="22"/>
            </w:rPr>
            <w:t>al dan niet beschikbaarheid</w:t>
          </w:r>
          <w:r w:rsidRPr="00FD3C10">
            <w:rPr>
              <w:szCs w:val="22"/>
            </w:rPr>
            <w:t xml:space="preserve"> van </w:t>
          </w:r>
          <w:r>
            <w:rPr>
              <w:szCs w:val="22"/>
            </w:rPr>
            <w:t xml:space="preserve">zulk </w:t>
          </w:r>
          <w:r w:rsidRPr="00FD3C10">
            <w:rPr>
              <w:szCs w:val="22"/>
            </w:rPr>
            <w:t>personeel echter geen zelfstandig criterium</w:t>
          </w:r>
          <w:bookmarkEnd w:id="6"/>
          <w:r w:rsidRPr="00FD3C10">
            <w:rPr>
              <w:szCs w:val="22"/>
            </w:rPr>
            <w:t>.</w:t>
          </w:r>
        </w:p>
        <w:p w:rsidRPr="00FD3C10" w:rsidR="000F4212" w:rsidP="000F4212" w:rsidRDefault="000F4212" w14:paraId="49A7204C" w14:textId="77777777">
          <w:pPr>
            <w:rPr>
              <w:szCs w:val="22"/>
            </w:rPr>
          </w:pPr>
        </w:p>
        <w:p w:rsidRPr="00FD3C10" w:rsidR="000F4212" w:rsidP="000F4212" w:rsidRDefault="000F4212" w14:paraId="2B8EE4A5" w14:textId="54C13D27">
          <w:pPr>
            <w:rPr>
              <w:szCs w:val="22"/>
            </w:rPr>
          </w:pPr>
          <w:r w:rsidRPr="00FD3C10">
            <w:rPr>
              <w:szCs w:val="22"/>
            </w:rPr>
            <w:t xml:space="preserve">De Afdeling </w:t>
          </w:r>
          <w:r w:rsidR="00D874DF">
            <w:rPr>
              <w:szCs w:val="22"/>
            </w:rPr>
            <w:t xml:space="preserve">merkt op dat </w:t>
          </w:r>
          <w:r w:rsidRPr="00FD3C10">
            <w:rPr>
              <w:szCs w:val="22"/>
            </w:rPr>
            <w:t xml:space="preserve">het terecht </w:t>
          </w:r>
          <w:r w:rsidR="00D874DF">
            <w:rPr>
              <w:szCs w:val="22"/>
            </w:rPr>
            <w:t xml:space="preserve">is </w:t>
          </w:r>
          <w:r w:rsidRPr="00FD3C10">
            <w:rPr>
              <w:szCs w:val="22"/>
            </w:rPr>
            <w:t xml:space="preserve">dat bij de weging van de doelmatigheidscriteria ook de beschikbaarheid </w:t>
          </w:r>
          <w:r>
            <w:rPr>
              <w:szCs w:val="22"/>
            </w:rPr>
            <w:t xml:space="preserve">van personeel </w:t>
          </w:r>
          <w:r w:rsidRPr="00FD3C10">
            <w:rPr>
              <w:szCs w:val="22"/>
            </w:rPr>
            <w:t>een plaats krijgt</w:t>
          </w:r>
          <w:r w:rsidR="00D874DF">
            <w:rPr>
              <w:szCs w:val="22"/>
            </w:rPr>
            <w:t>.</w:t>
          </w:r>
          <w:r w:rsidRPr="00FD3C10">
            <w:rPr>
              <w:szCs w:val="22"/>
            </w:rPr>
            <w:t xml:space="preserve"> </w:t>
          </w:r>
          <w:r w:rsidR="00D874DF">
            <w:rPr>
              <w:szCs w:val="22"/>
            </w:rPr>
            <w:t>Zij</w:t>
          </w:r>
          <w:r w:rsidRPr="00FD3C10">
            <w:rPr>
              <w:szCs w:val="22"/>
            </w:rPr>
            <w:t xml:space="preserve"> vraagt zich </w:t>
          </w:r>
          <w:r w:rsidR="00D874DF">
            <w:rPr>
              <w:szCs w:val="22"/>
            </w:rPr>
            <w:t xml:space="preserve">echter </w:t>
          </w:r>
          <w:r w:rsidRPr="00FD3C10">
            <w:rPr>
              <w:szCs w:val="22"/>
            </w:rPr>
            <w:t>af of de wet daarvoor een voldoende grondslag biedt. Bepaald wordt immers dat de minister</w:t>
          </w:r>
          <w:r>
            <w:rPr>
              <w:szCs w:val="22"/>
            </w:rPr>
            <w:t xml:space="preserve"> zijn</w:t>
          </w:r>
          <w:r w:rsidRPr="00FD3C10">
            <w:rPr>
              <w:szCs w:val="22"/>
            </w:rPr>
            <w:t xml:space="preserve"> instemming verleent indien het anderstalig verzorgen van de opleiding of het traject doelmatig is, gelet op de wettelijke criteria. Die opsomming lijkt geen ruimte te bieden voor een beoordeling of weging die mede gestoeld is op andere gronden. </w:t>
          </w:r>
          <w:r w:rsidRPr="00FD3C10">
            <w:rPr>
              <w:szCs w:val="22"/>
            </w:rPr>
            <w:br/>
          </w:r>
          <w:r w:rsidRPr="00FD3C10">
            <w:rPr>
              <w:szCs w:val="22"/>
            </w:rPr>
            <w:br/>
            <w:t xml:space="preserve">De Afdeling adviseert hierop in de toelichting nader in </w:t>
          </w:r>
          <w:r w:rsidR="00E511AC">
            <w:rPr>
              <w:szCs w:val="22"/>
            </w:rPr>
            <w:t xml:space="preserve">te </w:t>
          </w:r>
          <w:r w:rsidRPr="00FD3C10">
            <w:rPr>
              <w:szCs w:val="22"/>
            </w:rPr>
            <w:t xml:space="preserve">gaan, dan wel in de </w:t>
          </w:r>
          <w:r>
            <w:rPr>
              <w:szCs w:val="22"/>
            </w:rPr>
            <w:t>wet</w:t>
          </w:r>
          <w:r w:rsidRPr="00FD3C10">
            <w:rPr>
              <w:szCs w:val="22"/>
            </w:rPr>
            <w:t>tekst te verduidelijken dat bij de weging van de wettelijke criteria de</w:t>
          </w:r>
          <w:r>
            <w:rPr>
              <w:szCs w:val="22"/>
            </w:rPr>
            <w:t xml:space="preserve"> al dan niet</w:t>
          </w:r>
          <w:r w:rsidRPr="00FD3C10">
            <w:rPr>
              <w:szCs w:val="22"/>
            </w:rPr>
            <w:t xml:space="preserve"> beschikbaarheid van voldoende Nederlandstalig personeel betrokken kan worden.</w:t>
          </w:r>
        </w:p>
        <w:p w:rsidRPr="00FD3C10" w:rsidR="000F4212" w:rsidP="000F4212" w:rsidRDefault="000F4212" w14:paraId="23E64A09" w14:textId="77777777">
          <w:pPr>
            <w:rPr>
              <w:szCs w:val="22"/>
            </w:rPr>
          </w:pPr>
        </w:p>
        <w:p w:rsidRPr="00FD3C10" w:rsidR="000F4212" w:rsidP="000F4212" w:rsidRDefault="000F4212" w14:paraId="54B308AB" w14:textId="77777777">
          <w:pPr>
            <w:rPr>
              <w:i/>
              <w:iCs/>
              <w:szCs w:val="22"/>
            </w:rPr>
          </w:pPr>
          <w:r w:rsidRPr="00FD3C10">
            <w:rPr>
              <w:szCs w:val="22"/>
            </w:rPr>
            <w:t>d.</w:t>
          </w:r>
          <w:r w:rsidRPr="00FD3C10">
            <w:rPr>
              <w:i/>
              <w:iCs/>
              <w:szCs w:val="22"/>
            </w:rPr>
            <w:t xml:space="preserve"> </w:t>
          </w:r>
          <w:r w:rsidRPr="00FD3C10">
            <w:rPr>
              <w:i/>
              <w:iCs/>
              <w:szCs w:val="22"/>
            </w:rPr>
            <w:tab/>
            <w:t>Onderscheid bachelor/master</w:t>
          </w:r>
        </w:p>
        <w:p w:rsidR="00754BE1" w:rsidP="000F4212" w:rsidRDefault="000F4212" w14:paraId="208A2D39" w14:textId="77777777">
          <w:pPr>
            <w:rPr>
              <w:szCs w:val="22"/>
            </w:rPr>
          </w:pPr>
          <w:r w:rsidRPr="00FD3C10">
            <w:rPr>
              <w:szCs w:val="22"/>
            </w:rPr>
            <w:t>De doelmatigheidstoetsing van bestaand anderstalig onderwijsaanbod heeft geen betrekking op masteropleidingen. Volgens de toelichting hebben masteropleidingen doorgaans een meer specialistisch karakter en kennen zij een sterkere verwevenheid met (al dan niet toegepast) onderzoek.</w:t>
          </w:r>
          <w:r w:rsidRPr="00FD3C10">
            <w:rPr>
              <w:szCs w:val="22"/>
              <w:vertAlign w:val="superscript"/>
            </w:rPr>
            <w:footnoteReference w:id="56"/>
          </w:r>
          <w:r w:rsidRPr="00FD3C10">
            <w:rPr>
              <w:szCs w:val="22"/>
            </w:rPr>
            <w:t xml:space="preserve"> Veel van deze opleidingen kunnen naar het oordeel van de regering een beroep doen op anderstaligheid als een doelmatige keuze</w:t>
          </w:r>
          <w:r>
            <w:rPr>
              <w:szCs w:val="22"/>
            </w:rPr>
            <w:t xml:space="preserve">. </w:t>
          </w:r>
        </w:p>
        <w:p w:rsidR="00754BE1" w:rsidP="000F4212" w:rsidRDefault="00754BE1" w14:paraId="0A1154D2" w14:textId="77777777">
          <w:pPr>
            <w:rPr>
              <w:szCs w:val="22"/>
            </w:rPr>
          </w:pPr>
        </w:p>
        <w:p w:rsidRPr="00FD3C10" w:rsidR="000F4212" w:rsidP="000F4212" w:rsidRDefault="00754BE1" w14:paraId="73607A4F" w14:textId="22B0F067">
          <w:pPr>
            <w:rPr>
              <w:szCs w:val="22"/>
            </w:rPr>
          </w:pPr>
          <w:r>
            <w:rPr>
              <w:szCs w:val="22"/>
            </w:rPr>
            <w:t>D</w:t>
          </w:r>
          <w:r w:rsidRPr="00FD3C10" w:rsidR="000F4212">
            <w:rPr>
              <w:szCs w:val="22"/>
            </w:rPr>
            <w:t xml:space="preserve">e Afdeling neemt </w:t>
          </w:r>
          <w:r w:rsidR="00413BB6">
            <w:rPr>
              <w:szCs w:val="22"/>
            </w:rPr>
            <w:t>aan dat</w:t>
          </w:r>
          <w:r w:rsidR="000F4212">
            <w:rPr>
              <w:szCs w:val="22"/>
            </w:rPr>
            <w:t xml:space="preserve"> dit </w:t>
          </w:r>
          <w:r w:rsidRPr="00FD3C10" w:rsidR="000F4212">
            <w:rPr>
              <w:szCs w:val="22"/>
            </w:rPr>
            <w:t xml:space="preserve">onder meer </w:t>
          </w:r>
          <w:r w:rsidR="00413BB6">
            <w:rPr>
              <w:szCs w:val="22"/>
            </w:rPr>
            <w:t xml:space="preserve">is </w:t>
          </w:r>
          <w:r w:rsidR="000F4212">
            <w:rPr>
              <w:szCs w:val="22"/>
            </w:rPr>
            <w:t>gelegen in</w:t>
          </w:r>
          <w:r w:rsidRPr="00FD3C10" w:rsidR="000F4212">
            <w:rPr>
              <w:szCs w:val="22"/>
            </w:rPr>
            <w:t xml:space="preserve"> het internationale karakter van het met het onderwijs verweven onderzoek</w:t>
          </w:r>
          <w:r w:rsidR="000F4212">
            <w:rPr>
              <w:szCs w:val="22"/>
            </w:rPr>
            <w:t>,</w:t>
          </w:r>
          <w:r w:rsidRPr="00FD3C10" w:rsidR="000F4212">
            <w:rPr>
              <w:szCs w:val="22"/>
            </w:rPr>
            <w:t xml:space="preserve"> de dominantie van de Engelse taal in beschikbaar onderwijsmateriaal en onderwijsmethoden</w:t>
          </w:r>
          <w:r w:rsidR="000F4212">
            <w:rPr>
              <w:szCs w:val="22"/>
            </w:rPr>
            <w:t xml:space="preserve"> en de noodzaak anderstalig personeel in te zetten</w:t>
          </w:r>
          <w:r w:rsidRPr="00FD3C10" w:rsidR="000F4212">
            <w:rPr>
              <w:szCs w:val="22"/>
            </w:rPr>
            <w:t xml:space="preserve">. De regering is dan ook van oordeel dat </w:t>
          </w:r>
          <w:r w:rsidR="000F4212">
            <w:rPr>
              <w:szCs w:val="22"/>
            </w:rPr>
            <w:t>de</w:t>
          </w:r>
          <w:r w:rsidRPr="00FD3C10" w:rsidR="000F4212">
            <w:rPr>
              <w:szCs w:val="22"/>
            </w:rPr>
            <w:t xml:space="preserve"> masteropleidingen vrij</w:t>
          </w:r>
          <w:r w:rsidR="000F4212">
            <w:rPr>
              <w:szCs w:val="22"/>
            </w:rPr>
            <w:t>heid moeten hebben om</w:t>
          </w:r>
          <w:r w:rsidRPr="00FD3C10" w:rsidR="000F4212">
            <w:rPr>
              <w:szCs w:val="22"/>
            </w:rPr>
            <w:t xml:space="preserve"> de opleidingstaal </w:t>
          </w:r>
          <w:r w:rsidR="000F4212">
            <w:rPr>
              <w:szCs w:val="22"/>
            </w:rPr>
            <w:t>te</w:t>
          </w:r>
          <w:r w:rsidRPr="00FD3C10" w:rsidR="000F4212">
            <w:rPr>
              <w:szCs w:val="22"/>
            </w:rPr>
            <w:t xml:space="preserve"> kunnen bepalen. De Afdeling </w:t>
          </w:r>
          <w:r w:rsidR="00193FDA">
            <w:rPr>
              <w:szCs w:val="22"/>
            </w:rPr>
            <w:t>heeft begrip voor</w:t>
          </w:r>
          <w:r w:rsidRPr="00FD3C10" w:rsidR="000F4212">
            <w:rPr>
              <w:szCs w:val="22"/>
            </w:rPr>
            <w:t xml:space="preserve"> dit uitgangspunt, gelet op de sterke verwevenheid tussen (internationaal georiënteerd) onderwijs en onderzoek en </w:t>
          </w:r>
          <w:r w:rsidR="000F4212">
            <w:rPr>
              <w:szCs w:val="22"/>
            </w:rPr>
            <w:t xml:space="preserve">de noodzaak van </w:t>
          </w:r>
          <w:r w:rsidRPr="00FD3C10" w:rsidR="000F4212">
            <w:rPr>
              <w:szCs w:val="22"/>
            </w:rPr>
            <w:t>het behouden en versterken van de aantrekkelijkheid van Nederlandse hoger onderwijsinstellingen voor internationaal wetenschappelijk talent.</w:t>
          </w:r>
        </w:p>
        <w:p w:rsidRPr="00FD3C10" w:rsidR="000F4212" w:rsidP="000F4212" w:rsidRDefault="000F4212" w14:paraId="57412202" w14:textId="77777777">
          <w:pPr>
            <w:rPr>
              <w:szCs w:val="22"/>
            </w:rPr>
          </w:pPr>
        </w:p>
        <w:p w:rsidRPr="00FD3C10" w:rsidR="000F4212" w:rsidP="000F4212" w:rsidRDefault="000F4212" w14:paraId="78C2838F" w14:textId="790357FC">
          <w:pPr>
            <w:rPr>
              <w:szCs w:val="22"/>
            </w:rPr>
          </w:pPr>
          <w:r w:rsidRPr="00FD3C10">
            <w:rPr>
              <w:szCs w:val="22"/>
            </w:rPr>
            <w:t xml:space="preserve">De inspectie heeft erop gewezen dat het loslaten van de taalregels voor de master tot gevolg kan hebben dat masteropleidingen minder toegankelijk zouden kunnen worden voor Nederlandse studenten die niet zo taalvaardig zijn in </w:t>
          </w:r>
          <w:r>
            <w:rPr>
              <w:szCs w:val="22"/>
            </w:rPr>
            <w:t>(</w:t>
          </w:r>
          <w:r w:rsidR="00C16A93">
            <w:rPr>
              <w:szCs w:val="22"/>
            </w:rPr>
            <w:t>vooral</w:t>
          </w:r>
          <w:r>
            <w:rPr>
              <w:szCs w:val="22"/>
            </w:rPr>
            <w:t xml:space="preserve">) </w:t>
          </w:r>
          <w:r w:rsidRPr="00FD3C10">
            <w:rPr>
              <w:szCs w:val="22"/>
            </w:rPr>
            <w:t>het Engels.</w:t>
          </w:r>
          <w:r w:rsidRPr="00FD3C10">
            <w:rPr>
              <w:szCs w:val="22"/>
              <w:vertAlign w:val="superscript"/>
            </w:rPr>
            <w:footnoteReference w:id="57"/>
          </w:r>
          <w:r w:rsidRPr="00FD3C10">
            <w:rPr>
              <w:szCs w:val="22"/>
            </w:rPr>
            <w:t xml:space="preserve"> De regering acht het effect hiervan in de master minder groot, omdat deze studenten al langer in het hoger onderwijs deelnemen en hebben kunnen wennen aan Engelstalige literatuur en mogelijke Engelstalige (keuze)vakken of gastcolleges. De regering verwacht daarom dat anderstaligheid in de master studenten minder afschrikt dan in de bachelorfase.</w:t>
          </w:r>
          <w:r w:rsidRPr="00FD3C10">
            <w:rPr>
              <w:szCs w:val="22"/>
              <w:vertAlign w:val="superscript"/>
            </w:rPr>
            <w:footnoteReference w:id="58"/>
          </w:r>
          <w:r w:rsidRPr="00FD3C10">
            <w:rPr>
              <w:szCs w:val="22"/>
            </w:rPr>
            <w:t xml:space="preserve"> </w:t>
          </w:r>
        </w:p>
        <w:p w:rsidRPr="00FD3C10" w:rsidR="000F4212" w:rsidP="000F4212" w:rsidRDefault="000F4212" w14:paraId="593E072C" w14:textId="77777777">
          <w:pPr>
            <w:rPr>
              <w:szCs w:val="22"/>
            </w:rPr>
          </w:pPr>
        </w:p>
        <w:p w:rsidRPr="00FD3C10" w:rsidR="000F4212" w:rsidP="000F4212" w:rsidRDefault="000F4212" w14:paraId="3BA61780" w14:textId="1F9F605F">
          <w:pPr>
            <w:rPr>
              <w:szCs w:val="22"/>
            </w:rPr>
          </w:pPr>
          <w:r w:rsidRPr="00FD3C10">
            <w:rPr>
              <w:szCs w:val="22"/>
            </w:rPr>
            <w:t xml:space="preserve">De Afdeling merkt op dat de inspectie in 2018 al heeft gewezen op </w:t>
          </w:r>
          <w:r w:rsidR="00687B55">
            <w:rPr>
              <w:szCs w:val="22"/>
            </w:rPr>
            <w:t xml:space="preserve">de </w:t>
          </w:r>
          <w:r w:rsidRPr="00FD3C10">
            <w:rPr>
              <w:szCs w:val="22"/>
            </w:rPr>
            <w:t>risico’s van een gebrekkige aansluiting van het bacheloronderwijs op Engelstalige masteropleidingen.</w:t>
          </w:r>
          <w:r w:rsidRPr="00FD3C10">
            <w:rPr>
              <w:szCs w:val="22"/>
              <w:vertAlign w:val="superscript"/>
            </w:rPr>
            <w:footnoteReference w:id="59"/>
          </w:r>
          <w:r w:rsidRPr="00FD3C10">
            <w:rPr>
              <w:szCs w:val="22"/>
            </w:rPr>
            <w:t xml:space="preserve"> Deze risico’s zijn het meest waarschijnlijk bij een geheel of grotendeels Nederlandstalige bacheloropleiding. Voor studenten in deze opleidingen is het van belang dat de Engelse taalvaardigheid in de bachelorfase wordt bevorderd, om te voorkomen dat de toegankelijkheid van Engelstalige masteropleidingen voor Nederlandstalige studenten wordt belemmerd.</w:t>
          </w:r>
          <w:r w:rsidRPr="00FD3C10">
            <w:rPr>
              <w:szCs w:val="22"/>
              <w:vertAlign w:val="superscript"/>
            </w:rPr>
            <w:footnoteReference w:id="60"/>
          </w:r>
          <w:r w:rsidRPr="00FD3C10">
            <w:rPr>
              <w:szCs w:val="22"/>
            </w:rPr>
            <w:t xml:space="preserve"> Hierover zou de regering met de instellingen bestuurlijke afspraken kunnen maken. Daarbij zouden ook financiële middelen ter beschikking moeten worden gesteld.</w:t>
          </w:r>
        </w:p>
        <w:p w:rsidRPr="00FD3C10" w:rsidR="000F4212" w:rsidP="000F4212" w:rsidRDefault="000F4212" w14:paraId="6DE04E48" w14:textId="77777777">
          <w:pPr>
            <w:rPr>
              <w:szCs w:val="22"/>
            </w:rPr>
          </w:pPr>
        </w:p>
        <w:p w:rsidRPr="00FD3C10" w:rsidR="000F4212" w:rsidP="000F4212" w:rsidRDefault="000F4212" w14:paraId="5128169E" w14:textId="095FB6CE">
          <w:pPr>
            <w:rPr>
              <w:szCs w:val="22"/>
            </w:rPr>
          </w:pPr>
          <w:r w:rsidRPr="00FD3C10">
            <w:rPr>
              <w:szCs w:val="22"/>
            </w:rPr>
            <w:t>De Afdeling adviseert om in de toelichting op het bovenstaande in te gaan.</w:t>
          </w:r>
        </w:p>
        <w:p w:rsidRPr="00FD3C10" w:rsidR="000F4212" w:rsidP="000F4212" w:rsidRDefault="000F4212" w14:paraId="09F88BFC" w14:textId="77777777">
          <w:pPr>
            <w:rPr>
              <w:szCs w:val="22"/>
            </w:rPr>
          </w:pPr>
        </w:p>
        <w:p w:rsidRPr="00FD3C10" w:rsidR="000F4212" w:rsidP="000F4212" w:rsidRDefault="000F4212" w14:paraId="1F1EFB32" w14:textId="77777777">
          <w:pPr>
            <w:rPr>
              <w:szCs w:val="22"/>
            </w:rPr>
          </w:pPr>
          <w:r>
            <w:rPr>
              <w:szCs w:val="22"/>
            </w:rPr>
            <w:t>e</w:t>
          </w:r>
          <w:r w:rsidRPr="00FD3C10">
            <w:rPr>
              <w:szCs w:val="22"/>
            </w:rPr>
            <w:t>.</w:t>
          </w:r>
          <w:r w:rsidRPr="00FD3C10">
            <w:rPr>
              <w:szCs w:val="22"/>
            </w:rPr>
            <w:tab/>
          </w:r>
          <w:r w:rsidRPr="00FD3C10">
            <w:rPr>
              <w:i/>
              <w:iCs/>
              <w:szCs w:val="22"/>
            </w:rPr>
            <w:t xml:space="preserve">Onderscheid </w:t>
          </w:r>
          <w:r>
            <w:rPr>
              <w:i/>
              <w:iCs/>
              <w:szCs w:val="22"/>
            </w:rPr>
            <w:t>hbo</w:t>
          </w:r>
          <w:r w:rsidRPr="00FD3C10">
            <w:rPr>
              <w:i/>
              <w:iCs/>
              <w:szCs w:val="22"/>
            </w:rPr>
            <w:t>/</w:t>
          </w:r>
          <w:r>
            <w:rPr>
              <w:i/>
              <w:iCs/>
              <w:szCs w:val="22"/>
            </w:rPr>
            <w:t>wo</w:t>
          </w:r>
        </w:p>
        <w:p w:rsidRPr="00FD3C10" w:rsidR="000F4212" w:rsidP="000F4212" w:rsidRDefault="000F4212" w14:paraId="02976CEF" w14:textId="37F4B8B4">
          <w:pPr>
            <w:rPr>
              <w:szCs w:val="22"/>
            </w:rPr>
          </w:pPr>
          <w:r w:rsidRPr="00FD3C10">
            <w:rPr>
              <w:szCs w:val="22"/>
            </w:rPr>
            <w:t>Zoals hiervoor (</w:t>
          </w:r>
          <w:r>
            <w:rPr>
              <w:szCs w:val="22"/>
            </w:rPr>
            <w:t>in</w:t>
          </w:r>
          <w:r w:rsidRPr="00FD3C10">
            <w:rPr>
              <w:szCs w:val="22"/>
            </w:rPr>
            <w:t xml:space="preserve"> paragraaf 2) is aangegeven zijn de aantallen en percentages Engelstalige bacheloropleidingen in het wo aanzienlijk groter dan in het hbo.</w:t>
          </w:r>
          <w:r w:rsidRPr="00FD3C10">
            <w:rPr>
              <w:szCs w:val="22"/>
              <w:vertAlign w:val="superscript"/>
            </w:rPr>
            <w:footnoteReference w:id="61"/>
          </w:r>
          <w:r w:rsidRPr="00FD3C10">
            <w:rPr>
              <w:szCs w:val="22"/>
            </w:rPr>
            <w:t xml:space="preserve"> Daarbij is het percentage in het hbo al jaren </w:t>
          </w:r>
          <w:r>
            <w:rPr>
              <w:szCs w:val="22"/>
            </w:rPr>
            <w:t xml:space="preserve">min of meer </w:t>
          </w:r>
          <w:r w:rsidRPr="00FD3C10">
            <w:rPr>
              <w:szCs w:val="22"/>
            </w:rPr>
            <w:t xml:space="preserve">stabiel. Toch betekent dat volgens de regering niet dat </w:t>
          </w:r>
          <w:r w:rsidR="00BD1AFF">
            <w:rPr>
              <w:szCs w:val="22"/>
            </w:rPr>
            <w:t xml:space="preserve">er </w:t>
          </w:r>
          <w:r w:rsidRPr="00FD3C10">
            <w:rPr>
              <w:szCs w:val="22"/>
            </w:rPr>
            <w:t>binnen het hbo geen noodzaak is voor strategisch handelen</w:t>
          </w:r>
          <w:r w:rsidR="006322CF">
            <w:rPr>
              <w:szCs w:val="22"/>
            </w:rPr>
            <w:t xml:space="preserve"> om te voorkomen</w:t>
          </w:r>
          <w:r>
            <w:rPr>
              <w:szCs w:val="22"/>
            </w:rPr>
            <w:t xml:space="preserve"> </w:t>
          </w:r>
          <w:r w:rsidRPr="00FD3C10">
            <w:rPr>
              <w:szCs w:val="22"/>
            </w:rPr>
            <w:t>dat daar dezelfde problemen ontstaan als in het wo.</w:t>
          </w:r>
          <w:r w:rsidRPr="00FD3C10">
            <w:rPr>
              <w:szCs w:val="22"/>
              <w:vertAlign w:val="superscript"/>
            </w:rPr>
            <w:footnoteReference w:id="62"/>
          </w:r>
        </w:p>
        <w:p w:rsidRPr="00FD3C10" w:rsidR="000F4212" w:rsidP="000F4212" w:rsidRDefault="000F4212" w14:paraId="063AB00B" w14:textId="77777777">
          <w:pPr>
            <w:rPr>
              <w:szCs w:val="22"/>
            </w:rPr>
          </w:pPr>
        </w:p>
        <w:p w:rsidR="00A92B0E" w:rsidP="000F4212" w:rsidRDefault="000F4212" w14:paraId="2F4FB97B" w14:textId="77777777">
          <w:pPr>
            <w:rPr>
              <w:szCs w:val="22"/>
            </w:rPr>
          </w:pPr>
          <w:r>
            <w:rPr>
              <w:szCs w:val="22"/>
            </w:rPr>
            <w:t>Het is in dit verband</w:t>
          </w:r>
          <w:r w:rsidRPr="00FD3C10">
            <w:rPr>
              <w:szCs w:val="22"/>
            </w:rPr>
            <w:t xml:space="preserve"> van belang om rekening te houden met de verschillende doelstellingen van universiteiten en hogescholen. Universiteiten zijn gericht op het verzorgen van wetenschappelijk onderwijs en het verrichten van wetenschappelijk onderzoek.</w:t>
          </w:r>
          <w:r w:rsidRPr="00FD3C10">
            <w:rPr>
              <w:szCs w:val="22"/>
              <w:vertAlign w:val="superscript"/>
            </w:rPr>
            <w:footnoteReference w:id="63"/>
          </w:r>
          <w:r w:rsidRPr="00FD3C10">
            <w:rPr>
              <w:szCs w:val="22"/>
            </w:rPr>
            <w:t xml:space="preserve"> Hogescholen zijn gericht op het verzorgen van hoger beroepsonderwijs, het doen van onderzoek gericht op de beroepspraktijk en het bijdragen aan de ontwikkeling van beroepen waarop het onderwijs is gericht.</w:t>
          </w:r>
          <w:r w:rsidRPr="00FD3C10">
            <w:rPr>
              <w:szCs w:val="22"/>
              <w:vertAlign w:val="superscript"/>
            </w:rPr>
            <w:footnoteReference w:id="64"/>
          </w:r>
          <w:r w:rsidRPr="00FD3C10">
            <w:rPr>
              <w:szCs w:val="22"/>
            </w:rPr>
            <w:t xml:space="preserve"> </w:t>
          </w:r>
        </w:p>
        <w:p w:rsidR="00A92B0E" w:rsidP="000F4212" w:rsidRDefault="00A92B0E" w14:paraId="2A14F0C6" w14:textId="77777777">
          <w:pPr>
            <w:rPr>
              <w:szCs w:val="22"/>
            </w:rPr>
          </w:pPr>
        </w:p>
        <w:p w:rsidRPr="00FD3C10" w:rsidR="000F4212" w:rsidP="000F4212" w:rsidRDefault="000F4212" w14:paraId="148057B7" w14:textId="6E4119C6">
          <w:pPr>
            <w:rPr>
              <w:szCs w:val="22"/>
            </w:rPr>
          </w:pPr>
          <w:r w:rsidRPr="00FD3C10">
            <w:rPr>
              <w:szCs w:val="22"/>
            </w:rPr>
            <w:t xml:space="preserve">Dit verschil in oriëntatie kan verklaren waarom het anderstalige onderwijs in het hbo, anders dan in het wo, slechts in enkele sectoren breed is ontwikkeld. De toelichting maakt onvoldoende duidelijk waarom </w:t>
          </w:r>
          <w:r w:rsidR="005E6033">
            <w:rPr>
              <w:szCs w:val="22"/>
            </w:rPr>
            <w:t>soortgelijke</w:t>
          </w:r>
          <w:r w:rsidRPr="00FD3C10" w:rsidR="005E6033">
            <w:rPr>
              <w:szCs w:val="22"/>
            </w:rPr>
            <w:t xml:space="preserve"> </w:t>
          </w:r>
          <w:r w:rsidRPr="00FD3C10">
            <w:rPr>
              <w:szCs w:val="22"/>
            </w:rPr>
            <w:t xml:space="preserve">problemen als in het wo ook in het hbo zouden kunnen rijzen, en op welke problemen </w:t>
          </w:r>
          <w:r>
            <w:rPr>
              <w:szCs w:val="22"/>
            </w:rPr>
            <w:t xml:space="preserve">dan </w:t>
          </w:r>
          <w:r w:rsidR="00457DD4">
            <w:rPr>
              <w:szCs w:val="22"/>
            </w:rPr>
            <w:t xml:space="preserve">in het bijzonder </w:t>
          </w:r>
          <w:r w:rsidRPr="00FD3C10">
            <w:rPr>
              <w:szCs w:val="22"/>
            </w:rPr>
            <w:t xml:space="preserve">wordt gedoeld. In dit verband wijst de Afdeling ook op de brief van de minister van OCW naar aanleiding van de zelfregieplannen van de koepels, waarin hij </w:t>
          </w:r>
          <w:r>
            <w:rPr>
              <w:szCs w:val="22"/>
            </w:rPr>
            <w:t>opmerkt</w:t>
          </w:r>
          <w:r w:rsidRPr="00FD3C10">
            <w:rPr>
              <w:szCs w:val="22"/>
            </w:rPr>
            <w:t xml:space="preserve"> zich bewust te zijn van de verschillen tussen de instellingen.</w:t>
          </w:r>
          <w:r w:rsidRPr="00FD3C10">
            <w:rPr>
              <w:rStyle w:val="Voetnootmarkering"/>
              <w:szCs w:val="22"/>
            </w:rPr>
            <w:footnoteReference w:id="65"/>
          </w:r>
        </w:p>
        <w:p w:rsidRPr="00FD3C10" w:rsidR="000F4212" w:rsidP="000F4212" w:rsidRDefault="000F4212" w14:paraId="1AB1B70E" w14:textId="77777777">
          <w:pPr>
            <w:rPr>
              <w:szCs w:val="22"/>
            </w:rPr>
          </w:pPr>
        </w:p>
        <w:p w:rsidRPr="00FD3C10" w:rsidR="000F4212" w:rsidP="000F4212" w:rsidRDefault="000F4212" w14:paraId="2EC8456D" w14:textId="3FDFC7C2">
          <w:pPr>
            <w:rPr>
              <w:szCs w:val="22"/>
            </w:rPr>
          </w:pPr>
          <w:r>
            <w:rPr>
              <w:szCs w:val="22"/>
            </w:rPr>
            <w:t>T</w:t>
          </w:r>
          <w:r w:rsidRPr="00FD3C10">
            <w:rPr>
              <w:szCs w:val="22"/>
            </w:rPr>
            <w:t xml:space="preserve">enzij er duidelijke indicaties zijn dat </w:t>
          </w:r>
          <w:r>
            <w:rPr>
              <w:szCs w:val="22"/>
            </w:rPr>
            <w:t>verschillende</w:t>
          </w:r>
          <w:r w:rsidRPr="00FD3C10">
            <w:rPr>
              <w:szCs w:val="22"/>
            </w:rPr>
            <w:t xml:space="preserve"> anderstalige </w:t>
          </w:r>
          <w:r w:rsidR="005E6033">
            <w:rPr>
              <w:szCs w:val="22"/>
            </w:rPr>
            <w:t>AD- en bachelor</w:t>
          </w:r>
          <w:r w:rsidRPr="00FD3C10">
            <w:rPr>
              <w:szCs w:val="22"/>
            </w:rPr>
            <w:t xml:space="preserve">opleidingen in het hbo reeds nu </w:t>
          </w:r>
          <w:r w:rsidR="00DB7AC9">
            <w:rPr>
              <w:szCs w:val="22"/>
            </w:rPr>
            <w:t xml:space="preserve">of in de nabije toekomst </w:t>
          </w:r>
          <w:r w:rsidRPr="00FD3C10">
            <w:rPr>
              <w:szCs w:val="22"/>
            </w:rPr>
            <w:t>ondoelmatig zijn, adviseert de Afdeling de toets anderstalig onderwijsaanbod vooralsnog niet op het hbo van toepassing te verklaren, dan wel deze sector aan een verlicht toetsingsregime te onderwerpen.</w:t>
          </w:r>
          <w:r w:rsidR="00CD4C92">
            <w:rPr>
              <w:rStyle w:val="Voetnootmarkering"/>
              <w:szCs w:val="22"/>
            </w:rPr>
            <w:footnoteReference w:id="66"/>
          </w:r>
        </w:p>
        <w:p w:rsidRPr="00FD3C10" w:rsidR="000F4212" w:rsidP="000F4212" w:rsidRDefault="000F4212" w14:paraId="541C44AB" w14:textId="77777777">
          <w:pPr>
            <w:rPr>
              <w:szCs w:val="22"/>
            </w:rPr>
          </w:pPr>
        </w:p>
        <w:p w:rsidRPr="00FD3C10" w:rsidR="000F4212" w:rsidP="000F4212" w:rsidRDefault="000F4212" w14:paraId="5B83430D" w14:textId="77777777">
          <w:pPr>
            <w:rPr>
              <w:szCs w:val="22"/>
              <w:u w:val="single"/>
            </w:rPr>
          </w:pPr>
          <w:r w:rsidRPr="00FD3C10">
            <w:rPr>
              <w:szCs w:val="22"/>
            </w:rPr>
            <w:t xml:space="preserve">5. </w:t>
          </w:r>
          <w:r w:rsidRPr="00FD3C10">
            <w:rPr>
              <w:szCs w:val="22"/>
            </w:rPr>
            <w:tab/>
          </w:r>
          <w:r w:rsidRPr="00FD3C10">
            <w:rPr>
              <w:szCs w:val="22"/>
              <w:u w:val="single"/>
            </w:rPr>
            <w:t xml:space="preserve">Zorgplicht Nederlandse taalvaardigheid en verplicht taalbeleid </w:t>
          </w:r>
        </w:p>
        <w:p w:rsidRPr="00FD3C10" w:rsidR="000F4212" w:rsidP="000F4212" w:rsidRDefault="000F4212" w14:paraId="55B033AC" w14:textId="77777777">
          <w:pPr>
            <w:rPr>
              <w:szCs w:val="22"/>
            </w:rPr>
          </w:pPr>
        </w:p>
        <w:p w:rsidRPr="00FD3C10" w:rsidR="000F4212" w:rsidP="000F4212" w:rsidRDefault="000F4212" w14:paraId="63BB212D" w14:textId="77777777">
          <w:pPr>
            <w:rPr>
              <w:szCs w:val="22"/>
            </w:rPr>
          </w:pPr>
          <w:r w:rsidRPr="00FD3C10">
            <w:rPr>
              <w:szCs w:val="22"/>
            </w:rPr>
            <w:t xml:space="preserve">a. </w:t>
          </w:r>
          <w:r w:rsidRPr="00FD3C10">
            <w:rPr>
              <w:szCs w:val="22"/>
            </w:rPr>
            <w:tab/>
          </w:r>
          <w:r w:rsidRPr="00FD3C10">
            <w:rPr>
              <w:i/>
              <w:iCs/>
              <w:szCs w:val="22"/>
            </w:rPr>
            <w:t>Bestuurlijke afspraken taalvaardigheid</w:t>
          </w:r>
          <w:r w:rsidRPr="00FD3C10">
            <w:rPr>
              <w:szCs w:val="22"/>
            </w:rPr>
            <w:t xml:space="preserve"> </w:t>
          </w:r>
        </w:p>
        <w:p w:rsidRPr="00FD3C10" w:rsidR="000F4212" w:rsidP="000F4212" w:rsidRDefault="000F4212" w14:paraId="1CF4B76E" w14:textId="5F141BF4">
          <w:pPr>
            <w:rPr>
              <w:i/>
              <w:iCs/>
              <w:szCs w:val="22"/>
            </w:rPr>
          </w:pPr>
          <w:r w:rsidRPr="00FD3C10">
            <w:rPr>
              <w:szCs w:val="22"/>
            </w:rPr>
            <w:t xml:space="preserve">De Afdeling onderschrijft het belang van het bevorderen van de Nederlandse taalvaardigheid </w:t>
          </w:r>
          <w:r w:rsidR="00982DEE">
            <w:rPr>
              <w:szCs w:val="22"/>
            </w:rPr>
            <w:t>voor</w:t>
          </w:r>
          <w:r w:rsidRPr="00FD3C10" w:rsidR="00982DEE">
            <w:rPr>
              <w:szCs w:val="22"/>
            </w:rPr>
            <w:t xml:space="preserve"> </w:t>
          </w:r>
          <w:r w:rsidRPr="00FD3C10">
            <w:rPr>
              <w:szCs w:val="22"/>
            </w:rPr>
            <w:t xml:space="preserve">alle studenten. De huidige </w:t>
          </w:r>
          <w:r>
            <w:rPr>
              <w:szCs w:val="22"/>
            </w:rPr>
            <w:t xml:space="preserve">wettelijke </w:t>
          </w:r>
          <w:r w:rsidRPr="00FD3C10">
            <w:rPr>
              <w:szCs w:val="22"/>
            </w:rPr>
            <w:t>verplichting om de uitdrukkingsvaardigheid in het Nederlands van Nederlandstalige studenten te bevorderen wordt volgens de Onderwijsinspectie onvoldoende nageleefd.</w:t>
          </w:r>
          <w:r w:rsidRPr="00FD3C10">
            <w:rPr>
              <w:rStyle w:val="Voetnootmarkering"/>
              <w:szCs w:val="22"/>
            </w:rPr>
            <w:footnoteReference w:id="67"/>
          </w:r>
          <w:r w:rsidRPr="00FD3C10">
            <w:rPr>
              <w:szCs w:val="22"/>
            </w:rPr>
            <w:t xml:space="preserve"> De KNAW heeft in 2017 aangegeven dat het taalbeleid van instellingen grote tekortkomingen vertoont en er te weinig aandacht is voor structu</w:t>
          </w:r>
          <w:r w:rsidRPr="00FD3C10">
            <w:rPr>
              <w:szCs w:val="22"/>
            </w:rPr>
            <w:softHyphen/>
            <w:t xml:space="preserve">rele bewaking van de kwaliteit van anderstalig onderwijs en de training van de Engelse en Nederlandse taalbeheersing </w:t>
          </w:r>
          <w:r>
            <w:rPr>
              <w:szCs w:val="22"/>
            </w:rPr>
            <w:t>en</w:t>
          </w:r>
          <w:r w:rsidRPr="00FD3C10">
            <w:rPr>
              <w:szCs w:val="22"/>
            </w:rPr>
            <w:t xml:space="preserve"> taalvaardigheden.</w:t>
          </w:r>
          <w:r w:rsidRPr="00FD3C10">
            <w:rPr>
              <w:szCs w:val="22"/>
              <w:vertAlign w:val="superscript"/>
            </w:rPr>
            <w:footnoteReference w:id="68"/>
          </w:r>
          <w:r w:rsidRPr="00FD3C10">
            <w:rPr>
              <w:szCs w:val="22"/>
            </w:rPr>
            <w:t xml:space="preserve"> D</w:t>
          </w:r>
          <w:r>
            <w:rPr>
              <w:szCs w:val="22"/>
            </w:rPr>
            <w:t>a</w:t>
          </w:r>
          <w:r w:rsidRPr="00FD3C10">
            <w:rPr>
              <w:szCs w:val="22"/>
            </w:rPr>
            <w:t xml:space="preserve">t </w:t>
          </w:r>
          <w:r>
            <w:rPr>
              <w:szCs w:val="22"/>
            </w:rPr>
            <w:t>wordt voor studenten die een anderstalige opleiding volgen bevestigd door</w:t>
          </w:r>
          <w:r w:rsidRPr="00FD3C10">
            <w:rPr>
              <w:szCs w:val="22"/>
            </w:rPr>
            <w:t xml:space="preserve"> de Inspectie in de Staat van het Onderwijs 2023</w:t>
          </w:r>
          <w:r w:rsidR="00332A08">
            <w:rPr>
              <w:szCs w:val="22"/>
            </w:rPr>
            <w:t>.</w:t>
          </w:r>
          <w:r>
            <w:rPr>
              <w:szCs w:val="22"/>
            </w:rPr>
            <w:t xml:space="preserve"> </w:t>
          </w:r>
          <w:r w:rsidR="00332A08">
            <w:rPr>
              <w:szCs w:val="22"/>
            </w:rPr>
            <w:t>D</w:t>
          </w:r>
          <w:r>
            <w:rPr>
              <w:szCs w:val="22"/>
            </w:rPr>
            <w:t>aaruit blijkt dat deze studenten</w:t>
          </w:r>
          <w:r w:rsidRPr="00FD3C10">
            <w:rPr>
              <w:szCs w:val="22"/>
            </w:rPr>
            <w:t xml:space="preserve"> </w:t>
          </w:r>
          <w:r w:rsidR="00863232">
            <w:rPr>
              <w:szCs w:val="22"/>
            </w:rPr>
            <w:t>vooral</w:t>
          </w:r>
          <w:r w:rsidRPr="00FD3C10">
            <w:rPr>
              <w:szCs w:val="22"/>
            </w:rPr>
            <w:t xml:space="preserve"> weinig gelegenheid krijgen om schrijfvaardigheid in het Nederlands te ontwikkelen.</w:t>
          </w:r>
          <w:r w:rsidRPr="00FD3C10">
            <w:rPr>
              <w:szCs w:val="22"/>
              <w:vertAlign w:val="superscript"/>
            </w:rPr>
            <w:footnoteReference w:id="69"/>
          </w:r>
          <w:r w:rsidRPr="00FD3C10">
            <w:rPr>
              <w:szCs w:val="22"/>
            </w:rPr>
            <w:t xml:space="preserve"> Hoewel instellingen </w:t>
          </w:r>
          <w:r>
            <w:rPr>
              <w:szCs w:val="22"/>
            </w:rPr>
            <w:t xml:space="preserve">aangeven </w:t>
          </w:r>
          <w:r w:rsidRPr="00FD3C10">
            <w:rPr>
              <w:szCs w:val="22"/>
            </w:rPr>
            <w:t>ondersteuning aan</w:t>
          </w:r>
          <w:r>
            <w:rPr>
              <w:szCs w:val="22"/>
            </w:rPr>
            <w:t xml:space="preserve"> te </w:t>
          </w:r>
          <w:r w:rsidRPr="00FD3C10">
            <w:rPr>
              <w:szCs w:val="22"/>
            </w:rPr>
            <w:t xml:space="preserve">bieden </w:t>
          </w:r>
          <w:r w:rsidR="00DC15EA">
            <w:rPr>
              <w:szCs w:val="22"/>
            </w:rPr>
            <w:t>om de</w:t>
          </w:r>
          <w:r w:rsidR="008F7297">
            <w:rPr>
              <w:szCs w:val="22"/>
            </w:rPr>
            <w:t xml:space="preserve"> </w:t>
          </w:r>
          <w:r w:rsidRPr="00FD3C10">
            <w:rPr>
              <w:szCs w:val="22"/>
            </w:rPr>
            <w:t>Nederlandse taalvaardigheid</w:t>
          </w:r>
          <w:r w:rsidR="00DC15EA">
            <w:rPr>
              <w:szCs w:val="22"/>
            </w:rPr>
            <w:t xml:space="preserve"> te bevorderen</w:t>
          </w:r>
          <w:r w:rsidRPr="00FD3C10">
            <w:rPr>
              <w:szCs w:val="22"/>
            </w:rPr>
            <w:t xml:space="preserve">, </w:t>
          </w:r>
          <w:r>
            <w:rPr>
              <w:szCs w:val="22"/>
            </w:rPr>
            <w:t>meld</w:t>
          </w:r>
          <w:r w:rsidRPr="00FD3C10">
            <w:rPr>
              <w:szCs w:val="22"/>
            </w:rPr>
            <w:t>t 27% van de ondervraagde studenten geen enkel aanbod te hebben gekregen.</w:t>
          </w:r>
        </w:p>
        <w:p w:rsidRPr="00FD3C10" w:rsidR="000F4212" w:rsidP="000F4212" w:rsidRDefault="000F4212" w14:paraId="732DC901" w14:textId="77777777">
          <w:pPr>
            <w:rPr>
              <w:i/>
              <w:iCs/>
              <w:szCs w:val="22"/>
            </w:rPr>
          </w:pPr>
        </w:p>
        <w:p w:rsidRPr="00FD3C10" w:rsidR="000F4212" w:rsidP="000F4212" w:rsidRDefault="000F4212" w14:paraId="3E852798" w14:textId="35C4DF76">
          <w:pPr>
            <w:rPr>
              <w:szCs w:val="22"/>
            </w:rPr>
          </w:pPr>
          <w:r w:rsidRPr="00FD3C10">
            <w:rPr>
              <w:szCs w:val="22"/>
            </w:rPr>
            <w:t>Uit onderzoek van Nuffic blijkt dat beheersing van de Nederlandse taal de kans dat</w:t>
          </w:r>
          <w:r>
            <w:rPr>
              <w:szCs w:val="22"/>
            </w:rPr>
            <w:t xml:space="preserve"> </w:t>
          </w:r>
          <w:r w:rsidRPr="00FD3C10">
            <w:rPr>
              <w:szCs w:val="22"/>
            </w:rPr>
            <w:t>internationale studenten in Nederland blijven vergroot. Zeven op de tien buitenlandse studenten hebben bij het solliciteren last van het feit dat ze niet goed Nederlands spreken, terwijl 36% van de buitenlandse studenten aang</w:t>
          </w:r>
          <w:r>
            <w:rPr>
              <w:szCs w:val="22"/>
            </w:rPr>
            <w:t>eeft</w:t>
          </w:r>
          <w:r w:rsidRPr="00FD3C10">
            <w:rPr>
              <w:szCs w:val="22"/>
            </w:rPr>
            <w:t xml:space="preserve"> dat deze factor een negatieve of sterk negatieve invloed heeft (gehad) op hun plannen om in Nederland te blijven.</w:t>
          </w:r>
          <w:r w:rsidRPr="00FD3C10">
            <w:rPr>
              <w:szCs w:val="22"/>
              <w:vertAlign w:val="superscript"/>
            </w:rPr>
            <w:footnoteReference w:id="70"/>
          </w:r>
          <w:r w:rsidRPr="00FD3C10">
            <w:rPr>
              <w:szCs w:val="22"/>
            </w:rPr>
            <w:t xml:space="preserve"> De regering ziet in deze bevindingen aanleiding om de zorgplicht van instellingen om de Nederlandse taalvaardigheid te bevorderen</w:t>
          </w:r>
          <w:r w:rsidR="00FB54B5">
            <w:rPr>
              <w:szCs w:val="22"/>
            </w:rPr>
            <w:t>,</w:t>
          </w:r>
          <w:r w:rsidRPr="00FD3C10">
            <w:rPr>
              <w:szCs w:val="22"/>
            </w:rPr>
            <w:t xml:space="preserve"> uit te breiden naar alle – ook anderstalige – studenten. </w:t>
          </w:r>
        </w:p>
        <w:p w:rsidRPr="00FD3C10" w:rsidR="000F4212" w:rsidP="000F4212" w:rsidRDefault="000F4212" w14:paraId="154CD25B" w14:textId="77777777">
          <w:pPr>
            <w:rPr>
              <w:szCs w:val="22"/>
            </w:rPr>
          </w:pPr>
        </w:p>
        <w:p w:rsidR="00D278F3" w:rsidP="000F4212" w:rsidRDefault="000F4212" w14:paraId="5E219ACA" w14:textId="7A2A1FF1">
          <w:pPr>
            <w:rPr>
              <w:szCs w:val="22"/>
            </w:rPr>
          </w:pPr>
          <w:r w:rsidRPr="00FD3C10">
            <w:rPr>
              <w:szCs w:val="22"/>
            </w:rPr>
            <w:t>De Afdeling merkt in lijn hiermee op dat het bevorderen van de Nederlandse taalvaardigheid van alle studenten van belang is</w:t>
          </w:r>
          <w:r>
            <w:rPr>
              <w:szCs w:val="22"/>
            </w:rPr>
            <w:t xml:space="preserve">, </w:t>
          </w:r>
          <w:r w:rsidR="00124107">
            <w:rPr>
              <w:szCs w:val="22"/>
            </w:rPr>
            <w:t>vooral</w:t>
          </w:r>
          <w:r w:rsidRPr="00FD3C10">
            <w:rPr>
              <w:szCs w:val="22"/>
            </w:rPr>
            <w:t xml:space="preserve"> met het oog op de verbinding met de Nederlandse samenleving en het bevorderen van de blijfkans van buitenlandse studenten op de arbeidsmarkt.</w:t>
          </w:r>
          <w:r w:rsidRPr="00FD3C10">
            <w:rPr>
              <w:szCs w:val="22"/>
              <w:vertAlign w:val="superscript"/>
            </w:rPr>
            <w:footnoteReference w:id="71"/>
          </w:r>
          <w:r w:rsidRPr="00FD3C10">
            <w:rPr>
              <w:szCs w:val="22"/>
            </w:rPr>
            <w:t xml:space="preserve"> </w:t>
          </w:r>
          <w:r w:rsidR="009D31B6">
            <w:rPr>
              <w:szCs w:val="22"/>
            </w:rPr>
            <w:t>Een</w:t>
          </w:r>
          <w:r w:rsidRPr="00FD3C10">
            <w:rPr>
              <w:szCs w:val="22"/>
            </w:rPr>
            <w:t xml:space="preserve"> zorgplicht </w:t>
          </w:r>
          <w:r>
            <w:rPr>
              <w:szCs w:val="22"/>
            </w:rPr>
            <w:t xml:space="preserve">voor </w:t>
          </w:r>
          <w:r w:rsidR="00790148">
            <w:rPr>
              <w:szCs w:val="22"/>
            </w:rPr>
            <w:t xml:space="preserve">het </w:t>
          </w:r>
          <w:r>
            <w:rPr>
              <w:szCs w:val="22"/>
            </w:rPr>
            <w:t xml:space="preserve">bevorderen van de </w:t>
          </w:r>
          <w:r w:rsidRPr="00FD3C10">
            <w:rPr>
              <w:szCs w:val="22"/>
            </w:rPr>
            <w:t xml:space="preserve">Nederlandse taalvaardigheid en </w:t>
          </w:r>
          <w:r>
            <w:rPr>
              <w:szCs w:val="22"/>
            </w:rPr>
            <w:t xml:space="preserve">een </w:t>
          </w:r>
          <w:r w:rsidRPr="00FD3C10">
            <w:rPr>
              <w:szCs w:val="22"/>
            </w:rPr>
            <w:t>verplicht taalbeleid voor instellingen waarin zij invulling geven aan deze zorgplicht kunnen hiertoe bijdragen.</w:t>
          </w:r>
          <w:r w:rsidRPr="00FD3C10">
            <w:rPr>
              <w:rStyle w:val="Voetnootmarkering"/>
              <w:szCs w:val="22"/>
            </w:rPr>
            <w:footnoteReference w:id="72"/>
          </w:r>
          <w:r w:rsidRPr="00FD3C10">
            <w:rPr>
              <w:szCs w:val="22"/>
            </w:rPr>
            <w:t xml:space="preserve"> Ook moet taalbeleid beschrijven hoe de toegankelijkheid van de anderstalige opleiding voor Nederlandstalige studenten en de onderwijskwaliteit worden gewaarborgd. </w:t>
          </w:r>
        </w:p>
        <w:p w:rsidR="00D278F3" w:rsidP="000F4212" w:rsidRDefault="00D278F3" w14:paraId="16036DA1" w14:textId="77777777">
          <w:pPr>
            <w:rPr>
              <w:szCs w:val="22"/>
            </w:rPr>
          </w:pPr>
        </w:p>
        <w:p w:rsidRPr="00FD3C10" w:rsidR="000F4212" w:rsidP="000F4212" w:rsidRDefault="000F4212" w14:paraId="3F2EA242" w14:textId="425EB040">
          <w:pPr>
            <w:rPr>
              <w:szCs w:val="22"/>
            </w:rPr>
          </w:pPr>
          <w:r w:rsidRPr="00FD3C10">
            <w:rPr>
              <w:szCs w:val="22"/>
            </w:rPr>
            <w:t xml:space="preserve">Volgens de toelichting </w:t>
          </w:r>
          <w:r w:rsidR="00D278F3">
            <w:rPr>
              <w:szCs w:val="22"/>
            </w:rPr>
            <w:t>beoogt</w:t>
          </w:r>
          <w:r w:rsidRPr="00FD3C10">
            <w:rPr>
              <w:szCs w:val="22"/>
            </w:rPr>
            <w:t xml:space="preserve"> deze verplichtingen om meer houvast te bieden aan de instellingen en de </w:t>
          </w:r>
          <w:r w:rsidR="00FB54B5">
            <w:rPr>
              <w:szCs w:val="22"/>
            </w:rPr>
            <w:t>I</w:t>
          </w:r>
          <w:r w:rsidRPr="00FD3C10">
            <w:rPr>
              <w:szCs w:val="22"/>
            </w:rPr>
            <w:t>nspectie</w:t>
          </w:r>
          <w:r w:rsidR="00FB54B5">
            <w:rPr>
              <w:szCs w:val="22"/>
            </w:rPr>
            <w:t xml:space="preserve"> van het Onderwijs</w:t>
          </w:r>
          <w:r>
            <w:rPr>
              <w:szCs w:val="22"/>
            </w:rPr>
            <w:t xml:space="preserve"> – en naar de Afdeling meent ook de studenten </w:t>
          </w:r>
          <w:r w:rsidR="003A5FDE">
            <w:rPr>
              <w:szCs w:val="22"/>
            </w:rPr>
            <w:t>–</w:t>
          </w:r>
          <w:r w:rsidRPr="00FD3C10">
            <w:rPr>
              <w:szCs w:val="22"/>
            </w:rPr>
            <w:t xml:space="preserve"> dan de huidige gedragscodes over taalbeleid.</w:t>
          </w:r>
          <w:r w:rsidRPr="00FD3C10">
            <w:rPr>
              <w:szCs w:val="22"/>
              <w:vertAlign w:val="superscript"/>
            </w:rPr>
            <w:footnoteReference w:id="73"/>
          </w:r>
          <w:r w:rsidRPr="00FD3C10">
            <w:rPr>
              <w:szCs w:val="22"/>
            </w:rPr>
            <w:t xml:space="preserve"> Het is aan de instellingen om hierover bestuurlijke afspraken te maken en om voor verschillende groepen studenten te sturen op de referentieniveaus. Wanneer dit onvoldoende resultaten oplevert kunnen alsnog bij of krachtens amvb nadere regels gesteld worden over de inhoud van het taalbeleid.</w:t>
          </w:r>
          <w:r w:rsidRPr="00FD3C10">
            <w:rPr>
              <w:rStyle w:val="Voetnootmarkering"/>
              <w:szCs w:val="22"/>
            </w:rPr>
            <w:footnoteReference w:id="74"/>
          </w:r>
        </w:p>
        <w:p w:rsidRPr="00FD3C10" w:rsidR="000F4212" w:rsidP="000F4212" w:rsidRDefault="000F4212" w14:paraId="7B139677" w14:textId="77777777">
          <w:pPr>
            <w:rPr>
              <w:szCs w:val="22"/>
            </w:rPr>
          </w:pPr>
        </w:p>
        <w:p w:rsidRPr="00FD3C10" w:rsidR="000F4212" w:rsidP="000F4212" w:rsidRDefault="000F4212" w14:paraId="398040ED" w14:textId="77777777">
          <w:pPr>
            <w:rPr>
              <w:szCs w:val="22"/>
            </w:rPr>
          </w:pPr>
          <w:r w:rsidRPr="00FD3C10">
            <w:rPr>
              <w:szCs w:val="22"/>
            </w:rPr>
            <w:t>De Taalunie, die in 2022 Nederland en Vlaanderen vergeleek op het punt van taalcompetentie-eisen in het hoger onderwijs, benoemt dat de Vlaamse universiteiten samenwerken in de formulering van overkoepelende definities, beleidsvisies en dataverzameling indien het de anderstalige student betreft.</w:t>
          </w:r>
          <w:r w:rsidRPr="00FD3C10">
            <w:rPr>
              <w:szCs w:val="22"/>
              <w:vertAlign w:val="superscript"/>
            </w:rPr>
            <w:footnoteReference w:id="75"/>
          </w:r>
          <w:r w:rsidRPr="00FD3C10">
            <w:rPr>
              <w:szCs w:val="22"/>
            </w:rPr>
            <w:t xml:space="preserve"> De Nederlandse hoger onderwijsinstellingen zouden dit als voorbeeld kunnen nemen bij het maken van bestuurlijke afspraken met de minister van OCW, en </w:t>
          </w:r>
          <w:r>
            <w:rPr>
              <w:szCs w:val="22"/>
            </w:rPr>
            <w:t xml:space="preserve">via </w:t>
          </w:r>
          <w:r w:rsidRPr="00FD3C10">
            <w:rPr>
              <w:szCs w:val="22"/>
            </w:rPr>
            <w:t>gezamenlijke afspraken invulling kunnen geven aan de zorgplicht taalvaardigheid.</w:t>
          </w:r>
          <w:r w:rsidRPr="00FD3C10">
            <w:rPr>
              <w:rStyle w:val="Voetnootmarkering"/>
              <w:szCs w:val="22"/>
            </w:rPr>
            <w:footnoteReference w:id="76"/>
          </w:r>
          <w:r w:rsidRPr="00FD3C10">
            <w:rPr>
              <w:szCs w:val="22"/>
            </w:rPr>
            <w:t xml:space="preserve"> Daarbij zouden, zoals de regering heeft aangekondigd, bestuurlijke afspraken moeten worden vastgelegd met duidelijke uitgangspunten die leiden tot meetbare resultaten.</w:t>
          </w:r>
        </w:p>
        <w:p w:rsidRPr="00FD3C10" w:rsidR="000F4212" w:rsidP="000F4212" w:rsidRDefault="000F4212" w14:paraId="08479AF1" w14:textId="77777777">
          <w:pPr>
            <w:rPr>
              <w:szCs w:val="22"/>
            </w:rPr>
          </w:pPr>
        </w:p>
        <w:p w:rsidRPr="00FD3C10" w:rsidR="000F4212" w:rsidP="000F4212" w:rsidRDefault="000F4212" w14:paraId="3E0FD708" w14:textId="77777777">
          <w:pPr>
            <w:rPr>
              <w:szCs w:val="22"/>
            </w:rPr>
          </w:pPr>
          <w:r w:rsidRPr="00FD3C10">
            <w:rPr>
              <w:szCs w:val="22"/>
            </w:rPr>
            <w:t xml:space="preserve">De Afdeling adviseert om in de toelichting op het voorgaande in te gaan. </w:t>
          </w:r>
        </w:p>
        <w:p w:rsidRPr="00FD3C10" w:rsidR="000F4212" w:rsidP="000F4212" w:rsidRDefault="000F4212" w14:paraId="00B932B0" w14:textId="77777777">
          <w:pPr>
            <w:rPr>
              <w:szCs w:val="22"/>
            </w:rPr>
          </w:pPr>
        </w:p>
        <w:p w:rsidRPr="00FD3C10" w:rsidR="000F4212" w:rsidP="000F4212" w:rsidRDefault="000F4212" w14:paraId="5BDA492D" w14:textId="77777777">
          <w:pPr>
            <w:rPr>
              <w:szCs w:val="22"/>
            </w:rPr>
          </w:pPr>
          <w:r w:rsidRPr="00FD3C10">
            <w:rPr>
              <w:szCs w:val="22"/>
            </w:rPr>
            <w:t>b.</w:t>
          </w:r>
          <w:r w:rsidRPr="00FD3C10">
            <w:rPr>
              <w:szCs w:val="22"/>
            </w:rPr>
            <w:tab/>
          </w:r>
          <w:r w:rsidRPr="00FD3C10">
            <w:rPr>
              <w:i/>
              <w:iCs/>
              <w:szCs w:val="22"/>
            </w:rPr>
            <w:t>Financiën</w:t>
          </w:r>
        </w:p>
        <w:p w:rsidRPr="00FD3C10" w:rsidR="000F4212" w:rsidP="000F4212" w:rsidRDefault="000F4212" w14:paraId="603628E0" w14:textId="681F3574">
          <w:pPr>
            <w:rPr>
              <w:bCs/>
              <w:szCs w:val="22"/>
            </w:rPr>
          </w:pPr>
          <w:r w:rsidRPr="00FD3C10">
            <w:rPr>
              <w:bCs/>
              <w:szCs w:val="22"/>
            </w:rPr>
            <w:t>Op grond van het voorstel moeten instellingen de Nederlandse taalvaardigheid van alle studenten bevorderen, ongeacht de voertaal van de opleiding of het traject.</w:t>
          </w:r>
          <w:r w:rsidRPr="00FD3C10">
            <w:rPr>
              <w:rStyle w:val="Voetnootmarkering"/>
              <w:bCs/>
              <w:szCs w:val="22"/>
            </w:rPr>
            <w:footnoteReference w:id="77"/>
          </w:r>
          <w:r w:rsidRPr="00FD3C10">
            <w:rPr>
              <w:bCs/>
              <w:szCs w:val="22"/>
            </w:rPr>
            <w:t xml:space="preserve"> Dit betreft een uitbreiding ten opzichte van de </w:t>
          </w:r>
          <w:r>
            <w:rPr>
              <w:bCs/>
              <w:szCs w:val="22"/>
            </w:rPr>
            <w:t>huidige</w:t>
          </w:r>
          <w:r w:rsidRPr="00FD3C10">
            <w:rPr>
              <w:bCs/>
              <w:szCs w:val="22"/>
            </w:rPr>
            <w:t xml:space="preserve"> wettelijke plicht om de uitdrukkingsvaardigheid in het Nederlands van Nederlandstalige studenten te bevorderen. De kosten voor het aanbieden van Nederlands taalonderwijs</w:t>
          </w:r>
          <w:r>
            <w:rPr>
              <w:bCs/>
              <w:szCs w:val="22"/>
            </w:rPr>
            <w:t xml:space="preserve"> </w:t>
          </w:r>
          <w:r w:rsidRPr="00FD3C10">
            <w:rPr>
              <w:bCs/>
              <w:szCs w:val="22"/>
            </w:rPr>
            <w:t>worden door de regering voor alle instellingen samen geschat op € 18,3 miljoen (structureel) en € 750.000 (incidenteel).</w:t>
          </w:r>
          <w:r w:rsidRPr="00FD3C10">
            <w:rPr>
              <w:bCs/>
              <w:szCs w:val="22"/>
              <w:vertAlign w:val="superscript"/>
            </w:rPr>
            <w:footnoteReference w:id="78"/>
          </w:r>
          <w:r w:rsidRPr="00FD3C10">
            <w:rPr>
              <w:bCs/>
              <w:szCs w:val="22"/>
            </w:rPr>
            <w:t xml:space="preserve"> De instellingen ontvangen geen extra financiële compensatie voor de nieuwe taken, omdat een groot deel van deze financiële gevolgen zit verwerkt in de lumpsum in verband met de wettelijke taak om de Nederlandse uitdrukkingsvaardigheid te bevorderen voor Nederlandse studenten, aldus de toelichting.</w:t>
          </w:r>
          <w:r w:rsidRPr="00FD3C10">
            <w:rPr>
              <w:rStyle w:val="Voetnootmarkering"/>
              <w:bCs/>
              <w:szCs w:val="22"/>
            </w:rPr>
            <w:footnoteReference w:id="79"/>
          </w:r>
          <w:r w:rsidRPr="00FD3C10">
            <w:rPr>
              <w:bCs/>
              <w:szCs w:val="22"/>
            </w:rPr>
            <w:t xml:space="preserve"> </w:t>
          </w:r>
        </w:p>
        <w:p w:rsidRPr="00FD3C10" w:rsidR="000F4212" w:rsidP="000F4212" w:rsidRDefault="000F4212" w14:paraId="18CB0367" w14:textId="77777777">
          <w:pPr>
            <w:rPr>
              <w:bCs/>
              <w:szCs w:val="22"/>
            </w:rPr>
          </w:pPr>
        </w:p>
        <w:p w:rsidR="00C709BA" w:rsidP="000F4212" w:rsidRDefault="000F4212" w14:paraId="7F60EE83" w14:textId="77777777">
          <w:pPr>
            <w:rPr>
              <w:bCs/>
              <w:szCs w:val="22"/>
            </w:rPr>
          </w:pPr>
          <w:r w:rsidRPr="00FD3C10">
            <w:rPr>
              <w:bCs/>
              <w:szCs w:val="22"/>
            </w:rPr>
            <w:t xml:space="preserve">Door het voorstel komen ruim 120.000 internationale studenten in aanmerking voor Nederlands taalonderwijs, naast 635.000 Nederlandse studenten. </w:t>
          </w:r>
          <w:r>
            <w:rPr>
              <w:bCs/>
              <w:szCs w:val="22"/>
            </w:rPr>
            <w:t xml:space="preserve">Uit de toelichting blijkt dat de taalvaardigheid van Nederlandse studenten tekortschiet, ondanks de bestaande zorgplicht. Dit betekent dat een intensivering van het taalonderwijs aan Nederlandse studenten noodzakelijk is. </w:t>
          </w:r>
        </w:p>
        <w:p w:rsidR="00C709BA" w:rsidP="000F4212" w:rsidRDefault="00C709BA" w14:paraId="3F2FA620" w14:textId="77777777">
          <w:pPr>
            <w:rPr>
              <w:bCs/>
              <w:szCs w:val="22"/>
            </w:rPr>
          </w:pPr>
        </w:p>
        <w:p w:rsidRPr="00FD3C10" w:rsidR="000F4212" w:rsidP="000F4212" w:rsidRDefault="000F4212" w14:paraId="3F4E3AB8" w14:textId="09593AC1">
          <w:pPr>
            <w:rPr>
              <w:bCs/>
              <w:szCs w:val="22"/>
            </w:rPr>
          </w:pPr>
          <w:r>
            <w:rPr>
              <w:bCs/>
              <w:szCs w:val="22"/>
            </w:rPr>
            <w:t>Bovendien dient beduidend meer werk gemaakt te worden van het taalonderwijs voor internationale studenten, mede met het oog op bevordering van hun blijfkans. De Afdeling is dan ook van oordeel dat de hierboven genoemde bedragen te laag zijn in om stevig in te zetten op de versterking van Nederlandse taalvaardigheid van alle studenten. Het lijkt niet realistisch</w:t>
          </w:r>
          <w:r w:rsidRPr="00FD3C10">
            <w:rPr>
              <w:bCs/>
              <w:szCs w:val="22"/>
            </w:rPr>
            <w:t xml:space="preserve"> om te verwachten dat </w:t>
          </w:r>
          <w:r>
            <w:rPr>
              <w:bCs/>
              <w:szCs w:val="22"/>
            </w:rPr>
            <w:t xml:space="preserve">de </w:t>
          </w:r>
          <w:r w:rsidRPr="00FD3C10">
            <w:rPr>
              <w:bCs/>
              <w:szCs w:val="22"/>
            </w:rPr>
            <w:t xml:space="preserve">extra kosten voor taalonderwijs </w:t>
          </w:r>
          <w:r>
            <w:rPr>
              <w:bCs/>
              <w:szCs w:val="22"/>
            </w:rPr>
            <w:t>die hiermee gemoeid zijn voldoende</w:t>
          </w:r>
          <w:r w:rsidRPr="00FD3C10">
            <w:rPr>
              <w:bCs/>
              <w:szCs w:val="22"/>
            </w:rPr>
            <w:t xml:space="preserve"> kunnen worden bestreden uit de </w:t>
          </w:r>
          <w:r>
            <w:rPr>
              <w:bCs/>
              <w:szCs w:val="22"/>
            </w:rPr>
            <w:t xml:space="preserve">huidige </w:t>
          </w:r>
          <w:r w:rsidRPr="00FD3C10">
            <w:rPr>
              <w:bCs/>
              <w:szCs w:val="22"/>
            </w:rPr>
            <w:t xml:space="preserve">reguliere bekostiging. </w:t>
          </w:r>
        </w:p>
        <w:p w:rsidRPr="00FD3C10" w:rsidR="000F4212" w:rsidP="000F4212" w:rsidRDefault="000F4212" w14:paraId="372F7671" w14:textId="77777777">
          <w:pPr>
            <w:rPr>
              <w:bCs/>
              <w:szCs w:val="22"/>
            </w:rPr>
          </w:pPr>
        </w:p>
        <w:p w:rsidRPr="00FD3C10" w:rsidR="000F4212" w:rsidP="000F4212" w:rsidRDefault="000F4212" w14:paraId="32DF9F79" w14:textId="0BA3CE64">
          <w:pPr>
            <w:rPr>
              <w:bCs/>
              <w:szCs w:val="22"/>
            </w:rPr>
          </w:pPr>
          <w:r w:rsidRPr="00FD3C10">
            <w:rPr>
              <w:bCs/>
              <w:szCs w:val="22"/>
            </w:rPr>
            <w:t xml:space="preserve">De Afdeling adviseert </w:t>
          </w:r>
          <w:r w:rsidR="002505EB">
            <w:rPr>
              <w:bCs/>
              <w:szCs w:val="22"/>
            </w:rPr>
            <w:t>een betere inschatting te maken</w:t>
          </w:r>
          <w:r w:rsidRPr="00FD3C10">
            <w:rPr>
              <w:bCs/>
              <w:szCs w:val="22"/>
            </w:rPr>
            <w:t xml:space="preserve"> </w:t>
          </w:r>
          <w:r w:rsidR="00C709BA">
            <w:rPr>
              <w:bCs/>
              <w:szCs w:val="22"/>
            </w:rPr>
            <w:t xml:space="preserve">van de </w:t>
          </w:r>
          <w:r w:rsidR="002505EB">
            <w:rPr>
              <w:bCs/>
              <w:szCs w:val="22"/>
            </w:rPr>
            <w:t xml:space="preserve">kosten </w:t>
          </w:r>
          <w:r w:rsidR="00C709BA">
            <w:rPr>
              <w:bCs/>
              <w:szCs w:val="22"/>
            </w:rPr>
            <w:t xml:space="preserve">die </w:t>
          </w:r>
          <w:r w:rsidR="002505EB">
            <w:rPr>
              <w:bCs/>
              <w:szCs w:val="22"/>
            </w:rPr>
            <w:t>gemoeid zijn met</w:t>
          </w:r>
          <w:r w:rsidRPr="00FD3C10">
            <w:rPr>
              <w:bCs/>
              <w:szCs w:val="22"/>
            </w:rPr>
            <w:t xml:space="preserve"> </w:t>
          </w:r>
          <w:r w:rsidR="002505EB">
            <w:rPr>
              <w:bCs/>
              <w:szCs w:val="22"/>
            </w:rPr>
            <w:t>d</w:t>
          </w:r>
          <w:r w:rsidRPr="00FD3C10">
            <w:rPr>
              <w:bCs/>
              <w:szCs w:val="22"/>
            </w:rPr>
            <w:t>eze aanzienlijke uitbreiding van taken</w:t>
          </w:r>
          <w:r w:rsidR="0066564D">
            <w:rPr>
              <w:bCs/>
              <w:szCs w:val="22"/>
            </w:rPr>
            <w:t xml:space="preserve">. </w:t>
          </w:r>
          <w:r w:rsidR="00103835">
            <w:rPr>
              <w:bCs/>
              <w:szCs w:val="22"/>
            </w:rPr>
            <w:t>Ook adviseert zij</w:t>
          </w:r>
          <w:r w:rsidR="002505EB">
            <w:rPr>
              <w:bCs/>
              <w:szCs w:val="22"/>
            </w:rPr>
            <w:t xml:space="preserve"> dragend te motiveren of deze </w:t>
          </w:r>
          <w:r w:rsidR="00E867FE">
            <w:rPr>
              <w:bCs/>
              <w:szCs w:val="22"/>
            </w:rPr>
            <w:t xml:space="preserve">kosten </w:t>
          </w:r>
          <w:r w:rsidRPr="00FD3C10">
            <w:rPr>
              <w:bCs/>
              <w:szCs w:val="22"/>
            </w:rPr>
            <w:t xml:space="preserve">uit de lumpsum </w:t>
          </w:r>
          <w:r w:rsidR="00E867FE">
            <w:rPr>
              <w:bCs/>
              <w:szCs w:val="22"/>
            </w:rPr>
            <w:t>zouden</w:t>
          </w:r>
          <w:r w:rsidRPr="00FD3C10" w:rsidR="00E867FE">
            <w:rPr>
              <w:bCs/>
              <w:szCs w:val="22"/>
            </w:rPr>
            <w:t xml:space="preserve"> </w:t>
          </w:r>
          <w:r w:rsidRPr="00FD3C10">
            <w:rPr>
              <w:bCs/>
              <w:szCs w:val="22"/>
            </w:rPr>
            <w:t>kunnen worden gefinancierd</w:t>
          </w:r>
          <w:r w:rsidR="0090616D">
            <w:rPr>
              <w:bCs/>
              <w:szCs w:val="22"/>
            </w:rPr>
            <w:t>,</w:t>
          </w:r>
          <w:r>
            <w:rPr>
              <w:bCs/>
              <w:szCs w:val="22"/>
            </w:rPr>
            <w:t xml:space="preserve"> en zo dit niet mogelijk is hiervoor extra financiële middelen ter beschikking te stellen</w:t>
          </w:r>
          <w:r w:rsidRPr="00FD3C10">
            <w:rPr>
              <w:bCs/>
              <w:szCs w:val="22"/>
            </w:rPr>
            <w:t xml:space="preserve">. </w:t>
          </w:r>
        </w:p>
        <w:p w:rsidRPr="00FD3C10" w:rsidR="000F4212" w:rsidP="000F4212" w:rsidRDefault="000F4212" w14:paraId="47F5B74E" w14:textId="77777777">
          <w:pPr>
            <w:rPr>
              <w:bCs/>
              <w:szCs w:val="22"/>
            </w:rPr>
          </w:pPr>
        </w:p>
        <w:p w:rsidRPr="00FD3C10" w:rsidR="000F4212" w:rsidP="000F4212" w:rsidRDefault="000F4212" w14:paraId="3885F6B7" w14:textId="14B13607">
          <w:pPr>
            <w:rPr>
              <w:szCs w:val="22"/>
            </w:rPr>
          </w:pPr>
          <w:r>
            <w:rPr>
              <w:szCs w:val="22"/>
            </w:rPr>
            <w:t>6</w:t>
          </w:r>
          <w:r w:rsidRPr="00FD3C10">
            <w:rPr>
              <w:szCs w:val="22"/>
            </w:rPr>
            <w:t xml:space="preserve">. </w:t>
          </w:r>
          <w:r w:rsidRPr="00FD3C10">
            <w:rPr>
              <w:szCs w:val="22"/>
            </w:rPr>
            <w:tab/>
          </w:r>
          <w:r w:rsidRPr="00FD3C10">
            <w:rPr>
              <w:szCs w:val="22"/>
              <w:u w:val="single"/>
            </w:rPr>
            <w:t xml:space="preserve">Verhouding tot </w:t>
          </w:r>
          <w:r w:rsidRPr="00FD3C10" w:rsidDel="00111A39">
            <w:rPr>
              <w:szCs w:val="22"/>
              <w:u w:val="single"/>
            </w:rPr>
            <w:t>h</w:t>
          </w:r>
          <w:r w:rsidDel="00111A39">
            <w:rPr>
              <w:szCs w:val="22"/>
              <w:u w:val="single"/>
            </w:rPr>
            <w:t xml:space="preserve">oger </w:t>
          </w:r>
          <w:r w:rsidR="00111A39">
            <w:rPr>
              <w:szCs w:val="22"/>
              <w:u w:val="single"/>
            </w:rPr>
            <w:t>recht</w:t>
          </w:r>
        </w:p>
        <w:p w:rsidRPr="00FD3C10" w:rsidR="000F4212" w:rsidP="000F4212" w:rsidRDefault="000F4212" w14:paraId="065699FC" w14:textId="77777777">
          <w:pPr>
            <w:rPr>
              <w:szCs w:val="22"/>
            </w:rPr>
          </w:pPr>
        </w:p>
        <w:p w:rsidR="000F4212" w:rsidP="000F4212" w:rsidRDefault="000F4212" w14:paraId="435E014F" w14:textId="77777777">
          <w:pPr>
            <w:rPr>
              <w:i/>
              <w:iCs/>
              <w:szCs w:val="22"/>
            </w:rPr>
          </w:pPr>
          <w:r w:rsidRPr="00FD3C10">
            <w:rPr>
              <w:szCs w:val="22"/>
            </w:rPr>
            <w:t xml:space="preserve">a. </w:t>
          </w:r>
          <w:r w:rsidRPr="00FD3C10">
            <w:rPr>
              <w:szCs w:val="22"/>
            </w:rPr>
            <w:tab/>
          </w:r>
          <w:r w:rsidRPr="00F242A7">
            <w:rPr>
              <w:i/>
              <w:iCs/>
              <w:szCs w:val="22"/>
            </w:rPr>
            <w:t>Taal</w:t>
          </w:r>
          <w:r>
            <w:rPr>
              <w:i/>
              <w:iCs/>
              <w:szCs w:val="22"/>
            </w:rPr>
            <w:t>maatregelen in het licht van het Unierecht</w:t>
          </w:r>
        </w:p>
        <w:p w:rsidR="00A00BCF" w:rsidP="000F4212" w:rsidRDefault="006B7ED8" w14:paraId="62F73591" w14:textId="4E7359F8">
          <w:pPr>
            <w:rPr>
              <w:szCs w:val="22"/>
            </w:rPr>
          </w:pPr>
          <w:r>
            <w:rPr>
              <w:szCs w:val="22"/>
            </w:rPr>
            <w:t>De voorgestelde taalma</w:t>
          </w:r>
          <w:r w:rsidR="007E360B">
            <w:rPr>
              <w:szCs w:val="22"/>
            </w:rPr>
            <w:t xml:space="preserve">atregelen </w:t>
          </w:r>
          <w:r w:rsidR="002731F9">
            <w:rPr>
              <w:szCs w:val="22"/>
            </w:rPr>
            <w:t>(</w:t>
          </w:r>
          <w:r w:rsidR="00606983">
            <w:rPr>
              <w:szCs w:val="22"/>
            </w:rPr>
            <w:t xml:space="preserve">in het bijzonder de eis dat </w:t>
          </w:r>
          <w:r w:rsidR="00B36C24">
            <w:rPr>
              <w:szCs w:val="22"/>
            </w:rPr>
            <w:t>de AD- en bacheloropleidingen voor ten minste twee derde in het Nederlands worden aangeboden</w:t>
          </w:r>
          <w:r w:rsidR="002731F9">
            <w:rPr>
              <w:szCs w:val="22"/>
            </w:rPr>
            <w:t xml:space="preserve">) </w:t>
          </w:r>
          <w:r w:rsidR="007E360B">
            <w:rPr>
              <w:szCs w:val="22"/>
            </w:rPr>
            <w:t xml:space="preserve">kunnen als effect hebben dat </w:t>
          </w:r>
          <w:r w:rsidR="009B0C12">
            <w:rPr>
              <w:szCs w:val="22"/>
            </w:rPr>
            <w:t xml:space="preserve">er </w:t>
          </w:r>
          <w:r w:rsidR="0089068B">
            <w:rPr>
              <w:szCs w:val="22"/>
            </w:rPr>
            <w:t xml:space="preserve">op termijn </w:t>
          </w:r>
          <w:r w:rsidR="002731F9">
            <w:rPr>
              <w:szCs w:val="22"/>
            </w:rPr>
            <w:t>minder anderstalige AD- en bachelor</w:t>
          </w:r>
          <w:r w:rsidR="0089068B">
            <w:rPr>
              <w:szCs w:val="22"/>
            </w:rPr>
            <w:t>opleidingen aangeboden worden</w:t>
          </w:r>
          <w:r w:rsidR="001B14FE">
            <w:rPr>
              <w:szCs w:val="22"/>
            </w:rPr>
            <w:t xml:space="preserve">. </w:t>
          </w:r>
          <w:r w:rsidR="00D53B9D">
            <w:rPr>
              <w:szCs w:val="22"/>
            </w:rPr>
            <w:t xml:space="preserve">Dat </w:t>
          </w:r>
          <w:r w:rsidR="00410C17">
            <w:rPr>
              <w:szCs w:val="22"/>
            </w:rPr>
            <w:t xml:space="preserve">zou </w:t>
          </w:r>
          <w:r w:rsidR="00D53B9D">
            <w:rPr>
              <w:szCs w:val="22"/>
            </w:rPr>
            <w:t>betekenen dat er voor studenten uit andere EU-lidstaten minder toegankelijk</w:t>
          </w:r>
          <w:r w:rsidR="007C042F">
            <w:rPr>
              <w:szCs w:val="22"/>
            </w:rPr>
            <w:t xml:space="preserve">e opleidingen beschikbaar zullen </w:t>
          </w:r>
          <w:r w:rsidR="00A00BCF">
            <w:rPr>
              <w:szCs w:val="22"/>
            </w:rPr>
            <w:t>blijven.</w:t>
          </w:r>
          <w:r w:rsidR="00D53B9D">
            <w:rPr>
              <w:szCs w:val="22"/>
            </w:rPr>
            <w:t xml:space="preserve"> </w:t>
          </w:r>
          <w:r w:rsidR="001B14FE">
            <w:rPr>
              <w:szCs w:val="22"/>
            </w:rPr>
            <w:t xml:space="preserve">Bezien vanuit het perspectief van het Unierecht is dat </w:t>
          </w:r>
          <w:r w:rsidR="00F64BB2">
            <w:rPr>
              <w:szCs w:val="22"/>
            </w:rPr>
            <w:t xml:space="preserve">echter </w:t>
          </w:r>
          <w:r w:rsidR="001B14FE">
            <w:rPr>
              <w:szCs w:val="22"/>
            </w:rPr>
            <w:t>on</w:t>
          </w:r>
          <w:r w:rsidR="00D53B9D">
            <w:rPr>
              <w:szCs w:val="22"/>
            </w:rPr>
            <w:t>pr</w:t>
          </w:r>
          <w:r w:rsidR="001B14FE">
            <w:rPr>
              <w:szCs w:val="22"/>
            </w:rPr>
            <w:t>oblematisch.</w:t>
          </w:r>
        </w:p>
        <w:p w:rsidR="00A00BCF" w:rsidP="000F4212" w:rsidRDefault="00A00BCF" w14:paraId="7988FE3A" w14:textId="77777777">
          <w:pPr>
            <w:rPr>
              <w:szCs w:val="22"/>
            </w:rPr>
          </w:pPr>
        </w:p>
        <w:p w:rsidR="000F4212" w:rsidP="000F4212" w:rsidRDefault="000F4212" w14:paraId="08650659" w14:textId="459C5F71">
          <w:pPr>
            <w:rPr>
              <w:szCs w:val="22"/>
            </w:rPr>
          </w:pPr>
          <w:r>
            <w:rPr>
              <w:szCs w:val="22"/>
            </w:rPr>
            <w:t xml:space="preserve">Daargelaten enkele specifieke bevoegdheden inzake diploma-erkenning heeft de </w:t>
          </w:r>
          <w:r w:rsidRPr="00FD3C10">
            <w:rPr>
              <w:szCs w:val="22"/>
            </w:rPr>
            <w:t xml:space="preserve">Europese Unie </w:t>
          </w:r>
          <w:r>
            <w:rPr>
              <w:szCs w:val="22"/>
            </w:rPr>
            <w:t xml:space="preserve">slechts </w:t>
          </w:r>
          <w:r w:rsidRPr="00FD3C10">
            <w:rPr>
              <w:szCs w:val="22"/>
            </w:rPr>
            <w:t xml:space="preserve">ondersteunende bevoegdheden op het terrein van het </w:t>
          </w:r>
          <w:r>
            <w:rPr>
              <w:szCs w:val="22"/>
            </w:rPr>
            <w:t xml:space="preserve">publieke, door de nationale overheid bekostigde </w:t>
          </w:r>
          <w:r w:rsidRPr="00FD3C10">
            <w:rPr>
              <w:szCs w:val="22"/>
            </w:rPr>
            <w:t>onderwijs</w:t>
          </w:r>
          <w:r>
            <w:rPr>
              <w:szCs w:val="22"/>
            </w:rPr>
            <w:t>. In d</w:t>
          </w:r>
          <w:r w:rsidRPr="00FD3C10">
            <w:rPr>
              <w:szCs w:val="22"/>
            </w:rPr>
            <w:t xml:space="preserve">at kader </w:t>
          </w:r>
          <w:r>
            <w:rPr>
              <w:szCs w:val="22"/>
            </w:rPr>
            <w:t xml:space="preserve">heeft de Unie </w:t>
          </w:r>
          <w:r w:rsidRPr="00FD3C10">
            <w:rPr>
              <w:szCs w:val="22"/>
            </w:rPr>
            <w:t>diverse initiatieven ontplooid binnen de Europese Onderwijsruimte</w:t>
          </w:r>
          <w:r>
            <w:rPr>
              <w:szCs w:val="22"/>
            </w:rPr>
            <w:t>,</w:t>
          </w:r>
          <w:r w:rsidRPr="00FD3C10">
            <w:rPr>
              <w:szCs w:val="22"/>
            </w:rPr>
            <w:t xml:space="preserve"> om ten behoeve van Unieburgers te komen tot nadere samenwerking op </w:t>
          </w:r>
          <w:r>
            <w:rPr>
              <w:szCs w:val="22"/>
            </w:rPr>
            <w:t>het gebied van het onderwijs</w:t>
          </w:r>
          <w:r w:rsidRPr="00FD3C10">
            <w:rPr>
              <w:szCs w:val="22"/>
            </w:rPr>
            <w:t>.</w:t>
          </w:r>
          <w:r>
            <w:rPr>
              <w:szCs w:val="22"/>
            </w:rPr>
            <w:t xml:space="preserve"> </w:t>
          </w:r>
          <w:r w:rsidRPr="00FD3C10">
            <w:rPr>
              <w:szCs w:val="22"/>
            </w:rPr>
            <w:t xml:space="preserve">De lidstaten hebben </w:t>
          </w:r>
          <w:r w:rsidR="00830EDA">
            <w:rPr>
              <w:szCs w:val="22"/>
            </w:rPr>
            <w:t>evenwel</w:t>
          </w:r>
          <w:r w:rsidRPr="00FD3C10">
            <w:rPr>
              <w:szCs w:val="22"/>
            </w:rPr>
            <w:t xml:space="preserve"> </w:t>
          </w:r>
          <w:r>
            <w:rPr>
              <w:szCs w:val="22"/>
            </w:rPr>
            <w:t>hun b</w:t>
          </w:r>
          <w:r w:rsidRPr="00FD3C10">
            <w:rPr>
              <w:szCs w:val="22"/>
            </w:rPr>
            <w:t xml:space="preserve">evoegdheden </w:t>
          </w:r>
          <w:r>
            <w:rPr>
              <w:szCs w:val="22"/>
            </w:rPr>
            <w:t>inzake de inhoud van het onderwijs, de opzet van het onderwijsstelsel en de daarin besloten liggende culturele en taalkundige verscheidenheid behouden.</w:t>
          </w:r>
          <w:r w:rsidRPr="00FD3C10">
            <w:rPr>
              <w:rStyle w:val="Voetnootmarkering"/>
              <w:szCs w:val="22"/>
            </w:rPr>
            <w:footnoteReference w:id="80"/>
          </w:r>
        </w:p>
        <w:p w:rsidR="000F4212" w:rsidP="000F4212" w:rsidRDefault="000F4212" w14:paraId="26B14539" w14:textId="77777777">
          <w:pPr>
            <w:rPr>
              <w:szCs w:val="22"/>
            </w:rPr>
          </w:pPr>
        </w:p>
        <w:p w:rsidR="000F4212" w:rsidP="000F4212" w:rsidRDefault="000F4212" w14:paraId="79B95AB8" w14:textId="6D726A61">
          <w:pPr>
            <w:rPr>
              <w:szCs w:val="22"/>
            </w:rPr>
          </w:pPr>
          <w:r>
            <w:rPr>
              <w:szCs w:val="22"/>
            </w:rPr>
            <w:t>De staat vervult door het bekostigen en wettelijk regelen van het onderwijsbestel zijn sociale, culturele en opvoedkundige taken. Dat impliceert dat de bekostigde onderwijsinstellingen die van dit bestel onderdeel uitmaken in zoverre geen ondernemingen zijn, dus niet vallen onder de mededingingsregelingen en de staatssteunvoorschriften,</w:t>
          </w:r>
          <w:r>
            <w:rPr>
              <w:rStyle w:val="Voetnootmarkering"/>
              <w:szCs w:val="22"/>
            </w:rPr>
            <w:footnoteReference w:id="81"/>
          </w:r>
          <w:r>
            <w:rPr>
              <w:szCs w:val="22"/>
            </w:rPr>
            <w:t xml:space="preserve"> niet aangemerkt kunnen worden als dienstenverrichter en derhalve niet bestreken worden door de bepalingen inzake het vrij verkeer.</w:t>
          </w:r>
          <w:r>
            <w:rPr>
              <w:rStyle w:val="Voetnootmarkering"/>
              <w:szCs w:val="22"/>
            </w:rPr>
            <w:footnoteReference w:id="82"/>
          </w:r>
          <w:r>
            <w:rPr>
              <w:szCs w:val="22"/>
            </w:rPr>
            <w:t xml:space="preserve"> De regering gaat er dan ook ten onrechte vanuit dat het bekostigd hoger onderwijs</w:t>
          </w:r>
          <w:r>
            <w:rPr>
              <w:rStyle w:val="Voetnootmarkering"/>
              <w:szCs w:val="22"/>
            </w:rPr>
            <w:footnoteReference w:id="83"/>
          </w:r>
          <w:r>
            <w:rPr>
              <w:szCs w:val="22"/>
            </w:rPr>
            <w:t xml:space="preserve"> onder de vrij verkeersregels valt.</w:t>
          </w:r>
        </w:p>
        <w:p w:rsidR="000F4212" w:rsidP="000F4212" w:rsidRDefault="000F4212" w14:paraId="56DA3BD4" w14:textId="77777777">
          <w:pPr>
            <w:rPr>
              <w:szCs w:val="22"/>
            </w:rPr>
          </w:pPr>
        </w:p>
        <w:p w:rsidR="00E57133" w:rsidP="00AB4508" w:rsidRDefault="000F4212" w14:paraId="19598CCE" w14:textId="575B7216">
          <w:pPr>
            <w:rPr>
              <w:szCs w:val="22"/>
            </w:rPr>
          </w:pPr>
          <w:r>
            <w:rPr>
              <w:szCs w:val="22"/>
            </w:rPr>
            <w:t xml:space="preserve">De </w:t>
          </w:r>
          <w:r w:rsidR="00B32B59">
            <w:rPr>
              <w:szCs w:val="22"/>
            </w:rPr>
            <w:t xml:space="preserve">toelichting </w:t>
          </w:r>
          <w:r>
            <w:rPr>
              <w:szCs w:val="22"/>
            </w:rPr>
            <w:t>stelt terecht dat het Unierecht noch internationaalrechtelijke bepalingen een verplichting voor de lidstaten opleggen om het bekostigd hoger onderwijs in andere talen aan te bieden dan in de officiële taal van de lidstaat.</w:t>
          </w:r>
          <w:r w:rsidR="00B27047">
            <w:rPr>
              <w:rStyle w:val="Voetnootmarkering"/>
              <w:szCs w:val="22"/>
            </w:rPr>
            <w:footnoteReference w:id="84"/>
          </w:r>
          <w:r>
            <w:rPr>
              <w:szCs w:val="22"/>
            </w:rPr>
            <w:t xml:space="preserve"> De </w:t>
          </w:r>
          <w:r w:rsidR="00B32B59">
            <w:rPr>
              <w:szCs w:val="22"/>
            </w:rPr>
            <w:t xml:space="preserve">toelichting </w:t>
          </w:r>
          <w:r w:rsidR="00450C83">
            <w:rPr>
              <w:szCs w:val="22"/>
            </w:rPr>
            <w:t>stelt</w:t>
          </w:r>
          <w:r>
            <w:rPr>
              <w:szCs w:val="22"/>
            </w:rPr>
            <w:t xml:space="preserve"> </w:t>
          </w:r>
          <w:r w:rsidR="00D224D2">
            <w:rPr>
              <w:szCs w:val="22"/>
            </w:rPr>
            <w:t xml:space="preserve">verder </w:t>
          </w:r>
          <w:r>
            <w:rPr>
              <w:szCs w:val="22"/>
            </w:rPr>
            <w:t xml:space="preserve">dat het voor studenten met een Nederlandstalige vooropleiding eenvoudiger is om een Nederlandstalige vervolgopleiding te volgen, en dat in die zin het hanteren van de eis dat het AD- en bacheloronderwijs (overwegend) in het Nederlands verzorgd wordt indirect onderscheid </w:t>
          </w:r>
          <w:r w:rsidR="00D224D2">
            <w:rPr>
              <w:szCs w:val="22"/>
            </w:rPr>
            <w:t xml:space="preserve">kan </w:t>
          </w:r>
          <w:r>
            <w:rPr>
              <w:szCs w:val="22"/>
            </w:rPr>
            <w:t>ma</w:t>
          </w:r>
          <w:r w:rsidR="00D224D2">
            <w:rPr>
              <w:szCs w:val="22"/>
            </w:rPr>
            <w:t>ken</w:t>
          </w:r>
          <w:r>
            <w:rPr>
              <w:szCs w:val="22"/>
            </w:rPr>
            <w:t xml:space="preserve"> tussen Nederlandse studenten en overige studenten/unieburgers.</w:t>
          </w:r>
          <w:r w:rsidR="00B77FF3">
            <w:rPr>
              <w:rStyle w:val="Voetnootmarkering"/>
              <w:szCs w:val="22"/>
            </w:rPr>
            <w:footnoteReference w:id="85"/>
          </w:r>
          <w:r>
            <w:rPr>
              <w:szCs w:val="22"/>
            </w:rPr>
            <w:t xml:space="preserve"> </w:t>
          </w:r>
        </w:p>
        <w:p w:rsidR="00E57133" w:rsidP="00AB4508" w:rsidRDefault="00E57133" w14:paraId="502079AD" w14:textId="77777777">
          <w:pPr>
            <w:rPr>
              <w:szCs w:val="22"/>
            </w:rPr>
          </w:pPr>
        </w:p>
        <w:p w:rsidR="00AB4508" w:rsidP="00AB4508" w:rsidRDefault="00E57133" w14:paraId="0DFAEDBB" w14:textId="608618D3">
          <w:pPr>
            <w:rPr>
              <w:szCs w:val="22"/>
            </w:rPr>
          </w:pPr>
          <w:r>
            <w:rPr>
              <w:szCs w:val="22"/>
            </w:rPr>
            <w:t>De Afdeling wijst er in dit verband e</w:t>
          </w:r>
          <w:r w:rsidR="00AB77CB">
            <w:rPr>
              <w:szCs w:val="22"/>
            </w:rPr>
            <w:t>chter</w:t>
          </w:r>
          <w:r>
            <w:rPr>
              <w:szCs w:val="22"/>
            </w:rPr>
            <w:t xml:space="preserve"> op dat</w:t>
          </w:r>
          <w:r w:rsidR="00AB77CB">
            <w:rPr>
              <w:szCs w:val="22"/>
            </w:rPr>
            <w:t xml:space="preserve">, zoals een lidstaat </w:t>
          </w:r>
          <w:r w:rsidR="00FA615E">
            <w:rPr>
              <w:szCs w:val="22"/>
            </w:rPr>
            <w:t xml:space="preserve">niet verplicht is om </w:t>
          </w:r>
          <w:r w:rsidR="00BA47AA">
            <w:rPr>
              <w:szCs w:val="22"/>
            </w:rPr>
            <w:t>anderstalig onderwijs aan te bieden</w:t>
          </w:r>
          <w:r w:rsidR="00AB77CB">
            <w:rPr>
              <w:szCs w:val="22"/>
            </w:rPr>
            <w:t xml:space="preserve">, zo is deze ook niet verplicht anderstalig onderwijs te </w:t>
          </w:r>
          <w:r w:rsidR="0022050A">
            <w:rPr>
              <w:szCs w:val="22"/>
            </w:rPr>
            <w:t xml:space="preserve">continueren. Het is dan ook </w:t>
          </w:r>
          <w:r w:rsidR="0003398C">
            <w:rPr>
              <w:szCs w:val="22"/>
            </w:rPr>
            <w:t>de vraag</w:t>
          </w:r>
          <w:r w:rsidR="0022050A">
            <w:rPr>
              <w:szCs w:val="22"/>
            </w:rPr>
            <w:t xml:space="preserve"> of het </w:t>
          </w:r>
          <w:r w:rsidR="00FA098A">
            <w:rPr>
              <w:szCs w:val="22"/>
            </w:rPr>
            <w:t>naar aanleiding van de ministeriële doelmatigheidstoets verminderen van anderstalig hoger onderwijs</w:t>
          </w:r>
          <w:r w:rsidR="00663A26">
            <w:rPr>
              <w:szCs w:val="22"/>
            </w:rPr>
            <w:t>aanbod als indirect onderscheid aangemerkt moet worden.</w:t>
          </w:r>
        </w:p>
        <w:p w:rsidR="00AB4508" w:rsidP="00AB4508" w:rsidRDefault="00AB4508" w14:paraId="41BFE2D1" w14:textId="77777777">
          <w:pPr>
            <w:rPr>
              <w:szCs w:val="22"/>
            </w:rPr>
          </w:pPr>
        </w:p>
        <w:p w:rsidR="006A4056" w:rsidP="000F4212" w:rsidRDefault="00AB4508" w14:paraId="5C78447E" w14:textId="4C3FE380">
          <w:pPr>
            <w:rPr>
              <w:szCs w:val="22"/>
            </w:rPr>
          </w:pPr>
          <w:r>
            <w:rPr>
              <w:szCs w:val="22"/>
            </w:rPr>
            <w:t>Zo al sprake zou zijn van</w:t>
          </w:r>
          <w:r w:rsidR="00D2219B">
            <w:rPr>
              <w:szCs w:val="22"/>
            </w:rPr>
            <w:t xml:space="preserve"> het maken van indirect onderscheid tussen </w:t>
          </w:r>
          <w:r w:rsidR="00351361">
            <w:rPr>
              <w:szCs w:val="22"/>
            </w:rPr>
            <w:t>Nederlandse</w:t>
          </w:r>
          <w:r w:rsidR="009D79AE">
            <w:rPr>
              <w:szCs w:val="22"/>
            </w:rPr>
            <w:t xml:space="preserve"> studenten en anderstalige studenten merkt de Afdeling op</w:t>
          </w:r>
          <w:r w:rsidR="005612AD">
            <w:rPr>
              <w:szCs w:val="22"/>
            </w:rPr>
            <w:t xml:space="preserve"> dat dat onderscheid </w:t>
          </w:r>
          <w:r w:rsidR="005A59CD">
            <w:rPr>
              <w:szCs w:val="22"/>
            </w:rPr>
            <w:t xml:space="preserve">moet voldoen aan de </w:t>
          </w:r>
          <w:r>
            <w:rPr>
              <w:szCs w:val="22"/>
            </w:rPr>
            <w:t xml:space="preserve">bepalingen inzake het Unieburgerschap. In het bijzonder is </w:t>
          </w:r>
          <w:r w:rsidR="00DE199C">
            <w:rPr>
              <w:szCs w:val="22"/>
            </w:rPr>
            <w:t xml:space="preserve">daarbij </w:t>
          </w:r>
          <w:r>
            <w:rPr>
              <w:szCs w:val="22"/>
            </w:rPr>
            <w:t>van belang dat unieburgers niet op grond van hun nationaliteit gediscrimineerd mogen worden, aldus artikel</w:t>
          </w:r>
          <w:r w:rsidR="00FD1470">
            <w:rPr>
              <w:szCs w:val="22"/>
            </w:rPr>
            <w:t>en</w:t>
          </w:r>
          <w:r>
            <w:rPr>
              <w:szCs w:val="22"/>
            </w:rPr>
            <w:t xml:space="preserve"> 18 </w:t>
          </w:r>
          <w:r w:rsidR="00FD1470">
            <w:rPr>
              <w:szCs w:val="22"/>
            </w:rPr>
            <w:t xml:space="preserve">en 21 </w:t>
          </w:r>
          <w:r>
            <w:rPr>
              <w:szCs w:val="22"/>
            </w:rPr>
            <w:t>VWEU.</w:t>
          </w:r>
          <w:r>
            <w:rPr>
              <w:rStyle w:val="Voetnootmarkering"/>
              <w:szCs w:val="22"/>
            </w:rPr>
            <w:footnoteReference w:id="86"/>
          </w:r>
          <w:r w:rsidR="00875C7E">
            <w:rPr>
              <w:szCs w:val="22"/>
            </w:rPr>
            <w:t xml:space="preserve"> Van discriminatie is evenwel geen sprake, nu het (mogelijke) indirecte onderscheid</w:t>
          </w:r>
          <w:r w:rsidR="00363FC1">
            <w:rPr>
              <w:szCs w:val="22"/>
            </w:rPr>
            <w:t xml:space="preserve"> gerechtvaardigd</w:t>
          </w:r>
          <w:r w:rsidR="00875C7E">
            <w:rPr>
              <w:szCs w:val="22"/>
            </w:rPr>
            <w:t xml:space="preserve"> is</w:t>
          </w:r>
          <w:r w:rsidR="00FD2508">
            <w:rPr>
              <w:szCs w:val="22"/>
            </w:rPr>
            <w:t>.</w:t>
          </w:r>
          <w:r w:rsidR="007923E1">
            <w:rPr>
              <w:szCs w:val="22"/>
            </w:rPr>
            <w:t xml:space="preserve"> </w:t>
          </w:r>
        </w:p>
        <w:p w:rsidR="006A4056" w:rsidP="000F4212" w:rsidRDefault="006A4056" w14:paraId="2EE39F15" w14:textId="77777777">
          <w:pPr>
            <w:rPr>
              <w:szCs w:val="22"/>
            </w:rPr>
          </w:pPr>
        </w:p>
        <w:p w:rsidR="001C4469" w:rsidP="000F4212" w:rsidRDefault="00CD4689" w14:paraId="3C10131C" w14:textId="40F3FFA1">
          <w:pPr>
            <w:rPr>
              <w:szCs w:val="22"/>
            </w:rPr>
          </w:pPr>
          <w:r>
            <w:rPr>
              <w:szCs w:val="22"/>
            </w:rPr>
            <w:t>D</w:t>
          </w:r>
          <w:r w:rsidR="000F4212">
            <w:rPr>
              <w:szCs w:val="22"/>
            </w:rPr>
            <w:t xml:space="preserve">e regering </w:t>
          </w:r>
          <w:r>
            <w:rPr>
              <w:szCs w:val="22"/>
            </w:rPr>
            <w:t xml:space="preserve">geeft een aantal </w:t>
          </w:r>
          <w:r w:rsidR="000F4212">
            <w:rPr>
              <w:szCs w:val="22"/>
            </w:rPr>
            <w:t xml:space="preserve">argumenten om dit onderscheid in het licht van het vrij verkeer </w:t>
          </w:r>
          <w:r w:rsidR="00137ACB">
            <w:rPr>
              <w:szCs w:val="22"/>
            </w:rPr>
            <w:t>van personen</w:t>
          </w:r>
          <w:r w:rsidR="000B02F1">
            <w:rPr>
              <w:rStyle w:val="Voetnootmarkering"/>
              <w:szCs w:val="22"/>
            </w:rPr>
            <w:footnoteReference w:id="87"/>
          </w:r>
          <w:r w:rsidR="00137ACB">
            <w:rPr>
              <w:szCs w:val="22"/>
            </w:rPr>
            <w:t xml:space="preserve"> </w:t>
          </w:r>
          <w:r w:rsidR="000F4212">
            <w:rPr>
              <w:szCs w:val="22"/>
            </w:rPr>
            <w:t>te rechtvaardigen</w:t>
          </w:r>
          <w:r w:rsidR="006758B3">
            <w:rPr>
              <w:szCs w:val="22"/>
            </w:rPr>
            <w:t>. Zij noemt in dit verband h</w:t>
          </w:r>
          <w:r w:rsidR="000F4212">
            <w:rPr>
              <w:szCs w:val="22"/>
            </w:rPr>
            <w:t xml:space="preserve">et beschermen van de Nederlandse taal en cultuur en meer in het bijzonder het belang </w:t>
          </w:r>
          <w:r w:rsidR="006758B3">
            <w:rPr>
              <w:szCs w:val="22"/>
            </w:rPr>
            <w:t xml:space="preserve">van het Nederlands </w:t>
          </w:r>
          <w:r w:rsidR="000F4212">
            <w:rPr>
              <w:szCs w:val="22"/>
            </w:rPr>
            <w:t xml:space="preserve">als voertaal in het hoger onderwijs en </w:t>
          </w:r>
          <w:r w:rsidR="00873769">
            <w:rPr>
              <w:szCs w:val="22"/>
            </w:rPr>
            <w:t xml:space="preserve">in </w:t>
          </w:r>
          <w:r w:rsidR="00745020">
            <w:rPr>
              <w:szCs w:val="22"/>
            </w:rPr>
            <w:t>de</w:t>
          </w:r>
          <w:r w:rsidR="000F4212">
            <w:rPr>
              <w:szCs w:val="22"/>
            </w:rPr>
            <w:t xml:space="preserve"> arbeidsmarkt</w:t>
          </w:r>
          <w:r w:rsidR="00873769">
            <w:rPr>
              <w:szCs w:val="22"/>
            </w:rPr>
            <w:t>, alsmede het belang van</w:t>
          </w:r>
          <w:r w:rsidR="000F4212">
            <w:rPr>
              <w:szCs w:val="22"/>
            </w:rPr>
            <w:t xml:space="preserve"> </w:t>
          </w:r>
          <w:r w:rsidR="00745020">
            <w:rPr>
              <w:szCs w:val="22"/>
            </w:rPr>
            <w:t xml:space="preserve">het waarborgen van </w:t>
          </w:r>
          <w:r w:rsidR="000F4212">
            <w:rPr>
              <w:szCs w:val="22"/>
            </w:rPr>
            <w:t xml:space="preserve">de toegankelijkheid tot het hoger onderwijs voor minder taalvaardige Nederlandse studenten. </w:t>
          </w:r>
        </w:p>
        <w:p w:rsidR="001C4469" w:rsidP="000F4212" w:rsidRDefault="001C4469" w14:paraId="547D105C" w14:textId="77777777">
          <w:pPr>
            <w:rPr>
              <w:szCs w:val="22"/>
            </w:rPr>
          </w:pPr>
        </w:p>
        <w:p w:rsidR="000F4212" w:rsidP="000F4212" w:rsidRDefault="000F4212" w14:paraId="719B6BE4" w14:textId="6BA2A365">
          <w:pPr>
            <w:rPr>
              <w:szCs w:val="22"/>
            </w:rPr>
          </w:pPr>
          <w:r>
            <w:rPr>
              <w:szCs w:val="22"/>
            </w:rPr>
            <w:t xml:space="preserve">De Afdeling acht deze </w:t>
          </w:r>
          <w:r w:rsidR="00142169">
            <w:rPr>
              <w:szCs w:val="22"/>
            </w:rPr>
            <w:t>argumenten</w:t>
          </w:r>
          <w:r>
            <w:rPr>
              <w:szCs w:val="22"/>
            </w:rPr>
            <w:t xml:space="preserve"> voldoende zwaarwegend, en </w:t>
          </w:r>
          <w:r w:rsidRPr="00FC3D5B">
            <w:rPr>
              <w:i/>
              <w:iCs/>
              <w:szCs w:val="22"/>
            </w:rPr>
            <w:t>a fortiori</w:t>
          </w:r>
          <w:r>
            <w:rPr>
              <w:szCs w:val="22"/>
            </w:rPr>
            <w:t xml:space="preserve"> van voldoende gewicht om het indirecte onderscheid te rechtvaardigen in het licht van het </w:t>
          </w:r>
          <w:r w:rsidR="00142169">
            <w:rPr>
              <w:szCs w:val="22"/>
            </w:rPr>
            <w:t xml:space="preserve">unieburgerschap en het </w:t>
          </w:r>
          <w:r>
            <w:rPr>
              <w:szCs w:val="22"/>
            </w:rPr>
            <w:t>verbod op discriminatie van (andere) unieburgers. In vaste rechtspraak van het Hof van Justitie worden dergelijke belangen als dwingende redenen van algemeen belang aangemerkt</w:t>
          </w:r>
          <w:r w:rsidR="004E6302">
            <w:rPr>
              <w:szCs w:val="22"/>
            </w:rPr>
            <w:t xml:space="preserve"> die onderscheid tussen unieburgers kunnen rechtvaardigen</w:t>
          </w:r>
          <w:r>
            <w:rPr>
              <w:szCs w:val="22"/>
            </w:rPr>
            <w:t>.</w:t>
          </w:r>
          <w:r>
            <w:rPr>
              <w:rStyle w:val="Voetnootmarkering"/>
              <w:szCs w:val="22"/>
            </w:rPr>
            <w:footnoteReference w:id="88"/>
          </w:r>
          <w:r>
            <w:rPr>
              <w:szCs w:val="22"/>
            </w:rPr>
            <w:t xml:space="preserve"> Een en ander doet recht aan de eerbiediging door de Unie van de rijke Europese verscheidenheid van cultuur, taal en nationale identiteit</w:t>
          </w:r>
          <w:r>
            <w:rPr>
              <w:rStyle w:val="Voetnootmarkering"/>
              <w:szCs w:val="22"/>
            </w:rPr>
            <w:footnoteReference w:id="89"/>
          </w:r>
          <w:r>
            <w:rPr>
              <w:szCs w:val="22"/>
            </w:rPr>
            <w:t xml:space="preserve"> en in het bijzonder van de ‘verantwoordelijkheid van de lidstaten voor de inhoud van het onderwijs en de opzet van het onderwijsstelsel en van hun culturele en taalkundige verscheidenheid’</w:t>
          </w:r>
          <w:r w:rsidR="001F3538">
            <w:rPr>
              <w:szCs w:val="22"/>
            </w:rPr>
            <w:t>.</w:t>
          </w:r>
          <w:r w:rsidR="00A55028">
            <w:rPr>
              <w:rStyle w:val="Voetnootmarkering"/>
              <w:szCs w:val="22"/>
            </w:rPr>
            <w:footnoteReference w:id="90"/>
          </w:r>
        </w:p>
        <w:p w:rsidR="000F4212" w:rsidP="000F4212" w:rsidRDefault="000F4212" w14:paraId="7287072E" w14:textId="77777777">
          <w:pPr>
            <w:rPr>
              <w:szCs w:val="22"/>
            </w:rPr>
          </w:pPr>
        </w:p>
        <w:p w:rsidR="000F4212" w:rsidP="000F4212" w:rsidRDefault="000F4212" w14:paraId="412B6B91" w14:textId="22A82E8A">
          <w:pPr>
            <w:rPr>
              <w:szCs w:val="22"/>
            </w:rPr>
          </w:pPr>
          <w:r>
            <w:rPr>
              <w:szCs w:val="22"/>
            </w:rPr>
            <w:t>De Afdeling adviseert gezien het voorgaande de rechtvaardiging van de voorgestelde taalmaatregel</w:t>
          </w:r>
          <w:r w:rsidR="00111A39">
            <w:rPr>
              <w:szCs w:val="22"/>
            </w:rPr>
            <w:t>en</w:t>
          </w:r>
          <w:r>
            <w:rPr>
              <w:szCs w:val="22"/>
            </w:rPr>
            <w:t xml:space="preserve"> niet in het licht van het vrij verkeer</w:t>
          </w:r>
          <w:r w:rsidR="00F82309">
            <w:rPr>
              <w:szCs w:val="22"/>
            </w:rPr>
            <w:t xml:space="preserve"> </w:t>
          </w:r>
          <w:r>
            <w:rPr>
              <w:szCs w:val="22"/>
            </w:rPr>
            <w:t>te plaatsen</w:t>
          </w:r>
          <w:r w:rsidR="00F82309">
            <w:rPr>
              <w:szCs w:val="22"/>
            </w:rPr>
            <w:t xml:space="preserve">, </w:t>
          </w:r>
          <w:r w:rsidR="0022636B">
            <w:rPr>
              <w:szCs w:val="22"/>
            </w:rPr>
            <w:t xml:space="preserve">en </w:t>
          </w:r>
          <w:r w:rsidR="00F82309">
            <w:rPr>
              <w:szCs w:val="22"/>
            </w:rPr>
            <w:t>nader te bezien in hoeverre er sprake is van</w:t>
          </w:r>
          <w:r w:rsidR="0022636B">
            <w:rPr>
              <w:szCs w:val="22"/>
            </w:rPr>
            <w:t xml:space="preserve"> – gerechtvaardigd </w:t>
          </w:r>
          <w:r w:rsidR="001B506B">
            <w:rPr>
              <w:szCs w:val="22"/>
            </w:rPr>
            <w:t>–</w:t>
          </w:r>
          <w:r w:rsidR="00F82309">
            <w:rPr>
              <w:szCs w:val="22"/>
            </w:rPr>
            <w:t xml:space="preserve"> indirect onderscheid</w:t>
          </w:r>
          <w:r w:rsidR="00FC383F">
            <w:rPr>
              <w:szCs w:val="22"/>
            </w:rPr>
            <w:t xml:space="preserve"> in het licht van artikel 18 VWEU</w:t>
          </w:r>
          <w:r>
            <w:rPr>
              <w:szCs w:val="22"/>
            </w:rPr>
            <w:t>.</w:t>
          </w:r>
        </w:p>
        <w:p w:rsidRPr="00FD3C10" w:rsidR="000F4212" w:rsidP="000F4212" w:rsidRDefault="000F4212" w14:paraId="39CA7D42" w14:textId="77777777">
          <w:pPr>
            <w:rPr>
              <w:szCs w:val="22"/>
            </w:rPr>
          </w:pPr>
        </w:p>
        <w:p w:rsidR="000F4212" w:rsidP="000F4212" w:rsidRDefault="000F4212" w14:paraId="28340FD0" w14:textId="77777777">
          <w:pPr>
            <w:rPr>
              <w:i/>
              <w:iCs/>
              <w:szCs w:val="22"/>
            </w:rPr>
          </w:pPr>
          <w:r w:rsidRPr="0061379A">
            <w:rPr>
              <w:szCs w:val="22"/>
            </w:rPr>
            <w:t>b.</w:t>
          </w:r>
          <w:r>
            <w:rPr>
              <w:i/>
              <w:iCs/>
              <w:szCs w:val="22"/>
            </w:rPr>
            <w:tab/>
            <w:t>N</w:t>
          </w:r>
          <w:r w:rsidRPr="0061379A">
            <w:rPr>
              <w:i/>
              <w:iCs/>
              <w:szCs w:val="22"/>
            </w:rPr>
            <w:t>umerus fixus: onderscheid EER en niet-EER studenten</w:t>
          </w:r>
          <w:r>
            <w:rPr>
              <w:i/>
              <w:iCs/>
              <w:szCs w:val="22"/>
            </w:rPr>
            <w:t xml:space="preserve"> </w:t>
          </w:r>
        </w:p>
        <w:p w:rsidRPr="00FD3C10" w:rsidR="000F4212" w:rsidP="000F4212" w:rsidRDefault="000F4212" w14:paraId="33ED578A" w14:textId="1B0643E0">
          <w:pPr>
            <w:rPr>
              <w:szCs w:val="22"/>
            </w:rPr>
          </w:pPr>
          <w:r w:rsidRPr="00FD3C10">
            <w:rPr>
              <w:szCs w:val="22"/>
            </w:rPr>
            <w:t>Het wetsvoorstel maakt het mogelijk voor universiteiten en hogescholen om een numerus fixus in te stellen voor een opleiding of een (anderstalig) traject waarbij onderscheid wordt gemaakt tussen EER- en niet-EER-studenten.</w:t>
          </w:r>
          <w:r w:rsidRPr="00FD3C10">
            <w:rPr>
              <w:rStyle w:val="Voetnootmarkering"/>
              <w:szCs w:val="22"/>
            </w:rPr>
            <w:footnoteReference w:id="91"/>
          </w:r>
          <w:r w:rsidRPr="00FD3C10">
            <w:rPr>
              <w:szCs w:val="22"/>
            </w:rPr>
            <w:t xml:space="preserve"> De toelichting vermeldt dat het doel van deze maatregel is om verdringing van EER-studenten </w:t>
          </w:r>
          <w:r w:rsidR="00072560">
            <w:rPr>
              <w:szCs w:val="22"/>
            </w:rPr>
            <w:t>door een grote instroo</w:t>
          </w:r>
          <w:r w:rsidR="002E3EF1">
            <w:rPr>
              <w:szCs w:val="22"/>
            </w:rPr>
            <w:t xml:space="preserve">m van niet-EER-studenten </w:t>
          </w:r>
          <w:r w:rsidRPr="00FD3C10">
            <w:rPr>
              <w:szCs w:val="22"/>
            </w:rPr>
            <w:t>te voorkomen.</w:t>
          </w:r>
        </w:p>
        <w:p w:rsidRPr="00FD3C10" w:rsidR="000F4212" w:rsidP="000F4212" w:rsidRDefault="000F4212" w14:paraId="33441795" w14:textId="77777777">
          <w:pPr>
            <w:rPr>
              <w:szCs w:val="22"/>
            </w:rPr>
          </w:pPr>
        </w:p>
        <w:p w:rsidR="007E3021" w:rsidP="000F4212" w:rsidRDefault="00C50CA8" w14:paraId="30D0678F" w14:textId="62BC0C2E">
          <w:pPr>
            <w:rPr>
              <w:szCs w:val="22"/>
            </w:rPr>
          </w:pPr>
          <w:r>
            <w:rPr>
              <w:szCs w:val="22"/>
            </w:rPr>
            <w:t xml:space="preserve">De Afdeling kan </w:t>
          </w:r>
          <w:r w:rsidR="00587D3F">
            <w:rPr>
              <w:szCs w:val="22"/>
            </w:rPr>
            <w:t>de toelichting</w:t>
          </w:r>
          <w:r w:rsidR="003359F1">
            <w:rPr>
              <w:rStyle w:val="Voetnootmarkering"/>
              <w:szCs w:val="22"/>
            </w:rPr>
            <w:footnoteReference w:id="92"/>
          </w:r>
          <w:r w:rsidR="00587D3F">
            <w:rPr>
              <w:szCs w:val="22"/>
            </w:rPr>
            <w:t xml:space="preserve"> </w:t>
          </w:r>
          <w:r w:rsidR="00060847">
            <w:rPr>
              <w:szCs w:val="22"/>
            </w:rPr>
            <w:t xml:space="preserve">volgen </w:t>
          </w:r>
          <w:r w:rsidR="00587D3F">
            <w:rPr>
              <w:szCs w:val="22"/>
            </w:rPr>
            <w:t xml:space="preserve">dat </w:t>
          </w:r>
          <w:r w:rsidRPr="00FD3C10" w:rsidR="000F4212">
            <w:rPr>
              <w:szCs w:val="22"/>
            </w:rPr>
            <w:t xml:space="preserve">een fixus </w:t>
          </w:r>
          <w:r w:rsidR="00587D3F">
            <w:rPr>
              <w:szCs w:val="22"/>
            </w:rPr>
            <w:t xml:space="preserve">(zowel </w:t>
          </w:r>
          <w:r w:rsidRPr="00FD3C10" w:rsidR="000F4212">
            <w:rPr>
              <w:szCs w:val="22"/>
            </w:rPr>
            <w:t>op een opleiding als geheel, als op een traject binnen een opleiding</w:t>
          </w:r>
          <w:r w:rsidR="00587D3F">
            <w:rPr>
              <w:szCs w:val="22"/>
            </w:rPr>
            <w:t xml:space="preserve">) </w:t>
          </w:r>
          <w:r w:rsidR="00B15E6D">
            <w:rPr>
              <w:szCs w:val="22"/>
            </w:rPr>
            <w:t>in de vo</w:t>
          </w:r>
          <w:r w:rsidR="00507026">
            <w:rPr>
              <w:szCs w:val="22"/>
            </w:rPr>
            <w:t>rm</w:t>
          </w:r>
          <w:r w:rsidR="00B15E6D">
            <w:rPr>
              <w:szCs w:val="22"/>
            </w:rPr>
            <w:t xml:space="preserve"> van </w:t>
          </w:r>
          <w:r w:rsidRPr="00FD3C10" w:rsidR="000F4212">
            <w:rPr>
              <w:szCs w:val="22"/>
            </w:rPr>
            <w:t xml:space="preserve">een maximaal aantal plaatsen voor niet-EER-studenten </w:t>
          </w:r>
          <w:r w:rsidR="00B15E6D">
            <w:rPr>
              <w:szCs w:val="22"/>
            </w:rPr>
            <w:t>toelaatbaar kan zijn</w:t>
          </w:r>
          <w:r w:rsidRPr="00FD3C10" w:rsidR="000F4212">
            <w:rPr>
              <w:szCs w:val="22"/>
            </w:rPr>
            <w:t>.</w:t>
          </w:r>
          <w:r w:rsidR="0066616A">
            <w:rPr>
              <w:szCs w:val="22"/>
            </w:rPr>
            <w:t xml:space="preserve"> </w:t>
          </w:r>
          <w:r w:rsidR="009C184E">
            <w:rPr>
              <w:szCs w:val="22"/>
            </w:rPr>
            <w:t xml:space="preserve">Het is de publieke taak van de Nederlandse overheid om te voorzien in een toegankelijk </w:t>
          </w:r>
          <w:r w:rsidR="005B7425">
            <w:rPr>
              <w:szCs w:val="22"/>
            </w:rPr>
            <w:t xml:space="preserve">nationaal onderwijsstelsel. Deze taak richt zich in de eerste plaats op de in Nederland gevestigde </w:t>
          </w:r>
          <w:r w:rsidR="000E791F">
            <w:rPr>
              <w:szCs w:val="22"/>
            </w:rPr>
            <w:t xml:space="preserve">leerlingen en studenten en daarnaast op gelijke wijze op personen die </w:t>
          </w:r>
          <w:r w:rsidR="001A131A">
            <w:rPr>
              <w:szCs w:val="22"/>
            </w:rPr>
            <w:t>krachte</w:t>
          </w:r>
          <w:r w:rsidR="00CC099D">
            <w:rPr>
              <w:szCs w:val="22"/>
            </w:rPr>
            <w:t>n</w:t>
          </w:r>
          <w:r w:rsidR="001A131A">
            <w:rPr>
              <w:szCs w:val="22"/>
            </w:rPr>
            <w:t>s EU-recht en EER-recht aanspra</w:t>
          </w:r>
          <w:r w:rsidR="00CC099D">
            <w:rPr>
              <w:szCs w:val="22"/>
            </w:rPr>
            <w:t xml:space="preserve">ak maken op toegang tot het Nederlandse </w:t>
          </w:r>
          <w:r w:rsidR="008923F2">
            <w:rPr>
              <w:szCs w:val="22"/>
            </w:rPr>
            <w:t xml:space="preserve">onderwijsstelsel. </w:t>
          </w:r>
          <w:r w:rsidR="00A013FE">
            <w:rPr>
              <w:szCs w:val="22"/>
            </w:rPr>
            <w:t xml:space="preserve">Om de kwaliteit en toegankelijkheid </w:t>
          </w:r>
          <w:r w:rsidR="003359F1">
            <w:rPr>
              <w:szCs w:val="22"/>
            </w:rPr>
            <w:t xml:space="preserve">van het hoger onderwijs te kunnen waarborgen </w:t>
          </w:r>
          <w:r w:rsidR="00237371">
            <w:rPr>
              <w:szCs w:val="22"/>
            </w:rPr>
            <w:t xml:space="preserve">moeten de instellingen </w:t>
          </w:r>
          <w:r w:rsidR="0034699A">
            <w:rPr>
              <w:szCs w:val="22"/>
            </w:rPr>
            <w:t>ove</w:t>
          </w:r>
          <w:r w:rsidR="00237371">
            <w:rPr>
              <w:szCs w:val="22"/>
            </w:rPr>
            <w:t xml:space="preserve">r voldoende </w:t>
          </w:r>
          <w:r w:rsidR="00CB683A">
            <w:rPr>
              <w:szCs w:val="22"/>
            </w:rPr>
            <w:t>–</w:t>
          </w:r>
          <w:r w:rsidR="00BD4B5A">
            <w:rPr>
              <w:szCs w:val="22"/>
            </w:rPr>
            <w:t xml:space="preserve"> </w:t>
          </w:r>
          <w:r w:rsidR="00A83ADB">
            <w:rPr>
              <w:szCs w:val="22"/>
            </w:rPr>
            <w:t xml:space="preserve">primair </w:t>
          </w:r>
          <w:r w:rsidR="009679FE">
            <w:rPr>
              <w:szCs w:val="22"/>
            </w:rPr>
            <w:t xml:space="preserve">vanuit de rijkskas bekostigde – middelen en capaciteit beschikken. Deze overheidsfinanciering kent haar </w:t>
          </w:r>
          <w:r w:rsidR="00C57610">
            <w:rPr>
              <w:szCs w:val="22"/>
            </w:rPr>
            <w:t>grenz</w:t>
          </w:r>
          <w:r w:rsidR="009679FE">
            <w:rPr>
              <w:szCs w:val="22"/>
            </w:rPr>
            <w:t xml:space="preserve">en. </w:t>
          </w:r>
        </w:p>
        <w:p w:rsidR="007E3021" w:rsidP="000F4212" w:rsidRDefault="007E3021" w14:paraId="4FADC186" w14:textId="77777777">
          <w:pPr>
            <w:rPr>
              <w:szCs w:val="22"/>
            </w:rPr>
          </w:pPr>
        </w:p>
        <w:p w:rsidR="00E62E10" w:rsidP="000F4212" w:rsidRDefault="00924A1C" w14:paraId="6CCC1FF3" w14:textId="2FB5885F">
          <w:pPr>
            <w:rPr>
              <w:szCs w:val="22"/>
            </w:rPr>
          </w:pPr>
          <w:r>
            <w:rPr>
              <w:szCs w:val="22"/>
            </w:rPr>
            <w:t xml:space="preserve">Een grote instroom van niet EER-studenten kan gevolgen hebben voor de kwaliteit van het onderwijs en voor de toegankelijkheid ervan, wanneer de beschikbaarheid en </w:t>
          </w:r>
          <w:r w:rsidR="00500855">
            <w:rPr>
              <w:szCs w:val="22"/>
            </w:rPr>
            <w:t xml:space="preserve">opleidingskansen onder druk komen te staan. </w:t>
          </w:r>
          <w:r w:rsidR="00232E16">
            <w:rPr>
              <w:szCs w:val="22"/>
            </w:rPr>
            <w:t>G</w:t>
          </w:r>
          <w:r w:rsidR="00500855">
            <w:rPr>
              <w:szCs w:val="22"/>
            </w:rPr>
            <w:t xml:space="preserve">ezien het verschil in verantwoordelijkheid, </w:t>
          </w:r>
          <w:r w:rsidR="00232E16">
            <w:rPr>
              <w:szCs w:val="22"/>
            </w:rPr>
            <w:t xml:space="preserve">kan het in dat geval </w:t>
          </w:r>
          <w:r w:rsidR="00500855">
            <w:rPr>
              <w:szCs w:val="22"/>
            </w:rPr>
            <w:t xml:space="preserve">gerechtvaardigd zijn dat een </w:t>
          </w:r>
          <w:r w:rsidR="00A10097">
            <w:rPr>
              <w:szCs w:val="22"/>
            </w:rPr>
            <w:t>prioritering ten gunste van EER-studenten plaatsvindt en de toelating van niet-EER-studenten begrensd wordt</w:t>
          </w:r>
          <w:r w:rsidR="00DD6A5D">
            <w:rPr>
              <w:szCs w:val="22"/>
            </w:rPr>
            <w:t>, in de vorm van fixus-maatregel.</w:t>
          </w:r>
          <w:r w:rsidR="00637C1B">
            <w:rPr>
              <w:szCs w:val="22"/>
            </w:rPr>
            <w:t xml:space="preserve"> </w:t>
          </w:r>
          <w:r w:rsidR="00597F95">
            <w:rPr>
              <w:szCs w:val="22"/>
            </w:rPr>
            <w:t xml:space="preserve">Indien </w:t>
          </w:r>
          <w:r w:rsidR="009A7D95">
            <w:rPr>
              <w:szCs w:val="22"/>
            </w:rPr>
            <w:t xml:space="preserve">er evenwel bij inschrijving van alle EER-studenten nog </w:t>
          </w:r>
          <w:r w:rsidR="00E60F88">
            <w:rPr>
              <w:szCs w:val="22"/>
            </w:rPr>
            <w:t xml:space="preserve">capaciteit over is moet deze </w:t>
          </w:r>
          <w:r w:rsidR="001967DE">
            <w:rPr>
              <w:szCs w:val="22"/>
            </w:rPr>
            <w:t xml:space="preserve">met inachtneming van de selectieprocedures worden aangevuld met niet-EER-studenten. </w:t>
          </w:r>
          <w:r w:rsidR="003C0E89">
            <w:rPr>
              <w:szCs w:val="22"/>
            </w:rPr>
            <w:t xml:space="preserve">Het niet toelaten van niet-EER-studenten zou </w:t>
          </w:r>
          <w:r w:rsidR="00EC62BD">
            <w:rPr>
              <w:szCs w:val="22"/>
            </w:rPr>
            <w:t>in dat geval</w:t>
          </w:r>
          <w:r w:rsidR="003C0E89">
            <w:rPr>
              <w:szCs w:val="22"/>
            </w:rPr>
            <w:t xml:space="preserve"> in strijd komen met internationale gelijkheids- en non-discriminatienormen.</w:t>
          </w:r>
          <w:r w:rsidRPr="00FD3C10" w:rsidR="009A75EA">
            <w:rPr>
              <w:szCs w:val="22"/>
              <w:vertAlign w:val="superscript"/>
            </w:rPr>
            <w:footnoteReference w:id="93"/>
          </w:r>
        </w:p>
        <w:p w:rsidR="00E62E10" w:rsidP="000F4212" w:rsidRDefault="00E62E10" w14:paraId="5E4D4C14" w14:textId="77777777">
          <w:pPr>
            <w:rPr>
              <w:szCs w:val="22"/>
            </w:rPr>
          </w:pPr>
        </w:p>
        <w:p w:rsidRPr="00FD3C10" w:rsidR="000F4212" w:rsidP="000F4212" w:rsidRDefault="00DB4CFB" w14:paraId="1BBFD3A5" w14:textId="5A66A956">
          <w:pPr>
            <w:rPr>
              <w:szCs w:val="22"/>
            </w:rPr>
          </w:pPr>
          <w:r>
            <w:rPr>
              <w:szCs w:val="22"/>
            </w:rPr>
            <w:t xml:space="preserve">De mogelijkheid van een fixus-maatregel voor niet-EER-studenten </w:t>
          </w:r>
          <w:r w:rsidR="009B3B3B">
            <w:rPr>
              <w:szCs w:val="22"/>
            </w:rPr>
            <w:t>is</w:t>
          </w:r>
          <w:r w:rsidR="00B01089">
            <w:rPr>
              <w:szCs w:val="22"/>
            </w:rPr>
            <w:t xml:space="preserve"> in het voorstel</w:t>
          </w:r>
          <w:r w:rsidR="009B3B3B">
            <w:rPr>
              <w:szCs w:val="22"/>
            </w:rPr>
            <w:t xml:space="preserve"> nader genormeerd</w:t>
          </w:r>
          <w:r w:rsidR="002E4D5B">
            <w:rPr>
              <w:szCs w:val="22"/>
            </w:rPr>
            <w:t>. Het moet gaa</w:t>
          </w:r>
          <w:r w:rsidR="001064D9">
            <w:rPr>
              <w:szCs w:val="22"/>
            </w:rPr>
            <w:t xml:space="preserve">n om </w:t>
          </w:r>
          <w:r w:rsidR="001517F3">
            <w:rPr>
              <w:szCs w:val="22"/>
            </w:rPr>
            <w:t>het geval</w:t>
          </w:r>
          <w:r w:rsidR="00C30FB9">
            <w:rPr>
              <w:szCs w:val="22"/>
            </w:rPr>
            <w:t xml:space="preserve"> </w:t>
          </w:r>
          <w:r w:rsidR="002E4D5B">
            <w:rPr>
              <w:szCs w:val="22"/>
            </w:rPr>
            <w:t xml:space="preserve">waarin het </w:t>
          </w:r>
          <w:r w:rsidR="00C16F20">
            <w:rPr>
              <w:szCs w:val="22"/>
            </w:rPr>
            <w:t>verwachte aantal aspirant-studenten uit deze categorie in aanmerkelijke mate bijdraag</w:t>
          </w:r>
          <w:r w:rsidR="00C30FB9">
            <w:rPr>
              <w:szCs w:val="22"/>
            </w:rPr>
            <w:t>t</w:t>
          </w:r>
          <w:r w:rsidR="00C16F20">
            <w:rPr>
              <w:szCs w:val="22"/>
            </w:rPr>
            <w:t xml:space="preserve"> aan de ontoereikendheid van de onderwijscapaciteit</w:t>
          </w:r>
          <w:r w:rsidR="00815893">
            <w:rPr>
              <w:szCs w:val="22"/>
            </w:rPr>
            <w:t>.</w:t>
          </w:r>
          <w:r w:rsidR="001517F3">
            <w:rPr>
              <w:rStyle w:val="Voetnootmarkering"/>
              <w:szCs w:val="22"/>
            </w:rPr>
            <w:footnoteReference w:id="94"/>
          </w:r>
          <w:r w:rsidR="00FD7A30">
            <w:rPr>
              <w:szCs w:val="22"/>
            </w:rPr>
            <w:t xml:space="preserve"> Ook kan het gaan om</w:t>
          </w:r>
          <w:r w:rsidR="00966FFB">
            <w:rPr>
              <w:szCs w:val="22"/>
            </w:rPr>
            <w:t xml:space="preserve"> </w:t>
          </w:r>
          <w:r w:rsidR="00742F4F">
            <w:rPr>
              <w:szCs w:val="22"/>
            </w:rPr>
            <w:t xml:space="preserve">de situatie </w:t>
          </w:r>
          <w:r w:rsidR="00894DF0">
            <w:rPr>
              <w:szCs w:val="22"/>
            </w:rPr>
            <w:t xml:space="preserve">dat </w:t>
          </w:r>
          <w:r w:rsidR="001A4366">
            <w:rPr>
              <w:szCs w:val="22"/>
            </w:rPr>
            <w:t xml:space="preserve">een </w:t>
          </w:r>
          <w:r w:rsidR="00C30FB9">
            <w:rPr>
              <w:szCs w:val="22"/>
            </w:rPr>
            <w:t>noodfixus</w:t>
          </w:r>
          <w:r w:rsidR="001517F3">
            <w:rPr>
              <w:szCs w:val="22"/>
            </w:rPr>
            <w:t xml:space="preserve"> </w:t>
          </w:r>
          <w:r w:rsidR="001A4366">
            <w:rPr>
              <w:szCs w:val="22"/>
            </w:rPr>
            <w:t xml:space="preserve">vereist is </w:t>
          </w:r>
          <w:r w:rsidR="001517F3">
            <w:rPr>
              <w:szCs w:val="22"/>
            </w:rPr>
            <w:t>in verband met</w:t>
          </w:r>
          <w:r w:rsidR="00356D5E">
            <w:rPr>
              <w:szCs w:val="22"/>
            </w:rPr>
            <w:t xml:space="preserve"> een </w:t>
          </w:r>
          <w:r w:rsidR="00B01089">
            <w:rPr>
              <w:szCs w:val="22"/>
            </w:rPr>
            <w:t xml:space="preserve">(a) </w:t>
          </w:r>
          <w:r w:rsidR="00356D5E">
            <w:rPr>
              <w:szCs w:val="22"/>
            </w:rPr>
            <w:t>onverwachte en grote stijging van het aantal aanmeld</w:t>
          </w:r>
          <w:r w:rsidR="006C200D">
            <w:rPr>
              <w:szCs w:val="22"/>
            </w:rPr>
            <w:t>ingen van niet-EER-studenten</w:t>
          </w:r>
          <w:r w:rsidR="00894DF0">
            <w:rPr>
              <w:szCs w:val="22"/>
            </w:rPr>
            <w:t xml:space="preserve"> di</w:t>
          </w:r>
          <w:r w:rsidR="006C200D">
            <w:rPr>
              <w:szCs w:val="22"/>
            </w:rPr>
            <w:t>e</w:t>
          </w:r>
          <w:r w:rsidR="004664A9">
            <w:rPr>
              <w:szCs w:val="22"/>
            </w:rPr>
            <w:t xml:space="preserve"> </w:t>
          </w:r>
          <w:r w:rsidR="00B01089">
            <w:rPr>
              <w:szCs w:val="22"/>
            </w:rPr>
            <w:t xml:space="preserve">(b) </w:t>
          </w:r>
          <w:r w:rsidR="006C200D">
            <w:rPr>
              <w:szCs w:val="22"/>
            </w:rPr>
            <w:t>een ernstig risico op verdringing van EER-studenten met zich brengt</w:t>
          </w:r>
          <w:r w:rsidR="00B01089">
            <w:rPr>
              <w:szCs w:val="22"/>
            </w:rPr>
            <w:t>.</w:t>
          </w:r>
          <w:r w:rsidR="001A4366">
            <w:rPr>
              <w:rStyle w:val="Voetnootmarkering"/>
              <w:szCs w:val="22"/>
            </w:rPr>
            <w:footnoteReference w:id="95"/>
          </w:r>
          <w:r w:rsidR="003F4039">
            <w:rPr>
              <w:szCs w:val="22"/>
            </w:rPr>
            <w:t xml:space="preserve"> </w:t>
          </w:r>
          <w:r w:rsidR="00262D3E">
            <w:rPr>
              <w:szCs w:val="22"/>
            </w:rPr>
            <w:t xml:space="preserve">Deze nadere normering is te begrijpen, vanuit overwegingen van proportionaliteit. Daarmee is </w:t>
          </w:r>
          <w:r w:rsidR="0076013D">
            <w:rPr>
              <w:szCs w:val="22"/>
            </w:rPr>
            <w:t>zij wel complex geworden.</w:t>
          </w:r>
          <w:r w:rsidRPr="00FD3C10" w:rsidR="000F4212">
            <w:rPr>
              <w:szCs w:val="22"/>
            </w:rPr>
            <w:t xml:space="preserve"> </w:t>
          </w:r>
          <w:r w:rsidR="00A30F0F">
            <w:rPr>
              <w:szCs w:val="22"/>
            </w:rPr>
            <w:t xml:space="preserve">De Afdeling </w:t>
          </w:r>
          <w:r w:rsidR="00833515">
            <w:rPr>
              <w:szCs w:val="22"/>
            </w:rPr>
            <w:t xml:space="preserve">merkt op dat </w:t>
          </w:r>
          <w:r w:rsidRPr="00FD3C10" w:rsidR="000F4212">
            <w:rPr>
              <w:szCs w:val="22"/>
            </w:rPr>
            <w:t xml:space="preserve">het van belang </w:t>
          </w:r>
          <w:r w:rsidR="00833515">
            <w:rPr>
              <w:szCs w:val="22"/>
            </w:rPr>
            <w:t xml:space="preserve">is </w:t>
          </w:r>
          <w:r w:rsidRPr="00FD3C10" w:rsidR="000F4212">
            <w:rPr>
              <w:szCs w:val="22"/>
            </w:rPr>
            <w:t xml:space="preserve">dat </w:t>
          </w:r>
          <w:r w:rsidR="00A30F0F">
            <w:rPr>
              <w:szCs w:val="22"/>
            </w:rPr>
            <w:t xml:space="preserve">meer duidelijkheid geboden wordt </w:t>
          </w:r>
          <w:r w:rsidR="009E788F">
            <w:rPr>
              <w:szCs w:val="22"/>
            </w:rPr>
            <w:t xml:space="preserve">ten aanzien van de betekenis van deze normering, hetzij </w:t>
          </w:r>
          <w:r w:rsidR="00D77E0A">
            <w:rPr>
              <w:szCs w:val="22"/>
            </w:rPr>
            <w:t xml:space="preserve">met een uitgebreidere toelichting </w:t>
          </w:r>
          <w:r w:rsidR="009E788F">
            <w:rPr>
              <w:szCs w:val="22"/>
            </w:rPr>
            <w:t xml:space="preserve">dan wel </w:t>
          </w:r>
          <w:r w:rsidR="003E3F53">
            <w:rPr>
              <w:szCs w:val="22"/>
            </w:rPr>
            <w:t>een indicatie van de voorziene ministeriële regeling</w:t>
          </w:r>
          <w:r w:rsidRPr="00FD3C10" w:rsidR="000F4212">
            <w:rPr>
              <w:szCs w:val="22"/>
            </w:rPr>
            <w:t>.</w:t>
          </w:r>
          <w:r w:rsidR="003E3F53">
            <w:rPr>
              <w:rStyle w:val="Voetnootmarkering"/>
              <w:szCs w:val="22"/>
            </w:rPr>
            <w:footnoteReference w:id="96"/>
          </w:r>
        </w:p>
        <w:p w:rsidRPr="00FD3C10" w:rsidR="000F4212" w:rsidP="000F4212" w:rsidRDefault="000F4212" w14:paraId="29272AE6" w14:textId="77777777">
          <w:pPr>
            <w:rPr>
              <w:szCs w:val="22"/>
            </w:rPr>
          </w:pPr>
        </w:p>
        <w:p w:rsidRPr="00FD3C10" w:rsidR="000F4212" w:rsidP="000F4212" w:rsidRDefault="000F4212" w14:paraId="5EA577BE" w14:textId="2F7B3497">
          <w:pPr>
            <w:rPr>
              <w:szCs w:val="22"/>
            </w:rPr>
          </w:pPr>
          <w:r w:rsidRPr="00FD3C10">
            <w:rPr>
              <w:szCs w:val="22"/>
            </w:rPr>
            <w:t>De Afdeling adviseert om in de toelichting nader op het voorgaande in te gaan.</w:t>
          </w:r>
        </w:p>
        <w:p w:rsidRPr="00FD3C10" w:rsidR="000F4212" w:rsidP="000F4212" w:rsidRDefault="000F4212" w14:paraId="0CEFAB17" w14:textId="77777777">
          <w:pPr>
            <w:rPr>
              <w:szCs w:val="22"/>
            </w:rPr>
          </w:pPr>
          <w:r w:rsidRPr="00FD3C10">
            <w:rPr>
              <w:szCs w:val="22"/>
            </w:rPr>
            <w:t xml:space="preserve"> </w:t>
          </w:r>
          <w:r w:rsidRPr="00FD3C10">
            <w:rPr>
              <w:szCs w:val="22"/>
            </w:rPr>
            <w:tab/>
          </w:r>
        </w:p>
        <w:p w:rsidRPr="00FD3C10" w:rsidR="000F4212" w:rsidP="000F4212" w:rsidRDefault="000F4212" w14:paraId="61833685" w14:textId="77777777">
          <w:pPr>
            <w:rPr>
              <w:szCs w:val="22"/>
            </w:rPr>
          </w:pPr>
          <w:r>
            <w:rPr>
              <w:szCs w:val="22"/>
            </w:rPr>
            <w:t>7</w:t>
          </w:r>
          <w:r w:rsidRPr="00FD3C10">
            <w:rPr>
              <w:szCs w:val="22"/>
            </w:rPr>
            <w:t>.</w:t>
          </w:r>
          <w:r w:rsidRPr="00FD3C10">
            <w:rPr>
              <w:szCs w:val="22"/>
            </w:rPr>
            <w:tab/>
          </w:r>
          <w:r w:rsidRPr="00FD3C10">
            <w:rPr>
              <w:szCs w:val="22"/>
              <w:u w:val="single"/>
            </w:rPr>
            <w:t>Overgangsfinanciering</w:t>
          </w:r>
        </w:p>
        <w:p w:rsidRPr="00FD3C10" w:rsidR="000F4212" w:rsidP="000F4212" w:rsidRDefault="000F4212" w14:paraId="01CF69C2" w14:textId="77777777">
          <w:pPr>
            <w:rPr>
              <w:szCs w:val="22"/>
            </w:rPr>
          </w:pPr>
        </w:p>
        <w:p w:rsidR="00B00B57" w:rsidP="000F4212" w:rsidRDefault="00AE776F" w14:paraId="107138A3" w14:textId="22181A47">
          <w:pPr>
            <w:rPr>
              <w:szCs w:val="22"/>
            </w:rPr>
          </w:pPr>
          <w:r>
            <w:rPr>
              <w:szCs w:val="22"/>
            </w:rPr>
            <w:t>Op grond van de</w:t>
          </w:r>
          <w:r w:rsidRPr="00FD3C10" w:rsidR="000F4212">
            <w:rPr>
              <w:szCs w:val="22"/>
            </w:rPr>
            <w:t xml:space="preserve"> rechtszekerheid is het van belang dat de toelichting vermeldt dat overgangstermijnen worden gehanteerd voor opleidingen die moeten stoppen.</w:t>
          </w:r>
          <w:r w:rsidRPr="00FD3C10" w:rsidR="000F4212">
            <w:rPr>
              <w:szCs w:val="22"/>
              <w:vertAlign w:val="superscript"/>
            </w:rPr>
            <w:footnoteReference w:id="97"/>
          </w:r>
          <w:r w:rsidRPr="00FD3C10" w:rsidR="000F4212">
            <w:rPr>
              <w:szCs w:val="22"/>
            </w:rPr>
            <w:t xml:space="preserve"> Zowel voor instellingen, personeel als studenten heeft een dergelijke beslissing veel implicaties. Daarom is het </w:t>
          </w:r>
          <w:r w:rsidR="000F4212">
            <w:rPr>
              <w:szCs w:val="22"/>
            </w:rPr>
            <w:t xml:space="preserve">onder meer </w:t>
          </w:r>
          <w:r w:rsidRPr="00FD3C10" w:rsidR="000F4212">
            <w:rPr>
              <w:szCs w:val="22"/>
            </w:rPr>
            <w:t xml:space="preserve">van belang dat studenten bij een andere instelling </w:t>
          </w:r>
          <w:r w:rsidR="00B00B57">
            <w:rPr>
              <w:szCs w:val="22"/>
            </w:rPr>
            <w:t>–</w:t>
          </w:r>
          <w:r w:rsidRPr="00FD3C10" w:rsidR="000F4212">
            <w:rPr>
              <w:szCs w:val="22"/>
            </w:rPr>
            <w:t xml:space="preserve"> of indien dit niet mogelijk is </w:t>
          </w:r>
          <w:r w:rsidR="00B00B57">
            <w:rPr>
              <w:szCs w:val="22"/>
            </w:rPr>
            <w:t>–</w:t>
          </w:r>
          <w:r w:rsidRPr="00FD3C10" w:rsidR="000F4212">
            <w:rPr>
              <w:szCs w:val="22"/>
            </w:rPr>
            <w:t xml:space="preserve"> op de</w:t>
          </w:r>
          <w:r w:rsidR="000F4212">
            <w:rPr>
              <w:szCs w:val="22"/>
            </w:rPr>
            <w:t xml:space="preserve"> huidige</w:t>
          </w:r>
          <w:r w:rsidRPr="00FD3C10" w:rsidR="000F4212">
            <w:rPr>
              <w:szCs w:val="22"/>
            </w:rPr>
            <w:t xml:space="preserve"> instelling in een redelijke termijn hun studie kunnen afronden (nominaal plus 1 jaar) en dat personeel een nieuwe baan kan zoeken. </w:t>
          </w:r>
        </w:p>
        <w:p w:rsidR="00B00B57" w:rsidP="000F4212" w:rsidRDefault="00B00B57" w14:paraId="1EC5EF70" w14:textId="77777777">
          <w:pPr>
            <w:rPr>
              <w:szCs w:val="22"/>
            </w:rPr>
          </w:pPr>
        </w:p>
        <w:p w:rsidRPr="00FD3C10" w:rsidR="000F4212" w:rsidP="000F4212" w:rsidRDefault="000F4212" w14:paraId="0D18D800" w14:textId="647CB202">
          <w:pPr>
            <w:rPr>
              <w:szCs w:val="22"/>
            </w:rPr>
          </w:pPr>
          <w:r w:rsidRPr="00FD3C10">
            <w:rPr>
              <w:szCs w:val="22"/>
            </w:rPr>
            <w:t xml:space="preserve">Met het oog daarop is artikel 5.21 WHW van overeenkomstige toepassing verklaard (artikel 6.4, zesde lid, WHW). Voor de instellingen kan het stoppen van </w:t>
          </w:r>
          <w:r>
            <w:rPr>
              <w:szCs w:val="22"/>
            </w:rPr>
            <w:t xml:space="preserve">anderstalige </w:t>
          </w:r>
          <w:r w:rsidRPr="00FD3C10">
            <w:rPr>
              <w:szCs w:val="22"/>
            </w:rPr>
            <w:t>opleidingen en de daarmee gepaard gaande dalende studentenaantallen direct financiële consequenties hebben. Daarnaast zijn er op termijn ook mogelijke gevolgen voor de omvang van het onderwijsdeel van de bekostiging van instellingen voor EER-studenten.</w:t>
          </w:r>
          <w:r w:rsidRPr="00FD3C10">
            <w:rPr>
              <w:szCs w:val="22"/>
              <w:vertAlign w:val="superscript"/>
            </w:rPr>
            <w:footnoteReference w:id="98"/>
          </w:r>
          <w:r w:rsidRPr="00FD3C10">
            <w:rPr>
              <w:szCs w:val="22"/>
            </w:rPr>
            <w:t xml:space="preserve"> Op dit moment is er nog geen zicht op zulke effecten en de bijbehorende budgettaire gevolgen. </w:t>
          </w:r>
        </w:p>
        <w:p w:rsidRPr="00FD3C10" w:rsidR="000F4212" w:rsidP="000F4212" w:rsidRDefault="000F4212" w14:paraId="0D23250A" w14:textId="77777777">
          <w:pPr>
            <w:rPr>
              <w:szCs w:val="22"/>
            </w:rPr>
          </w:pPr>
        </w:p>
        <w:p w:rsidRPr="00FD3C10" w:rsidR="000F4212" w:rsidP="000F4212" w:rsidRDefault="000F4212" w14:paraId="18509B1C" w14:textId="77777777">
          <w:pPr>
            <w:rPr>
              <w:szCs w:val="22"/>
            </w:rPr>
          </w:pPr>
          <w:r w:rsidRPr="00FD3C10">
            <w:rPr>
              <w:szCs w:val="22"/>
            </w:rPr>
            <w:t>De Afdeling adviseert om te voorzien in de mogelijkheid van overgangsfinanciering wanneer instellingen anderstalig onderwijsaanbod niet (mogen) continueren en daardoor in financiële problemen raken.</w:t>
          </w:r>
        </w:p>
        <w:p w:rsidRPr="00FD3C10" w:rsidR="000F4212" w:rsidP="000F4212" w:rsidRDefault="000F4212" w14:paraId="675B4B60" w14:textId="77777777">
          <w:pPr>
            <w:rPr>
              <w:szCs w:val="22"/>
            </w:rPr>
          </w:pPr>
        </w:p>
        <w:p w:rsidRPr="00FD3C10" w:rsidR="000F4212" w:rsidP="000F4212" w:rsidRDefault="000F4212" w14:paraId="3467A2C1" w14:textId="77777777">
          <w:pPr>
            <w:rPr>
              <w:szCs w:val="22"/>
            </w:rPr>
          </w:pPr>
          <w:r>
            <w:rPr>
              <w:szCs w:val="22"/>
            </w:rPr>
            <w:t>8</w:t>
          </w:r>
          <w:r w:rsidRPr="00FD3C10">
            <w:rPr>
              <w:szCs w:val="22"/>
            </w:rPr>
            <w:t>.</w:t>
          </w:r>
          <w:r w:rsidRPr="00FD3C10">
            <w:rPr>
              <w:szCs w:val="22"/>
            </w:rPr>
            <w:tab/>
          </w:r>
          <w:r w:rsidRPr="00FD3C10">
            <w:rPr>
              <w:szCs w:val="22"/>
              <w:u w:val="single"/>
            </w:rPr>
            <w:t>Amendement numerus fixus</w:t>
          </w:r>
          <w:r w:rsidRPr="00FD3C10">
            <w:rPr>
              <w:szCs w:val="22"/>
            </w:rPr>
            <w:t xml:space="preserve"> </w:t>
          </w:r>
        </w:p>
        <w:p w:rsidRPr="00FD3C10" w:rsidR="000F4212" w:rsidP="000F4212" w:rsidRDefault="000F4212" w14:paraId="06DB89C7" w14:textId="77777777">
          <w:pPr>
            <w:rPr>
              <w:szCs w:val="22"/>
            </w:rPr>
          </w:pPr>
        </w:p>
        <w:p w:rsidRPr="00FD3C10" w:rsidR="000F4212" w:rsidP="000F4212" w:rsidRDefault="000F4212" w14:paraId="2F414B98" w14:textId="207259E5">
          <w:pPr>
            <w:rPr>
              <w:szCs w:val="22"/>
            </w:rPr>
          </w:pPr>
          <w:r w:rsidRPr="00FD3C10">
            <w:rPr>
              <w:szCs w:val="22"/>
            </w:rPr>
            <w:t>De Tweede Kamer heeft op 15 februari 2024 een amendement op de Begrotingswet OCW 2024 aangenomen waarin de mogelijkheid van een capaciteitsfixus op</w:t>
          </w:r>
          <w:r>
            <w:rPr>
              <w:szCs w:val="22"/>
            </w:rPr>
            <w:t>gelegd aan</w:t>
          </w:r>
          <w:r w:rsidRPr="00FD3C10">
            <w:rPr>
              <w:szCs w:val="22"/>
            </w:rPr>
            <w:t xml:space="preserve"> </w:t>
          </w:r>
          <w:r>
            <w:rPr>
              <w:szCs w:val="22"/>
            </w:rPr>
            <w:t>anderstalige</w:t>
          </w:r>
          <w:r w:rsidRPr="00FD3C10">
            <w:rPr>
              <w:szCs w:val="22"/>
            </w:rPr>
            <w:t xml:space="preserve"> traject</w:t>
          </w:r>
          <w:r>
            <w:rPr>
              <w:szCs w:val="22"/>
            </w:rPr>
            <w:t>en</w:t>
          </w:r>
          <w:r w:rsidRPr="00FD3C10">
            <w:rPr>
              <w:szCs w:val="22"/>
            </w:rPr>
            <w:t xml:space="preserve"> (variant</w:t>
          </w:r>
          <w:r>
            <w:rPr>
              <w:szCs w:val="22"/>
            </w:rPr>
            <w:t>en</w:t>
          </w:r>
          <w:r w:rsidRPr="00FD3C10">
            <w:rPr>
              <w:szCs w:val="22"/>
            </w:rPr>
            <w:t xml:space="preserve">) binnen een opleiding </w:t>
          </w:r>
          <w:r w:rsidR="00D725CB">
            <w:rPr>
              <w:szCs w:val="22"/>
            </w:rPr>
            <w:t>door middel van</w:t>
          </w:r>
          <w:r w:rsidRPr="00FD3C10" w:rsidR="00D725CB">
            <w:rPr>
              <w:szCs w:val="22"/>
            </w:rPr>
            <w:t xml:space="preserve"> </w:t>
          </w:r>
          <w:r w:rsidRPr="00FD3C10">
            <w:rPr>
              <w:szCs w:val="22"/>
            </w:rPr>
            <w:t>een wijziging van de WHW wordt voorgesteld.</w:t>
          </w:r>
          <w:r w:rsidRPr="00FD3C10">
            <w:rPr>
              <w:rStyle w:val="Voetnootmarkering"/>
              <w:szCs w:val="22"/>
            </w:rPr>
            <w:footnoteReference w:id="99"/>
          </w:r>
          <w:r w:rsidRPr="00FD3C10">
            <w:rPr>
              <w:szCs w:val="22"/>
            </w:rPr>
            <w:t xml:space="preserve"> Uit de toelichting bij het amendement blijkt dat </w:t>
          </w:r>
          <w:r>
            <w:rPr>
              <w:szCs w:val="22"/>
            </w:rPr>
            <w:t>er voor is gekozen</w:t>
          </w:r>
          <w:r w:rsidRPr="00FD3C10">
            <w:rPr>
              <w:szCs w:val="22"/>
            </w:rPr>
            <w:t xml:space="preserve"> om dit amendement in te dienen bij de OCW-begroting van 2024 om verdere vertraging te voorkomen en implementatie per collegejaar 2025–2026 mogelijk te maken.</w:t>
          </w:r>
          <w:r w:rsidRPr="00FD3C10">
            <w:rPr>
              <w:rStyle w:val="Voetnootmarkering"/>
              <w:szCs w:val="22"/>
            </w:rPr>
            <w:footnoteReference w:id="100"/>
          </w:r>
          <w:r w:rsidRPr="00FD3C10">
            <w:rPr>
              <w:szCs w:val="22"/>
            </w:rPr>
            <w:t xml:space="preserve"> In de toelichting bij </w:t>
          </w:r>
          <w:r w:rsidR="007C77FB">
            <w:rPr>
              <w:szCs w:val="22"/>
            </w:rPr>
            <w:t>dit</w:t>
          </w:r>
          <w:r w:rsidRPr="00FD3C10">
            <w:rPr>
              <w:szCs w:val="22"/>
            </w:rPr>
            <w:t xml:space="preserve"> wetsvoorstel is begrijpelijkerwijs nog niet ingegaan op de verhouding van dit amendement tot het wetsvoorstel. </w:t>
          </w:r>
        </w:p>
        <w:p w:rsidRPr="00FD3C10" w:rsidR="000F4212" w:rsidP="000F4212" w:rsidRDefault="000F4212" w14:paraId="76FDD7D0" w14:textId="77777777">
          <w:pPr>
            <w:rPr>
              <w:szCs w:val="22"/>
            </w:rPr>
          </w:pPr>
        </w:p>
        <w:p w:rsidR="007006BC" w:rsidP="000F4212" w:rsidRDefault="000F4212" w14:paraId="5A552DE3" w14:textId="77777777">
          <w:pPr>
            <w:rPr>
              <w:szCs w:val="22"/>
            </w:rPr>
          </w:pPr>
          <w:r w:rsidRPr="00FD3C10">
            <w:rPr>
              <w:szCs w:val="22"/>
            </w:rPr>
            <w:t>De Afdeling merkt op dat het amendement vooruitloopt op de parlementaire behandeling van onderhavig wetsvoorstel en d</w:t>
          </w:r>
          <w:r>
            <w:rPr>
              <w:szCs w:val="22"/>
            </w:rPr>
            <w:t xml:space="preserve">at </w:t>
          </w:r>
          <w:r w:rsidRPr="00FD3C10">
            <w:rPr>
              <w:szCs w:val="22"/>
            </w:rPr>
            <w:t>de numerus fixus</w:t>
          </w:r>
          <w:r>
            <w:rPr>
              <w:szCs w:val="22"/>
            </w:rPr>
            <w:t>-maatregelen integraal</w:t>
          </w:r>
          <w:r w:rsidRPr="00FD3C10">
            <w:rPr>
              <w:szCs w:val="22"/>
            </w:rPr>
            <w:t xml:space="preserve"> onderdeel </w:t>
          </w:r>
          <w:r>
            <w:rPr>
              <w:szCs w:val="22"/>
            </w:rPr>
            <w:t>vormen</w:t>
          </w:r>
          <w:r w:rsidRPr="00FD3C10">
            <w:rPr>
              <w:szCs w:val="22"/>
            </w:rPr>
            <w:t xml:space="preserve"> van een breder en samenhangend pakket aan maatregelen om internationalisering in balans te brengen. </w:t>
          </w:r>
          <w:r>
            <w:rPr>
              <w:szCs w:val="22"/>
            </w:rPr>
            <w:t>Bovendien</w:t>
          </w:r>
          <w:r w:rsidRPr="00FD3C10">
            <w:rPr>
              <w:szCs w:val="22"/>
            </w:rPr>
            <w:t xml:space="preserve"> wijkt het amendement in technische zin enigszins af van het wetsvoorstel, door bijvoorbeeld de term ‘programma’ te gebruiken in plaats van ‘traject’. </w:t>
          </w:r>
        </w:p>
        <w:p w:rsidR="007006BC" w:rsidP="000F4212" w:rsidRDefault="007006BC" w14:paraId="69A599CE" w14:textId="77777777">
          <w:pPr>
            <w:rPr>
              <w:szCs w:val="22"/>
            </w:rPr>
          </w:pPr>
        </w:p>
        <w:p w:rsidRPr="00FD3C10" w:rsidR="000F4212" w:rsidP="000F4212" w:rsidRDefault="00520EDC" w14:paraId="034D3F5A" w14:textId="5FAAF44E">
          <w:pPr>
            <w:rPr>
              <w:szCs w:val="22"/>
            </w:rPr>
          </w:pPr>
          <w:r>
            <w:rPr>
              <w:szCs w:val="22"/>
            </w:rPr>
            <w:t>De bedoeling van</w:t>
          </w:r>
          <w:r w:rsidRPr="00FD3C10" w:rsidR="000F4212">
            <w:rPr>
              <w:szCs w:val="22"/>
            </w:rPr>
            <w:t xml:space="preserve"> het amendement </w:t>
          </w:r>
          <w:r>
            <w:rPr>
              <w:szCs w:val="22"/>
            </w:rPr>
            <w:t xml:space="preserve">is om </w:t>
          </w:r>
          <w:r w:rsidRPr="00FD3C10" w:rsidR="000F4212">
            <w:rPr>
              <w:szCs w:val="22"/>
            </w:rPr>
            <w:t xml:space="preserve">een numerus fixus op een traject binnen een opleiding </w:t>
          </w:r>
          <w:r w:rsidR="000F4212">
            <w:rPr>
              <w:szCs w:val="22"/>
            </w:rPr>
            <w:t xml:space="preserve">al </w:t>
          </w:r>
          <w:r w:rsidRPr="00FD3C10" w:rsidR="000F4212">
            <w:rPr>
              <w:szCs w:val="22"/>
            </w:rPr>
            <w:t xml:space="preserve">mogelijk te maken per collegejaar 2025-2026. Dit is eerder dan de beoogde inwerkingtredingsdatum van het onderdeel inzake de numerus fixus in het onderhavige wetsvoorstel </w:t>
          </w:r>
          <w:r w:rsidR="007006BC">
            <w:rPr>
              <w:szCs w:val="22"/>
            </w:rPr>
            <w:t>–</w:t>
          </w:r>
          <w:r w:rsidRPr="00FD3C10" w:rsidR="000F4212">
            <w:rPr>
              <w:szCs w:val="22"/>
            </w:rPr>
            <w:t xml:space="preserve"> 1 januari 2025</w:t>
          </w:r>
          <w:r w:rsidR="000F4212">
            <w:rPr>
              <w:szCs w:val="22"/>
            </w:rPr>
            <w:t xml:space="preserve"> </w:t>
          </w:r>
          <w:r w:rsidR="0006768D">
            <w:rPr>
              <w:szCs w:val="22"/>
            </w:rPr>
            <w:t>–</w:t>
          </w:r>
          <w:r w:rsidRPr="00FD3C10" w:rsidR="000F4212">
            <w:rPr>
              <w:szCs w:val="22"/>
            </w:rPr>
            <w:t xml:space="preserve"> waarmee dat onderdeel</w:t>
          </w:r>
          <w:r w:rsidR="000F4212">
            <w:rPr>
              <w:szCs w:val="22"/>
            </w:rPr>
            <w:t xml:space="preserve"> eerst</w:t>
          </w:r>
          <w:r w:rsidRPr="00FD3C10" w:rsidR="000F4212">
            <w:rPr>
              <w:szCs w:val="22"/>
            </w:rPr>
            <w:t xml:space="preserve"> effect kan hebben op de inschrijvingen voor collegejaar 2026-2027.</w:t>
          </w:r>
          <w:r w:rsidRPr="00FD3C10" w:rsidR="000F4212">
            <w:rPr>
              <w:rStyle w:val="Voetnootmarkering"/>
              <w:szCs w:val="22"/>
            </w:rPr>
            <w:footnoteReference w:id="101"/>
          </w:r>
          <w:r w:rsidRPr="00FD3C10" w:rsidR="000F4212">
            <w:rPr>
              <w:szCs w:val="22"/>
            </w:rPr>
            <w:t xml:space="preserve"> Gelet op de uitvoeringstoetsen van DUO, Studielink en de onderwijsinstellingen is </w:t>
          </w:r>
          <w:r w:rsidR="00865D98">
            <w:rPr>
              <w:szCs w:val="22"/>
            </w:rPr>
            <w:t xml:space="preserve">het de vraag of </w:t>
          </w:r>
          <w:r w:rsidRPr="00FD3C10" w:rsidR="000F4212">
            <w:rPr>
              <w:szCs w:val="22"/>
            </w:rPr>
            <w:t>invoering van de mogelijkheid van een numerus fixus per collegejaar 2025-2026 uitvoerbaar</w:t>
          </w:r>
          <w:r w:rsidR="00865D98">
            <w:rPr>
              <w:szCs w:val="22"/>
            </w:rPr>
            <w:t xml:space="preserve"> is</w:t>
          </w:r>
          <w:r w:rsidRPr="00FD3C10" w:rsidR="000F4212">
            <w:rPr>
              <w:szCs w:val="22"/>
            </w:rPr>
            <w:t>.</w:t>
          </w:r>
          <w:r w:rsidR="000F4212">
            <w:rPr>
              <w:rStyle w:val="Voetnootmarkering"/>
              <w:szCs w:val="22"/>
            </w:rPr>
            <w:footnoteReference w:id="102"/>
          </w:r>
        </w:p>
        <w:p w:rsidRPr="00FD3C10" w:rsidR="000F4212" w:rsidP="000F4212" w:rsidRDefault="000F4212" w14:paraId="45840BAE" w14:textId="77777777">
          <w:pPr>
            <w:rPr>
              <w:szCs w:val="22"/>
            </w:rPr>
          </w:pPr>
        </w:p>
        <w:p w:rsidRPr="00FD3C10" w:rsidR="000F4212" w:rsidP="000F4212" w:rsidRDefault="000F4212" w14:paraId="75C0DD97" w14:textId="3CFBCDA2">
          <w:pPr>
            <w:rPr>
              <w:szCs w:val="22"/>
            </w:rPr>
          </w:pPr>
          <w:r w:rsidRPr="00FD3C10">
            <w:rPr>
              <w:szCs w:val="22"/>
            </w:rPr>
            <w:t>De Afdeling adviseert om in de toelichting in te gaan</w:t>
          </w:r>
          <w:r w:rsidR="00832BFD">
            <w:rPr>
              <w:szCs w:val="22"/>
            </w:rPr>
            <w:t xml:space="preserve"> op de betekenis van het amendement voor het wetsvoorstel</w:t>
          </w:r>
          <w:r w:rsidRPr="00FD3C10">
            <w:rPr>
              <w:szCs w:val="22"/>
            </w:rPr>
            <w:t>.</w:t>
          </w:r>
        </w:p>
        <w:p w:rsidRPr="00FD3C10" w:rsidR="000F4212" w:rsidP="000F4212" w:rsidRDefault="000F4212" w14:paraId="0301D05D" w14:textId="77777777">
          <w:pPr>
            <w:rPr>
              <w:szCs w:val="22"/>
            </w:rPr>
          </w:pPr>
        </w:p>
        <w:p w:rsidRPr="00FD3C10" w:rsidR="000F4212" w:rsidP="000F4212" w:rsidRDefault="000F4212" w14:paraId="77A31F7A" w14:textId="77777777">
          <w:pPr>
            <w:rPr>
              <w:szCs w:val="22"/>
            </w:rPr>
          </w:pPr>
          <w:r>
            <w:rPr>
              <w:szCs w:val="22"/>
            </w:rPr>
            <w:t>9</w:t>
          </w:r>
          <w:r w:rsidRPr="00FD3C10">
            <w:rPr>
              <w:szCs w:val="22"/>
            </w:rPr>
            <w:t xml:space="preserve">. </w:t>
          </w:r>
          <w:r w:rsidRPr="00FD3C10">
            <w:rPr>
              <w:szCs w:val="22"/>
            </w:rPr>
            <w:tab/>
          </w:r>
          <w:r w:rsidRPr="00FD3C10">
            <w:rPr>
              <w:szCs w:val="22"/>
              <w:u w:val="single"/>
            </w:rPr>
            <w:t>Gevolgen voor de rechtspraktijk</w:t>
          </w:r>
        </w:p>
        <w:p w:rsidRPr="00FD3C10" w:rsidR="000F4212" w:rsidP="000F4212" w:rsidRDefault="000F4212" w14:paraId="47FB8528" w14:textId="77777777">
          <w:pPr>
            <w:rPr>
              <w:szCs w:val="22"/>
            </w:rPr>
          </w:pPr>
        </w:p>
        <w:p w:rsidRPr="00FD3C10" w:rsidR="000F4212" w:rsidP="000F4212" w:rsidRDefault="000F4212" w14:paraId="1730276D" w14:textId="3C6B4B53">
          <w:pPr>
            <w:rPr>
              <w:bCs/>
              <w:szCs w:val="22"/>
            </w:rPr>
          </w:pPr>
          <w:r w:rsidRPr="00FD3C10">
            <w:rPr>
              <w:bCs/>
              <w:szCs w:val="22"/>
            </w:rPr>
            <w:t xml:space="preserve">Tegen besluiten naar aanleiding van een aanvraag om instemming voor het verzorgen van anderstalig onderwijs (of tegen de intrekking daarvan) wordt beroep in eerste en enige instantie opengesteld op de Afdeling bestuursrechtspraak van de Raad van State. Hiermee wordt aangesloten bij de </w:t>
          </w:r>
          <w:r>
            <w:rPr>
              <w:bCs/>
              <w:szCs w:val="22"/>
            </w:rPr>
            <w:t>rechtsbescherming met betrekking tot</w:t>
          </w:r>
          <w:r w:rsidRPr="00FD3C10">
            <w:rPr>
              <w:bCs/>
              <w:szCs w:val="22"/>
            </w:rPr>
            <w:t xml:space="preserve"> </w:t>
          </w:r>
          <w:r>
            <w:rPr>
              <w:bCs/>
              <w:szCs w:val="22"/>
            </w:rPr>
            <w:t>d</w:t>
          </w:r>
          <w:r w:rsidRPr="00FD3C10">
            <w:rPr>
              <w:bCs/>
              <w:szCs w:val="22"/>
            </w:rPr>
            <w:t>e intrekkingsbesluiten in de WHW. Vanwege de naar verwachting zeer beperkte gevolgen voor de rechtspraak heeft de regering geen uitvoeringstoets gevraagd.</w:t>
          </w:r>
        </w:p>
        <w:p w:rsidRPr="00FD3C10" w:rsidR="000F4212" w:rsidP="000F4212" w:rsidRDefault="000F4212" w14:paraId="2D65368C" w14:textId="77777777">
          <w:pPr>
            <w:rPr>
              <w:bCs/>
              <w:szCs w:val="22"/>
            </w:rPr>
          </w:pPr>
        </w:p>
        <w:p w:rsidRPr="00FD3C10" w:rsidR="000F4212" w:rsidP="000F4212" w:rsidRDefault="000F4212" w14:paraId="1EEA6A4F" w14:textId="7B3573B5">
          <w:pPr>
            <w:rPr>
              <w:bCs/>
              <w:szCs w:val="22"/>
            </w:rPr>
          </w:pPr>
          <w:r w:rsidRPr="00FD3C10">
            <w:rPr>
              <w:bCs/>
              <w:szCs w:val="22"/>
            </w:rPr>
            <w:t>Er worden jaarlijks zo’n 100 nieuwe opleidingen beoordeeld door de C</w:t>
          </w:r>
          <w:r>
            <w:rPr>
              <w:bCs/>
              <w:szCs w:val="22"/>
            </w:rPr>
            <w:t>ommissie Doelmatigheid Hoger Onderwijs</w:t>
          </w:r>
          <w:r w:rsidRPr="00FD3C10">
            <w:rPr>
              <w:bCs/>
              <w:szCs w:val="22"/>
            </w:rPr>
            <w:t xml:space="preserve">, waarvan ongeveer een kwart anderstalig. Een afwijzing </w:t>
          </w:r>
          <w:r>
            <w:rPr>
              <w:bCs/>
              <w:szCs w:val="22"/>
            </w:rPr>
            <w:t xml:space="preserve">door de minister </w:t>
          </w:r>
          <w:r w:rsidRPr="00FD3C10">
            <w:rPr>
              <w:bCs/>
              <w:szCs w:val="22"/>
            </w:rPr>
            <w:t xml:space="preserve">leidt zelden tot een rechterlijke procedure; in de laatste twintig jaar </w:t>
          </w:r>
          <w:r>
            <w:rPr>
              <w:bCs/>
              <w:szCs w:val="22"/>
            </w:rPr>
            <w:t>gebeurde dat in</w:t>
          </w:r>
          <w:r w:rsidRPr="00FD3C10">
            <w:rPr>
              <w:bCs/>
              <w:szCs w:val="22"/>
            </w:rPr>
            <w:t xml:space="preserve"> slechts twee</w:t>
          </w:r>
          <w:r>
            <w:rPr>
              <w:bCs/>
              <w:szCs w:val="22"/>
            </w:rPr>
            <w:t xml:space="preserve"> gevallen.</w:t>
          </w:r>
          <w:r w:rsidRPr="00FD3C10">
            <w:rPr>
              <w:rStyle w:val="Voetnootmarkering"/>
              <w:bCs/>
              <w:szCs w:val="22"/>
            </w:rPr>
            <w:footnoteReference w:id="103"/>
          </w:r>
          <w:r w:rsidRPr="00FD3C10">
            <w:rPr>
              <w:bCs/>
              <w:szCs w:val="22"/>
            </w:rPr>
            <w:t xml:space="preserve"> Het is echter de vraag of dit cijfer een betrouwbare indicatie vormt</w:t>
          </w:r>
          <w:r>
            <w:rPr>
              <w:bCs/>
              <w:szCs w:val="22"/>
            </w:rPr>
            <w:t xml:space="preserve"> voor de toekomstige situatie</w:t>
          </w:r>
          <w:r w:rsidRPr="00FD3C10">
            <w:rPr>
              <w:bCs/>
              <w:szCs w:val="22"/>
            </w:rPr>
            <w:t xml:space="preserve">. De toets anderstalig </w:t>
          </w:r>
          <w:r>
            <w:rPr>
              <w:bCs/>
              <w:szCs w:val="22"/>
            </w:rPr>
            <w:t xml:space="preserve">bestaand </w:t>
          </w:r>
          <w:r w:rsidRPr="00FD3C10">
            <w:rPr>
              <w:bCs/>
              <w:szCs w:val="22"/>
            </w:rPr>
            <w:t>aanbod is een complexe toets, waarmee nog geen ervaring bestaat. Deze toets zal naar verwachting op zo’n 350 bestaande opleidingen worden toegepast. Een consequentie van de toets kan zijn dat opleidingen niet meer in een andere taal mogen worden verzorgd, of alleen onder beperkingen. In het bijzonder indien de instellingen voor hoger onderwijs er niet in slagen met een gezamenlijke aanvraag te komen, kan dit leiden tot procedures met verschillende belanghebbenden met een tegengesteld belang. Ook DUO acht een toename van zaken in bezwaar en beroep waarschijnlijk.</w:t>
          </w:r>
          <w:r w:rsidRPr="00FD3C10">
            <w:rPr>
              <w:rStyle w:val="Voetnootmarkering"/>
              <w:bCs/>
              <w:szCs w:val="22"/>
            </w:rPr>
            <w:footnoteReference w:id="104"/>
          </w:r>
          <w:r w:rsidRPr="00FD3C10">
            <w:rPr>
              <w:bCs/>
              <w:szCs w:val="22"/>
            </w:rPr>
            <w:t xml:space="preserve"> </w:t>
          </w:r>
        </w:p>
        <w:p w:rsidRPr="00FD3C10" w:rsidR="000F4212" w:rsidP="000F4212" w:rsidRDefault="000F4212" w14:paraId="21FD1D30" w14:textId="77777777">
          <w:pPr>
            <w:rPr>
              <w:bCs/>
              <w:szCs w:val="22"/>
            </w:rPr>
          </w:pPr>
        </w:p>
        <w:p w:rsidRPr="00FD3C10" w:rsidR="000F4212" w:rsidP="000F4212" w:rsidRDefault="000F4212" w14:paraId="06556EAB" w14:textId="249D515C">
          <w:pPr>
            <w:rPr>
              <w:bCs/>
              <w:szCs w:val="22"/>
            </w:rPr>
          </w:pPr>
          <w:r w:rsidRPr="00FD3C10">
            <w:rPr>
              <w:bCs/>
              <w:szCs w:val="22"/>
            </w:rPr>
            <w:t xml:space="preserve">Tegen deze achtergrond wordt geadviseerd om de Afdeling bestuursrechtspraak van de Raad van State alsnog te consulteren. </w:t>
          </w:r>
        </w:p>
        <w:p w:rsidRPr="00FD3C10" w:rsidR="000F4212" w:rsidP="000F4212" w:rsidRDefault="000F4212" w14:paraId="16833A64" w14:textId="77777777">
          <w:pPr>
            <w:rPr>
              <w:szCs w:val="22"/>
            </w:rPr>
          </w:pPr>
        </w:p>
        <w:p w:rsidRPr="00FD3C10" w:rsidR="000F4212" w:rsidP="000F4212" w:rsidRDefault="000F4212" w14:paraId="4363BE82" w14:textId="77777777">
          <w:pPr>
            <w:rPr>
              <w:szCs w:val="22"/>
            </w:rPr>
          </w:pPr>
          <w:r>
            <w:rPr>
              <w:szCs w:val="22"/>
            </w:rPr>
            <w:t>10</w:t>
          </w:r>
          <w:r w:rsidRPr="00FD3C10">
            <w:rPr>
              <w:szCs w:val="22"/>
            </w:rPr>
            <w:t>.</w:t>
          </w:r>
          <w:r w:rsidRPr="00FD3C10">
            <w:rPr>
              <w:szCs w:val="22"/>
            </w:rPr>
            <w:tab/>
          </w:r>
          <w:r w:rsidRPr="00FD3C10">
            <w:rPr>
              <w:szCs w:val="22"/>
              <w:u w:val="single"/>
            </w:rPr>
            <w:t>Omkeerregeling mbo</w:t>
          </w:r>
          <w:r w:rsidRPr="00FD3C10">
            <w:rPr>
              <w:szCs w:val="22"/>
            </w:rPr>
            <w:t xml:space="preserve"> </w:t>
          </w:r>
        </w:p>
        <w:p w:rsidRPr="00FD3C10" w:rsidR="000F4212" w:rsidP="000F4212" w:rsidRDefault="000F4212" w14:paraId="64905332" w14:textId="77777777">
          <w:pPr>
            <w:rPr>
              <w:szCs w:val="22"/>
            </w:rPr>
          </w:pPr>
        </w:p>
        <w:p w:rsidRPr="00FD3C10" w:rsidR="000F4212" w:rsidP="000F4212" w:rsidRDefault="000F4212" w14:paraId="0FD49A6E" w14:textId="39F61EB8">
          <w:pPr>
            <w:rPr>
              <w:szCs w:val="22"/>
            </w:rPr>
          </w:pPr>
          <w:r w:rsidRPr="00FD3C10">
            <w:rPr>
              <w:szCs w:val="22"/>
            </w:rPr>
            <w:t xml:space="preserve">Het wetsvoorstel introduceert de grondslag voor een ‘omkeerregeling’ in het mbo door middel van een wijziging van de Wet educatie en beroepsonderwijs. Hierdoor kunnen internationale studenten op mbo-4 niveau onder </w:t>
          </w:r>
          <w:r>
            <w:rPr>
              <w:szCs w:val="22"/>
            </w:rPr>
            <w:t xml:space="preserve">voorwaarden, die uitgewerkt worden </w:t>
          </w:r>
          <w:r w:rsidRPr="00FD3C10">
            <w:rPr>
              <w:szCs w:val="22"/>
            </w:rPr>
            <w:t>bij algemene maatregel van bestuur</w:t>
          </w:r>
          <w:r>
            <w:rPr>
              <w:szCs w:val="22"/>
            </w:rPr>
            <w:t>,</w:t>
          </w:r>
          <w:r w:rsidRPr="00FD3C10">
            <w:rPr>
              <w:szCs w:val="22"/>
            </w:rPr>
            <w:t xml:space="preserve"> een lager referentieniveau Nederlandse taal (2F i</w:t>
          </w:r>
          <w:r w:rsidR="00783414">
            <w:rPr>
              <w:szCs w:val="22"/>
            </w:rPr>
            <w:t xml:space="preserve">n </w:t>
          </w:r>
          <w:r w:rsidRPr="00FD3C10">
            <w:rPr>
              <w:szCs w:val="22"/>
            </w:rPr>
            <w:t>p</w:t>
          </w:r>
          <w:r w:rsidR="00783414">
            <w:rPr>
              <w:szCs w:val="22"/>
            </w:rPr>
            <w:t xml:space="preserve">laats </w:t>
          </w:r>
          <w:r w:rsidRPr="00FD3C10">
            <w:rPr>
              <w:szCs w:val="22"/>
            </w:rPr>
            <w:t>v</w:t>
          </w:r>
          <w:r w:rsidR="00783414">
            <w:rPr>
              <w:szCs w:val="22"/>
            </w:rPr>
            <w:t>an</w:t>
          </w:r>
          <w:r w:rsidRPr="00FD3C10">
            <w:rPr>
              <w:szCs w:val="22"/>
            </w:rPr>
            <w:t xml:space="preserve"> 3F) compenseren met een hoger referentieniveau voor een andere taal. Hiermee wil de regering de instroom van internationale studenten in het mbo bevorderen. </w:t>
          </w:r>
        </w:p>
        <w:p w:rsidRPr="00FD3C10" w:rsidR="000F4212" w:rsidP="000F4212" w:rsidRDefault="000F4212" w14:paraId="6A352BB3" w14:textId="77777777">
          <w:pPr>
            <w:rPr>
              <w:szCs w:val="22"/>
            </w:rPr>
          </w:pPr>
        </w:p>
        <w:p w:rsidRPr="00FD3C10" w:rsidR="000F4212" w:rsidP="000F4212" w:rsidRDefault="000F4212" w14:paraId="14DA65A5" w14:textId="0E5676E0">
          <w:pPr>
            <w:rPr>
              <w:szCs w:val="22"/>
            </w:rPr>
          </w:pPr>
          <w:r w:rsidRPr="00FD3C10">
            <w:rPr>
              <w:szCs w:val="22"/>
            </w:rPr>
            <w:t xml:space="preserve">In 2020 heeft de Afdeling kritisch geadviseerd over een algemene maatregel van bestuur waarin de omkeerregeling mbo werd uitgewerkt. De Afdeling maakte opmerkingen over de </w:t>
          </w:r>
          <w:r>
            <w:rPr>
              <w:szCs w:val="22"/>
            </w:rPr>
            <w:t xml:space="preserve">gestelde </w:t>
          </w:r>
          <w:r w:rsidRPr="00FD3C10">
            <w:rPr>
              <w:szCs w:val="22"/>
            </w:rPr>
            <w:t xml:space="preserve">noodzaak van de voorgestelde differentiatie, </w:t>
          </w:r>
          <w:r>
            <w:rPr>
              <w:szCs w:val="22"/>
            </w:rPr>
            <w:t xml:space="preserve">over </w:t>
          </w:r>
          <w:r w:rsidRPr="00FD3C10">
            <w:rPr>
              <w:szCs w:val="22"/>
            </w:rPr>
            <w:t>de omvang van het beroep dat op de omkeerregeling mbo k</w:t>
          </w:r>
          <w:r>
            <w:rPr>
              <w:szCs w:val="22"/>
            </w:rPr>
            <w:t>o</w:t>
          </w:r>
          <w:r w:rsidRPr="00FD3C10">
            <w:rPr>
              <w:szCs w:val="22"/>
            </w:rPr>
            <w:t>n worden gedaan en over de gevolgen ervan voor de diplomawaarde.</w:t>
          </w:r>
          <w:r>
            <w:rPr>
              <w:rStyle w:val="Voetnootmarkering"/>
              <w:szCs w:val="22"/>
            </w:rPr>
            <w:footnoteReference w:id="105"/>
          </w:r>
          <w:r w:rsidRPr="00FD3C10">
            <w:rPr>
              <w:szCs w:val="22"/>
            </w:rPr>
            <w:t xml:space="preserve"> Omdat </w:t>
          </w:r>
          <w:r>
            <w:rPr>
              <w:szCs w:val="22"/>
            </w:rPr>
            <w:t xml:space="preserve">het wetsvoorstel </w:t>
          </w:r>
          <w:r w:rsidR="007E1385">
            <w:rPr>
              <w:szCs w:val="22"/>
            </w:rPr>
            <w:t>t</w:t>
          </w:r>
          <w:r>
            <w:rPr>
              <w:szCs w:val="22"/>
            </w:rPr>
            <w:t>aal en toegankelijkheid</w:t>
          </w:r>
          <w:r w:rsidRPr="00FD3C10">
            <w:rPr>
              <w:szCs w:val="22"/>
            </w:rPr>
            <w:t xml:space="preserve"> daarna controversieel werd verklaard is geen nader rapport uitgebracht.</w:t>
          </w:r>
        </w:p>
        <w:p w:rsidRPr="00FD3C10" w:rsidR="000F4212" w:rsidP="000F4212" w:rsidRDefault="000F4212" w14:paraId="197A28D6" w14:textId="77777777">
          <w:pPr>
            <w:rPr>
              <w:szCs w:val="22"/>
            </w:rPr>
          </w:pPr>
        </w:p>
        <w:p w:rsidR="00783414" w:rsidP="000F4212" w:rsidRDefault="000F4212" w14:paraId="63229BD7" w14:textId="77777777">
          <w:pPr>
            <w:rPr>
              <w:szCs w:val="22"/>
            </w:rPr>
          </w:pPr>
          <w:r w:rsidRPr="00FD3C10">
            <w:rPr>
              <w:szCs w:val="22"/>
            </w:rPr>
            <w:t xml:space="preserve">De </w:t>
          </w:r>
          <w:r>
            <w:rPr>
              <w:szCs w:val="22"/>
            </w:rPr>
            <w:t>primaire doelstellingen van</w:t>
          </w:r>
          <w:r w:rsidRPr="00FD3C10">
            <w:rPr>
              <w:szCs w:val="22"/>
            </w:rPr>
            <w:t xml:space="preserve"> het huidige wetsvoorstel </w:t>
          </w:r>
          <w:r>
            <w:rPr>
              <w:szCs w:val="22"/>
            </w:rPr>
            <w:t>zijn</w:t>
          </w:r>
          <w:r w:rsidRPr="00FD3C10">
            <w:rPr>
              <w:szCs w:val="22"/>
            </w:rPr>
            <w:t xml:space="preserve"> het bevorderen van de Nederlandse taal en de beheersing van internationale studentenstromen in het hoger onderwijs. Onduidelijk is wat de samenhang is met de omkeerregeling in het mbo, en waarom deze maatregel niet in een apart wetsvoorstel is neergelegd, zoals oorspronkelijk de bedoeling was.</w:t>
          </w:r>
          <w:r w:rsidRPr="00FD3C10">
            <w:rPr>
              <w:szCs w:val="22"/>
              <w:vertAlign w:val="superscript"/>
            </w:rPr>
            <w:footnoteReference w:id="106"/>
          </w:r>
          <w:r w:rsidRPr="00FD3C10">
            <w:rPr>
              <w:szCs w:val="22"/>
            </w:rPr>
            <w:t xml:space="preserve"> Weliswaar is er enig verband met internationalisering, maar het betreft hier studenten die voor een ander deel van de arbeidsmarkt worden opgeleid. </w:t>
          </w:r>
        </w:p>
        <w:p w:rsidR="00783414" w:rsidP="000F4212" w:rsidRDefault="00783414" w14:paraId="03FE8BFF" w14:textId="77777777">
          <w:pPr>
            <w:rPr>
              <w:szCs w:val="22"/>
            </w:rPr>
          </w:pPr>
        </w:p>
        <w:p w:rsidRPr="00FD3C10" w:rsidR="000F4212" w:rsidP="000F4212" w:rsidRDefault="000F4212" w14:paraId="7E7D4E90" w14:textId="1130461D">
          <w:pPr>
            <w:rPr>
              <w:szCs w:val="22"/>
            </w:rPr>
          </w:pPr>
          <w:r w:rsidRPr="00FD3C10">
            <w:rPr>
              <w:szCs w:val="22"/>
            </w:rPr>
            <w:t xml:space="preserve">Voorts merkt de Afdeling op dat de </w:t>
          </w:r>
          <w:bookmarkStart w:name="_Hlk162626304" w:id="7"/>
          <w:r w:rsidRPr="00FD3C10">
            <w:rPr>
              <w:szCs w:val="22"/>
            </w:rPr>
            <w:t>wetgeving voor het mbo</w:t>
          </w:r>
          <w:bookmarkEnd w:id="7"/>
          <w:r w:rsidRPr="00FD3C10">
            <w:rPr>
              <w:szCs w:val="22"/>
            </w:rPr>
            <w:t>, anders dan dit wetsvoorstel, geen verplichting bevat tot bevordering van de Nederlandse taalvaardigheid van (anderstalige) studenten of het hebben en voeren van een taalbeleid. Deze verschillen illustreren dat de omkeerregeling slechts zijdelings verband houdt met dit wetsvoorstel.</w:t>
          </w:r>
        </w:p>
        <w:p w:rsidRPr="00FD3C10" w:rsidR="000F4212" w:rsidP="000F4212" w:rsidRDefault="000F4212" w14:paraId="283BECB1" w14:textId="77777777">
          <w:pPr>
            <w:rPr>
              <w:szCs w:val="22"/>
            </w:rPr>
          </w:pPr>
        </w:p>
        <w:p w:rsidRPr="00FD3C10" w:rsidR="000F4212" w:rsidP="000F4212" w:rsidRDefault="000F4212" w14:paraId="1DF3F7E0" w14:textId="77777777">
          <w:pPr>
            <w:rPr>
              <w:szCs w:val="22"/>
            </w:rPr>
          </w:pPr>
          <w:r>
            <w:rPr>
              <w:szCs w:val="22"/>
            </w:rPr>
            <w:t>Daarnaast</w:t>
          </w:r>
          <w:r w:rsidRPr="00FD3C10">
            <w:rPr>
              <w:szCs w:val="22"/>
            </w:rPr>
            <w:t xml:space="preserve"> rijst de </w:t>
          </w:r>
          <w:r>
            <w:rPr>
              <w:szCs w:val="22"/>
            </w:rPr>
            <w:t xml:space="preserve">inhoudelijke </w:t>
          </w:r>
          <w:r w:rsidRPr="00FD3C10">
            <w:rPr>
              <w:szCs w:val="22"/>
            </w:rPr>
            <w:t xml:space="preserve">vraag of </w:t>
          </w:r>
          <w:r>
            <w:rPr>
              <w:szCs w:val="22"/>
            </w:rPr>
            <w:t xml:space="preserve">de </w:t>
          </w:r>
          <w:r w:rsidRPr="00FD3C10">
            <w:rPr>
              <w:szCs w:val="22"/>
            </w:rPr>
            <w:t>voorgestelde grondslag tot differentiatie van referentieniveaus in het mbo niet een veel bredere reikwijdte kent dan de beoogde omkeerregeling voor internationale studenten in het mbo.</w:t>
          </w:r>
          <w:r w:rsidRPr="00FD3C10">
            <w:rPr>
              <w:rStyle w:val="Voetnootmarkering"/>
              <w:szCs w:val="22"/>
            </w:rPr>
            <w:footnoteReference w:id="107"/>
          </w:r>
          <w:r w:rsidRPr="00FD3C10">
            <w:rPr>
              <w:szCs w:val="22"/>
            </w:rPr>
            <w:t xml:space="preserve"> Feitelijk worden hiermee </w:t>
          </w:r>
          <w:r>
            <w:rPr>
              <w:szCs w:val="22"/>
            </w:rPr>
            <w:t xml:space="preserve">immers </w:t>
          </w:r>
          <w:r w:rsidRPr="00FD3C10">
            <w:rPr>
              <w:szCs w:val="22"/>
            </w:rPr>
            <w:t>ook andere vormen van differentiatie qua referentieniveaus taal en rekenen binnen het mbo</w:t>
          </w:r>
          <w:r>
            <w:rPr>
              <w:szCs w:val="22"/>
            </w:rPr>
            <w:t xml:space="preserve"> mogelijk gemaakt</w:t>
          </w:r>
          <w:r w:rsidRPr="00FD3C10">
            <w:rPr>
              <w:szCs w:val="22"/>
            </w:rPr>
            <w:t>.</w:t>
          </w:r>
          <w:r>
            <w:rPr>
              <w:rStyle w:val="Voetnootmarkering"/>
              <w:szCs w:val="22"/>
            </w:rPr>
            <w:footnoteReference w:id="108"/>
          </w:r>
          <w:r w:rsidRPr="00FD3C10">
            <w:rPr>
              <w:szCs w:val="22"/>
            </w:rPr>
            <w:t xml:space="preserve"> </w:t>
          </w:r>
        </w:p>
        <w:p w:rsidRPr="00FD3C10" w:rsidR="000F4212" w:rsidP="000F4212" w:rsidRDefault="000F4212" w14:paraId="33792158" w14:textId="77777777">
          <w:pPr>
            <w:rPr>
              <w:szCs w:val="22"/>
            </w:rPr>
          </w:pPr>
        </w:p>
        <w:p w:rsidR="00A91999" w:rsidP="00121A64" w:rsidRDefault="000F4212" w14:paraId="38D279EB" w14:textId="50FAAF2F">
          <w:r w:rsidRPr="00FD3C10">
            <w:rPr>
              <w:szCs w:val="22"/>
            </w:rPr>
            <w:t xml:space="preserve">Gelet hierop adviseert de Afdeling de omkeerregeling mbo uit het wetsvoorstel te halen en dit als </w:t>
          </w:r>
          <w:r>
            <w:rPr>
              <w:szCs w:val="22"/>
            </w:rPr>
            <w:t>zelfstandig wets</w:t>
          </w:r>
          <w:r w:rsidRPr="00FD3C10">
            <w:rPr>
              <w:szCs w:val="22"/>
            </w:rPr>
            <w:t>voorstel aan de Afdeling ter advies voor te leggen.</w:t>
          </w:r>
        </w:p>
      </w:sdtContent>
    </w:sdt>
    <w:p w:rsidR="00C72023" w:rsidRDefault="00C72023" w14:paraId="40943F00" w14:textId="77777777"/>
    <w:sdt>
      <w:sdtPr>
        <w:tag w:val="bmDictum"/>
        <w:id w:val="817617194"/>
        <w:lock w:val="sdtLocked"/>
        <w:placeholder>
          <w:docPart w:val="DefaultPlaceholder_-1854013440"/>
        </w:placeholder>
      </w:sdtPr>
      <w:sdtEndPr/>
      <w:sdtContent>
        <w:p w:rsidR="00C72023" w:rsidRDefault="00C72023" w14:paraId="7F01D542" w14:textId="15C40DC1">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C72023" w:rsidSect="00FC3D5B">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E19F" w14:textId="77777777" w:rsidR="007359FC" w:rsidRDefault="007359FC">
      <w:r>
        <w:separator/>
      </w:r>
    </w:p>
  </w:endnote>
  <w:endnote w:type="continuationSeparator" w:id="0">
    <w:p w14:paraId="218CFAA6" w14:textId="77777777" w:rsidR="007359FC" w:rsidRDefault="007359FC">
      <w:r>
        <w:continuationSeparator/>
      </w:r>
    </w:p>
  </w:endnote>
  <w:endnote w:type="continuationNotice" w:id="1">
    <w:p w14:paraId="7DA07E6E" w14:textId="77777777" w:rsidR="007359FC" w:rsidRDefault="00735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A523"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45D78" w14:paraId="50C8A526" w14:textId="77777777" w:rsidTr="00D90098">
      <w:tc>
        <w:tcPr>
          <w:tcW w:w="4815" w:type="dxa"/>
        </w:tcPr>
        <w:p w14:paraId="50C8A524" w14:textId="77777777" w:rsidR="00D90098" w:rsidRDefault="00D90098" w:rsidP="00D90098">
          <w:pPr>
            <w:pStyle w:val="Voettekst"/>
          </w:pPr>
        </w:p>
      </w:tc>
      <w:tc>
        <w:tcPr>
          <w:tcW w:w="4247" w:type="dxa"/>
        </w:tcPr>
        <w:p w14:paraId="50C8A525" w14:textId="77777777" w:rsidR="00D90098" w:rsidRDefault="00D90098" w:rsidP="00D90098">
          <w:pPr>
            <w:pStyle w:val="Voettekst"/>
            <w:jc w:val="right"/>
          </w:pPr>
        </w:p>
      </w:tc>
    </w:tr>
  </w:tbl>
  <w:p w14:paraId="50C8A527"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7B27" w14:textId="0D1B94E0" w:rsidR="00FC3D5B" w:rsidRPr="00FC3D5B" w:rsidRDefault="00FC3D5B">
    <w:pPr>
      <w:pStyle w:val="Voettekst"/>
      <w:rPr>
        <w:rFonts w:ascii="Bembo" w:hAnsi="Bembo"/>
        <w:sz w:val="32"/>
      </w:rPr>
    </w:pPr>
    <w:r w:rsidRPr="00FC3D5B">
      <w:rPr>
        <w:rFonts w:ascii="Bembo" w:hAnsi="Bembo"/>
        <w:sz w:val="32"/>
      </w:rPr>
      <w:t>AAN DE KONING</w:t>
    </w:r>
  </w:p>
  <w:p w14:paraId="57528C23" w14:textId="77777777" w:rsidR="00FC3D5B" w:rsidRDefault="00FC3D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2209A" w14:textId="77777777" w:rsidR="007359FC" w:rsidRDefault="007359FC">
      <w:r>
        <w:separator/>
      </w:r>
    </w:p>
  </w:footnote>
  <w:footnote w:type="continuationSeparator" w:id="0">
    <w:p w14:paraId="60315533" w14:textId="77777777" w:rsidR="007359FC" w:rsidRDefault="007359FC">
      <w:r>
        <w:continuationSeparator/>
      </w:r>
    </w:p>
  </w:footnote>
  <w:footnote w:type="continuationNotice" w:id="1">
    <w:p w14:paraId="5CE80659" w14:textId="77777777" w:rsidR="007359FC" w:rsidRDefault="007359FC"/>
  </w:footnote>
  <w:footnote w:id="2">
    <w:p w14:paraId="4752462A" w14:textId="77777777" w:rsidR="000F4212" w:rsidRDefault="000F4212" w:rsidP="000F4212">
      <w:pPr>
        <w:pStyle w:val="Voetnoottekst"/>
      </w:pPr>
      <w:r>
        <w:rPr>
          <w:rStyle w:val="Voetnootmarkering"/>
        </w:rPr>
        <w:footnoteRef/>
      </w:r>
      <w:r>
        <w:t xml:space="preserve"> </w:t>
      </w:r>
      <w:r w:rsidRPr="00086B8C">
        <w:t>Een associate degree</w:t>
      </w:r>
      <w:r>
        <w:t xml:space="preserve"> (AD)-</w:t>
      </w:r>
      <w:r w:rsidRPr="00086B8C">
        <w:t>opleiding is een 2-jarige hbo-opleiding die veelal in samenwerking met mbo en werkveld wordt ontwikkeld. Het eindniveau van de associate degree ligt tussen mbo-4 en hbo-bachelor</w:t>
      </w:r>
      <w:r>
        <w:t>, NLQF-niveau 5.</w:t>
      </w:r>
      <w:r w:rsidRPr="00086B8C">
        <w:t xml:space="preserve"> </w:t>
      </w:r>
    </w:p>
  </w:footnote>
  <w:footnote w:id="3">
    <w:p w14:paraId="3A5A957F" w14:textId="77777777" w:rsidR="000F4212" w:rsidRDefault="000F4212" w:rsidP="000F4212">
      <w:pPr>
        <w:pStyle w:val="Voetnoottekst"/>
      </w:pPr>
      <w:r>
        <w:rPr>
          <w:rStyle w:val="Voetnootmarkering"/>
        </w:rPr>
        <w:footnoteRef/>
      </w:r>
      <w:r>
        <w:t xml:space="preserve"> </w:t>
      </w:r>
      <w:r w:rsidRPr="002A5069">
        <w:t>Kamerstukken II 2018/19, 35282, nr. 4</w:t>
      </w:r>
      <w:r>
        <w:t xml:space="preserve">; </w:t>
      </w:r>
      <w:r w:rsidRPr="002C5357">
        <w:t>Kamerstukken I 2019/20, 35282, E</w:t>
      </w:r>
      <w:r>
        <w:t xml:space="preserve">. </w:t>
      </w:r>
    </w:p>
  </w:footnote>
  <w:footnote w:id="4">
    <w:p w14:paraId="4025F39E" w14:textId="77777777" w:rsidR="000F4212" w:rsidRPr="00EB6260" w:rsidRDefault="000F4212" w:rsidP="000F4212">
      <w:pPr>
        <w:pStyle w:val="Voetnoottekst"/>
        <w:rPr>
          <w:szCs w:val="16"/>
        </w:rPr>
      </w:pPr>
      <w:r w:rsidRPr="00EB6260">
        <w:rPr>
          <w:rStyle w:val="Voetnootmarkering"/>
          <w:szCs w:val="16"/>
        </w:rPr>
        <w:footnoteRef/>
      </w:r>
      <w:r w:rsidRPr="00EB6260">
        <w:rPr>
          <w:szCs w:val="16"/>
        </w:rPr>
        <w:t xml:space="preserve"> </w:t>
      </w:r>
      <w:bookmarkStart w:id="3" w:name="_Hlk139451604"/>
      <w:r w:rsidRPr="00EB6260">
        <w:rPr>
          <w:szCs w:val="16"/>
        </w:rPr>
        <w:t xml:space="preserve">Kamerstukken II 2022/23, </w:t>
      </w:r>
      <w:bookmarkEnd w:id="3"/>
      <w:r w:rsidRPr="00EB6260">
        <w:rPr>
          <w:szCs w:val="16"/>
        </w:rPr>
        <w:t>22452, nr. 85.</w:t>
      </w:r>
    </w:p>
  </w:footnote>
  <w:footnote w:id="5">
    <w:p w14:paraId="0AFFBD02" w14:textId="2235B21B" w:rsidR="000F4212" w:rsidRPr="00EB6260" w:rsidRDefault="000F4212" w:rsidP="000F4212">
      <w:pPr>
        <w:pStyle w:val="Voetnoottekst"/>
        <w:rPr>
          <w:szCs w:val="16"/>
        </w:rPr>
      </w:pPr>
      <w:r w:rsidRPr="00EB6260">
        <w:rPr>
          <w:rStyle w:val="Voetnootmarkering"/>
          <w:szCs w:val="16"/>
        </w:rPr>
        <w:footnoteRef/>
      </w:r>
      <w:r w:rsidRPr="00EB6260">
        <w:rPr>
          <w:szCs w:val="16"/>
        </w:rPr>
        <w:t xml:space="preserve"> </w:t>
      </w:r>
      <w:r>
        <w:rPr>
          <w:szCs w:val="16"/>
        </w:rPr>
        <w:t>Het in te voegen artikel 1.1 onder gg van de WHW definieert een traject als ‘</w:t>
      </w:r>
      <w:r w:rsidRPr="00EB6260">
        <w:rPr>
          <w:szCs w:val="16"/>
        </w:rPr>
        <w:t>programma binnen een opleiding waarvan de studielast en de kwaliteiten op het gebied van kennis, inzicht en vaardigheden die de student bij beëindiging van de opleiding moet hebben verworven, gelijk zijn aan die van de opleiding.</w:t>
      </w:r>
      <w:r>
        <w:rPr>
          <w:szCs w:val="16"/>
        </w:rPr>
        <w:t>’</w:t>
      </w:r>
      <w:r w:rsidRPr="00EB6260">
        <w:rPr>
          <w:szCs w:val="16"/>
        </w:rPr>
        <w:t xml:space="preserve"> Dit wordt nader toegelicht in </w:t>
      </w:r>
      <w:r w:rsidR="007B1487">
        <w:rPr>
          <w:szCs w:val="16"/>
        </w:rPr>
        <w:t xml:space="preserve">de </w:t>
      </w:r>
      <w:r>
        <w:rPr>
          <w:szCs w:val="16"/>
        </w:rPr>
        <w:t xml:space="preserve">memorie van toelichting, </w:t>
      </w:r>
      <w:r w:rsidRPr="00EB6260">
        <w:rPr>
          <w:szCs w:val="16"/>
        </w:rPr>
        <w:t>paragraaf 4.1</w:t>
      </w:r>
      <w:r>
        <w:rPr>
          <w:szCs w:val="16"/>
        </w:rPr>
        <w:t xml:space="preserve"> ‘Traject’</w:t>
      </w:r>
      <w:r w:rsidRPr="00EB6260">
        <w:rPr>
          <w:szCs w:val="16"/>
        </w:rPr>
        <w:t>.</w:t>
      </w:r>
      <w:r>
        <w:rPr>
          <w:szCs w:val="16"/>
        </w:rPr>
        <w:t xml:space="preserve"> Voorgesteld artikel 7.52c van de WHW maakt mogelijk dat numeri fixi worden ingesteld op een traject.</w:t>
      </w:r>
    </w:p>
  </w:footnote>
  <w:footnote w:id="6">
    <w:p w14:paraId="1002A995" w14:textId="29491D53" w:rsidR="000F4212" w:rsidRPr="00EB6260" w:rsidRDefault="000F4212" w:rsidP="000F4212">
      <w:pPr>
        <w:pStyle w:val="Voetnoottekst"/>
        <w:rPr>
          <w:szCs w:val="16"/>
        </w:rPr>
      </w:pPr>
      <w:r w:rsidRPr="00EB6260">
        <w:rPr>
          <w:rStyle w:val="Voetnootmarkering"/>
          <w:szCs w:val="16"/>
        </w:rPr>
        <w:footnoteRef/>
      </w:r>
      <w:r w:rsidRPr="00EB6260">
        <w:rPr>
          <w:szCs w:val="16"/>
        </w:rPr>
        <w:t xml:space="preserve"> </w:t>
      </w:r>
      <w:r>
        <w:rPr>
          <w:szCs w:val="16"/>
        </w:rPr>
        <w:t xml:space="preserve">Studenten van buiten de Europese Economische Ruimte (EER). </w:t>
      </w:r>
      <w:r w:rsidR="009465A9">
        <w:rPr>
          <w:szCs w:val="16"/>
        </w:rPr>
        <w:t>Tot de EER behoren a</w:t>
      </w:r>
      <w:r w:rsidR="00894E68">
        <w:rPr>
          <w:szCs w:val="16"/>
        </w:rPr>
        <w:t>lle lidstaten van de EU plus Liechtenstein, Noorwegen en I</w:t>
      </w:r>
      <w:r w:rsidR="00E84486">
        <w:rPr>
          <w:szCs w:val="16"/>
        </w:rPr>
        <w:t>J</w:t>
      </w:r>
      <w:r w:rsidR="009465A9">
        <w:rPr>
          <w:szCs w:val="16"/>
        </w:rPr>
        <w:t>sland</w:t>
      </w:r>
      <w:r w:rsidR="00F64EA9">
        <w:rPr>
          <w:szCs w:val="16"/>
        </w:rPr>
        <w:t xml:space="preserve">. </w:t>
      </w:r>
      <w:r w:rsidRPr="00EB6260">
        <w:rPr>
          <w:szCs w:val="16"/>
        </w:rPr>
        <w:t>In dit wetsvoorstel wor</w:t>
      </w:r>
      <w:r>
        <w:rPr>
          <w:szCs w:val="16"/>
        </w:rPr>
        <w:t>den</w:t>
      </w:r>
      <w:r w:rsidRPr="00EB6260">
        <w:rPr>
          <w:szCs w:val="16"/>
        </w:rPr>
        <w:t xml:space="preserve"> niet-EER-studenten </w:t>
      </w:r>
      <w:r>
        <w:rPr>
          <w:szCs w:val="16"/>
        </w:rPr>
        <w:t>gedefinieerd als</w:t>
      </w:r>
      <w:r w:rsidRPr="00EB6260">
        <w:rPr>
          <w:szCs w:val="16"/>
        </w:rPr>
        <w:t xml:space="preserve"> studenten die niet behoren tot een van de groepen van personen bedoeld in artikel 2.2 van de Wet studiefinanciering 2000, noch de Surinaamse nationaliteit bezitten. </w:t>
      </w:r>
      <w:r w:rsidR="001110CB">
        <w:rPr>
          <w:szCs w:val="16"/>
        </w:rPr>
        <w:t>Opneming</w:t>
      </w:r>
      <w:r w:rsidR="00F64EA9">
        <w:rPr>
          <w:szCs w:val="16"/>
        </w:rPr>
        <w:t xml:space="preserve"> van studenten met de Surinaamse nationaliteit </w:t>
      </w:r>
      <w:r w:rsidR="004F4551">
        <w:rPr>
          <w:szCs w:val="16"/>
        </w:rPr>
        <w:t>hangt samen met de historische banden tussen Suriname en Nederland</w:t>
      </w:r>
      <w:r w:rsidR="00A544EC">
        <w:rPr>
          <w:szCs w:val="16"/>
        </w:rPr>
        <w:t xml:space="preserve"> en de gemeenschappelijke – Nederlandse – taal</w:t>
      </w:r>
      <w:r w:rsidR="005B4743">
        <w:rPr>
          <w:szCs w:val="16"/>
        </w:rPr>
        <w:t>, zie</w:t>
      </w:r>
      <w:r w:rsidR="001110CB" w:rsidRPr="00EB6260">
        <w:rPr>
          <w:szCs w:val="16"/>
        </w:rPr>
        <w:t xml:space="preserve"> </w:t>
      </w:r>
      <w:r w:rsidR="001110CB">
        <w:rPr>
          <w:szCs w:val="16"/>
        </w:rPr>
        <w:t xml:space="preserve">memorie van toelichting, </w:t>
      </w:r>
      <w:r w:rsidR="001110CB" w:rsidRPr="00EB6260">
        <w:rPr>
          <w:szCs w:val="16"/>
        </w:rPr>
        <w:t>paragraaf 3.3</w:t>
      </w:r>
      <w:r w:rsidR="001110CB">
        <w:rPr>
          <w:szCs w:val="16"/>
        </w:rPr>
        <w:t xml:space="preserve"> ‘Fixusmaatregelen’</w:t>
      </w:r>
      <w:r w:rsidR="004F4551">
        <w:rPr>
          <w:szCs w:val="16"/>
        </w:rPr>
        <w:t>.</w:t>
      </w:r>
    </w:p>
  </w:footnote>
  <w:footnote w:id="7">
    <w:p w14:paraId="513060EA" w14:textId="77777777" w:rsidR="000F4212" w:rsidRDefault="000F4212" w:rsidP="000F4212">
      <w:pPr>
        <w:pStyle w:val="Voetnoottekst"/>
      </w:pPr>
      <w:r>
        <w:rPr>
          <w:rStyle w:val="Voetnootmarkering"/>
        </w:rPr>
        <w:footnoteRef/>
      </w:r>
      <w:r>
        <w:t xml:space="preserve"> Voorgestelde artikelen 7.52c, 7.54a en 7.54b van de WHW. </w:t>
      </w:r>
    </w:p>
  </w:footnote>
  <w:footnote w:id="8">
    <w:p w14:paraId="4802DC28" w14:textId="77777777" w:rsidR="000F4212" w:rsidRDefault="000F4212" w:rsidP="000F4212">
      <w:pPr>
        <w:pStyle w:val="Voetnoottekst"/>
      </w:pPr>
      <w:r>
        <w:rPr>
          <w:rStyle w:val="Voetnootmarkering"/>
        </w:rPr>
        <w:footnoteRef/>
      </w:r>
      <w:r>
        <w:t xml:space="preserve"> Voorgesteld artikel 7.54c van de WHW. </w:t>
      </w:r>
    </w:p>
  </w:footnote>
  <w:footnote w:id="9">
    <w:p w14:paraId="30C4BAA1" w14:textId="77777777" w:rsidR="000F4212" w:rsidRDefault="000F4212" w:rsidP="000F4212">
      <w:pPr>
        <w:pStyle w:val="Voetnoottekst"/>
      </w:pPr>
      <w:r>
        <w:rPr>
          <w:rStyle w:val="Voetnootmarkering"/>
        </w:rPr>
        <w:footnoteRef/>
      </w:r>
      <w:r>
        <w:t xml:space="preserve"> Voorgestelde artikelen 6.3 en 6.4 van de WHW. </w:t>
      </w:r>
    </w:p>
  </w:footnote>
  <w:footnote w:id="10">
    <w:p w14:paraId="16344517" w14:textId="2603C3DF" w:rsidR="00C51F0E" w:rsidRDefault="00C51F0E">
      <w:pPr>
        <w:pStyle w:val="Voetnoottekst"/>
      </w:pPr>
      <w:r>
        <w:rPr>
          <w:rStyle w:val="Voetnootmarkering"/>
        </w:rPr>
        <w:footnoteRef/>
      </w:r>
      <w:r>
        <w:t xml:space="preserve"> D</w:t>
      </w:r>
      <w:r w:rsidRPr="00C51F0E">
        <w:t xml:space="preserve">ie nader </w:t>
      </w:r>
      <w:r>
        <w:t xml:space="preserve">zullen worden </w:t>
      </w:r>
      <w:r w:rsidRPr="00C51F0E">
        <w:t>uitgewerkt in een amvb</w:t>
      </w:r>
      <w:r>
        <w:t>.</w:t>
      </w:r>
    </w:p>
  </w:footnote>
  <w:footnote w:id="11">
    <w:p w14:paraId="06389300" w14:textId="77777777" w:rsidR="000F4212" w:rsidRDefault="000F4212" w:rsidP="000F4212">
      <w:pPr>
        <w:pStyle w:val="Voetnoottekst"/>
      </w:pPr>
      <w:r>
        <w:rPr>
          <w:rStyle w:val="Voetnootmarkering"/>
        </w:rPr>
        <w:footnoteRef/>
      </w:r>
      <w:r>
        <w:t xml:space="preserve"> Memorie van toelichting, paragraaf 4.3.6 ‘Regie door de instellingen op bestaand anderstalig aanbod’, paragraaf 4.7.1. ‘Zelfregie in relatie tot toets anderstalig onderwijs en numerus fixus’.</w:t>
      </w:r>
    </w:p>
  </w:footnote>
  <w:footnote w:id="12">
    <w:p w14:paraId="436C18AD" w14:textId="374662C8" w:rsidR="000F4212" w:rsidRDefault="000F4212" w:rsidP="000F4212">
      <w:pPr>
        <w:pStyle w:val="Voetnoottekst"/>
      </w:pPr>
      <w:r>
        <w:rPr>
          <w:rStyle w:val="Voetnootmarkering"/>
        </w:rPr>
        <w:footnoteRef/>
      </w:r>
      <w:r>
        <w:t xml:space="preserve"> </w:t>
      </w:r>
      <w:r w:rsidR="00106675">
        <w:t>Z</w:t>
      </w:r>
      <w:r w:rsidR="00106675" w:rsidRPr="00106675">
        <w:t>oals het maximeren van het aantal studieplaatsen</w:t>
      </w:r>
      <w:r w:rsidR="00106675">
        <w:t xml:space="preserve"> (v</w:t>
      </w:r>
      <w:r>
        <w:t>oorgesteld artikel 6.5a van de WHW</w:t>
      </w:r>
      <w:r w:rsidR="00106675">
        <w:t>)</w:t>
      </w:r>
      <w:r>
        <w:t>.</w:t>
      </w:r>
    </w:p>
  </w:footnote>
  <w:footnote w:id="13">
    <w:p w14:paraId="24FB8F19" w14:textId="09FEA086" w:rsidR="000F4212" w:rsidRDefault="000F4212" w:rsidP="000F4212">
      <w:pPr>
        <w:pStyle w:val="Voetnoottekst"/>
      </w:pPr>
      <w:r>
        <w:rPr>
          <w:rStyle w:val="Voetnootmarkering"/>
        </w:rPr>
        <w:footnoteRef/>
      </w:r>
      <w:r>
        <w:t xml:space="preserve"> </w:t>
      </w:r>
      <w:r w:rsidRPr="00FD3C10">
        <w:rPr>
          <w:szCs w:val="22"/>
        </w:rPr>
        <w:t>Een AD- of bacheloropleiding wordt als Nederlandstalig beschouwd indien ten minste twee derde van de studielast van de opleiding, gerekend in studiepunten, in het Nederlands wordt verzorgd</w:t>
      </w:r>
      <w:r>
        <w:rPr>
          <w:szCs w:val="22"/>
        </w:rPr>
        <w:t xml:space="preserve">, aldus </w:t>
      </w:r>
      <w:r w:rsidR="003F20A3">
        <w:rPr>
          <w:szCs w:val="22"/>
        </w:rPr>
        <w:t>v</w:t>
      </w:r>
      <w:r>
        <w:t xml:space="preserve">oorgesteld artikel 7.2 van de WHW. </w:t>
      </w:r>
    </w:p>
  </w:footnote>
  <w:footnote w:id="14">
    <w:p w14:paraId="61AD7B49" w14:textId="77777777" w:rsidR="000F4212" w:rsidRDefault="000F4212" w:rsidP="000F4212">
      <w:pPr>
        <w:pStyle w:val="Voetnoottekst"/>
      </w:pPr>
      <w:r>
        <w:rPr>
          <w:rStyle w:val="Voetnootmarkering"/>
        </w:rPr>
        <w:footnoteRef/>
      </w:r>
      <w:r>
        <w:t xml:space="preserve"> In het Engels ook wel aangeduid met de term ‘stayrate’, ofwel het percentage buitenlandse afgestudeerden dat in Nederland blijft om hier te wonen en werken. Zie bijvoorbeeld </w:t>
      </w:r>
      <w:hyperlink r:id="rId1" w:history="1">
        <w:r w:rsidRPr="005E4288">
          <w:rPr>
            <w:rStyle w:val="Hyperlink"/>
          </w:rPr>
          <w:t>https://www.nuffic.nl/nieuws/onderzoek-hoger-onderwijs-belangrijke-aanvoerroute-voor-kenniswerkers</w:t>
        </w:r>
      </w:hyperlink>
      <w:r>
        <w:t xml:space="preserve">. </w:t>
      </w:r>
    </w:p>
  </w:footnote>
  <w:footnote w:id="15">
    <w:p w14:paraId="575F8B1E" w14:textId="77777777" w:rsidR="000F4212" w:rsidRDefault="000F4212" w:rsidP="000F4212">
      <w:pPr>
        <w:pStyle w:val="Voetnoottekst"/>
      </w:pPr>
      <w:r>
        <w:rPr>
          <w:rStyle w:val="Voetnootmarkering"/>
        </w:rPr>
        <w:footnoteRef/>
      </w:r>
      <w:r>
        <w:t xml:space="preserve"> Voorgesteld artikel 1.3, zesde lid, van de WHW. </w:t>
      </w:r>
    </w:p>
  </w:footnote>
  <w:footnote w:id="16">
    <w:p w14:paraId="0768D172" w14:textId="77777777" w:rsidR="000F4212" w:rsidRDefault="000F4212" w:rsidP="000F4212">
      <w:pPr>
        <w:pStyle w:val="Voetnoottekst"/>
      </w:pPr>
      <w:r>
        <w:rPr>
          <w:rStyle w:val="Voetnootmarkering"/>
        </w:rPr>
        <w:footnoteRef/>
      </w:r>
      <w:r>
        <w:t xml:space="preserve"> Voorgesteld artikel 2, tweede lid, onderdeel d, van de Wet referentieniveaus Nederlandse taal en rekenen. </w:t>
      </w:r>
    </w:p>
  </w:footnote>
  <w:footnote w:id="17">
    <w:p w14:paraId="5B37CA32" w14:textId="77777777" w:rsidR="000F4212" w:rsidRDefault="000F4212" w:rsidP="000F4212">
      <w:pPr>
        <w:pStyle w:val="Voetnoottekst"/>
      </w:pPr>
      <w:r>
        <w:rPr>
          <w:rStyle w:val="Voetnootmarkering"/>
        </w:rPr>
        <w:footnoteRef/>
      </w:r>
      <w:r>
        <w:t xml:space="preserve"> Zie o.a. Kamerstukken II 2013/14, 22452, nr. 41; Kamerstukken II 2015/16, 22452, nr. 48; Kamerstukken II 2017/18, 22452, nr. 59. </w:t>
      </w:r>
    </w:p>
  </w:footnote>
  <w:footnote w:id="18">
    <w:p w14:paraId="7B81C941" w14:textId="1B11B920" w:rsidR="000F4212" w:rsidRDefault="000F4212" w:rsidP="000F4212">
      <w:pPr>
        <w:pStyle w:val="Voetnoottekst"/>
      </w:pPr>
      <w:r>
        <w:rPr>
          <w:rStyle w:val="Voetnootmarkering"/>
        </w:rPr>
        <w:footnoteRef/>
      </w:r>
      <w:r>
        <w:t xml:space="preserve"> Zie ook Onderwijsraad, Advies Internationalisering in het hoger onderwijs, 20 april 2018; IBO Internationalisering van het (hoger) onderwijs, juli 2019; CPB, Notitie Economische effecten van</w:t>
      </w:r>
      <w:r w:rsidR="00A02132">
        <w:t xml:space="preserve"> </w:t>
      </w:r>
      <w:r>
        <w:t>internationalisering in het hoger onderwijs en mbo, september 2019.</w:t>
      </w:r>
    </w:p>
  </w:footnote>
  <w:footnote w:id="19">
    <w:p w14:paraId="7D8652C9" w14:textId="10205FF3" w:rsidR="00D56FD6" w:rsidRDefault="00D56FD6">
      <w:pPr>
        <w:pStyle w:val="Voetnoottekst"/>
      </w:pPr>
      <w:r>
        <w:rPr>
          <w:rStyle w:val="Voetnootmarkering"/>
        </w:rPr>
        <w:footnoteRef/>
      </w:r>
      <w:r>
        <w:t xml:space="preserve"> </w:t>
      </w:r>
      <w:r w:rsidR="00624AFC">
        <w:t xml:space="preserve">Rathenau Instituut, Factsheet 29 januari 2024, Internationalisering in </w:t>
      </w:r>
      <w:r w:rsidR="00050A02">
        <w:t>perspectief: aantallen studenten, studiekeuzes en arbeidsmarkt.</w:t>
      </w:r>
      <w:r w:rsidR="00346BFA">
        <w:t xml:space="preserve"> Vgl. </w:t>
      </w:r>
      <w:r w:rsidR="00E3455D">
        <w:t>T</w:t>
      </w:r>
      <w:r w:rsidR="00B8354A">
        <w:t xml:space="preserve">ijmen Weber, </w:t>
      </w:r>
      <w:r w:rsidR="00346BFA">
        <w:t xml:space="preserve">Global campuses. De invloed op internationale studentenmobiliteit in kaart gebracht, </w:t>
      </w:r>
      <w:r w:rsidR="007B6AEA">
        <w:t>2024</w:t>
      </w:r>
      <w:r w:rsidR="00890270">
        <w:t xml:space="preserve"> (</w:t>
      </w:r>
      <w:hyperlink r:id="rId2" w:history="1">
        <w:r w:rsidR="00FC78F2" w:rsidRPr="006666E0">
          <w:rPr>
            <w:rStyle w:val="Hyperlink"/>
          </w:rPr>
          <w:t>https://www.globalcampuses.nl/</w:t>
        </w:r>
      </w:hyperlink>
      <w:r w:rsidR="00FC78F2">
        <w:t xml:space="preserve"> .</w:t>
      </w:r>
      <w:hyperlink r:id="rId3" w:history="1">
        <w:r w:rsidR="00FC78F2" w:rsidRPr="006666E0">
          <w:rPr>
            <w:rStyle w:val="Hyperlink"/>
          </w:rPr>
          <w:t>https://www.globalcampuses.nl/</w:t>
        </w:r>
      </w:hyperlink>
      <w:r w:rsidR="00591C7B">
        <w:t>)</w:t>
      </w:r>
      <w:r w:rsidR="00FC78F2">
        <w:t>.</w:t>
      </w:r>
    </w:p>
  </w:footnote>
  <w:footnote w:id="20">
    <w:p w14:paraId="3D12D001" w14:textId="77777777" w:rsidR="000F4212" w:rsidRDefault="000F4212" w:rsidP="000F4212">
      <w:pPr>
        <w:pStyle w:val="Voetnoottekst"/>
      </w:pPr>
      <w:r>
        <w:rPr>
          <w:rStyle w:val="Voetnootmarkering"/>
        </w:rPr>
        <w:footnoteRef/>
      </w:r>
      <w:r>
        <w:t xml:space="preserve"> </w:t>
      </w:r>
      <w:r w:rsidRPr="005470D8">
        <w:t>CBS, ‘Hoger onderwijs; ingeschrevenen, onderwijssoort, opleidingsfase en -vorm’, 10 maart 2023</w:t>
      </w:r>
      <w:r>
        <w:t xml:space="preserve">; </w:t>
      </w:r>
      <w:r w:rsidRPr="00EB6260">
        <w:rPr>
          <w:szCs w:val="16"/>
        </w:rPr>
        <w:t>CBS, ‘Internationale student volgt vaker wetenschappelijk onderwijs’, 8 september 2023</w:t>
      </w:r>
      <w:r>
        <w:rPr>
          <w:szCs w:val="16"/>
        </w:rPr>
        <w:t xml:space="preserve">. </w:t>
      </w:r>
    </w:p>
  </w:footnote>
  <w:footnote w:id="21">
    <w:p w14:paraId="15C286EA" w14:textId="77777777" w:rsidR="000F4212" w:rsidRDefault="000F4212" w:rsidP="000F4212">
      <w:pPr>
        <w:pStyle w:val="Voetnoottekst"/>
      </w:pPr>
      <w:r>
        <w:rPr>
          <w:rStyle w:val="Voetnootmarkering"/>
        </w:rPr>
        <w:footnoteRef/>
      </w:r>
      <w:r>
        <w:t xml:space="preserve"> </w:t>
      </w:r>
      <w:r w:rsidRPr="00627ED9">
        <w:t>Inspectie van het Onderwijs</w:t>
      </w:r>
      <w:r>
        <w:t>,</w:t>
      </w:r>
      <w:r w:rsidRPr="00627ED9">
        <w:t xml:space="preserve"> De Staat van het Onderwijs 2022</w:t>
      </w:r>
      <w:r>
        <w:t>, p. 187</w:t>
      </w:r>
      <w:r w:rsidRPr="00627ED9">
        <w:t>.</w:t>
      </w:r>
    </w:p>
  </w:footnote>
  <w:footnote w:id="22">
    <w:p w14:paraId="62BE7C99" w14:textId="4246FB5B" w:rsidR="000F4212" w:rsidRDefault="000F4212" w:rsidP="000F4212">
      <w:pPr>
        <w:pStyle w:val="Voetnoottekst"/>
      </w:pPr>
      <w:r>
        <w:rPr>
          <w:rStyle w:val="Voetnootmarkering"/>
        </w:rPr>
        <w:footnoteRef/>
      </w:r>
      <w:r>
        <w:t xml:space="preserve"> Amsterdam, Maastricht, Groningen en Rotterdam, zie Nuffic, Factsheet internationale studenten, mei 2023</w:t>
      </w:r>
      <w:r w:rsidRPr="00E7410F">
        <w:t xml:space="preserve">. </w:t>
      </w:r>
    </w:p>
  </w:footnote>
  <w:footnote w:id="23">
    <w:p w14:paraId="40BEDF43" w14:textId="77777777" w:rsidR="000F4212" w:rsidRDefault="000F4212" w:rsidP="000F4212">
      <w:pPr>
        <w:pStyle w:val="Voetnoottekst"/>
      </w:pPr>
      <w:r>
        <w:rPr>
          <w:rStyle w:val="Voetnootmarkering"/>
        </w:rPr>
        <w:footnoteRef/>
      </w:r>
      <w:r>
        <w:t xml:space="preserve"> Memorie van toelichting, paragraaf 2.1 ‘Aanleiding’. </w:t>
      </w:r>
    </w:p>
  </w:footnote>
  <w:footnote w:id="24">
    <w:p w14:paraId="6DA984E1" w14:textId="30392DFD" w:rsidR="00BF31E4" w:rsidRDefault="00BF31E4">
      <w:pPr>
        <w:pStyle w:val="Voetnoottekst"/>
      </w:pPr>
      <w:r>
        <w:rPr>
          <w:rStyle w:val="Voetnootmarkering"/>
        </w:rPr>
        <w:footnoteRef/>
      </w:r>
      <w:r>
        <w:t xml:space="preserve"> M</w:t>
      </w:r>
      <w:r w:rsidRPr="00BF31E4">
        <w:t>eer gerichte fixus op opleidingen of trajecten, noodfixus</w:t>
      </w:r>
      <w:r>
        <w:t>.</w:t>
      </w:r>
    </w:p>
  </w:footnote>
  <w:footnote w:id="25">
    <w:p w14:paraId="06523482" w14:textId="604AC838" w:rsidR="00BF31E4" w:rsidRDefault="00BF31E4">
      <w:pPr>
        <w:pStyle w:val="Voetnoottekst"/>
      </w:pPr>
      <w:r>
        <w:rPr>
          <w:rStyle w:val="Voetnootmarkering"/>
        </w:rPr>
        <w:footnoteRef/>
      </w:r>
      <w:r>
        <w:t xml:space="preserve"> I</w:t>
      </w:r>
      <w:r w:rsidRPr="00BF31E4">
        <w:t>nvoering doelmatigheidstoets anderstalig onderwijs</w:t>
      </w:r>
      <w:r>
        <w:t>.</w:t>
      </w:r>
    </w:p>
  </w:footnote>
  <w:footnote w:id="26">
    <w:p w14:paraId="29B43441" w14:textId="45729439" w:rsidR="00BF31E4" w:rsidRDefault="00BF31E4">
      <w:pPr>
        <w:pStyle w:val="Voetnoottekst"/>
      </w:pPr>
      <w:r>
        <w:rPr>
          <w:rStyle w:val="Voetnootmarkering"/>
        </w:rPr>
        <w:footnoteRef/>
      </w:r>
      <w:r>
        <w:t xml:space="preserve"> I</w:t>
      </w:r>
      <w:r w:rsidRPr="00BF31E4">
        <w:t>nvoering taalbeleid en uitbreiding zorgplicht</w:t>
      </w:r>
      <w:r>
        <w:t>.</w:t>
      </w:r>
    </w:p>
  </w:footnote>
  <w:footnote w:id="27">
    <w:p w14:paraId="7587D378" w14:textId="22485AD0" w:rsidR="000F4212" w:rsidRDefault="000F4212" w:rsidP="000F4212">
      <w:pPr>
        <w:pStyle w:val="Voetnoottekst"/>
      </w:pPr>
      <w:r>
        <w:rPr>
          <w:rStyle w:val="Voetnootmarkering"/>
        </w:rPr>
        <w:footnoteRef/>
      </w:r>
      <w:r>
        <w:t xml:space="preserve"> </w:t>
      </w:r>
      <w:r w:rsidR="00BF31E4">
        <w:t>Z</w:t>
      </w:r>
      <w:r w:rsidR="00BF31E4" w:rsidRPr="00BF31E4">
        <w:t>oals de fixusmaatregelen en de zorgplicht tot bevordering van de Nederlandse taalvaardigheid van alle studenten</w:t>
      </w:r>
      <w:r w:rsidR="00BF31E4">
        <w:t xml:space="preserve"> (</w:t>
      </w:r>
      <w:r>
        <w:t>Kamerstukken I 2019/20, 35282, A</w:t>
      </w:r>
      <w:r w:rsidR="00BF31E4">
        <w:t>)</w:t>
      </w:r>
      <w:r>
        <w:t xml:space="preserve">. </w:t>
      </w:r>
    </w:p>
  </w:footnote>
  <w:footnote w:id="28">
    <w:p w14:paraId="76C8A364" w14:textId="77777777" w:rsidR="000F4212" w:rsidRPr="00973BAD" w:rsidRDefault="000F4212" w:rsidP="000F4212">
      <w:pPr>
        <w:pStyle w:val="Voetnoottekst"/>
      </w:pPr>
      <w:r>
        <w:rPr>
          <w:rStyle w:val="Voetnootmarkering"/>
        </w:rPr>
        <w:footnoteRef/>
      </w:r>
      <w:r w:rsidRPr="00973BAD">
        <w:t xml:space="preserve"> </w:t>
      </w:r>
      <w:r w:rsidRPr="00A85A0A">
        <w:t>Memorie van toelichting, paragraaf 2.3 ‘W</w:t>
      </w:r>
      <w:r>
        <w:t xml:space="preserve">et taal en toegankelijkheid’. </w:t>
      </w:r>
    </w:p>
  </w:footnote>
  <w:footnote w:id="29">
    <w:p w14:paraId="698B69F8" w14:textId="6059AAAE" w:rsidR="003B1ED2" w:rsidRDefault="003B1ED2">
      <w:pPr>
        <w:pStyle w:val="Voetnoottekst"/>
      </w:pPr>
      <w:r>
        <w:rPr>
          <w:rStyle w:val="Voetnootmarkering"/>
        </w:rPr>
        <w:footnoteRef/>
      </w:r>
      <w:r>
        <w:t xml:space="preserve"> </w:t>
      </w:r>
      <w:r w:rsidR="0002630F" w:rsidRPr="00A85A0A">
        <w:t>Memorie van toelichting, paragraaf 2.3 ‘W</w:t>
      </w:r>
      <w:r w:rsidR="0002630F">
        <w:t xml:space="preserve">et taal en toegankelijkheid’. </w:t>
      </w:r>
    </w:p>
  </w:footnote>
  <w:footnote w:id="30">
    <w:p w14:paraId="0A313CD3" w14:textId="3825B018" w:rsidR="000F4212" w:rsidRDefault="000F4212" w:rsidP="000F4212">
      <w:pPr>
        <w:pStyle w:val="Voetnoottekst"/>
      </w:pPr>
      <w:r>
        <w:rPr>
          <w:rStyle w:val="Voetnootmarkering"/>
        </w:rPr>
        <w:footnoteRef/>
      </w:r>
      <w:r>
        <w:t xml:space="preserve"> Zie Gematigde groei – Rapport van de Staatscommissie Demografische Ontwikkelingen 2050, Den Haag, januari 2024; </w:t>
      </w:r>
      <w:r w:rsidRPr="00BB6008">
        <w:t>Van bestrijden naar begeleiden: demografische krimp in Nederland Beleidsstrategieën voor huidige en toekomstige krimpregio’s, Planbureau voor de Leefomgeving (PBL), Den Haag/Bilthoven, 2010</w:t>
      </w:r>
      <w:r>
        <w:t xml:space="preserve">. </w:t>
      </w:r>
    </w:p>
  </w:footnote>
  <w:footnote w:id="31">
    <w:p w14:paraId="1C2312B9" w14:textId="3B573D1B" w:rsidR="00D103F0" w:rsidRDefault="00D103F0">
      <w:pPr>
        <w:pStyle w:val="Voetnoottekst"/>
      </w:pPr>
      <w:r>
        <w:rPr>
          <w:rStyle w:val="Voetnootmarkering"/>
        </w:rPr>
        <w:footnoteRef/>
      </w:r>
      <w:r>
        <w:t xml:space="preserve"> Z</w:t>
      </w:r>
      <w:r w:rsidRPr="00D103F0">
        <w:t>oals de zorg, onderwijs en techniek (waaronder ICT)</w:t>
      </w:r>
      <w:r>
        <w:t>.</w:t>
      </w:r>
    </w:p>
  </w:footnote>
  <w:footnote w:id="32">
    <w:p w14:paraId="1DF72A1E" w14:textId="77777777" w:rsidR="000F4212" w:rsidRPr="00AD5E27" w:rsidRDefault="000F4212" w:rsidP="000F4212">
      <w:pPr>
        <w:pStyle w:val="Voetnoottekst"/>
      </w:pPr>
      <w:r>
        <w:rPr>
          <w:rStyle w:val="Voetnootmarkering"/>
        </w:rPr>
        <w:footnoteRef/>
      </w:r>
      <w:r w:rsidRPr="00AD5E27">
        <w:t xml:space="preserve"> </w:t>
      </w:r>
      <w:r>
        <w:t xml:space="preserve">Zie bijvoorbeeld de </w:t>
      </w:r>
      <w:r w:rsidRPr="00E259CF">
        <w:t>Fachkräfteeinwanderungsgesetz</w:t>
      </w:r>
      <w:r>
        <w:t xml:space="preserve"> in Duitsland, voor meer informatie zie </w:t>
      </w:r>
      <w:hyperlink r:id="rId4" w:history="1">
        <w:r w:rsidRPr="00D60A42">
          <w:rPr>
            <w:rStyle w:val="Hyperlink"/>
          </w:rPr>
          <w:t>https://www.bundesregierung.de/breg-de/themen/arbeit-und-soziales/fachkraefteeinwanderungsgesetz-2182168</w:t>
        </w:r>
      </w:hyperlink>
      <w:r>
        <w:t xml:space="preserve">. Ook vermeldt de memorie van toelichting, paragraaf 2.2 ‘Europese context’ dat </w:t>
      </w:r>
      <w:r w:rsidRPr="00DE650F">
        <w:t xml:space="preserve">Denemarken begin 2023 binnen gerichte sectoren </w:t>
      </w:r>
      <w:r>
        <w:t xml:space="preserve">weer </w:t>
      </w:r>
      <w:r w:rsidRPr="00DE650F">
        <w:t xml:space="preserve">meer Engelstalige opleidingen mogelijk </w:t>
      </w:r>
      <w:r>
        <w:t>maakt</w:t>
      </w:r>
      <w:r w:rsidRPr="00DE650F">
        <w:t xml:space="preserve"> om zo de groeiende arbeidsmarkttekorten op te kunnen lossen.</w:t>
      </w:r>
    </w:p>
  </w:footnote>
  <w:footnote w:id="33">
    <w:p w14:paraId="2E1794F8" w14:textId="77777777" w:rsidR="000F4212" w:rsidRPr="00E259CF" w:rsidRDefault="000F4212" w:rsidP="000F4212">
      <w:pPr>
        <w:pStyle w:val="Voetnoottekst"/>
        <w:rPr>
          <w:lang w:val="en-US"/>
        </w:rPr>
      </w:pPr>
      <w:r>
        <w:rPr>
          <w:rStyle w:val="Voetnootmarkering"/>
        </w:rPr>
        <w:footnoteRef/>
      </w:r>
      <w:r w:rsidRPr="00E259CF">
        <w:rPr>
          <w:lang w:val="en-US"/>
        </w:rPr>
        <w:t xml:space="preserve"> Sociaal-Economische Raad (SER), ‘Make it in the Netherlands!’, april 2013.</w:t>
      </w:r>
    </w:p>
  </w:footnote>
  <w:footnote w:id="34">
    <w:p w14:paraId="59BAC04A" w14:textId="77777777" w:rsidR="000F4212" w:rsidRDefault="000F4212" w:rsidP="000F4212">
      <w:pPr>
        <w:pStyle w:val="Voetnoottekst"/>
      </w:pPr>
      <w:r>
        <w:rPr>
          <w:rStyle w:val="Voetnootmarkering"/>
        </w:rPr>
        <w:footnoteRef/>
      </w:r>
      <w:r>
        <w:t xml:space="preserve"> </w:t>
      </w:r>
      <w:r w:rsidRPr="002A5069">
        <w:t>Kamerstukken II 2018/19, 35282, nr. 4</w:t>
      </w:r>
      <w:r>
        <w:t xml:space="preserve">; </w:t>
      </w:r>
      <w:r w:rsidRPr="002C5357">
        <w:t>Kamerstukken I 2019/20, 35282, E</w:t>
      </w:r>
      <w:r>
        <w:t xml:space="preserve">. </w:t>
      </w:r>
    </w:p>
  </w:footnote>
  <w:footnote w:id="35">
    <w:p w14:paraId="1559C9AE" w14:textId="18E160FD" w:rsidR="000F4212" w:rsidRDefault="000F4212" w:rsidP="000F4212">
      <w:pPr>
        <w:pStyle w:val="Voetnoottekst"/>
      </w:pPr>
      <w:r>
        <w:rPr>
          <w:rStyle w:val="Voetnootmarkering"/>
        </w:rPr>
        <w:footnoteRef/>
      </w:r>
      <w:r>
        <w:t xml:space="preserve"> Kamerstukken II 2022/23, 31288, nr. 1072; T. Eimers (red), Vandaag is het 2040-Toekomstverkenning voor middelbaar beroepsonderwijs, hoger onderwijs en wetenschap, KBA </w:t>
      </w:r>
      <w:r w:rsidRPr="005300B6">
        <w:t>Nijmegen, ResearchNed, Andersson Elffers Felix,</w:t>
      </w:r>
      <w:r>
        <w:t xml:space="preserve"> CHEPS, Kohnstamm Instituut 2023. </w:t>
      </w:r>
      <w:r w:rsidR="002B733F">
        <w:t>Zie over bekostiging ook Kamerstukken II 2023/24, 31288, nr. 1096</w:t>
      </w:r>
      <w:r w:rsidR="000C5783">
        <w:t xml:space="preserve">; Memorie van toelichting, </w:t>
      </w:r>
      <w:r w:rsidR="0070163F">
        <w:t>par</w:t>
      </w:r>
      <w:r w:rsidR="00A578F8">
        <w:t>agraaf</w:t>
      </w:r>
      <w:r w:rsidR="0070163F">
        <w:t xml:space="preserve"> 2.1 ‘</w:t>
      </w:r>
      <w:r w:rsidR="0035768D">
        <w:t>Aanleiding’</w:t>
      </w:r>
      <w:r w:rsidR="002B733F">
        <w:t>.</w:t>
      </w:r>
    </w:p>
  </w:footnote>
  <w:footnote w:id="36">
    <w:p w14:paraId="309AE6AA" w14:textId="77777777" w:rsidR="000F4212" w:rsidRDefault="000F4212" w:rsidP="000F4212">
      <w:pPr>
        <w:pStyle w:val="Voetnoottekst"/>
      </w:pPr>
      <w:r>
        <w:rPr>
          <w:rStyle w:val="Voetnootmarkering"/>
        </w:rPr>
        <w:footnoteRef/>
      </w:r>
      <w:r>
        <w:t xml:space="preserve"> Kamerstukken II 2023/24, 36410, nr. 4; Kamerstukken II 2022/23, 36200, nr. 6. </w:t>
      </w:r>
    </w:p>
  </w:footnote>
  <w:footnote w:id="37">
    <w:p w14:paraId="431452B3" w14:textId="4CD0B454" w:rsidR="000F4212" w:rsidRDefault="000F4212" w:rsidP="000F4212">
      <w:pPr>
        <w:pStyle w:val="Voetnoottekst"/>
      </w:pPr>
      <w:r>
        <w:rPr>
          <w:rStyle w:val="Voetnootmarkering"/>
        </w:rPr>
        <w:footnoteRef/>
      </w:r>
      <w:r>
        <w:t xml:space="preserve"> Zie het rapport ‘Elke regio telt! Een nieuwe aanpak van verschillen tussen regio’s’, RLI, ROB en RVS, maart 2023</w:t>
      </w:r>
      <w:r w:rsidRPr="00C0745E">
        <w:t>. Zie bijvoorbeeld</w:t>
      </w:r>
      <w:r>
        <w:t xml:space="preserve"> ook het ‘Onderwijsmanifest Limburg’ van vo-, mbo-, hbo- en wo-instellingen van 22 maart 2024 en de ‘Oproep voor het versterken van het Limburgs onderwijslandschap ten behoeve van de brede welvaart, leefbaarheid en economische dynamiek in de regio’ van overheden, vakbonden en bedrijfsleven van 22 maart 2024.</w:t>
      </w:r>
    </w:p>
  </w:footnote>
  <w:footnote w:id="38">
    <w:p w14:paraId="7DB57F08" w14:textId="1DC65757" w:rsidR="000F4212" w:rsidRDefault="000F4212" w:rsidP="000F4212">
      <w:pPr>
        <w:pStyle w:val="Voetnoottekst"/>
      </w:pPr>
      <w:r>
        <w:rPr>
          <w:rStyle w:val="Voetnootmarkering"/>
        </w:rPr>
        <w:footnoteRef/>
      </w:r>
      <w:r>
        <w:t xml:space="preserve"> Zie het advies over de Miljoenennota 2024, zie </w:t>
      </w:r>
      <w:r w:rsidRPr="007F6E31">
        <w:t>Kamerstukken II 2023/24, 36410, nr. 4</w:t>
      </w:r>
      <w:r>
        <w:t>.</w:t>
      </w:r>
    </w:p>
  </w:footnote>
  <w:footnote w:id="39">
    <w:p w14:paraId="36D7463A" w14:textId="77777777" w:rsidR="000F4212" w:rsidRDefault="000F4212" w:rsidP="000F4212">
      <w:pPr>
        <w:pStyle w:val="Voetnoottekst"/>
      </w:pPr>
      <w:r>
        <w:rPr>
          <w:rStyle w:val="Voetnootmarkering"/>
        </w:rPr>
        <w:footnoteRef/>
      </w:r>
      <w:r>
        <w:t xml:space="preserve"> Zie voor een dergelijke samenwerking bijvoorbeeld het langlopende onderzoek Project Onderwijs-Arbeidsmarkt uitgevoerd door het Researchcentrum voor Onderwijs en Arbeidsmarkt, zie </w:t>
      </w:r>
      <w:hyperlink r:id="rId5" w:history="1">
        <w:r w:rsidRPr="00D60A42">
          <w:rPr>
            <w:rStyle w:val="Hyperlink"/>
          </w:rPr>
          <w:t>https://roa.nl/projects/project-onderwijs-arbeidsmarkt-poa</w:t>
        </w:r>
      </w:hyperlink>
      <w:r>
        <w:t xml:space="preserve">. Voor eerdere adviezen van de Afdeling met betrekking tot departementale afstemming op het terrein van onderwijs en arbeidsmarkt, zie onder andere Kamerstukken II 2022/23, 36341, nr. 4; Kamerstukken II 2019/2020, 35300, nr. 3. </w:t>
      </w:r>
    </w:p>
  </w:footnote>
  <w:footnote w:id="40">
    <w:p w14:paraId="7BADDD55" w14:textId="77777777" w:rsidR="000F4212" w:rsidRDefault="000F4212" w:rsidP="000F4212">
      <w:pPr>
        <w:pStyle w:val="Voetnoottekst"/>
      </w:pPr>
      <w:r>
        <w:rPr>
          <w:rStyle w:val="Voetnootmarkering"/>
        </w:rPr>
        <w:footnoteRef/>
      </w:r>
      <w:r>
        <w:t xml:space="preserve"> Voorgesteld artikel 6.4 van de WHW. </w:t>
      </w:r>
    </w:p>
  </w:footnote>
  <w:footnote w:id="41">
    <w:p w14:paraId="581103E8" w14:textId="77777777" w:rsidR="000F4212" w:rsidRDefault="000F4212" w:rsidP="000F4212">
      <w:pPr>
        <w:pStyle w:val="Voetnoottekst"/>
      </w:pPr>
      <w:r>
        <w:rPr>
          <w:rStyle w:val="Voetnootmarkering"/>
        </w:rPr>
        <w:footnoteRef/>
      </w:r>
      <w:r>
        <w:t xml:space="preserve"> Memorie van toelichting, paragraaf 4.7.1. ‘</w:t>
      </w:r>
      <w:r w:rsidRPr="00B3583D">
        <w:t>Zelfregie in relatie tot toets anderstalig onderwijs en numerus fixus</w:t>
      </w:r>
      <w:r>
        <w:t xml:space="preserve">’. </w:t>
      </w:r>
    </w:p>
  </w:footnote>
  <w:footnote w:id="42">
    <w:p w14:paraId="1FCFC934" w14:textId="7DA2E164" w:rsidR="000F4212" w:rsidRDefault="000F4212" w:rsidP="000F4212">
      <w:pPr>
        <w:pStyle w:val="Voetnoottekst"/>
      </w:pPr>
      <w:r>
        <w:rPr>
          <w:rStyle w:val="Voetnootmarkering"/>
        </w:rPr>
        <w:footnoteRef/>
      </w:r>
      <w:r>
        <w:t xml:space="preserve"> Op grond van artikel 6.4, zevende lid juncto artikel 6.3, zesde lid, van de </w:t>
      </w:r>
      <w:r w:rsidR="00B40CB3">
        <w:t>WHW</w:t>
      </w:r>
      <w:r>
        <w:t>.</w:t>
      </w:r>
    </w:p>
  </w:footnote>
  <w:footnote w:id="43">
    <w:p w14:paraId="01669547" w14:textId="159632CC" w:rsidR="000F4212" w:rsidRDefault="000F4212" w:rsidP="000F4212">
      <w:pPr>
        <w:pStyle w:val="Voetnoottekst"/>
      </w:pPr>
      <w:r>
        <w:rPr>
          <w:rStyle w:val="Voetnootmarkering"/>
        </w:rPr>
        <w:footnoteRef/>
      </w:r>
      <w:r>
        <w:t xml:space="preserve"> Memorie van toelichting, paragraaf 4.3.3 ‘Toetsing anderstaligheid door minister van OCW’. </w:t>
      </w:r>
    </w:p>
  </w:footnote>
  <w:footnote w:id="44">
    <w:p w14:paraId="57797FE9" w14:textId="77777777" w:rsidR="000F4212" w:rsidRDefault="000F4212" w:rsidP="000F4212">
      <w:pPr>
        <w:pStyle w:val="Voetnoottekst"/>
      </w:pPr>
      <w:r>
        <w:rPr>
          <w:rStyle w:val="Voetnootmarkering"/>
        </w:rPr>
        <w:footnoteRef/>
      </w:r>
      <w:r>
        <w:t xml:space="preserve"> </w:t>
      </w:r>
      <w:r w:rsidRPr="00904194">
        <w:t>Regeling macrodoelmatig opleidingsaanbod hoger onderwijs</w:t>
      </w:r>
      <w:r>
        <w:t xml:space="preserve"> </w:t>
      </w:r>
      <w:r w:rsidRPr="00904194">
        <w:t>2023</w:t>
      </w:r>
      <w:r>
        <w:t xml:space="preserve">. </w:t>
      </w:r>
    </w:p>
  </w:footnote>
  <w:footnote w:id="45">
    <w:p w14:paraId="6B2CF38C" w14:textId="77777777" w:rsidR="000F4212" w:rsidRDefault="000F4212" w:rsidP="000F4212">
      <w:pPr>
        <w:pStyle w:val="Voetnoottekst"/>
      </w:pPr>
      <w:r>
        <w:rPr>
          <w:rStyle w:val="Voetnootmarkering"/>
        </w:rPr>
        <w:footnoteRef/>
      </w:r>
      <w:r>
        <w:t xml:space="preserve"> Stelselrapportage hoger onderwijs 2016-2023, ResearchNed, CHEPS en KBA Nijmegen, oktober 2023, p. 68-72. </w:t>
      </w:r>
    </w:p>
  </w:footnote>
  <w:footnote w:id="46">
    <w:p w14:paraId="3688285D" w14:textId="0DEFFCA1" w:rsidR="000F4212" w:rsidRDefault="000F4212" w:rsidP="000F4212">
      <w:pPr>
        <w:pStyle w:val="Voetnoottekst"/>
      </w:pPr>
      <w:r>
        <w:rPr>
          <w:rStyle w:val="Voetnootmarkering"/>
        </w:rPr>
        <w:footnoteRef/>
      </w:r>
      <w:r>
        <w:t xml:space="preserve"> Commissie-Veerman, Differentiëren in drievoud. Advies van de Commissie Toekomstbestendigheid Hoger Onderwijs Stelsel, 2010, bijlage bij Kamerstukken II, 31 288, nr. 95; Werkgroep Profilering en Bekostiging, Naar een meer geprofileerd hoger onderwijs en onderzoek. Een procesaanpak voor profilering en profielgebonden bekostiging, 2011, bijlage bij Kamerstukken II 31 288, nr. 194; AWTI, 2019, Het stelsel op scherp gezet. Naar toekomstbestendig hoger onderwijs en onderzoek, te raadplegen via: </w:t>
      </w:r>
      <w:hyperlink r:id="rId6" w:history="1">
        <w:r w:rsidR="00B04290" w:rsidRPr="00C00E1B">
          <w:rPr>
            <w:rStyle w:val="Hyperlink"/>
          </w:rPr>
          <w:t>https://www.awti.nl/documenten/adviezen/2019/06/12/advies-het-stelsel-op-scherp-gezet</w:t>
        </w:r>
      </w:hyperlink>
      <w:r>
        <w:t>.</w:t>
      </w:r>
    </w:p>
  </w:footnote>
  <w:footnote w:id="47">
    <w:p w14:paraId="20813DD8" w14:textId="77777777" w:rsidR="000F4212" w:rsidRDefault="000F4212" w:rsidP="000F4212">
      <w:pPr>
        <w:pStyle w:val="Voetnoottekst"/>
      </w:pPr>
      <w:r>
        <w:rPr>
          <w:rStyle w:val="Voetnootmarkering"/>
        </w:rPr>
        <w:footnoteRef/>
      </w:r>
      <w:r>
        <w:t xml:space="preserve"> Bestuursakkoord 2022 hoger onderwijs en wetenschap, p. 18-19.</w:t>
      </w:r>
    </w:p>
  </w:footnote>
  <w:footnote w:id="48">
    <w:p w14:paraId="192E5AF1" w14:textId="5C35704C" w:rsidR="000F4212" w:rsidRDefault="000F4212" w:rsidP="000F4212">
      <w:pPr>
        <w:pStyle w:val="Voetnoottekst"/>
      </w:pPr>
      <w:r>
        <w:rPr>
          <w:rStyle w:val="Voetnootmarkering"/>
        </w:rPr>
        <w:footnoteRef/>
      </w:r>
      <w:r>
        <w:t xml:space="preserve"> </w:t>
      </w:r>
      <w:r w:rsidR="00CE4EC9">
        <w:t xml:space="preserve">Kamerstukken II </w:t>
      </w:r>
      <w:r w:rsidR="00CE5354">
        <w:t xml:space="preserve">2023/24, 22452, nr. 89 en de bijlagen: </w:t>
      </w:r>
      <w:r>
        <w:t>Brief Vereniging Hogescholen aan de minister van OCW van 13 maart 2024; Brief van de Universiteiten van Nederland aan de minister van OCW van 19 maart 2024</w:t>
      </w:r>
      <w:r w:rsidR="00ED5AAE">
        <w:t xml:space="preserve">; </w:t>
      </w:r>
      <w:r w:rsidR="0003302E">
        <w:t xml:space="preserve">Kamerstukken II 2023/24, </w:t>
      </w:r>
      <w:r w:rsidR="006C198B">
        <w:t>36410-VIII, nr. 74.</w:t>
      </w:r>
      <w:r>
        <w:t xml:space="preserve"> </w:t>
      </w:r>
    </w:p>
  </w:footnote>
  <w:footnote w:id="49">
    <w:p w14:paraId="2263905E" w14:textId="0921FCBD" w:rsidR="000F4212" w:rsidRDefault="000F4212" w:rsidP="000F4212">
      <w:pPr>
        <w:pStyle w:val="Voetnoottekst"/>
      </w:pPr>
      <w:r>
        <w:rPr>
          <w:rStyle w:val="Voetnootmarkering"/>
        </w:rPr>
        <w:footnoteRef/>
      </w:r>
      <w:r>
        <w:t xml:space="preserve"> Voorgesteld artikel 6.4, eerste lid, van de </w:t>
      </w:r>
      <w:r w:rsidR="00B40CB3">
        <w:t>WHW</w:t>
      </w:r>
      <w:r>
        <w:t>.</w:t>
      </w:r>
    </w:p>
  </w:footnote>
  <w:footnote w:id="50">
    <w:p w14:paraId="60A61E31" w14:textId="77777777" w:rsidR="000F4212" w:rsidRDefault="000F4212" w:rsidP="000F4212">
      <w:pPr>
        <w:pStyle w:val="Voetnoottekst"/>
      </w:pPr>
      <w:r>
        <w:rPr>
          <w:rStyle w:val="Voetnootmarkering"/>
        </w:rPr>
        <w:footnoteRef/>
      </w:r>
      <w:r>
        <w:t xml:space="preserve"> Dat is een in de onderwijswetgeving gebruikelijke terminologie, zie artikel 18a, negende lid (ondersteuningsplan samenwerkingsverbanden passend onderwijs), 102, vijfde lid (huisvesting scholen) en 161, eerste lid, (onderwijsachterstandenbeleid) van de Wpo; en artikel 2.47, tiende lid (ondersteuningsplan samenwerkingsverbanden passend onderwijs), 3.42, eerste lid (overleg onderwijsachterstandenbeleid), 4.19, vijfde lid (regionaal plan onderwijsvoorzieningen) en 6.12, vijfde lid (huisvesting scholen) van de Wvo 2020.</w:t>
      </w:r>
    </w:p>
  </w:footnote>
  <w:footnote w:id="51">
    <w:p w14:paraId="5FE138E8" w14:textId="77777777" w:rsidR="000F4212" w:rsidRDefault="000F4212" w:rsidP="000F4212">
      <w:pPr>
        <w:pStyle w:val="Voetnoottekst"/>
      </w:pPr>
      <w:r>
        <w:rPr>
          <w:rStyle w:val="Voetnootmarkering"/>
        </w:rPr>
        <w:footnoteRef/>
      </w:r>
      <w:r>
        <w:t xml:space="preserve"> Zie ook de </w:t>
      </w:r>
      <w:r w:rsidRPr="009F6F09">
        <w:t>Onderwijsraad, Wetsadvies Internationalisering in balans, 6 februari 2024</w:t>
      </w:r>
      <w:r>
        <w:t>.</w:t>
      </w:r>
    </w:p>
  </w:footnote>
  <w:footnote w:id="52">
    <w:p w14:paraId="5E5106D4" w14:textId="77E98C10" w:rsidR="000F4212" w:rsidRDefault="000F4212" w:rsidP="000F4212">
      <w:pPr>
        <w:pStyle w:val="Voetnoottekst"/>
      </w:pPr>
      <w:r>
        <w:rPr>
          <w:rStyle w:val="Voetnootmarkering"/>
        </w:rPr>
        <w:footnoteRef/>
      </w:r>
      <w:r>
        <w:t xml:space="preserve"> Artikel 6.4, zevende lid jo. 6.3, vijfde lid, van de </w:t>
      </w:r>
      <w:r w:rsidR="00B40CB3">
        <w:t>WHW</w:t>
      </w:r>
      <w:r>
        <w:t>.</w:t>
      </w:r>
    </w:p>
  </w:footnote>
  <w:footnote w:id="53">
    <w:p w14:paraId="657FD818" w14:textId="77777777" w:rsidR="000F4212" w:rsidRDefault="000F4212" w:rsidP="000F4212">
      <w:pPr>
        <w:pStyle w:val="Voetnoottekst"/>
      </w:pPr>
      <w:r>
        <w:rPr>
          <w:rStyle w:val="Voetnootmarkering"/>
        </w:rPr>
        <w:footnoteRef/>
      </w:r>
      <w:r>
        <w:t xml:space="preserve"> Memorie van toelichting, paragraaf 1 ‘Inleiding’, paragraaf 3.4.2 ‘Brede aanpak regie’, paragraaf 4.7.3 ‘Escalatieladder’. </w:t>
      </w:r>
    </w:p>
  </w:footnote>
  <w:footnote w:id="54">
    <w:p w14:paraId="1D111F6D" w14:textId="77777777" w:rsidR="000F4212" w:rsidRDefault="000F4212" w:rsidP="000F4212">
      <w:pPr>
        <w:pStyle w:val="Voetnoottekst"/>
      </w:pPr>
      <w:r>
        <w:rPr>
          <w:rStyle w:val="Voetnootmarkering"/>
        </w:rPr>
        <w:footnoteRef/>
      </w:r>
      <w:r>
        <w:t xml:space="preserve"> Memorie van toelichting, paragraaf 4.3.3 ‘Toetsing anderstaligheid door minister van OCW’ en paragraaf 9.4.4 ‘Toets anderstalig onderwijs’. </w:t>
      </w:r>
    </w:p>
  </w:footnote>
  <w:footnote w:id="55">
    <w:p w14:paraId="34EF525E" w14:textId="77777777" w:rsidR="000F4212" w:rsidRDefault="000F4212" w:rsidP="000F4212">
      <w:pPr>
        <w:pStyle w:val="Voetnoottekst"/>
      </w:pPr>
      <w:r>
        <w:rPr>
          <w:rStyle w:val="Voetnootmarkering"/>
        </w:rPr>
        <w:footnoteRef/>
      </w:r>
      <w:r>
        <w:t xml:space="preserve"> Memorie van toelichting, paragraaf 4.3.3 ‘Toetsing anderstaligheid door minister van OCW’ en paragraaf 9.1.3 ‘Opleidingstaal’. </w:t>
      </w:r>
    </w:p>
  </w:footnote>
  <w:footnote w:id="56">
    <w:p w14:paraId="5C37BBB6" w14:textId="77777777" w:rsidR="000F4212" w:rsidRDefault="000F4212" w:rsidP="000F4212">
      <w:pPr>
        <w:pStyle w:val="Voetnoottekst"/>
      </w:pPr>
      <w:r>
        <w:rPr>
          <w:rStyle w:val="Voetnootmarkering"/>
        </w:rPr>
        <w:footnoteRef/>
      </w:r>
      <w:r>
        <w:t xml:space="preserve"> Memorie van toelichting, paragraaf 4.3.1 ‘Algemene uitgangspunten’. </w:t>
      </w:r>
    </w:p>
  </w:footnote>
  <w:footnote w:id="57">
    <w:p w14:paraId="61290D9B" w14:textId="77777777" w:rsidR="000F4212" w:rsidRDefault="000F4212" w:rsidP="000F4212">
      <w:pPr>
        <w:pStyle w:val="Voetnoottekst"/>
      </w:pPr>
      <w:r>
        <w:rPr>
          <w:rStyle w:val="Voetnootmarkering"/>
        </w:rPr>
        <w:footnoteRef/>
      </w:r>
      <w:r>
        <w:t xml:space="preserve"> Memorie van toelichting, paragraaf 6.2.1 ‘Taalmaatregelen’. </w:t>
      </w:r>
    </w:p>
  </w:footnote>
  <w:footnote w:id="58">
    <w:p w14:paraId="7EFBE100" w14:textId="77777777" w:rsidR="000F4212" w:rsidRDefault="000F4212" w:rsidP="000F4212">
      <w:pPr>
        <w:pStyle w:val="Voetnoottekst"/>
      </w:pPr>
      <w:r>
        <w:rPr>
          <w:rStyle w:val="Voetnootmarkering"/>
        </w:rPr>
        <w:footnoteRef/>
      </w:r>
      <w:r>
        <w:t xml:space="preserve"> Memorie van toelichting, paragraaf 6.2.1 ‘Taalmaatregelen’. </w:t>
      </w:r>
    </w:p>
  </w:footnote>
  <w:footnote w:id="59">
    <w:p w14:paraId="1FF3BA35" w14:textId="77777777" w:rsidR="000F4212" w:rsidRDefault="000F4212" w:rsidP="000F4212">
      <w:pPr>
        <w:pStyle w:val="Voetnoottekst"/>
      </w:pPr>
      <w:r>
        <w:rPr>
          <w:rStyle w:val="Voetnootmarkering"/>
        </w:rPr>
        <w:footnoteRef/>
      </w:r>
      <w:r>
        <w:t xml:space="preserve"> Inspectie van het Onderwijs, ‘Nederlands of niet: gedragscodes en taalbeleid in het hoger onderwijs’, Utrecht, november 2018. </w:t>
      </w:r>
    </w:p>
  </w:footnote>
  <w:footnote w:id="60">
    <w:p w14:paraId="643B4ACF" w14:textId="77777777" w:rsidR="000F4212" w:rsidRDefault="000F4212" w:rsidP="000F4212">
      <w:pPr>
        <w:pStyle w:val="Voetnoottekst"/>
      </w:pPr>
      <w:r>
        <w:rPr>
          <w:rStyle w:val="Voetnootmarkering"/>
        </w:rPr>
        <w:footnoteRef/>
      </w:r>
      <w:r>
        <w:t xml:space="preserve"> Inspectie van het Onderwijs, ‘Nederlands of niet: gedragscodes en taalbeleid in het hoger onderwijs’, Utrecht, november 2018, p. 30-31.</w:t>
      </w:r>
    </w:p>
  </w:footnote>
  <w:footnote w:id="61">
    <w:p w14:paraId="51B1D2F2" w14:textId="77777777" w:rsidR="000F4212" w:rsidRDefault="000F4212" w:rsidP="000F4212">
      <w:pPr>
        <w:pStyle w:val="Voetnoottekst"/>
      </w:pPr>
      <w:r>
        <w:rPr>
          <w:rStyle w:val="Voetnootmarkering"/>
        </w:rPr>
        <w:footnoteRef/>
      </w:r>
      <w:r>
        <w:t xml:space="preserve"> Memorie van toelichting, paragraaf </w:t>
      </w:r>
      <w:r w:rsidRPr="00C87A51">
        <w:t xml:space="preserve">3.1.1. </w:t>
      </w:r>
      <w:r>
        <w:t>‘</w:t>
      </w:r>
      <w:r w:rsidRPr="00C87A51">
        <w:t>Opleidingstaal hoger onderwijs</w:t>
      </w:r>
      <w:r>
        <w:t>’.</w:t>
      </w:r>
    </w:p>
  </w:footnote>
  <w:footnote w:id="62">
    <w:p w14:paraId="2DF66F66" w14:textId="77777777" w:rsidR="000F4212" w:rsidRDefault="000F4212" w:rsidP="000F4212">
      <w:pPr>
        <w:pStyle w:val="Voetnoottekst"/>
      </w:pPr>
      <w:r>
        <w:rPr>
          <w:rStyle w:val="Voetnootmarkering"/>
        </w:rPr>
        <w:footnoteRef/>
      </w:r>
      <w:r>
        <w:t xml:space="preserve"> Memorie van toelichting, paragraaf </w:t>
      </w:r>
      <w:r w:rsidRPr="00C51FE0">
        <w:t xml:space="preserve">9.1.3. </w:t>
      </w:r>
      <w:r>
        <w:t>‘</w:t>
      </w:r>
      <w:r w:rsidRPr="00C51FE0">
        <w:t>Opleidingstaal</w:t>
      </w:r>
      <w:r>
        <w:t>’.</w:t>
      </w:r>
      <w:r w:rsidRPr="00C51FE0">
        <w:t xml:space="preserve"> </w:t>
      </w:r>
    </w:p>
  </w:footnote>
  <w:footnote w:id="63">
    <w:p w14:paraId="621C5B98" w14:textId="77777777" w:rsidR="000F4212" w:rsidRDefault="000F4212" w:rsidP="000F4212">
      <w:pPr>
        <w:pStyle w:val="Voetnoottekst"/>
      </w:pPr>
      <w:r>
        <w:rPr>
          <w:rStyle w:val="Voetnootmarkering"/>
        </w:rPr>
        <w:footnoteRef/>
      </w:r>
      <w:r>
        <w:t xml:space="preserve"> Artikel 1.3, eerste lid, van de WHW. </w:t>
      </w:r>
    </w:p>
  </w:footnote>
  <w:footnote w:id="64">
    <w:p w14:paraId="74F2B141" w14:textId="77777777" w:rsidR="000F4212" w:rsidRDefault="000F4212" w:rsidP="000F4212">
      <w:pPr>
        <w:pStyle w:val="Voetnoottekst"/>
      </w:pPr>
      <w:r>
        <w:rPr>
          <w:rStyle w:val="Voetnootmarkering"/>
        </w:rPr>
        <w:footnoteRef/>
      </w:r>
      <w:r>
        <w:t xml:space="preserve"> Artikel 1.3, derde lid, van de WHW.</w:t>
      </w:r>
    </w:p>
  </w:footnote>
  <w:footnote w:id="65">
    <w:p w14:paraId="1D86FF0E" w14:textId="55AF44DC" w:rsidR="000F4212" w:rsidRDefault="000F4212" w:rsidP="000F4212">
      <w:pPr>
        <w:pStyle w:val="Voetnoottekst"/>
      </w:pPr>
      <w:r>
        <w:rPr>
          <w:rStyle w:val="Voetnootmarkering"/>
        </w:rPr>
        <w:footnoteRef/>
      </w:r>
      <w:r>
        <w:t xml:space="preserve"> </w:t>
      </w:r>
      <w:r w:rsidR="002F1EC1">
        <w:t xml:space="preserve">Kamerstukken II 2023/24, 22452, nr. 89 en de bijlagen: Brief Vereniging Hogescholen aan de minister van OCW van 13 maart 2024; Brief van de Universiteiten van Nederland aan de minister van OCW van 19 maart 2024. </w:t>
      </w:r>
      <w:r>
        <w:t>Zie ook het uitgewerkte plan van de Vereniging Hogescholen voor de doelmatigheidstoetsing van bestaand anderstalig onderwijsaanbod in de brief van 13 maart 2024 aan de minister van OCW.</w:t>
      </w:r>
    </w:p>
  </w:footnote>
  <w:footnote w:id="66">
    <w:p w14:paraId="4DD0601C" w14:textId="1F8943F4" w:rsidR="00CD4C92" w:rsidRDefault="00CD4C92">
      <w:pPr>
        <w:pStyle w:val="Voetnoottekst"/>
      </w:pPr>
      <w:r>
        <w:rPr>
          <w:rStyle w:val="Voetnootmarkering"/>
        </w:rPr>
        <w:footnoteRef/>
      </w:r>
      <w:r>
        <w:t xml:space="preserve"> </w:t>
      </w:r>
      <w:r w:rsidR="005E6033" w:rsidRPr="005E6033">
        <w:t>Dit is bijvoorbeeld mogelijk door het CDHO een lichte doelmatigheidstoets uit te laten voeren op basis van een eerste inventarisatie van het anderstalige opleidingsaanbod van hogescholen, en clusteraanvragen vanuit het hbo eerder als doelmatig aan te merken</w:t>
      </w:r>
      <w:r w:rsidR="005E6033">
        <w:t>.</w:t>
      </w:r>
      <w:r w:rsidR="00B233C7">
        <w:t xml:space="preserve"> Een andere mogelijkheid is om ruim gebruik te maken van de bevoegdheid om </w:t>
      </w:r>
      <w:r w:rsidR="00DC0A7E">
        <w:t xml:space="preserve">anderstalige </w:t>
      </w:r>
      <w:r w:rsidR="0041577B">
        <w:t>hb</w:t>
      </w:r>
      <w:r w:rsidR="00A26586">
        <w:t>o</w:t>
      </w:r>
      <w:r w:rsidR="005E0DBB">
        <w:t>-</w:t>
      </w:r>
      <w:r w:rsidR="00DC0A7E">
        <w:t xml:space="preserve">opleidingen </w:t>
      </w:r>
      <w:r w:rsidR="005E0DBB">
        <w:t xml:space="preserve">bij ministeriële regeling </w:t>
      </w:r>
      <w:r w:rsidR="00DC0A7E">
        <w:t xml:space="preserve">als evident doelmatig in de zin van </w:t>
      </w:r>
      <w:r w:rsidR="00BA0A7D">
        <w:t xml:space="preserve">het voorgestelde </w:t>
      </w:r>
      <w:r w:rsidR="00DC0A7E">
        <w:t xml:space="preserve">artikel </w:t>
      </w:r>
      <w:r w:rsidR="00BA0A7D">
        <w:t>7.2, vierde lid, van de WHW aan te merken.</w:t>
      </w:r>
    </w:p>
  </w:footnote>
  <w:footnote w:id="67">
    <w:p w14:paraId="5EF37A0D" w14:textId="77777777" w:rsidR="000F4212" w:rsidRDefault="000F4212" w:rsidP="000F4212">
      <w:pPr>
        <w:pStyle w:val="Voetnoottekst"/>
      </w:pPr>
      <w:r>
        <w:rPr>
          <w:rStyle w:val="Voetnootmarkering"/>
        </w:rPr>
        <w:footnoteRef/>
      </w:r>
      <w:r>
        <w:t xml:space="preserve"> Inspectie van het Onderwijs, ‘Nederlands of niet: gedragscodes en taalbeleid in het hoger onderwijs’, Utrecht, november 2018, p. 29, 35-36.</w:t>
      </w:r>
    </w:p>
  </w:footnote>
  <w:footnote w:id="68">
    <w:p w14:paraId="3D9E26E1" w14:textId="77777777" w:rsidR="000F4212" w:rsidRDefault="000F4212" w:rsidP="000F4212">
      <w:pPr>
        <w:pStyle w:val="Voetnoottekst"/>
      </w:pPr>
      <w:r>
        <w:rPr>
          <w:rStyle w:val="Voetnootmarkering"/>
        </w:rPr>
        <w:footnoteRef/>
      </w:r>
      <w:r>
        <w:t xml:space="preserve"> </w:t>
      </w:r>
      <w:r w:rsidRPr="00334144">
        <w:t>KNAW</w:t>
      </w:r>
      <w:r>
        <w:t>,</w:t>
      </w:r>
      <w:r w:rsidRPr="00334144">
        <w:t xml:space="preserve"> Nederlands en/of Engels, Taalkeuze met beleid in het Nederlands hoger onderwijs, Amsterdam, </w:t>
      </w:r>
      <w:r>
        <w:t>2017</w:t>
      </w:r>
      <w:r w:rsidRPr="00334144">
        <w:t xml:space="preserve">. </w:t>
      </w:r>
    </w:p>
  </w:footnote>
  <w:footnote w:id="69">
    <w:p w14:paraId="77465DA0" w14:textId="77777777" w:rsidR="000F4212" w:rsidRPr="00EB6260" w:rsidRDefault="000F4212" w:rsidP="000F4212">
      <w:pPr>
        <w:pStyle w:val="Voetnoottekst"/>
        <w:rPr>
          <w:szCs w:val="16"/>
        </w:rPr>
      </w:pPr>
      <w:r w:rsidRPr="00EB6260">
        <w:rPr>
          <w:rStyle w:val="Voetnootmarkering"/>
        </w:rPr>
        <w:footnoteRef/>
      </w:r>
      <w:r w:rsidRPr="00EB6260">
        <w:rPr>
          <w:szCs w:val="16"/>
        </w:rPr>
        <w:t xml:space="preserve"> Inspectie van het Onderwijs, ‘De Staat van het Onderwijs 2023’, mei 2023, p. 166.</w:t>
      </w:r>
    </w:p>
  </w:footnote>
  <w:footnote w:id="70">
    <w:p w14:paraId="6182C5CC" w14:textId="77777777" w:rsidR="000F4212" w:rsidRPr="00EB6260" w:rsidRDefault="000F4212" w:rsidP="000F4212">
      <w:pPr>
        <w:pStyle w:val="Voetnoottekst"/>
        <w:rPr>
          <w:szCs w:val="16"/>
        </w:rPr>
      </w:pPr>
      <w:r w:rsidRPr="00EB6260">
        <w:rPr>
          <w:rStyle w:val="Voetnootmarkering"/>
        </w:rPr>
        <w:footnoteRef/>
      </w:r>
      <w:r w:rsidRPr="00EB6260">
        <w:rPr>
          <w:szCs w:val="16"/>
        </w:rPr>
        <w:t xml:space="preserve"> Nuffic, ‘Stayrate en arbeidsmarktpositie van internationale afgestudeerden in Nederland’, mei 2022, p. 29-30.</w:t>
      </w:r>
    </w:p>
  </w:footnote>
  <w:footnote w:id="71">
    <w:p w14:paraId="70EB1AEB" w14:textId="77777777" w:rsidR="000F4212" w:rsidRDefault="000F4212" w:rsidP="000F4212">
      <w:pPr>
        <w:pStyle w:val="Voetnoottekst"/>
      </w:pPr>
      <w:r>
        <w:rPr>
          <w:rStyle w:val="Voetnootmarkering"/>
        </w:rPr>
        <w:footnoteRef/>
      </w:r>
      <w:r>
        <w:t xml:space="preserve"> IBO Internationalisering van het (hoger) onderwijs, juli 2019, p. 48, 51-54.</w:t>
      </w:r>
    </w:p>
  </w:footnote>
  <w:footnote w:id="72">
    <w:p w14:paraId="06749439" w14:textId="77777777" w:rsidR="000F4212" w:rsidRDefault="000F4212" w:rsidP="000F4212">
      <w:pPr>
        <w:pStyle w:val="Voetnoottekst"/>
      </w:pPr>
      <w:r>
        <w:rPr>
          <w:rStyle w:val="Voetnootmarkering"/>
        </w:rPr>
        <w:footnoteRef/>
      </w:r>
      <w:r>
        <w:t xml:space="preserve"> Voorgestelde artikelen 7.2 en 7.2a van de WHW. </w:t>
      </w:r>
    </w:p>
  </w:footnote>
  <w:footnote w:id="73">
    <w:p w14:paraId="41670315" w14:textId="77777777" w:rsidR="000F4212" w:rsidRDefault="000F4212" w:rsidP="000F4212">
      <w:pPr>
        <w:pStyle w:val="Voetnoottekst"/>
      </w:pPr>
      <w:r>
        <w:rPr>
          <w:rStyle w:val="Voetnootmarkering"/>
        </w:rPr>
        <w:footnoteRef/>
      </w:r>
      <w:r>
        <w:t xml:space="preserve"> Memorie van toelichting, paragraaf 4.2 ‘Taalbeleid van de instelling’. </w:t>
      </w:r>
    </w:p>
  </w:footnote>
  <w:footnote w:id="74">
    <w:p w14:paraId="27EE1532" w14:textId="3FF1A049" w:rsidR="000F4212" w:rsidRDefault="000F4212" w:rsidP="000F4212">
      <w:pPr>
        <w:pStyle w:val="Voetnoottekst"/>
      </w:pPr>
      <w:r>
        <w:rPr>
          <w:rStyle w:val="Voetnootmarkering"/>
        </w:rPr>
        <w:footnoteRef/>
      </w:r>
      <w:r>
        <w:t xml:space="preserve"> Voorgesteld artikel 1.3, zevende lid en artikel 7.2a tweede lid van de </w:t>
      </w:r>
      <w:r w:rsidR="00130F74">
        <w:t>WHW</w:t>
      </w:r>
      <w:r>
        <w:t>.</w:t>
      </w:r>
    </w:p>
  </w:footnote>
  <w:footnote w:id="75">
    <w:p w14:paraId="73AFED76" w14:textId="77777777" w:rsidR="000F4212" w:rsidRPr="00EB6260" w:rsidRDefault="000F4212" w:rsidP="000F4212">
      <w:pPr>
        <w:pStyle w:val="Voetnoottekst"/>
        <w:rPr>
          <w:szCs w:val="16"/>
        </w:rPr>
      </w:pPr>
      <w:r w:rsidRPr="00EB6260">
        <w:rPr>
          <w:rStyle w:val="Voetnootmarkering"/>
        </w:rPr>
        <w:footnoteRef/>
      </w:r>
      <w:r w:rsidRPr="00EB6260">
        <w:rPr>
          <w:szCs w:val="16"/>
        </w:rPr>
        <w:t xml:space="preserve"> </w:t>
      </w:r>
      <w:r>
        <w:rPr>
          <w:szCs w:val="16"/>
        </w:rPr>
        <w:t>Taalunie,</w:t>
      </w:r>
      <w:r w:rsidRPr="00EB6260">
        <w:rPr>
          <w:szCs w:val="16"/>
        </w:rPr>
        <w:t xml:space="preserve"> ‘Taalcompetentie in het Nederlands van Nederlandstalige studenten in het hoger onderwijs in Nederland en Vlaanderen’, 2022. </w:t>
      </w:r>
    </w:p>
  </w:footnote>
  <w:footnote w:id="76">
    <w:p w14:paraId="3F35C0F4" w14:textId="77777777" w:rsidR="000F4212" w:rsidRDefault="000F4212" w:rsidP="000F4212">
      <w:pPr>
        <w:pStyle w:val="Voetnoottekst"/>
      </w:pPr>
      <w:r>
        <w:rPr>
          <w:rStyle w:val="Voetnootmarkering"/>
        </w:rPr>
        <w:footnoteRef/>
      </w:r>
      <w:r>
        <w:t xml:space="preserve"> Voor op te nemen elementen kan ook worden gekeken naar de consultatieversie van het Besluit tot </w:t>
      </w:r>
      <w:r w:rsidRPr="00F47045">
        <w:t>wijziging van het Uitvoeringsbesluit WHW 2008 houdende de invoering van bepalingen omtrent de uitdrukkingsvaardigheid en de meerwaarde van een andere taal dan het Nederlands</w:t>
      </w:r>
      <w:r>
        <w:t xml:space="preserve">. </w:t>
      </w:r>
    </w:p>
  </w:footnote>
  <w:footnote w:id="77">
    <w:p w14:paraId="0C381880" w14:textId="77777777" w:rsidR="000F4212" w:rsidRDefault="000F4212" w:rsidP="000F4212">
      <w:pPr>
        <w:pStyle w:val="Voetnoottekst"/>
      </w:pPr>
      <w:r>
        <w:rPr>
          <w:rStyle w:val="Voetnootmarkering"/>
        </w:rPr>
        <w:footnoteRef/>
      </w:r>
      <w:r>
        <w:t xml:space="preserve"> Voorgesteld artikel 1.3, zesde lid, van de WHW. </w:t>
      </w:r>
    </w:p>
  </w:footnote>
  <w:footnote w:id="78">
    <w:p w14:paraId="5F10A164" w14:textId="77777777" w:rsidR="000F4212" w:rsidRDefault="000F4212" w:rsidP="000F4212">
      <w:pPr>
        <w:pStyle w:val="Voetnoottekst"/>
      </w:pPr>
      <w:r>
        <w:rPr>
          <w:rStyle w:val="Voetnootmarkering"/>
        </w:rPr>
        <w:footnoteRef/>
      </w:r>
      <w:r>
        <w:t xml:space="preserve"> Memorie van toelichting, paragraaf 6.3.1 ‘Taal’. </w:t>
      </w:r>
    </w:p>
  </w:footnote>
  <w:footnote w:id="79">
    <w:p w14:paraId="1C0C70B1" w14:textId="1ACB0F21" w:rsidR="000F4212" w:rsidRDefault="000F4212" w:rsidP="000F4212">
      <w:pPr>
        <w:pStyle w:val="Voetnoottekst"/>
      </w:pPr>
      <w:r>
        <w:rPr>
          <w:rStyle w:val="Voetnootmarkering"/>
        </w:rPr>
        <w:footnoteRef/>
      </w:r>
      <w:r>
        <w:t xml:space="preserve"> Memorie van toelichting, paragraaf 7 ‘Financiële gevolgen</w:t>
      </w:r>
      <w:r w:rsidR="009F010C">
        <w:t>’</w:t>
      </w:r>
      <w:r>
        <w:t>.</w:t>
      </w:r>
    </w:p>
  </w:footnote>
  <w:footnote w:id="80">
    <w:p w14:paraId="244BF757" w14:textId="77777777" w:rsidR="000F4212" w:rsidRDefault="000F4212" w:rsidP="000F4212">
      <w:pPr>
        <w:pStyle w:val="Voetnoottekst"/>
      </w:pPr>
      <w:r>
        <w:rPr>
          <w:rStyle w:val="Voetnootmarkering"/>
        </w:rPr>
        <w:footnoteRef/>
      </w:r>
      <w:r>
        <w:t xml:space="preserve"> Artikelen 6, 165 en 166 van het VWEU. </w:t>
      </w:r>
    </w:p>
  </w:footnote>
  <w:footnote w:id="81">
    <w:p w14:paraId="115C918F" w14:textId="77777777" w:rsidR="000F4212" w:rsidRDefault="000F4212" w:rsidP="000F4212">
      <w:pPr>
        <w:pStyle w:val="Voetnoottekst"/>
      </w:pPr>
      <w:r>
        <w:rPr>
          <w:rStyle w:val="Voetnootmarkering"/>
        </w:rPr>
        <w:footnoteRef/>
      </w:r>
      <w:r>
        <w:t xml:space="preserve"> Respectievelijk artikelen 101 e.v. en 107 e.v. VWEU. Zie aldus ABRvS 30 januari 2013, 201107134/1/A2, </w:t>
      </w:r>
      <w:r w:rsidRPr="0061379A">
        <w:rPr>
          <w:i/>
          <w:iCs/>
        </w:rPr>
        <w:t>LOI en NTI</w:t>
      </w:r>
      <w:r>
        <w:t>, ECLI:NL:RVS:</w:t>
      </w:r>
      <w:r w:rsidRPr="00BB6008">
        <w:t>BY9933</w:t>
      </w:r>
      <w:r>
        <w:t>.</w:t>
      </w:r>
    </w:p>
  </w:footnote>
  <w:footnote w:id="82">
    <w:p w14:paraId="2748E355" w14:textId="77777777" w:rsidR="000F4212" w:rsidRDefault="000F4212" w:rsidP="000F4212">
      <w:pPr>
        <w:pStyle w:val="Voetnoottekst"/>
      </w:pPr>
      <w:r>
        <w:rPr>
          <w:rStyle w:val="Voetnootmarkering"/>
        </w:rPr>
        <w:footnoteRef/>
      </w:r>
      <w:r>
        <w:t xml:space="preserve"> Artikelen 45-66 VWEU. Zo reeds HvJEU 27 september 1988, C-263/86, </w:t>
      </w:r>
      <w:r w:rsidRPr="0061379A">
        <w:rPr>
          <w:i/>
          <w:iCs/>
        </w:rPr>
        <w:t>Humbel en Edel</w:t>
      </w:r>
      <w:r>
        <w:t xml:space="preserve">, ECLI:EU:C:1988:451. </w:t>
      </w:r>
    </w:p>
  </w:footnote>
  <w:footnote w:id="83">
    <w:p w14:paraId="3245F930" w14:textId="77777777" w:rsidR="000F4212" w:rsidRDefault="000F4212" w:rsidP="000F4212">
      <w:pPr>
        <w:pStyle w:val="Voetnoottekst"/>
      </w:pPr>
      <w:r>
        <w:rPr>
          <w:rStyle w:val="Voetnootmarkering"/>
        </w:rPr>
        <w:footnoteRef/>
      </w:r>
      <w:r>
        <w:t xml:space="preserve"> Het wetsvoorstel ziet alleen op het bekostigd hoger onderwijs, aldus de Memorie van toelichting, paragraaf 5.1. ‘Taalmaatregelen’.</w:t>
      </w:r>
    </w:p>
  </w:footnote>
  <w:footnote w:id="84">
    <w:p w14:paraId="3A3450F3" w14:textId="0EA0A421" w:rsidR="00B27047" w:rsidRDefault="00B27047">
      <w:pPr>
        <w:pStyle w:val="Voetnoottekst"/>
      </w:pPr>
      <w:r>
        <w:rPr>
          <w:rStyle w:val="Voetnootmarkering"/>
        </w:rPr>
        <w:footnoteRef/>
      </w:r>
      <w:r>
        <w:t xml:space="preserve"> Memorie van t</w:t>
      </w:r>
      <w:r w:rsidR="0061517A">
        <w:t xml:space="preserve">oelichting, paragraaf 5.1. ‘Taalmaatregelen’. </w:t>
      </w:r>
    </w:p>
  </w:footnote>
  <w:footnote w:id="85">
    <w:p w14:paraId="3E58904F" w14:textId="1FCC263A" w:rsidR="00B77FF3" w:rsidRDefault="00B77FF3">
      <w:pPr>
        <w:pStyle w:val="Voetnoottekst"/>
      </w:pPr>
      <w:r>
        <w:rPr>
          <w:rStyle w:val="Voetnootmarkering"/>
        </w:rPr>
        <w:footnoteRef/>
      </w:r>
      <w:r>
        <w:t xml:space="preserve"> Memorie van toelichting, paragraaf 5.1. ‘Taalmaatregelen’. </w:t>
      </w:r>
    </w:p>
  </w:footnote>
  <w:footnote w:id="86">
    <w:p w14:paraId="23963CFD" w14:textId="77777777" w:rsidR="00AB4508" w:rsidRDefault="00AB4508" w:rsidP="00AB4508">
      <w:pPr>
        <w:pStyle w:val="Voetnoottekst"/>
      </w:pPr>
      <w:r>
        <w:rPr>
          <w:rStyle w:val="Voetnootmarkering"/>
        </w:rPr>
        <w:footnoteRef/>
      </w:r>
      <w:r>
        <w:t xml:space="preserve"> Artikel 18 van het VWEU.</w:t>
      </w:r>
    </w:p>
  </w:footnote>
  <w:footnote w:id="87">
    <w:p w14:paraId="38D82DA9" w14:textId="57635EEF" w:rsidR="000B02F1" w:rsidRDefault="000B02F1">
      <w:pPr>
        <w:pStyle w:val="Voetnoottekst"/>
      </w:pPr>
      <w:r>
        <w:rPr>
          <w:rStyle w:val="Voetnootmarkering"/>
        </w:rPr>
        <w:footnoteRef/>
      </w:r>
      <w:r>
        <w:t xml:space="preserve"> Zoals hiervoor is uiteengezet is </w:t>
      </w:r>
      <w:r w:rsidR="00AC28B2">
        <w:t>het vrij verkeer van personen hier echter niet aan de orde.</w:t>
      </w:r>
    </w:p>
  </w:footnote>
  <w:footnote w:id="88">
    <w:p w14:paraId="53E0D44D" w14:textId="77777777" w:rsidR="000F4212" w:rsidRDefault="000F4212" w:rsidP="000F4212">
      <w:pPr>
        <w:pStyle w:val="Voetnoottekst"/>
      </w:pPr>
      <w:r>
        <w:rPr>
          <w:rStyle w:val="Voetnootmarkering"/>
        </w:rPr>
        <w:footnoteRef/>
      </w:r>
      <w:r>
        <w:t xml:space="preserve"> Zo reeds HvJ EU 28 november 1989, C-379/87, Groener, ECLI:NL:C:1989:599.</w:t>
      </w:r>
    </w:p>
  </w:footnote>
  <w:footnote w:id="89">
    <w:p w14:paraId="733D68A2" w14:textId="339EEDBB" w:rsidR="000F4212" w:rsidRDefault="000F4212" w:rsidP="000F4212">
      <w:pPr>
        <w:pStyle w:val="Voetnoottekst"/>
      </w:pPr>
      <w:r>
        <w:rPr>
          <w:rStyle w:val="Voetnootmarkering"/>
        </w:rPr>
        <w:footnoteRef/>
      </w:r>
      <w:r>
        <w:t xml:space="preserve"> Artikelen 3, derde lid en 4, tweede lid, VEU, alsmede artikel 22 Handvest van de grondrechten van de Europese Unie.</w:t>
      </w:r>
    </w:p>
  </w:footnote>
  <w:footnote w:id="90">
    <w:p w14:paraId="6EC5867F" w14:textId="34341D96" w:rsidR="00A55028" w:rsidRDefault="00A55028">
      <w:pPr>
        <w:pStyle w:val="Voetnoottekst"/>
      </w:pPr>
      <w:r>
        <w:rPr>
          <w:rStyle w:val="Voetnootmarkering"/>
        </w:rPr>
        <w:footnoteRef/>
      </w:r>
      <w:r>
        <w:t xml:space="preserve"> Artikel 165, eerste lid, VWEU.</w:t>
      </w:r>
    </w:p>
  </w:footnote>
  <w:footnote w:id="91">
    <w:p w14:paraId="15E406D1" w14:textId="49EDE2FD" w:rsidR="000F4212" w:rsidRDefault="000F4212" w:rsidP="000F4212">
      <w:pPr>
        <w:pStyle w:val="Voetnoottekst"/>
      </w:pPr>
      <w:r>
        <w:rPr>
          <w:rStyle w:val="Voetnootmarkering"/>
        </w:rPr>
        <w:footnoteRef/>
      </w:r>
      <w:r>
        <w:t xml:space="preserve"> Voorgestelde artikelen 7.54b en 7.54c van de WHW. </w:t>
      </w:r>
      <w:r w:rsidR="00E32D84">
        <w:t xml:space="preserve">Uiteraard </w:t>
      </w:r>
      <w:r w:rsidR="00A874AE">
        <w:t xml:space="preserve">zijn deze fixus-maatregelen niet van toepassing op </w:t>
      </w:r>
      <w:r w:rsidR="00FA1E70">
        <w:t>studenten uit de lidstaten van de Europese Unie: dat zou door artikel 18 VWEU verboden discriminatie inhouden.</w:t>
      </w:r>
    </w:p>
  </w:footnote>
  <w:footnote w:id="92">
    <w:p w14:paraId="5A0A20F9" w14:textId="13B6F854" w:rsidR="003359F1" w:rsidRDefault="003359F1">
      <w:pPr>
        <w:pStyle w:val="Voetnoottekst"/>
      </w:pPr>
      <w:r>
        <w:rPr>
          <w:rStyle w:val="Voetnootmarkering"/>
        </w:rPr>
        <w:footnoteRef/>
      </w:r>
      <w:r>
        <w:t xml:space="preserve"> Memorie van toelichting</w:t>
      </w:r>
      <w:r w:rsidR="009F010C">
        <w:t>, par. 5.2.2 ‘Maatregel maximaal aantal plaatsen voor niet-EER-studenten’.</w:t>
      </w:r>
      <w:r w:rsidR="00A83ADB">
        <w:t xml:space="preserve"> Het navolgende is </w:t>
      </w:r>
      <w:r w:rsidR="003A7719">
        <w:t xml:space="preserve">mede </w:t>
      </w:r>
      <w:r w:rsidR="00A83ADB">
        <w:t xml:space="preserve">gebaseerd op een </w:t>
      </w:r>
      <w:r w:rsidR="003A7719">
        <w:t xml:space="preserve">eerdere </w:t>
      </w:r>
      <w:r w:rsidR="00A83ADB">
        <w:t xml:space="preserve">voorlichting van de Afdeling over deze materie in het kader van het voorstel van Wet </w:t>
      </w:r>
      <w:r w:rsidR="008435CF">
        <w:t>taal en toegankelijkheid, Kamerstukken I 2019/20, 35282, E, p.8-</w:t>
      </w:r>
      <w:r w:rsidR="0034699A">
        <w:t>11.</w:t>
      </w:r>
    </w:p>
  </w:footnote>
  <w:footnote w:id="93">
    <w:p w14:paraId="7B4CBD2D" w14:textId="4FECAB71" w:rsidR="009A75EA" w:rsidRDefault="009A75EA" w:rsidP="009A75EA">
      <w:pPr>
        <w:pStyle w:val="Voetnoottekst"/>
      </w:pPr>
      <w:r>
        <w:rPr>
          <w:rStyle w:val="Voetnootmarkering"/>
        </w:rPr>
        <w:footnoteRef/>
      </w:r>
      <w:r>
        <w:t xml:space="preserve"> Memorie van toelichting, paragraaf 4.6.2 ‘Maximaal aantal plaatsen voor niet-EER studenten’ en paragraaf 5.2.2. ‘Maatregel maximaal aantal plaatsen voor niet-EER studenten’. </w:t>
      </w:r>
    </w:p>
  </w:footnote>
  <w:footnote w:id="94">
    <w:p w14:paraId="3B666002" w14:textId="4C211FA4" w:rsidR="001517F3" w:rsidRDefault="001517F3">
      <w:pPr>
        <w:pStyle w:val="Voetnoottekst"/>
      </w:pPr>
      <w:r>
        <w:rPr>
          <w:rStyle w:val="Voetnootmarkering"/>
        </w:rPr>
        <w:footnoteRef/>
      </w:r>
      <w:r>
        <w:t xml:space="preserve"> </w:t>
      </w:r>
      <w:r w:rsidR="00966FFB">
        <w:t>Voorgesteld a</w:t>
      </w:r>
      <w:r w:rsidR="008C394D">
        <w:t>rtikel 7.</w:t>
      </w:r>
      <w:r w:rsidR="00966FFB">
        <w:t>54b van de WHW.</w:t>
      </w:r>
    </w:p>
  </w:footnote>
  <w:footnote w:id="95">
    <w:p w14:paraId="46F95132" w14:textId="282C6676" w:rsidR="001A4366" w:rsidRDefault="001A4366">
      <w:pPr>
        <w:pStyle w:val="Voetnoottekst"/>
      </w:pPr>
      <w:r>
        <w:rPr>
          <w:rStyle w:val="Voetnootmarkering"/>
        </w:rPr>
        <w:footnoteRef/>
      </w:r>
      <w:r>
        <w:t xml:space="preserve"> Voorgesteld artikel 7.54c</w:t>
      </w:r>
      <w:r w:rsidR="00B01089">
        <w:t>, derde lid, van de WHW.</w:t>
      </w:r>
    </w:p>
  </w:footnote>
  <w:footnote w:id="96">
    <w:p w14:paraId="7DD897A7" w14:textId="5B33FBF4" w:rsidR="003E3F53" w:rsidRDefault="003E3F53">
      <w:pPr>
        <w:pStyle w:val="Voetnoottekst"/>
      </w:pPr>
      <w:r>
        <w:rPr>
          <w:rStyle w:val="Voetnootmarkering"/>
        </w:rPr>
        <w:footnoteRef/>
      </w:r>
      <w:r>
        <w:t xml:space="preserve"> Voorgesteld artikel </w:t>
      </w:r>
      <w:r w:rsidR="00DA3F02">
        <w:t xml:space="preserve">7.54b, vierde lid, en artikel 7.54c, achtste lid, van de WHW. </w:t>
      </w:r>
    </w:p>
  </w:footnote>
  <w:footnote w:id="97">
    <w:p w14:paraId="248300BE" w14:textId="77777777" w:rsidR="000F4212" w:rsidRDefault="000F4212" w:rsidP="000F4212">
      <w:pPr>
        <w:pStyle w:val="Voetnoottekst"/>
      </w:pPr>
      <w:r>
        <w:rPr>
          <w:rStyle w:val="Voetnootmarkering"/>
        </w:rPr>
        <w:footnoteRef/>
      </w:r>
      <w:r>
        <w:t xml:space="preserve"> Memorie van toelichting, paragraaf 9.4.4 ‘Toets anderstalig onderwijs’. </w:t>
      </w:r>
    </w:p>
  </w:footnote>
  <w:footnote w:id="98">
    <w:p w14:paraId="50C044A0" w14:textId="77777777" w:rsidR="000F4212" w:rsidRDefault="000F4212" w:rsidP="000F4212">
      <w:pPr>
        <w:pStyle w:val="Voetnoottekst"/>
      </w:pPr>
      <w:r>
        <w:rPr>
          <w:rStyle w:val="Voetnootmarkering"/>
        </w:rPr>
        <w:footnoteRef/>
      </w:r>
      <w:r>
        <w:t xml:space="preserve"> Memorie van toelichting, paragraaf 7 ‘Financiële gevolgen’. </w:t>
      </w:r>
    </w:p>
  </w:footnote>
  <w:footnote w:id="99">
    <w:p w14:paraId="7B159287" w14:textId="77777777" w:rsidR="000F4212" w:rsidRDefault="000F4212" w:rsidP="000F4212">
      <w:pPr>
        <w:pStyle w:val="Voetnoottekst"/>
      </w:pPr>
      <w:r>
        <w:rPr>
          <w:rStyle w:val="Voetnootmarkering"/>
        </w:rPr>
        <w:footnoteRef/>
      </w:r>
      <w:r>
        <w:t xml:space="preserve"> Kamerstukken II 2023/24, </w:t>
      </w:r>
      <w:r w:rsidRPr="002A0B04">
        <w:t>36 410 VIII, nr. 112</w:t>
      </w:r>
      <w:r>
        <w:t xml:space="preserve">. </w:t>
      </w:r>
    </w:p>
  </w:footnote>
  <w:footnote w:id="100">
    <w:p w14:paraId="05A32E2C" w14:textId="77777777" w:rsidR="000F4212" w:rsidRDefault="000F4212" w:rsidP="000F4212">
      <w:pPr>
        <w:pStyle w:val="Voetnoottekst"/>
      </w:pPr>
      <w:r>
        <w:rPr>
          <w:rStyle w:val="Voetnootmarkering"/>
        </w:rPr>
        <w:footnoteRef/>
      </w:r>
      <w:r>
        <w:t xml:space="preserve"> Voor eerdere kritische adviezen van de Afdeling over amendementen op begrotingswetten die geen betrekking hebben op de begroting, zie adviezen o</w:t>
      </w:r>
      <w:r w:rsidRPr="00A31565">
        <w:t>ver de begroting van het Ministerie van Financiën voor 2008, 2012</w:t>
      </w:r>
      <w:r>
        <w:t xml:space="preserve">, </w:t>
      </w:r>
      <w:r w:rsidRPr="00A31565">
        <w:t>2013</w:t>
      </w:r>
      <w:r>
        <w:t xml:space="preserve"> en 2021</w:t>
      </w:r>
      <w:r w:rsidRPr="00A31565">
        <w:t xml:space="preserve"> (Kamerstukken II 2007/08, 31200 IXB, nr. 3, Kamerstukken II 2011/12, 33000 IXB, nr. 3</w:t>
      </w:r>
      <w:r>
        <w:t xml:space="preserve">, </w:t>
      </w:r>
      <w:r w:rsidRPr="00A31565">
        <w:t>Kamerstukken II 2012/13, 33400-IX, nr. 3</w:t>
      </w:r>
      <w:r>
        <w:t xml:space="preserve"> en </w:t>
      </w:r>
      <w:r w:rsidRPr="00A31565">
        <w:t>Kamerstukken II 2020/21, 35570-IX, nr. 3).</w:t>
      </w:r>
    </w:p>
  </w:footnote>
  <w:footnote w:id="101">
    <w:p w14:paraId="602EFB77" w14:textId="77777777" w:rsidR="000F4212" w:rsidRDefault="000F4212" w:rsidP="000F4212">
      <w:pPr>
        <w:pStyle w:val="Voetnoottekst"/>
      </w:pPr>
      <w:r>
        <w:rPr>
          <w:rStyle w:val="Voetnootmarkering"/>
        </w:rPr>
        <w:footnoteRef/>
      </w:r>
      <w:r>
        <w:t xml:space="preserve"> Memorie van toelichting, paragraaf 10 ‘Inwerkingtreding’. </w:t>
      </w:r>
    </w:p>
  </w:footnote>
  <w:footnote w:id="102">
    <w:p w14:paraId="0571E7E4" w14:textId="77777777" w:rsidR="000F4212" w:rsidRDefault="000F4212" w:rsidP="000F4212">
      <w:pPr>
        <w:pStyle w:val="Voetnoottekst"/>
      </w:pPr>
      <w:r>
        <w:rPr>
          <w:rStyle w:val="Voetnootmarkering"/>
        </w:rPr>
        <w:footnoteRef/>
      </w:r>
      <w:r>
        <w:t xml:space="preserve"> Uitvoeringstoets DUO, 13 oktober 2023; Uitvoeringstoets Stichting Studielink, onderwijsinstellingen, koepels, 12 september 2023. </w:t>
      </w:r>
    </w:p>
  </w:footnote>
  <w:footnote w:id="103">
    <w:p w14:paraId="7DD9B944" w14:textId="6DA12AF1" w:rsidR="000F4212" w:rsidRDefault="000F4212" w:rsidP="000F4212">
      <w:pPr>
        <w:pStyle w:val="Voetnoottekst"/>
      </w:pPr>
      <w:r>
        <w:rPr>
          <w:rStyle w:val="Voetnootmarkering"/>
        </w:rPr>
        <w:footnoteRef/>
      </w:r>
      <w:r>
        <w:t xml:space="preserve"> Uitsprakenwebsite CDHO</w:t>
      </w:r>
      <w:r w:rsidR="00660C81">
        <w:t xml:space="preserve"> / </w:t>
      </w:r>
      <w:r w:rsidR="006705A3">
        <w:t xml:space="preserve">Afdeling Bestuursrechtspraak van de </w:t>
      </w:r>
      <w:r w:rsidR="00660C81">
        <w:t>Raad van State</w:t>
      </w:r>
      <w:r>
        <w:t xml:space="preserve">. </w:t>
      </w:r>
    </w:p>
  </w:footnote>
  <w:footnote w:id="104">
    <w:p w14:paraId="24A562AF" w14:textId="77777777" w:rsidR="000F4212" w:rsidRDefault="000F4212" w:rsidP="000F4212">
      <w:pPr>
        <w:pStyle w:val="Voetnoottekst"/>
      </w:pPr>
      <w:r>
        <w:rPr>
          <w:rStyle w:val="Voetnootmarkering"/>
        </w:rPr>
        <w:footnoteRef/>
      </w:r>
      <w:r>
        <w:t xml:space="preserve"> DUO, Uitvoeringstoets Wet internationalisering in balans, 13 oktober 2023. </w:t>
      </w:r>
    </w:p>
  </w:footnote>
  <w:footnote w:id="105">
    <w:p w14:paraId="77C7AC83" w14:textId="77777777" w:rsidR="000F4212" w:rsidRDefault="000F4212" w:rsidP="000F4212">
      <w:pPr>
        <w:pStyle w:val="Voetnoottekst"/>
      </w:pPr>
      <w:r>
        <w:rPr>
          <w:rStyle w:val="Voetnootmarkering"/>
        </w:rPr>
        <w:footnoteRef/>
      </w:r>
      <w:r>
        <w:t xml:space="preserve"> Zie advies van 9 december 2020, kenmerk W05.20.0373/I, via </w:t>
      </w:r>
      <w:hyperlink r:id="rId7" w:history="1">
        <w:r w:rsidRPr="00BA06A7">
          <w:rPr>
            <w:rStyle w:val="Hyperlink"/>
          </w:rPr>
          <w:t>https://www.raadvanstate.nl/adviezen/@122904/w05-20-0373/</w:t>
        </w:r>
      </w:hyperlink>
      <w:r>
        <w:t xml:space="preserve">. </w:t>
      </w:r>
    </w:p>
  </w:footnote>
  <w:footnote w:id="106">
    <w:p w14:paraId="42320EBB" w14:textId="77777777" w:rsidR="000F4212" w:rsidRDefault="000F4212" w:rsidP="000F4212">
      <w:pPr>
        <w:pStyle w:val="Voetnoottekst"/>
      </w:pPr>
      <w:r>
        <w:rPr>
          <w:rStyle w:val="Voetnootmarkering"/>
        </w:rPr>
        <w:footnoteRef/>
      </w:r>
      <w:r>
        <w:t xml:space="preserve"> Kamerstukken II 2015/16, 22452, nr. 48, p. 11.</w:t>
      </w:r>
    </w:p>
  </w:footnote>
  <w:footnote w:id="107">
    <w:p w14:paraId="156C0091" w14:textId="4ABB64D6" w:rsidR="000F4212" w:rsidRDefault="000F4212" w:rsidP="000F4212">
      <w:pPr>
        <w:pStyle w:val="Voetnoottekst"/>
      </w:pPr>
      <w:r>
        <w:rPr>
          <w:rStyle w:val="Voetnootmarkering"/>
        </w:rPr>
        <w:footnoteRef/>
      </w:r>
      <w:r>
        <w:t xml:space="preserve"> Zie wetsvoorstel </w:t>
      </w:r>
      <w:r w:rsidRPr="009F23E0">
        <w:t>i.v.m. differentiatie taal- en rekenniveaus vo en mbo</w:t>
      </w:r>
      <w:r>
        <w:t xml:space="preserve"> uit 2018. </w:t>
      </w:r>
      <w:r w:rsidRPr="009E3379">
        <w:t>Dat voorstel had tot doel om differentiatie aan te brengen in referentieniveaus en daarmee aan de behoefte van leerlingen aangepaste examens Nederlandse taal en rekenen mogelijk te maken in de entreeopleiding en basisberoepsopleiding van het mbo. Volgens de toelichting bij dat wetsvoorstel was hiermee echter nog niet beoogd om de omkeerregeling in het mbo mogelijk te maken.</w:t>
      </w:r>
    </w:p>
  </w:footnote>
  <w:footnote w:id="108">
    <w:p w14:paraId="6B5E6BFA" w14:textId="12183000" w:rsidR="000F4212" w:rsidRDefault="000F4212" w:rsidP="000F4212">
      <w:pPr>
        <w:pStyle w:val="Voetnoottekst"/>
      </w:pPr>
      <w:r>
        <w:rPr>
          <w:rStyle w:val="Voetnootmarkering"/>
        </w:rPr>
        <w:footnoteRef/>
      </w:r>
      <w:r>
        <w:t xml:space="preserve"> </w:t>
      </w:r>
      <w:r w:rsidRPr="009E3379">
        <w:t xml:space="preserve">Zie </w:t>
      </w:r>
      <w:r>
        <w:t xml:space="preserve">ook het </w:t>
      </w:r>
      <w:r w:rsidRPr="009E3379">
        <w:t>advies</w:t>
      </w:r>
      <w:r>
        <w:t xml:space="preserve"> over het wetsvoorstel i.v.m. differentiatie taal- en rekenniveaus vo en mbo,</w:t>
      </w:r>
      <w:r w:rsidRPr="009E3379">
        <w:t xml:space="preserve"> van 20 september 2018, kenmerk W05.18.0206/I, via </w:t>
      </w:r>
      <w:hyperlink r:id="rId8" w:history="1">
        <w:r w:rsidRPr="00C00E1B">
          <w:rPr>
            <w:rStyle w:val="Hyperlink"/>
          </w:rPr>
          <w:t>https://www.raadvanstate.nl/adviezen/@117032/w05-18-0206/</w:t>
        </w:r>
      </w:hyperlink>
      <w:r w:rsidRPr="009E337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A521"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A522" w14:textId="77777777" w:rsidR="00FA7BCD" w:rsidRDefault="00C93111"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A528" w14:textId="77777777" w:rsidR="00DA0CDA" w:rsidRDefault="00C93111"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0C8A529" w14:textId="77777777" w:rsidR="00993C75" w:rsidRDefault="00C93111">
    <w:pPr>
      <w:pStyle w:val="Koptekst"/>
    </w:pPr>
    <w:r>
      <w:rPr>
        <w:noProof/>
      </w:rPr>
      <w:drawing>
        <wp:anchor distT="0" distB="0" distL="114300" distR="114300" simplePos="0" relativeHeight="251658240" behindDoc="1" locked="0" layoutInCell="1" allowOverlap="1" wp14:anchorId="50C8A534" wp14:editId="50C8A53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060F3"/>
    <w:multiLevelType w:val="hybridMultilevel"/>
    <w:tmpl w:val="C07AB63A"/>
    <w:lvl w:ilvl="0" w:tplc="4E6866E4">
      <w:start w:val="9"/>
      <w:numFmt w:val="decimal"/>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4FA0831"/>
    <w:multiLevelType w:val="hybridMultilevel"/>
    <w:tmpl w:val="ADC03234"/>
    <w:lvl w:ilvl="0" w:tplc="DEE0F44C">
      <w:start w:val="600"/>
      <w:numFmt w:val="lowerRoman"/>
      <w:lvlText w:val="%1."/>
      <w:lvlJc w:val="left"/>
      <w:pPr>
        <w:ind w:left="1080" w:hanging="720"/>
      </w:pPr>
      <w:rPr>
        <w:rFonts w:hint="default"/>
        <w:i/>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27122A3"/>
    <w:multiLevelType w:val="hybridMultilevel"/>
    <w:tmpl w:val="108AD4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F1400FD"/>
    <w:multiLevelType w:val="hybridMultilevel"/>
    <w:tmpl w:val="07F246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1FF6F31"/>
    <w:multiLevelType w:val="hybridMultilevel"/>
    <w:tmpl w:val="E92A8486"/>
    <w:lvl w:ilvl="0" w:tplc="779C359C">
      <w:start w:val="600"/>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E7F03AB"/>
    <w:multiLevelType w:val="hybridMultilevel"/>
    <w:tmpl w:val="DEE21E36"/>
    <w:lvl w:ilvl="0" w:tplc="ABCAF926">
      <w:start w:val="9"/>
      <w:numFmt w:val="decimal"/>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12F10A3"/>
    <w:multiLevelType w:val="hybridMultilevel"/>
    <w:tmpl w:val="14488D3A"/>
    <w:lvl w:ilvl="0" w:tplc="73B4427C">
      <w:start w:val="9"/>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4387297"/>
    <w:multiLevelType w:val="hybridMultilevel"/>
    <w:tmpl w:val="9CC25B0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9D1159"/>
    <w:multiLevelType w:val="hybridMultilevel"/>
    <w:tmpl w:val="CBC6EE56"/>
    <w:lvl w:ilvl="0" w:tplc="95BA63B6">
      <w:start w:val="600"/>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CB3612A"/>
    <w:multiLevelType w:val="hybridMultilevel"/>
    <w:tmpl w:val="CBFC1AB0"/>
    <w:lvl w:ilvl="0" w:tplc="9F78471E">
      <w:start w:val="9"/>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31F4911"/>
    <w:multiLevelType w:val="hybridMultilevel"/>
    <w:tmpl w:val="D1FA2008"/>
    <w:lvl w:ilvl="0" w:tplc="ABFA2668">
      <w:start w:val="1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5B77F4"/>
    <w:multiLevelType w:val="hybridMultilevel"/>
    <w:tmpl w:val="416420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1893757">
    <w:abstractNumId w:val="7"/>
  </w:num>
  <w:num w:numId="2" w16cid:durableId="900100307">
    <w:abstractNumId w:val="10"/>
  </w:num>
  <w:num w:numId="3" w16cid:durableId="1056320090">
    <w:abstractNumId w:val="1"/>
  </w:num>
  <w:num w:numId="4" w16cid:durableId="1770198716">
    <w:abstractNumId w:val="8"/>
  </w:num>
  <w:num w:numId="5" w16cid:durableId="1473600765">
    <w:abstractNumId w:val="4"/>
  </w:num>
  <w:num w:numId="6" w16cid:durableId="1910189160">
    <w:abstractNumId w:val="9"/>
  </w:num>
  <w:num w:numId="7" w16cid:durableId="2141679989">
    <w:abstractNumId w:val="5"/>
  </w:num>
  <w:num w:numId="8" w16cid:durableId="1778788912">
    <w:abstractNumId w:val="0"/>
  </w:num>
  <w:num w:numId="9" w16cid:durableId="725030754">
    <w:abstractNumId w:val="6"/>
  </w:num>
  <w:num w:numId="10" w16cid:durableId="645203323">
    <w:abstractNumId w:val="2"/>
  </w:num>
  <w:num w:numId="11" w16cid:durableId="573586125">
    <w:abstractNumId w:val="11"/>
  </w:num>
  <w:num w:numId="12" w16cid:durableId="1156918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78"/>
    <w:rsid w:val="0000057D"/>
    <w:rsid w:val="00000899"/>
    <w:rsid w:val="00000911"/>
    <w:rsid w:val="00000A31"/>
    <w:rsid w:val="00001339"/>
    <w:rsid w:val="00001570"/>
    <w:rsid w:val="00001D4F"/>
    <w:rsid w:val="000020B5"/>
    <w:rsid w:val="00002571"/>
    <w:rsid w:val="00002B36"/>
    <w:rsid w:val="00002C8D"/>
    <w:rsid w:val="0000317B"/>
    <w:rsid w:val="00004EAA"/>
    <w:rsid w:val="000053C3"/>
    <w:rsid w:val="0000565B"/>
    <w:rsid w:val="00005934"/>
    <w:rsid w:val="000059EC"/>
    <w:rsid w:val="00006679"/>
    <w:rsid w:val="000067C8"/>
    <w:rsid w:val="00006C36"/>
    <w:rsid w:val="000072BB"/>
    <w:rsid w:val="00007B2A"/>
    <w:rsid w:val="00007D2C"/>
    <w:rsid w:val="00007F3E"/>
    <w:rsid w:val="000106D4"/>
    <w:rsid w:val="000111FE"/>
    <w:rsid w:val="000112F8"/>
    <w:rsid w:val="000123FE"/>
    <w:rsid w:val="00012578"/>
    <w:rsid w:val="0001292F"/>
    <w:rsid w:val="00012B5F"/>
    <w:rsid w:val="00012CCB"/>
    <w:rsid w:val="00013234"/>
    <w:rsid w:val="00013A3B"/>
    <w:rsid w:val="00014269"/>
    <w:rsid w:val="00014529"/>
    <w:rsid w:val="0001466E"/>
    <w:rsid w:val="00014C1B"/>
    <w:rsid w:val="00015A80"/>
    <w:rsid w:val="00016237"/>
    <w:rsid w:val="0001645C"/>
    <w:rsid w:val="00016858"/>
    <w:rsid w:val="00016A4C"/>
    <w:rsid w:val="0001798B"/>
    <w:rsid w:val="00017C54"/>
    <w:rsid w:val="00017E68"/>
    <w:rsid w:val="00020674"/>
    <w:rsid w:val="00020C87"/>
    <w:rsid w:val="0002141A"/>
    <w:rsid w:val="000214AC"/>
    <w:rsid w:val="00021BC5"/>
    <w:rsid w:val="000220DD"/>
    <w:rsid w:val="0002255A"/>
    <w:rsid w:val="00022934"/>
    <w:rsid w:val="0002308F"/>
    <w:rsid w:val="0002454E"/>
    <w:rsid w:val="00024897"/>
    <w:rsid w:val="00024898"/>
    <w:rsid w:val="000248FD"/>
    <w:rsid w:val="00024CBE"/>
    <w:rsid w:val="00024DBC"/>
    <w:rsid w:val="00025A28"/>
    <w:rsid w:val="0002630F"/>
    <w:rsid w:val="0002638A"/>
    <w:rsid w:val="00026657"/>
    <w:rsid w:val="00027053"/>
    <w:rsid w:val="00027561"/>
    <w:rsid w:val="000276F6"/>
    <w:rsid w:val="00027F07"/>
    <w:rsid w:val="00030817"/>
    <w:rsid w:val="000322A0"/>
    <w:rsid w:val="0003302E"/>
    <w:rsid w:val="00033295"/>
    <w:rsid w:val="000334A2"/>
    <w:rsid w:val="0003398C"/>
    <w:rsid w:val="000346FA"/>
    <w:rsid w:val="000353A8"/>
    <w:rsid w:val="0003540D"/>
    <w:rsid w:val="000356CE"/>
    <w:rsid w:val="00035AE3"/>
    <w:rsid w:val="0003609D"/>
    <w:rsid w:val="00036167"/>
    <w:rsid w:val="000370BA"/>
    <w:rsid w:val="000372A0"/>
    <w:rsid w:val="00037AA9"/>
    <w:rsid w:val="000402A8"/>
    <w:rsid w:val="0004169D"/>
    <w:rsid w:val="000419F0"/>
    <w:rsid w:val="00041D9A"/>
    <w:rsid w:val="000420A9"/>
    <w:rsid w:val="000426CC"/>
    <w:rsid w:val="000429D5"/>
    <w:rsid w:val="00043654"/>
    <w:rsid w:val="00044F20"/>
    <w:rsid w:val="00045B3A"/>
    <w:rsid w:val="00046064"/>
    <w:rsid w:val="000460FA"/>
    <w:rsid w:val="0004706A"/>
    <w:rsid w:val="00047399"/>
    <w:rsid w:val="00047C19"/>
    <w:rsid w:val="00047E91"/>
    <w:rsid w:val="0005059D"/>
    <w:rsid w:val="000505DF"/>
    <w:rsid w:val="00050A02"/>
    <w:rsid w:val="0005128B"/>
    <w:rsid w:val="00051489"/>
    <w:rsid w:val="0005168B"/>
    <w:rsid w:val="00052034"/>
    <w:rsid w:val="00052EEC"/>
    <w:rsid w:val="00053090"/>
    <w:rsid w:val="00054625"/>
    <w:rsid w:val="00054805"/>
    <w:rsid w:val="00054D15"/>
    <w:rsid w:val="000552F3"/>
    <w:rsid w:val="0005534F"/>
    <w:rsid w:val="0005591D"/>
    <w:rsid w:val="000559E2"/>
    <w:rsid w:val="000561EF"/>
    <w:rsid w:val="0005670E"/>
    <w:rsid w:val="00056C39"/>
    <w:rsid w:val="0005731A"/>
    <w:rsid w:val="00057CD2"/>
    <w:rsid w:val="000604E5"/>
    <w:rsid w:val="00060847"/>
    <w:rsid w:val="00060FCF"/>
    <w:rsid w:val="00061672"/>
    <w:rsid w:val="00061B44"/>
    <w:rsid w:val="000628F1"/>
    <w:rsid w:val="00062D15"/>
    <w:rsid w:val="00062E6E"/>
    <w:rsid w:val="000640E2"/>
    <w:rsid w:val="0006421E"/>
    <w:rsid w:val="00064396"/>
    <w:rsid w:val="0006560A"/>
    <w:rsid w:val="00066122"/>
    <w:rsid w:val="0006641C"/>
    <w:rsid w:val="0006742C"/>
    <w:rsid w:val="0006768D"/>
    <w:rsid w:val="000709C0"/>
    <w:rsid w:val="00070C76"/>
    <w:rsid w:val="00071954"/>
    <w:rsid w:val="0007233F"/>
    <w:rsid w:val="00072560"/>
    <w:rsid w:val="000741EA"/>
    <w:rsid w:val="00074359"/>
    <w:rsid w:val="000743DA"/>
    <w:rsid w:val="00074AB3"/>
    <w:rsid w:val="00075454"/>
    <w:rsid w:val="000764E6"/>
    <w:rsid w:val="00076F86"/>
    <w:rsid w:val="00077B67"/>
    <w:rsid w:val="0008019E"/>
    <w:rsid w:val="00080B8B"/>
    <w:rsid w:val="00080C52"/>
    <w:rsid w:val="0008163D"/>
    <w:rsid w:val="00081A52"/>
    <w:rsid w:val="00081AC8"/>
    <w:rsid w:val="0008262C"/>
    <w:rsid w:val="0008269B"/>
    <w:rsid w:val="00082E2A"/>
    <w:rsid w:val="0008441F"/>
    <w:rsid w:val="00084CDE"/>
    <w:rsid w:val="00085DB3"/>
    <w:rsid w:val="00086AA0"/>
    <w:rsid w:val="00086B8C"/>
    <w:rsid w:val="00087C01"/>
    <w:rsid w:val="00087D0B"/>
    <w:rsid w:val="00090807"/>
    <w:rsid w:val="000908BA"/>
    <w:rsid w:val="00090C26"/>
    <w:rsid w:val="00090E5E"/>
    <w:rsid w:val="0009111E"/>
    <w:rsid w:val="00091F2A"/>
    <w:rsid w:val="000921DD"/>
    <w:rsid w:val="000924FC"/>
    <w:rsid w:val="00092713"/>
    <w:rsid w:val="000927F3"/>
    <w:rsid w:val="00093275"/>
    <w:rsid w:val="00093687"/>
    <w:rsid w:val="00093DEF"/>
    <w:rsid w:val="00094237"/>
    <w:rsid w:val="00095466"/>
    <w:rsid w:val="000963DB"/>
    <w:rsid w:val="000967B8"/>
    <w:rsid w:val="000971EA"/>
    <w:rsid w:val="000A0399"/>
    <w:rsid w:val="000A0774"/>
    <w:rsid w:val="000A0B0B"/>
    <w:rsid w:val="000A0EB3"/>
    <w:rsid w:val="000A0FC5"/>
    <w:rsid w:val="000A1007"/>
    <w:rsid w:val="000A1CEA"/>
    <w:rsid w:val="000A1F9A"/>
    <w:rsid w:val="000A21A6"/>
    <w:rsid w:val="000A402B"/>
    <w:rsid w:val="000A490F"/>
    <w:rsid w:val="000A5994"/>
    <w:rsid w:val="000A5DE6"/>
    <w:rsid w:val="000A60EC"/>
    <w:rsid w:val="000A62A3"/>
    <w:rsid w:val="000A6D29"/>
    <w:rsid w:val="000A7B2E"/>
    <w:rsid w:val="000B02F1"/>
    <w:rsid w:val="000B0A27"/>
    <w:rsid w:val="000B0EFD"/>
    <w:rsid w:val="000B11DA"/>
    <w:rsid w:val="000B1AB8"/>
    <w:rsid w:val="000B1C0F"/>
    <w:rsid w:val="000B2268"/>
    <w:rsid w:val="000B2C78"/>
    <w:rsid w:val="000B3053"/>
    <w:rsid w:val="000B370F"/>
    <w:rsid w:val="000B3F61"/>
    <w:rsid w:val="000B43E5"/>
    <w:rsid w:val="000B4C24"/>
    <w:rsid w:val="000B542E"/>
    <w:rsid w:val="000B6176"/>
    <w:rsid w:val="000B7C14"/>
    <w:rsid w:val="000C0106"/>
    <w:rsid w:val="000C05E8"/>
    <w:rsid w:val="000C10B5"/>
    <w:rsid w:val="000C1215"/>
    <w:rsid w:val="000C12FF"/>
    <w:rsid w:val="000C14E0"/>
    <w:rsid w:val="000C1552"/>
    <w:rsid w:val="000C178C"/>
    <w:rsid w:val="000C275F"/>
    <w:rsid w:val="000C30EE"/>
    <w:rsid w:val="000C328F"/>
    <w:rsid w:val="000C3BAF"/>
    <w:rsid w:val="000C3E55"/>
    <w:rsid w:val="000C3FB9"/>
    <w:rsid w:val="000C5783"/>
    <w:rsid w:val="000C57DA"/>
    <w:rsid w:val="000C67CE"/>
    <w:rsid w:val="000C6C91"/>
    <w:rsid w:val="000C74C7"/>
    <w:rsid w:val="000C791F"/>
    <w:rsid w:val="000D0BD7"/>
    <w:rsid w:val="000D0CA1"/>
    <w:rsid w:val="000D177B"/>
    <w:rsid w:val="000D1D0B"/>
    <w:rsid w:val="000D28FA"/>
    <w:rsid w:val="000D346F"/>
    <w:rsid w:val="000D3A23"/>
    <w:rsid w:val="000D3A55"/>
    <w:rsid w:val="000D3E4E"/>
    <w:rsid w:val="000D48C5"/>
    <w:rsid w:val="000D6551"/>
    <w:rsid w:val="000D65D4"/>
    <w:rsid w:val="000D79BC"/>
    <w:rsid w:val="000E03A2"/>
    <w:rsid w:val="000E0547"/>
    <w:rsid w:val="000E0F53"/>
    <w:rsid w:val="000E1398"/>
    <w:rsid w:val="000E224B"/>
    <w:rsid w:val="000E27FD"/>
    <w:rsid w:val="000E2F6A"/>
    <w:rsid w:val="000E3060"/>
    <w:rsid w:val="000E4306"/>
    <w:rsid w:val="000E46DD"/>
    <w:rsid w:val="000E4A99"/>
    <w:rsid w:val="000E4CD5"/>
    <w:rsid w:val="000E4CF7"/>
    <w:rsid w:val="000E518E"/>
    <w:rsid w:val="000E56CC"/>
    <w:rsid w:val="000E791F"/>
    <w:rsid w:val="000F1836"/>
    <w:rsid w:val="000F1D8F"/>
    <w:rsid w:val="000F3420"/>
    <w:rsid w:val="000F3B73"/>
    <w:rsid w:val="000F3E42"/>
    <w:rsid w:val="000F3F8E"/>
    <w:rsid w:val="000F4212"/>
    <w:rsid w:val="000F4914"/>
    <w:rsid w:val="000F4C7A"/>
    <w:rsid w:val="000F4DEF"/>
    <w:rsid w:val="000F534E"/>
    <w:rsid w:val="000F5B53"/>
    <w:rsid w:val="000F6337"/>
    <w:rsid w:val="000F6703"/>
    <w:rsid w:val="000F79B3"/>
    <w:rsid w:val="000F7BEC"/>
    <w:rsid w:val="001000DF"/>
    <w:rsid w:val="001001AF"/>
    <w:rsid w:val="001006FA"/>
    <w:rsid w:val="00100AA0"/>
    <w:rsid w:val="0010145A"/>
    <w:rsid w:val="001015DC"/>
    <w:rsid w:val="0010259A"/>
    <w:rsid w:val="001025A5"/>
    <w:rsid w:val="00102B9F"/>
    <w:rsid w:val="00103835"/>
    <w:rsid w:val="00104505"/>
    <w:rsid w:val="00104A02"/>
    <w:rsid w:val="00104AB0"/>
    <w:rsid w:val="00104C3C"/>
    <w:rsid w:val="0010519B"/>
    <w:rsid w:val="00105B3D"/>
    <w:rsid w:val="00105CEC"/>
    <w:rsid w:val="00105E5D"/>
    <w:rsid w:val="00106260"/>
    <w:rsid w:val="001064D9"/>
    <w:rsid w:val="00106675"/>
    <w:rsid w:val="00110027"/>
    <w:rsid w:val="00110B2A"/>
    <w:rsid w:val="001110CB"/>
    <w:rsid w:val="001117EF"/>
    <w:rsid w:val="00111A39"/>
    <w:rsid w:val="00111AB8"/>
    <w:rsid w:val="00111BBE"/>
    <w:rsid w:val="00112D4B"/>
    <w:rsid w:val="00112E31"/>
    <w:rsid w:val="00113510"/>
    <w:rsid w:val="00113E0A"/>
    <w:rsid w:val="001142B1"/>
    <w:rsid w:val="001142FF"/>
    <w:rsid w:val="00114585"/>
    <w:rsid w:val="0011460D"/>
    <w:rsid w:val="00114D2B"/>
    <w:rsid w:val="0011538B"/>
    <w:rsid w:val="00115435"/>
    <w:rsid w:val="00115B6B"/>
    <w:rsid w:val="00115C21"/>
    <w:rsid w:val="00115D1C"/>
    <w:rsid w:val="001165DA"/>
    <w:rsid w:val="00120F5C"/>
    <w:rsid w:val="001212CE"/>
    <w:rsid w:val="0012130D"/>
    <w:rsid w:val="001218D4"/>
    <w:rsid w:val="00121A64"/>
    <w:rsid w:val="00121F7A"/>
    <w:rsid w:val="00122460"/>
    <w:rsid w:val="00122872"/>
    <w:rsid w:val="001233A4"/>
    <w:rsid w:val="001239E8"/>
    <w:rsid w:val="001240B9"/>
    <w:rsid w:val="00124107"/>
    <w:rsid w:val="001241DD"/>
    <w:rsid w:val="0012435D"/>
    <w:rsid w:val="001252FE"/>
    <w:rsid w:val="00125818"/>
    <w:rsid w:val="0012636B"/>
    <w:rsid w:val="00127931"/>
    <w:rsid w:val="0012795E"/>
    <w:rsid w:val="00130106"/>
    <w:rsid w:val="0013018C"/>
    <w:rsid w:val="001304BC"/>
    <w:rsid w:val="00130902"/>
    <w:rsid w:val="00130F74"/>
    <w:rsid w:val="001312CF"/>
    <w:rsid w:val="00133881"/>
    <w:rsid w:val="001347DB"/>
    <w:rsid w:val="00135446"/>
    <w:rsid w:val="00135868"/>
    <w:rsid w:val="00136324"/>
    <w:rsid w:val="00137230"/>
    <w:rsid w:val="0013775B"/>
    <w:rsid w:val="00137ACB"/>
    <w:rsid w:val="00137E61"/>
    <w:rsid w:val="00140300"/>
    <w:rsid w:val="0014078A"/>
    <w:rsid w:val="0014195B"/>
    <w:rsid w:val="00142169"/>
    <w:rsid w:val="001421C9"/>
    <w:rsid w:val="00142425"/>
    <w:rsid w:val="00142808"/>
    <w:rsid w:val="00142D69"/>
    <w:rsid w:val="00143BD7"/>
    <w:rsid w:val="00144BB4"/>
    <w:rsid w:val="001451B4"/>
    <w:rsid w:val="00145328"/>
    <w:rsid w:val="001453FA"/>
    <w:rsid w:val="0014613A"/>
    <w:rsid w:val="001464C8"/>
    <w:rsid w:val="001465DB"/>
    <w:rsid w:val="00146C15"/>
    <w:rsid w:val="00146C5E"/>
    <w:rsid w:val="00146D7C"/>
    <w:rsid w:val="00147B39"/>
    <w:rsid w:val="001507BA"/>
    <w:rsid w:val="00150919"/>
    <w:rsid w:val="001511B7"/>
    <w:rsid w:val="001517F3"/>
    <w:rsid w:val="00152469"/>
    <w:rsid w:val="00152944"/>
    <w:rsid w:val="00152C80"/>
    <w:rsid w:val="00153F85"/>
    <w:rsid w:val="00154895"/>
    <w:rsid w:val="00155F10"/>
    <w:rsid w:val="001563C2"/>
    <w:rsid w:val="00156A3A"/>
    <w:rsid w:val="001573FE"/>
    <w:rsid w:val="00157663"/>
    <w:rsid w:val="0015771C"/>
    <w:rsid w:val="00157A46"/>
    <w:rsid w:val="00157D69"/>
    <w:rsid w:val="00157E2E"/>
    <w:rsid w:val="001606F6"/>
    <w:rsid w:val="00160820"/>
    <w:rsid w:val="00160F5E"/>
    <w:rsid w:val="00161BE0"/>
    <w:rsid w:val="00162787"/>
    <w:rsid w:val="00163054"/>
    <w:rsid w:val="00163DB4"/>
    <w:rsid w:val="00164CA0"/>
    <w:rsid w:val="00164DDE"/>
    <w:rsid w:val="00164E54"/>
    <w:rsid w:val="0016505B"/>
    <w:rsid w:val="001653C1"/>
    <w:rsid w:val="0016580F"/>
    <w:rsid w:val="00166006"/>
    <w:rsid w:val="00166468"/>
    <w:rsid w:val="0016692E"/>
    <w:rsid w:val="00170612"/>
    <w:rsid w:val="001706C8"/>
    <w:rsid w:val="00170A34"/>
    <w:rsid w:val="001710FF"/>
    <w:rsid w:val="00171966"/>
    <w:rsid w:val="00171A06"/>
    <w:rsid w:val="00171F12"/>
    <w:rsid w:val="00172F0C"/>
    <w:rsid w:val="001735DF"/>
    <w:rsid w:val="001741B1"/>
    <w:rsid w:val="001747E7"/>
    <w:rsid w:val="00175232"/>
    <w:rsid w:val="001755ED"/>
    <w:rsid w:val="001758BE"/>
    <w:rsid w:val="00175A79"/>
    <w:rsid w:val="00176649"/>
    <w:rsid w:val="00177B0E"/>
    <w:rsid w:val="001804FD"/>
    <w:rsid w:val="0018064F"/>
    <w:rsid w:val="00180F5D"/>
    <w:rsid w:val="001820F4"/>
    <w:rsid w:val="0018211E"/>
    <w:rsid w:val="00183A5B"/>
    <w:rsid w:val="00183E6A"/>
    <w:rsid w:val="00184116"/>
    <w:rsid w:val="0018576D"/>
    <w:rsid w:val="001863E9"/>
    <w:rsid w:val="0018665B"/>
    <w:rsid w:val="00186B6C"/>
    <w:rsid w:val="001873C8"/>
    <w:rsid w:val="001878A4"/>
    <w:rsid w:val="00190878"/>
    <w:rsid w:val="00190A79"/>
    <w:rsid w:val="00190EBF"/>
    <w:rsid w:val="00191006"/>
    <w:rsid w:val="00191DEA"/>
    <w:rsid w:val="0019274A"/>
    <w:rsid w:val="00193FDA"/>
    <w:rsid w:val="00194738"/>
    <w:rsid w:val="00194A23"/>
    <w:rsid w:val="00194D63"/>
    <w:rsid w:val="0019552B"/>
    <w:rsid w:val="0019612F"/>
    <w:rsid w:val="00196704"/>
    <w:rsid w:val="001967DE"/>
    <w:rsid w:val="00196DC7"/>
    <w:rsid w:val="001976D9"/>
    <w:rsid w:val="00197758"/>
    <w:rsid w:val="001977BB"/>
    <w:rsid w:val="001978DD"/>
    <w:rsid w:val="001A0A8B"/>
    <w:rsid w:val="001A1256"/>
    <w:rsid w:val="001A131A"/>
    <w:rsid w:val="001A1AC8"/>
    <w:rsid w:val="001A2382"/>
    <w:rsid w:val="001A2733"/>
    <w:rsid w:val="001A38C9"/>
    <w:rsid w:val="001A3E00"/>
    <w:rsid w:val="001A4366"/>
    <w:rsid w:val="001A517F"/>
    <w:rsid w:val="001A52D1"/>
    <w:rsid w:val="001A65BE"/>
    <w:rsid w:val="001A65F3"/>
    <w:rsid w:val="001A6A56"/>
    <w:rsid w:val="001A6C33"/>
    <w:rsid w:val="001A71FA"/>
    <w:rsid w:val="001A77FB"/>
    <w:rsid w:val="001B077C"/>
    <w:rsid w:val="001B0980"/>
    <w:rsid w:val="001B0A79"/>
    <w:rsid w:val="001B0C13"/>
    <w:rsid w:val="001B14FE"/>
    <w:rsid w:val="001B22DF"/>
    <w:rsid w:val="001B24CB"/>
    <w:rsid w:val="001B38C9"/>
    <w:rsid w:val="001B3B27"/>
    <w:rsid w:val="001B4B73"/>
    <w:rsid w:val="001B4ECC"/>
    <w:rsid w:val="001B506B"/>
    <w:rsid w:val="001B56A2"/>
    <w:rsid w:val="001B580E"/>
    <w:rsid w:val="001B59CD"/>
    <w:rsid w:val="001B753C"/>
    <w:rsid w:val="001C0A7D"/>
    <w:rsid w:val="001C0FA6"/>
    <w:rsid w:val="001C1018"/>
    <w:rsid w:val="001C2611"/>
    <w:rsid w:val="001C274C"/>
    <w:rsid w:val="001C2B84"/>
    <w:rsid w:val="001C35B8"/>
    <w:rsid w:val="001C3960"/>
    <w:rsid w:val="001C3F2A"/>
    <w:rsid w:val="001C43E4"/>
    <w:rsid w:val="001C4469"/>
    <w:rsid w:val="001C48B0"/>
    <w:rsid w:val="001C5613"/>
    <w:rsid w:val="001C5AF8"/>
    <w:rsid w:val="001C6950"/>
    <w:rsid w:val="001C6C31"/>
    <w:rsid w:val="001C7227"/>
    <w:rsid w:val="001C74D9"/>
    <w:rsid w:val="001D060C"/>
    <w:rsid w:val="001D08AE"/>
    <w:rsid w:val="001D1B41"/>
    <w:rsid w:val="001D1D12"/>
    <w:rsid w:val="001D2163"/>
    <w:rsid w:val="001D2347"/>
    <w:rsid w:val="001D3023"/>
    <w:rsid w:val="001D335B"/>
    <w:rsid w:val="001D35F0"/>
    <w:rsid w:val="001D4C16"/>
    <w:rsid w:val="001D4D48"/>
    <w:rsid w:val="001D5CE2"/>
    <w:rsid w:val="001D601D"/>
    <w:rsid w:val="001D678E"/>
    <w:rsid w:val="001D6C59"/>
    <w:rsid w:val="001D6D24"/>
    <w:rsid w:val="001D72F6"/>
    <w:rsid w:val="001D79A0"/>
    <w:rsid w:val="001E0689"/>
    <w:rsid w:val="001E070F"/>
    <w:rsid w:val="001E0944"/>
    <w:rsid w:val="001E0C6E"/>
    <w:rsid w:val="001E11FC"/>
    <w:rsid w:val="001E1B42"/>
    <w:rsid w:val="001E23E3"/>
    <w:rsid w:val="001E2BA6"/>
    <w:rsid w:val="001E2D55"/>
    <w:rsid w:val="001E2E77"/>
    <w:rsid w:val="001E350C"/>
    <w:rsid w:val="001E36CE"/>
    <w:rsid w:val="001E3D89"/>
    <w:rsid w:val="001E450F"/>
    <w:rsid w:val="001E4667"/>
    <w:rsid w:val="001E492D"/>
    <w:rsid w:val="001E493B"/>
    <w:rsid w:val="001E4CB7"/>
    <w:rsid w:val="001E5194"/>
    <w:rsid w:val="001E5C52"/>
    <w:rsid w:val="001E5F50"/>
    <w:rsid w:val="001E69D5"/>
    <w:rsid w:val="001E6E6D"/>
    <w:rsid w:val="001E7385"/>
    <w:rsid w:val="001E7F93"/>
    <w:rsid w:val="001F0CA8"/>
    <w:rsid w:val="001F118F"/>
    <w:rsid w:val="001F247B"/>
    <w:rsid w:val="001F3538"/>
    <w:rsid w:val="001F37A1"/>
    <w:rsid w:val="001F3917"/>
    <w:rsid w:val="001F392D"/>
    <w:rsid w:val="001F3A0E"/>
    <w:rsid w:val="001F3CC0"/>
    <w:rsid w:val="001F3D3C"/>
    <w:rsid w:val="001F4369"/>
    <w:rsid w:val="001F528D"/>
    <w:rsid w:val="001F5615"/>
    <w:rsid w:val="001F5772"/>
    <w:rsid w:val="001F6BC5"/>
    <w:rsid w:val="001F745D"/>
    <w:rsid w:val="001F7A61"/>
    <w:rsid w:val="001F7DD5"/>
    <w:rsid w:val="002001D0"/>
    <w:rsid w:val="00201215"/>
    <w:rsid w:val="0020154A"/>
    <w:rsid w:val="002020F4"/>
    <w:rsid w:val="002025BF"/>
    <w:rsid w:val="002027A6"/>
    <w:rsid w:val="00202BDF"/>
    <w:rsid w:val="00203CF4"/>
    <w:rsid w:val="00204F2A"/>
    <w:rsid w:val="002050CD"/>
    <w:rsid w:val="002059D1"/>
    <w:rsid w:val="00207052"/>
    <w:rsid w:val="00207728"/>
    <w:rsid w:val="00211100"/>
    <w:rsid w:val="00212072"/>
    <w:rsid w:val="00212602"/>
    <w:rsid w:val="00212F39"/>
    <w:rsid w:val="0021451A"/>
    <w:rsid w:val="002145BF"/>
    <w:rsid w:val="002145CA"/>
    <w:rsid w:val="0021485C"/>
    <w:rsid w:val="002149FF"/>
    <w:rsid w:val="002154EA"/>
    <w:rsid w:val="00216342"/>
    <w:rsid w:val="002165CA"/>
    <w:rsid w:val="00216D5F"/>
    <w:rsid w:val="00217C27"/>
    <w:rsid w:val="0022050A"/>
    <w:rsid w:val="00221955"/>
    <w:rsid w:val="0022280C"/>
    <w:rsid w:val="00222D23"/>
    <w:rsid w:val="00224343"/>
    <w:rsid w:val="002245D3"/>
    <w:rsid w:val="00224EE5"/>
    <w:rsid w:val="00225564"/>
    <w:rsid w:val="0022636B"/>
    <w:rsid w:val="0022674B"/>
    <w:rsid w:val="002267F0"/>
    <w:rsid w:val="00226C83"/>
    <w:rsid w:val="002278A1"/>
    <w:rsid w:val="00227F7D"/>
    <w:rsid w:val="00231BAA"/>
    <w:rsid w:val="002326DD"/>
    <w:rsid w:val="00232B1C"/>
    <w:rsid w:val="00232E16"/>
    <w:rsid w:val="00232F25"/>
    <w:rsid w:val="002330BF"/>
    <w:rsid w:val="002336A2"/>
    <w:rsid w:val="00233C3B"/>
    <w:rsid w:val="002344ED"/>
    <w:rsid w:val="00234D49"/>
    <w:rsid w:val="00234D61"/>
    <w:rsid w:val="00235446"/>
    <w:rsid w:val="002356E2"/>
    <w:rsid w:val="00235CE3"/>
    <w:rsid w:val="0023625E"/>
    <w:rsid w:val="0023626E"/>
    <w:rsid w:val="00236AA5"/>
    <w:rsid w:val="00236E31"/>
    <w:rsid w:val="00237371"/>
    <w:rsid w:val="002378B8"/>
    <w:rsid w:val="00237CDC"/>
    <w:rsid w:val="00237E27"/>
    <w:rsid w:val="00240772"/>
    <w:rsid w:val="00240C9D"/>
    <w:rsid w:val="00241A4C"/>
    <w:rsid w:val="00241E5F"/>
    <w:rsid w:val="002426E0"/>
    <w:rsid w:val="00242771"/>
    <w:rsid w:val="00242CA0"/>
    <w:rsid w:val="00242D43"/>
    <w:rsid w:val="002430E8"/>
    <w:rsid w:val="0024385D"/>
    <w:rsid w:val="002442EB"/>
    <w:rsid w:val="00245506"/>
    <w:rsid w:val="00245B09"/>
    <w:rsid w:val="00245EA7"/>
    <w:rsid w:val="00246C9A"/>
    <w:rsid w:val="00247871"/>
    <w:rsid w:val="002505EB"/>
    <w:rsid w:val="0025089B"/>
    <w:rsid w:val="00250CCA"/>
    <w:rsid w:val="00251932"/>
    <w:rsid w:val="00252C4E"/>
    <w:rsid w:val="00252F6A"/>
    <w:rsid w:val="00252F85"/>
    <w:rsid w:val="0025306F"/>
    <w:rsid w:val="00253C8E"/>
    <w:rsid w:val="00253F3A"/>
    <w:rsid w:val="00253FE2"/>
    <w:rsid w:val="0025444E"/>
    <w:rsid w:val="00254785"/>
    <w:rsid w:val="002555ED"/>
    <w:rsid w:val="00255695"/>
    <w:rsid w:val="002556AC"/>
    <w:rsid w:val="00255C6C"/>
    <w:rsid w:val="00256F35"/>
    <w:rsid w:val="0025763C"/>
    <w:rsid w:val="00257A10"/>
    <w:rsid w:val="00257AB5"/>
    <w:rsid w:val="00260283"/>
    <w:rsid w:val="00260BC7"/>
    <w:rsid w:val="002612FA"/>
    <w:rsid w:val="0026136F"/>
    <w:rsid w:val="00261561"/>
    <w:rsid w:val="00261980"/>
    <w:rsid w:val="00262633"/>
    <w:rsid w:val="00262858"/>
    <w:rsid w:val="00262D3E"/>
    <w:rsid w:val="00264294"/>
    <w:rsid w:val="00264328"/>
    <w:rsid w:val="00264FE1"/>
    <w:rsid w:val="00264FF3"/>
    <w:rsid w:val="002650BE"/>
    <w:rsid w:val="002653A0"/>
    <w:rsid w:val="00265911"/>
    <w:rsid w:val="00265BB8"/>
    <w:rsid w:val="00265BC8"/>
    <w:rsid w:val="00265CFA"/>
    <w:rsid w:val="00265DF1"/>
    <w:rsid w:val="00266121"/>
    <w:rsid w:val="002673DF"/>
    <w:rsid w:val="00267452"/>
    <w:rsid w:val="00267E8F"/>
    <w:rsid w:val="00270F3D"/>
    <w:rsid w:val="0027133C"/>
    <w:rsid w:val="00271D27"/>
    <w:rsid w:val="0027212D"/>
    <w:rsid w:val="00272201"/>
    <w:rsid w:val="00272A0B"/>
    <w:rsid w:val="00272B05"/>
    <w:rsid w:val="00272D4D"/>
    <w:rsid w:val="00272D96"/>
    <w:rsid w:val="002731F9"/>
    <w:rsid w:val="00273CC7"/>
    <w:rsid w:val="0027452F"/>
    <w:rsid w:val="00274F68"/>
    <w:rsid w:val="00275865"/>
    <w:rsid w:val="00275A27"/>
    <w:rsid w:val="0027622E"/>
    <w:rsid w:val="00276A82"/>
    <w:rsid w:val="00276B12"/>
    <w:rsid w:val="00276B39"/>
    <w:rsid w:val="00276EB9"/>
    <w:rsid w:val="00277891"/>
    <w:rsid w:val="00280636"/>
    <w:rsid w:val="00281536"/>
    <w:rsid w:val="00281EC6"/>
    <w:rsid w:val="0028212B"/>
    <w:rsid w:val="0028396E"/>
    <w:rsid w:val="00283B5B"/>
    <w:rsid w:val="00283D8E"/>
    <w:rsid w:val="00283D92"/>
    <w:rsid w:val="00283F12"/>
    <w:rsid w:val="00284711"/>
    <w:rsid w:val="002849DB"/>
    <w:rsid w:val="00284A43"/>
    <w:rsid w:val="0028507C"/>
    <w:rsid w:val="00285452"/>
    <w:rsid w:val="00286449"/>
    <w:rsid w:val="00286585"/>
    <w:rsid w:val="0028704C"/>
    <w:rsid w:val="002878E1"/>
    <w:rsid w:val="002902E7"/>
    <w:rsid w:val="002906C9"/>
    <w:rsid w:val="0029072D"/>
    <w:rsid w:val="002909FE"/>
    <w:rsid w:val="00291708"/>
    <w:rsid w:val="00293DC3"/>
    <w:rsid w:val="00294235"/>
    <w:rsid w:val="0029479A"/>
    <w:rsid w:val="002947DE"/>
    <w:rsid w:val="0029496C"/>
    <w:rsid w:val="00294DC6"/>
    <w:rsid w:val="002956A1"/>
    <w:rsid w:val="00295ABA"/>
    <w:rsid w:val="00295B2A"/>
    <w:rsid w:val="00295B82"/>
    <w:rsid w:val="002965E3"/>
    <w:rsid w:val="002969AF"/>
    <w:rsid w:val="00296BB5"/>
    <w:rsid w:val="00296DEB"/>
    <w:rsid w:val="0029764E"/>
    <w:rsid w:val="002978A9"/>
    <w:rsid w:val="002A0110"/>
    <w:rsid w:val="002A04BB"/>
    <w:rsid w:val="002A08E7"/>
    <w:rsid w:val="002A11C9"/>
    <w:rsid w:val="002A16E1"/>
    <w:rsid w:val="002A1CE0"/>
    <w:rsid w:val="002A1DBD"/>
    <w:rsid w:val="002A2812"/>
    <w:rsid w:val="002A2D14"/>
    <w:rsid w:val="002A33DD"/>
    <w:rsid w:val="002A353A"/>
    <w:rsid w:val="002A476E"/>
    <w:rsid w:val="002A492D"/>
    <w:rsid w:val="002A49DE"/>
    <w:rsid w:val="002A6B12"/>
    <w:rsid w:val="002A6DF5"/>
    <w:rsid w:val="002A7BBA"/>
    <w:rsid w:val="002B033D"/>
    <w:rsid w:val="002B06AA"/>
    <w:rsid w:val="002B0A38"/>
    <w:rsid w:val="002B146B"/>
    <w:rsid w:val="002B1693"/>
    <w:rsid w:val="002B19CF"/>
    <w:rsid w:val="002B2378"/>
    <w:rsid w:val="002B24E2"/>
    <w:rsid w:val="002B2527"/>
    <w:rsid w:val="002B2D0C"/>
    <w:rsid w:val="002B31A3"/>
    <w:rsid w:val="002B398C"/>
    <w:rsid w:val="002B3B70"/>
    <w:rsid w:val="002B403F"/>
    <w:rsid w:val="002B4FE6"/>
    <w:rsid w:val="002B50BF"/>
    <w:rsid w:val="002B5C72"/>
    <w:rsid w:val="002B6384"/>
    <w:rsid w:val="002B667E"/>
    <w:rsid w:val="002B687C"/>
    <w:rsid w:val="002B733F"/>
    <w:rsid w:val="002B7A17"/>
    <w:rsid w:val="002C013D"/>
    <w:rsid w:val="002C04EC"/>
    <w:rsid w:val="002C05BA"/>
    <w:rsid w:val="002C07B8"/>
    <w:rsid w:val="002C09B3"/>
    <w:rsid w:val="002C1CD0"/>
    <w:rsid w:val="002C22FD"/>
    <w:rsid w:val="002C2A8D"/>
    <w:rsid w:val="002C2C37"/>
    <w:rsid w:val="002C42DF"/>
    <w:rsid w:val="002C436C"/>
    <w:rsid w:val="002C4448"/>
    <w:rsid w:val="002C4EDB"/>
    <w:rsid w:val="002C511A"/>
    <w:rsid w:val="002C51F4"/>
    <w:rsid w:val="002C5FAF"/>
    <w:rsid w:val="002C6139"/>
    <w:rsid w:val="002C642D"/>
    <w:rsid w:val="002C713B"/>
    <w:rsid w:val="002C7498"/>
    <w:rsid w:val="002C7608"/>
    <w:rsid w:val="002D027E"/>
    <w:rsid w:val="002D0A5B"/>
    <w:rsid w:val="002D0D19"/>
    <w:rsid w:val="002D1641"/>
    <w:rsid w:val="002D1A50"/>
    <w:rsid w:val="002D1B4E"/>
    <w:rsid w:val="002D2810"/>
    <w:rsid w:val="002D2966"/>
    <w:rsid w:val="002D2EC6"/>
    <w:rsid w:val="002D2F25"/>
    <w:rsid w:val="002D371A"/>
    <w:rsid w:val="002D3A6D"/>
    <w:rsid w:val="002D3AA3"/>
    <w:rsid w:val="002D3B92"/>
    <w:rsid w:val="002D4CC3"/>
    <w:rsid w:val="002D50AB"/>
    <w:rsid w:val="002D58E4"/>
    <w:rsid w:val="002D5BA7"/>
    <w:rsid w:val="002D6AD4"/>
    <w:rsid w:val="002D6B8C"/>
    <w:rsid w:val="002D6EB7"/>
    <w:rsid w:val="002D74E2"/>
    <w:rsid w:val="002D7779"/>
    <w:rsid w:val="002D7A6B"/>
    <w:rsid w:val="002E0625"/>
    <w:rsid w:val="002E0D3A"/>
    <w:rsid w:val="002E125E"/>
    <w:rsid w:val="002E1543"/>
    <w:rsid w:val="002E22E1"/>
    <w:rsid w:val="002E26F7"/>
    <w:rsid w:val="002E36FC"/>
    <w:rsid w:val="002E3BA7"/>
    <w:rsid w:val="002E3C39"/>
    <w:rsid w:val="002E3E4D"/>
    <w:rsid w:val="002E3EF1"/>
    <w:rsid w:val="002E3F6A"/>
    <w:rsid w:val="002E4745"/>
    <w:rsid w:val="002E4D5B"/>
    <w:rsid w:val="002E5733"/>
    <w:rsid w:val="002E5B16"/>
    <w:rsid w:val="002E5F27"/>
    <w:rsid w:val="002E6020"/>
    <w:rsid w:val="002E6331"/>
    <w:rsid w:val="002E6446"/>
    <w:rsid w:val="002E6597"/>
    <w:rsid w:val="002E7116"/>
    <w:rsid w:val="002E7DC9"/>
    <w:rsid w:val="002F066F"/>
    <w:rsid w:val="002F075F"/>
    <w:rsid w:val="002F0895"/>
    <w:rsid w:val="002F0B3B"/>
    <w:rsid w:val="002F0B69"/>
    <w:rsid w:val="002F1D21"/>
    <w:rsid w:val="002F1EC1"/>
    <w:rsid w:val="002F2C25"/>
    <w:rsid w:val="002F30CD"/>
    <w:rsid w:val="002F31BE"/>
    <w:rsid w:val="002F3299"/>
    <w:rsid w:val="002F445B"/>
    <w:rsid w:val="002F4567"/>
    <w:rsid w:val="002F590E"/>
    <w:rsid w:val="002F5CB1"/>
    <w:rsid w:val="002F6475"/>
    <w:rsid w:val="002F6B63"/>
    <w:rsid w:val="002F6B8D"/>
    <w:rsid w:val="003000D1"/>
    <w:rsid w:val="0030043F"/>
    <w:rsid w:val="003008FA"/>
    <w:rsid w:val="0030105D"/>
    <w:rsid w:val="00302044"/>
    <w:rsid w:val="0030213C"/>
    <w:rsid w:val="0030217E"/>
    <w:rsid w:val="00302A16"/>
    <w:rsid w:val="00303797"/>
    <w:rsid w:val="00304213"/>
    <w:rsid w:val="00304691"/>
    <w:rsid w:val="00305230"/>
    <w:rsid w:val="0030549C"/>
    <w:rsid w:val="003065F1"/>
    <w:rsid w:val="003108E9"/>
    <w:rsid w:val="00311C8F"/>
    <w:rsid w:val="003123A9"/>
    <w:rsid w:val="00312801"/>
    <w:rsid w:val="00312911"/>
    <w:rsid w:val="00312F99"/>
    <w:rsid w:val="0031319E"/>
    <w:rsid w:val="0031442A"/>
    <w:rsid w:val="003149D4"/>
    <w:rsid w:val="00315543"/>
    <w:rsid w:val="00315A2F"/>
    <w:rsid w:val="00315C4B"/>
    <w:rsid w:val="00315F5F"/>
    <w:rsid w:val="003162B0"/>
    <w:rsid w:val="00316B67"/>
    <w:rsid w:val="003176CB"/>
    <w:rsid w:val="003176F1"/>
    <w:rsid w:val="00317B7F"/>
    <w:rsid w:val="00317C29"/>
    <w:rsid w:val="00321A39"/>
    <w:rsid w:val="00322993"/>
    <w:rsid w:val="00322E92"/>
    <w:rsid w:val="003233E5"/>
    <w:rsid w:val="0032390B"/>
    <w:rsid w:val="00323C61"/>
    <w:rsid w:val="00324278"/>
    <w:rsid w:val="00324351"/>
    <w:rsid w:val="00324DDC"/>
    <w:rsid w:val="00325503"/>
    <w:rsid w:val="003255F8"/>
    <w:rsid w:val="00325DBE"/>
    <w:rsid w:val="00325E1C"/>
    <w:rsid w:val="00325E94"/>
    <w:rsid w:val="00326E61"/>
    <w:rsid w:val="00327409"/>
    <w:rsid w:val="00327969"/>
    <w:rsid w:val="00327A1F"/>
    <w:rsid w:val="00327B4A"/>
    <w:rsid w:val="003305C4"/>
    <w:rsid w:val="003307CF"/>
    <w:rsid w:val="003319E9"/>
    <w:rsid w:val="00331DAC"/>
    <w:rsid w:val="00332319"/>
    <w:rsid w:val="00332821"/>
    <w:rsid w:val="00332A08"/>
    <w:rsid w:val="00334293"/>
    <w:rsid w:val="00334532"/>
    <w:rsid w:val="00334956"/>
    <w:rsid w:val="003359F1"/>
    <w:rsid w:val="00337BAE"/>
    <w:rsid w:val="00337F0C"/>
    <w:rsid w:val="00337F7E"/>
    <w:rsid w:val="00340191"/>
    <w:rsid w:val="00340786"/>
    <w:rsid w:val="00341456"/>
    <w:rsid w:val="00341550"/>
    <w:rsid w:val="00341566"/>
    <w:rsid w:val="00341980"/>
    <w:rsid w:val="00341DFB"/>
    <w:rsid w:val="00341F2D"/>
    <w:rsid w:val="00342151"/>
    <w:rsid w:val="00344972"/>
    <w:rsid w:val="00344B47"/>
    <w:rsid w:val="00345ACC"/>
    <w:rsid w:val="00345DD8"/>
    <w:rsid w:val="00345DE5"/>
    <w:rsid w:val="0034699A"/>
    <w:rsid w:val="00346BFA"/>
    <w:rsid w:val="003478CD"/>
    <w:rsid w:val="00347E87"/>
    <w:rsid w:val="003510DC"/>
    <w:rsid w:val="003511DD"/>
    <w:rsid w:val="003512B6"/>
    <w:rsid w:val="00351361"/>
    <w:rsid w:val="00351760"/>
    <w:rsid w:val="00351E36"/>
    <w:rsid w:val="00352385"/>
    <w:rsid w:val="00352B88"/>
    <w:rsid w:val="00352D0E"/>
    <w:rsid w:val="00355427"/>
    <w:rsid w:val="00355966"/>
    <w:rsid w:val="00356C2F"/>
    <w:rsid w:val="00356D5E"/>
    <w:rsid w:val="00357581"/>
    <w:rsid w:val="0035768D"/>
    <w:rsid w:val="00357F92"/>
    <w:rsid w:val="003605F3"/>
    <w:rsid w:val="00360ABC"/>
    <w:rsid w:val="00361016"/>
    <w:rsid w:val="003618C5"/>
    <w:rsid w:val="00363532"/>
    <w:rsid w:val="003639E9"/>
    <w:rsid w:val="00363E00"/>
    <w:rsid w:val="00363FC1"/>
    <w:rsid w:val="00363FF6"/>
    <w:rsid w:val="0036418E"/>
    <w:rsid w:val="00364389"/>
    <w:rsid w:val="00365372"/>
    <w:rsid w:val="00365592"/>
    <w:rsid w:val="00366139"/>
    <w:rsid w:val="00366D44"/>
    <w:rsid w:val="00366DED"/>
    <w:rsid w:val="00366EA1"/>
    <w:rsid w:val="00366FD0"/>
    <w:rsid w:val="0036775E"/>
    <w:rsid w:val="00367965"/>
    <w:rsid w:val="00367AB0"/>
    <w:rsid w:val="003706F7"/>
    <w:rsid w:val="0037128C"/>
    <w:rsid w:val="00371719"/>
    <w:rsid w:val="00371994"/>
    <w:rsid w:val="003719B5"/>
    <w:rsid w:val="003725FD"/>
    <w:rsid w:val="003728B9"/>
    <w:rsid w:val="00372B95"/>
    <w:rsid w:val="003735FE"/>
    <w:rsid w:val="00374F52"/>
    <w:rsid w:val="00375139"/>
    <w:rsid w:val="0037649B"/>
    <w:rsid w:val="0037662C"/>
    <w:rsid w:val="00376D36"/>
    <w:rsid w:val="00377C61"/>
    <w:rsid w:val="00377D8B"/>
    <w:rsid w:val="00377EB4"/>
    <w:rsid w:val="00377FCB"/>
    <w:rsid w:val="00381137"/>
    <w:rsid w:val="00382078"/>
    <w:rsid w:val="00382273"/>
    <w:rsid w:val="00382494"/>
    <w:rsid w:val="003827BB"/>
    <w:rsid w:val="00382A38"/>
    <w:rsid w:val="003834A4"/>
    <w:rsid w:val="003834D4"/>
    <w:rsid w:val="003836F8"/>
    <w:rsid w:val="00383FC3"/>
    <w:rsid w:val="00384A4F"/>
    <w:rsid w:val="00384DE6"/>
    <w:rsid w:val="00386414"/>
    <w:rsid w:val="003865DE"/>
    <w:rsid w:val="00387727"/>
    <w:rsid w:val="003879D1"/>
    <w:rsid w:val="00387F7B"/>
    <w:rsid w:val="0039092D"/>
    <w:rsid w:val="00390E8F"/>
    <w:rsid w:val="0039149D"/>
    <w:rsid w:val="00391FA2"/>
    <w:rsid w:val="003925CF"/>
    <w:rsid w:val="00392EC9"/>
    <w:rsid w:val="00392F5E"/>
    <w:rsid w:val="00392F9B"/>
    <w:rsid w:val="00393052"/>
    <w:rsid w:val="003948FF"/>
    <w:rsid w:val="00394ED9"/>
    <w:rsid w:val="00395228"/>
    <w:rsid w:val="0039529C"/>
    <w:rsid w:val="00396437"/>
    <w:rsid w:val="00396E58"/>
    <w:rsid w:val="003973C7"/>
    <w:rsid w:val="00397DA3"/>
    <w:rsid w:val="00397DF3"/>
    <w:rsid w:val="003A00E5"/>
    <w:rsid w:val="003A0A51"/>
    <w:rsid w:val="003A114A"/>
    <w:rsid w:val="003A1345"/>
    <w:rsid w:val="003A19E0"/>
    <w:rsid w:val="003A1DF8"/>
    <w:rsid w:val="003A24A7"/>
    <w:rsid w:val="003A2BA1"/>
    <w:rsid w:val="003A2EAF"/>
    <w:rsid w:val="003A49BA"/>
    <w:rsid w:val="003A4D8A"/>
    <w:rsid w:val="003A5650"/>
    <w:rsid w:val="003A5936"/>
    <w:rsid w:val="003A5FDE"/>
    <w:rsid w:val="003A611F"/>
    <w:rsid w:val="003A619A"/>
    <w:rsid w:val="003A6D10"/>
    <w:rsid w:val="003A7719"/>
    <w:rsid w:val="003A79DE"/>
    <w:rsid w:val="003B06ED"/>
    <w:rsid w:val="003B0799"/>
    <w:rsid w:val="003B1111"/>
    <w:rsid w:val="003B116C"/>
    <w:rsid w:val="003B1ED2"/>
    <w:rsid w:val="003B2420"/>
    <w:rsid w:val="003B2941"/>
    <w:rsid w:val="003B2EB0"/>
    <w:rsid w:val="003B339A"/>
    <w:rsid w:val="003B3B16"/>
    <w:rsid w:val="003B40FC"/>
    <w:rsid w:val="003B4E4C"/>
    <w:rsid w:val="003B590B"/>
    <w:rsid w:val="003B64C1"/>
    <w:rsid w:val="003B7028"/>
    <w:rsid w:val="003B7A3F"/>
    <w:rsid w:val="003B7BF7"/>
    <w:rsid w:val="003B7DDA"/>
    <w:rsid w:val="003B7FB2"/>
    <w:rsid w:val="003C040D"/>
    <w:rsid w:val="003C0506"/>
    <w:rsid w:val="003C0AB7"/>
    <w:rsid w:val="003C0C26"/>
    <w:rsid w:val="003C0E89"/>
    <w:rsid w:val="003C0ECC"/>
    <w:rsid w:val="003C1611"/>
    <w:rsid w:val="003C1624"/>
    <w:rsid w:val="003C19AB"/>
    <w:rsid w:val="003C1F1A"/>
    <w:rsid w:val="003C1F59"/>
    <w:rsid w:val="003C240A"/>
    <w:rsid w:val="003C2CDA"/>
    <w:rsid w:val="003C3149"/>
    <w:rsid w:val="003C46CA"/>
    <w:rsid w:val="003C49D6"/>
    <w:rsid w:val="003C55A4"/>
    <w:rsid w:val="003C62A5"/>
    <w:rsid w:val="003D1566"/>
    <w:rsid w:val="003D1B95"/>
    <w:rsid w:val="003D1DF3"/>
    <w:rsid w:val="003D3B34"/>
    <w:rsid w:val="003D3C89"/>
    <w:rsid w:val="003D482A"/>
    <w:rsid w:val="003D48DC"/>
    <w:rsid w:val="003D572F"/>
    <w:rsid w:val="003D59A8"/>
    <w:rsid w:val="003D59DF"/>
    <w:rsid w:val="003D63B3"/>
    <w:rsid w:val="003D6460"/>
    <w:rsid w:val="003D6991"/>
    <w:rsid w:val="003D6EDD"/>
    <w:rsid w:val="003D6F25"/>
    <w:rsid w:val="003D6F57"/>
    <w:rsid w:val="003D7434"/>
    <w:rsid w:val="003D7570"/>
    <w:rsid w:val="003D7ACC"/>
    <w:rsid w:val="003D7FBD"/>
    <w:rsid w:val="003E04EC"/>
    <w:rsid w:val="003E0585"/>
    <w:rsid w:val="003E0FF9"/>
    <w:rsid w:val="003E1DD8"/>
    <w:rsid w:val="003E1F51"/>
    <w:rsid w:val="003E3F53"/>
    <w:rsid w:val="003E3FA6"/>
    <w:rsid w:val="003E45AF"/>
    <w:rsid w:val="003E4FA5"/>
    <w:rsid w:val="003E52B8"/>
    <w:rsid w:val="003E530B"/>
    <w:rsid w:val="003E65E3"/>
    <w:rsid w:val="003E6BEC"/>
    <w:rsid w:val="003E6D61"/>
    <w:rsid w:val="003E73FF"/>
    <w:rsid w:val="003E7CB4"/>
    <w:rsid w:val="003F20A3"/>
    <w:rsid w:val="003F2177"/>
    <w:rsid w:val="003F25CA"/>
    <w:rsid w:val="003F2608"/>
    <w:rsid w:val="003F32C2"/>
    <w:rsid w:val="003F33DB"/>
    <w:rsid w:val="003F3536"/>
    <w:rsid w:val="003F4039"/>
    <w:rsid w:val="003F41BD"/>
    <w:rsid w:val="003F4B3C"/>
    <w:rsid w:val="003F4CA1"/>
    <w:rsid w:val="003F516F"/>
    <w:rsid w:val="003F5EB9"/>
    <w:rsid w:val="003F6822"/>
    <w:rsid w:val="003F77D9"/>
    <w:rsid w:val="0040014A"/>
    <w:rsid w:val="00400D93"/>
    <w:rsid w:val="00401662"/>
    <w:rsid w:val="00401C63"/>
    <w:rsid w:val="00401F45"/>
    <w:rsid w:val="00402B12"/>
    <w:rsid w:val="0040314E"/>
    <w:rsid w:val="004035DD"/>
    <w:rsid w:val="00403688"/>
    <w:rsid w:val="00403733"/>
    <w:rsid w:val="00403D3A"/>
    <w:rsid w:val="00404102"/>
    <w:rsid w:val="0040453D"/>
    <w:rsid w:val="00404AD6"/>
    <w:rsid w:val="004052DB"/>
    <w:rsid w:val="00405C32"/>
    <w:rsid w:val="00406734"/>
    <w:rsid w:val="00406B2D"/>
    <w:rsid w:val="00406F22"/>
    <w:rsid w:val="00410A5E"/>
    <w:rsid w:val="00410C17"/>
    <w:rsid w:val="00410DFE"/>
    <w:rsid w:val="00411526"/>
    <w:rsid w:val="00411B4C"/>
    <w:rsid w:val="00411B4F"/>
    <w:rsid w:val="00411D03"/>
    <w:rsid w:val="00411EED"/>
    <w:rsid w:val="00412417"/>
    <w:rsid w:val="00412870"/>
    <w:rsid w:val="004128ED"/>
    <w:rsid w:val="00412B1C"/>
    <w:rsid w:val="004131B4"/>
    <w:rsid w:val="004136DB"/>
    <w:rsid w:val="004136FB"/>
    <w:rsid w:val="00413BB6"/>
    <w:rsid w:val="00414765"/>
    <w:rsid w:val="00414802"/>
    <w:rsid w:val="00414EE9"/>
    <w:rsid w:val="0041538A"/>
    <w:rsid w:val="0041577B"/>
    <w:rsid w:val="00415C51"/>
    <w:rsid w:val="00415E08"/>
    <w:rsid w:val="0041624E"/>
    <w:rsid w:val="00417847"/>
    <w:rsid w:val="00417EF5"/>
    <w:rsid w:val="00417F62"/>
    <w:rsid w:val="00421A8A"/>
    <w:rsid w:val="00421B63"/>
    <w:rsid w:val="00421EF7"/>
    <w:rsid w:val="00422807"/>
    <w:rsid w:val="00422833"/>
    <w:rsid w:val="00422E22"/>
    <w:rsid w:val="004234A9"/>
    <w:rsid w:val="0042377D"/>
    <w:rsid w:val="00424014"/>
    <w:rsid w:val="00424E25"/>
    <w:rsid w:val="00425C08"/>
    <w:rsid w:val="0042644C"/>
    <w:rsid w:val="00426694"/>
    <w:rsid w:val="00426899"/>
    <w:rsid w:val="0042689D"/>
    <w:rsid w:val="00426A25"/>
    <w:rsid w:val="00426BB6"/>
    <w:rsid w:val="00426DAC"/>
    <w:rsid w:val="004273A1"/>
    <w:rsid w:val="00430BB9"/>
    <w:rsid w:val="00430FD0"/>
    <w:rsid w:val="004334A8"/>
    <w:rsid w:val="004337F1"/>
    <w:rsid w:val="00433C83"/>
    <w:rsid w:val="0043409A"/>
    <w:rsid w:val="00434EA9"/>
    <w:rsid w:val="00435A95"/>
    <w:rsid w:val="0043614C"/>
    <w:rsid w:val="00437A31"/>
    <w:rsid w:val="00440015"/>
    <w:rsid w:val="0044162C"/>
    <w:rsid w:val="00441716"/>
    <w:rsid w:val="004419C0"/>
    <w:rsid w:val="0044368C"/>
    <w:rsid w:val="004437D3"/>
    <w:rsid w:val="0044421F"/>
    <w:rsid w:val="004455E7"/>
    <w:rsid w:val="0044589E"/>
    <w:rsid w:val="004458B7"/>
    <w:rsid w:val="00446898"/>
    <w:rsid w:val="00446B84"/>
    <w:rsid w:val="00446ED9"/>
    <w:rsid w:val="004476D4"/>
    <w:rsid w:val="004478ED"/>
    <w:rsid w:val="00447DC8"/>
    <w:rsid w:val="00447DE5"/>
    <w:rsid w:val="004502D7"/>
    <w:rsid w:val="00450C83"/>
    <w:rsid w:val="004513D9"/>
    <w:rsid w:val="0045159F"/>
    <w:rsid w:val="004515D7"/>
    <w:rsid w:val="004519D1"/>
    <w:rsid w:val="00451A56"/>
    <w:rsid w:val="00452500"/>
    <w:rsid w:val="0045369E"/>
    <w:rsid w:val="0045370C"/>
    <w:rsid w:val="004545A0"/>
    <w:rsid w:val="004546A8"/>
    <w:rsid w:val="00454D96"/>
    <w:rsid w:val="00454E62"/>
    <w:rsid w:val="004555E3"/>
    <w:rsid w:val="00455A74"/>
    <w:rsid w:val="00455D91"/>
    <w:rsid w:val="00456A48"/>
    <w:rsid w:val="00456A9A"/>
    <w:rsid w:val="00457DD4"/>
    <w:rsid w:val="0046046E"/>
    <w:rsid w:val="00460845"/>
    <w:rsid w:val="0046184F"/>
    <w:rsid w:val="00462088"/>
    <w:rsid w:val="004620F6"/>
    <w:rsid w:val="004622FC"/>
    <w:rsid w:val="004625C7"/>
    <w:rsid w:val="0046288C"/>
    <w:rsid w:val="00462E86"/>
    <w:rsid w:val="00463121"/>
    <w:rsid w:val="0046345C"/>
    <w:rsid w:val="00463C88"/>
    <w:rsid w:val="00463E6B"/>
    <w:rsid w:val="004643C0"/>
    <w:rsid w:val="00464CAC"/>
    <w:rsid w:val="004664A9"/>
    <w:rsid w:val="00466B48"/>
    <w:rsid w:val="00466DF5"/>
    <w:rsid w:val="004679D5"/>
    <w:rsid w:val="004704C2"/>
    <w:rsid w:val="0047065B"/>
    <w:rsid w:val="0047068A"/>
    <w:rsid w:val="00470EE3"/>
    <w:rsid w:val="0047111A"/>
    <w:rsid w:val="00471258"/>
    <w:rsid w:val="00471910"/>
    <w:rsid w:val="0047261E"/>
    <w:rsid w:val="00473B73"/>
    <w:rsid w:val="0047401B"/>
    <w:rsid w:val="00474D01"/>
    <w:rsid w:val="00474E58"/>
    <w:rsid w:val="00475636"/>
    <w:rsid w:val="00475B14"/>
    <w:rsid w:val="00477238"/>
    <w:rsid w:val="00477AB4"/>
    <w:rsid w:val="00477B12"/>
    <w:rsid w:val="00477DF4"/>
    <w:rsid w:val="00477FFD"/>
    <w:rsid w:val="0048034F"/>
    <w:rsid w:val="0048191C"/>
    <w:rsid w:val="00481B56"/>
    <w:rsid w:val="00481F34"/>
    <w:rsid w:val="0048241C"/>
    <w:rsid w:val="0048252B"/>
    <w:rsid w:val="00482DC6"/>
    <w:rsid w:val="00482E20"/>
    <w:rsid w:val="00482FB5"/>
    <w:rsid w:val="004831E4"/>
    <w:rsid w:val="0048383F"/>
    <w:rsid w:val="00483CFA"/>
    <w:rsid w:val="004854DC"/>
    <w:rsid w:val="00485D2A"/>
    <w:rsid w:val="00485E63"/>
    <w:rsid w:val="00486004"/>
    <w:rsid w:val="00487124"/>
    <w:rsid w:val="00487387"/>
    <w:rsid w:val="00487792"/>
    <w:rsid w:val="00490477"/>
    <w:rsid w:val="004905CA"/>
    <w:rsid w:val="00490A15"/>
    <w:rsid w:val="00491CB3"/>
    <w:rsid w:val="00492534"/>
    <w:rsid w:val="00492BF4"/>
    <w:rsid w:val="00493BD5"/>
    <w:rsid w:val="004951D8"/>
    <w:rsid w:val="00495378"/>
    <w:rsid w:val="00496331"/>
    <w:rsid w:val="004965DD"/>
    <w:rsid w:val="00496727"/>
    <w:rsid w:val="0049682A"/>
    <w:rsid w:val="00496AC1"/>
    <w:rsid w:val="004A07DD"/>
    <w:rsid w:val="004A097F"/>
    <w:rsid w:val="004A0D40"/>
    <w:rsid w:val="004A1036"/>
    <w:rsid w:val="004A117C"/>
    <w:rsid w:val="004A14A5"/>
    <w:rsid w:val="004A19D8"/>
    <w:rsid w:val="004A1A6A"/>
    <w:rsid w:val="004A2D3F"/>
    <w:rsid w:val="004A411E"/>
    <w:rsid w:val="004A417C"/>
    <w:rsid w:val="004A47FB"/>
    <w:rsid w:val="004A54FB"/>
    <w:rsid w:val="004A5D56"/>
    <w:rsid w:val="004A62F1"/>
    <w:rsid w:val="004A632B"/>
    <w:rsid w:val="004A642F"/>
    <w:rsid w:val="004A6A00"/>
    <w:rsid w:val="004A6E27"/>
    <w:rsid w:val="004A6EBE"/>
    <w:rsid w:val="004A7B29"/>
    <w:rsid w:val="004A7C74"/>
    <w:rsid w:val="004B017A"/>
    <w:rsid w:val="004B160A"/>
    <w:rsid w:val="004B1A5C"/>
    <w:rsid w:val="004B3C5D"/>
    <w:rsid w:val="004B4CAC"/>
    <w:rsid w:val="004B4D85"/>
    <w:rsid w:val="004B57F5"/>
    <w:rsid w:val="004B5EA4"/>
    <w:rsid w:val="004B5EF1"/>
    <w:rsid w:val="004B64EF"/>
    <w:rsid w:val="004B6A5F"/>
    <w:rsid w:val="004B710B"/>
    <w:rsid w:val="004B7BEA"/>
    <w:rsid w:val="004C0E17"/>
    <w:rsid w:val="004C0E97"/>
    <w:rsid w:val="004C1431"/>
    <w:rsid w:val="004C1F96"/>
    <w:rsid w:val="004C2971"/>
    <w:rsid w:val="004C2C57"/>
    <w:rsid w:val="004C2F28"/>
    <w:rsid w:val="004C33DD"/>
    <w:rsid w:val="004C3D4C"/>
    <w:rsid w:val="004C413D"/>
    <w:rsid w:val="004C459E"/>
    <w:rsid w:val="004C467C"/>
    <w:rsid w:val="004C4B44"/>
    <w:rsid w:val="004C4D47"/>
    <w:rsid w:val="004C4E77"/>
    <w:rsid w:val="004C5AF7"/>
    <w:rsid w:val="004C6868"/>
    <w:rsid w:val="004C755C"/>
    <w:rsid w:val="004D03A8"/>
    <w:rsid w:val="004D1AFD"/>
    <w:rsid w:val="004D2466"/>
    <w:rsid w:val="004D3B01"/>
    <w:rsid w:val="004D418F"/>
    <w:rsid w:val="004D4ADE"/>
    <w:rsid w:val="004D4FFD"/>
    <w:rsid w:val="004D618D"/>
    <w:rsid w:val="004D6B28"/>
    <w:rsid w:val="004D6DB4"/>
    <w:rsid w:val="004D6FF0"/>
    <w:rsid w:val="004D77FB"/>
    <w:rsid w:val="004D7903"/>
    <w:rsid w:val="004D7C06"/>
    <w:rsid w:val="004E088D"/>
    <w:rsid w:val="004E09D8"/>
    <w:rsid w:val="004E0D7C"/>
    <w:rsid w:val="004E1198"/>
    <w:rsid w:val="004E11D0"/>
    <w:rsid w:val="004E1B10"/>
    <w:rsid w:val="004E444E"/>
    <w:rsid w:val="004E4B02"/>
    <w:rsid w:val="004E4CE3"/>
    <w:rsid w:val="004E52A2"/>
    <w:rsid w:val="004E5413"/>
    <w:rsid w:val="004E5EA8"/>
    <w:rsid w:val="004E5F91"/>
    <w:rsid w:val="004E5FB7"/>
    <w:rsid w:val="004E6302"/>
    <w:rsid w:val="004E695D"/>
    <w:rsid w:val="004E6C32"/>
    <w:rsid w:val="004E7536"/>
    <w:rsid w:val="004E7E3E"/>
    <w:rsid w:val="004E7F2D"/>
    <w:rsid w:val="004F0445"/>
    <w:rsid w:val="004F1563"/>
    <w:rsid w:val="004F1874"/>
    <w:rsid w:val="004F1C71"/>
    <w:rsid w:val="004F261D"/>
    <w:rsid w:val="004F2CA0"/>
    <w:rsid w:val="004F2F69"/>
    <w:rsid w:val="004F4433"/>
    <w:rsid w:val="004F4551"/>
    <w:rsid w:val="004F4CB2"/>
    <w:rsid w:val="004F5E66"/>
    <w:rsid w:val="004F69B4"/>
    <w:rsid w:val="004F73BF"/>
    <w:rsid w:val="004F7579"/>
    <w:rsid w:val="004F7C3F"/>
    <w:rsid w:val="004F7C5D"/>
    <w:rsid w:val="004F7DB5"/>
    <w:rsid w:val="005003D3"/>
    <w:rsid w:val="00500821"/>
    <w:rsid w:val="00500855"/>
    <w:rsid w:val="005008B1"/>
    <w:rsid w:val="00500F7D"/>
    <w:rsid w:val="00501448"/>
    <w:rsid w:val="005015CE"/>
    <w:rsid w:val="005018A8"/>
    <w:rsid w:val="00502C72"/>
    <w:rsid w:val="00502E15"/>
    <w:rsid w:val="00503ED2"/>
    <w:rsid w:val="00504553"/>
    <w:rsid w:val="00504968"/>
    <w:rsid w:val="00504DAB"/>
    <w:rsid w:val="0050511A"/>
    <w:rsid w:val="005065E0"/>
    <w:rsid w:val="0050695C"/>
    <w:rsid w:val="00507026"/>
    <w:rsid w:val="005077F7"/>
    <w:rsid w:val="00507E22"/>
    <w:rsid w:val="00507F99"/>
    <w:rsid w:val="0051012C"/>
    <w:rsid w:val="005105BC"/>
    <w:rsid w:val="005106F2"/>
    <w:rsid w:val="00510803"/>
    <w:rsid w:val="00510CF7"/>
    <w:rsid w:val="0051158A"/>
    <w:rsid w:val="00511622"/>
    <w:rsid w:val="00511D69"/>
    <w:rsid w:val="00511F79"/>
    <w:rsid w:val="00511FBE"/>
    <w:rsid w:val="00513A6D"/>
    <w:rsid w:val="005141C9"/>
    <w:rsid w:val="005145AE"/>
    <w:rsid w:val="00514801"/>
    <w:rsid w:val="00515886"/>
    <w:rsid w:val="00516601"/>
    <w:rsid w:val="0051675A"/>
    <w:rsid w:val="00516CF5"/>
    <w:rsid w:val="00516D3F"/>
    <w:rsid w:val="00517D58"/>
    <w:rsid w:val="0052077E"/>
    <w:rsid w:val="00520EDC"/>
    <w:rsid w:val="00520F8B"/>
    <w:rsid w:val="00521DED"/>
    <w:rsid w:val="00522065"/>
    <w:rsid w:val="005233FC"/>
    <w:rsid w:val="00523616"/>
    <w:rsid w:val="00523958"/>
    <w:rsid w:val="00523B1C"/>
    <w:rsid w:val="00523FF1"/>
    <w:rsid w:val="005248A7"/>
    <w:rsid w:val="00524D2E"/>
    <w:rsid w:val="0052576B"/>
    <w:rsid w:val="00526221"/>
    <w:rsid w:val="0052631D"/>
    <w:rsid w:val="005265EF"/>
    <w:rsid w:val="00526695"/>
    <w:rsid w:val="005266FB"/>
    <w:rsid w:val="005267F0"/>
    <w:rsid w:val="0052722B"/>
    <w:rsid w:val="005275C6"/>
    <w:rsid w:val="0052761F"/>
    <w:rsid w:val="00527EAC"/>
    <w:rsid w:val="005300B6"/>
    <w:rsid w:val="00532859"/>
    <w:rsid w:val="00532889"/>
    <w:rsid w:val="00532BEF"/>
    <w:rsid w:val="00532EBA"/>
    <w:rsid w:val="005336FA"/>
    <w:rsid w:val="005341BF"/>
    <w:rsid w:val="00534241"/>
    <w:rsid w:val="00534BDD"/>
    <w:rsid w:val="00535374"/>
    <w:rsid w:val="00535F7E"/>
    <w:rsid w:val="00536877"/>
    <w:rsid w:val="00536A52"/>
    <w:rsid w:val="00536F77"/>
    <w:rsid w:val="00537AA6"/>
    <w:rsid w:val="00540B39"/>
    <w:rsid w:val="0054136D"/>
    <w:rsid w:val="0054206B"/>
    <w:rsid w:val="0054230A"/>
    <w:rsid w:val="00542756"/>
    <w:rsid w:val="00542A90"/>
    <w:rsid w:val="00543578"/>
    <w:rsid w:val="00543716"/>
    <w:rsid w:val="005464CE"/>
    <w:rsid w:val="005466A7"/>
    <w:rsid w:val="0054691A"/>
    <w:rsid w:val="00546E99"/>
    <w:rsid w:val="005470D8"/>
    <w:rsid w:val="00547AE1"/>
    <w:rsid w:val="00550465"/>
    <w:rsid w:val="005504B6"/>
    <w:rsid w:val="005521DF"/>
    <w:rsid w:val="005543E1"/>
    <w:rsid w:val="00554F00"/>
    <w:rsid w:val="0055606C"/>
    <w:rsid w:val="00556601"/>
    <w:rsid w:val="0056008D"/>
    <w:rsid w:val="005602B2"/>
    <w:rsid w:val="005606C2"/>
    <w:rsid w:val="005612AD"/>
    <w:rsid w:val="00561793"/>
    <w:rsid w:val="005617A0"/>
    <w:rsid w:val="00561BA3"/>
    <w:rsid w:val="00561DCB"/>
    <w:rsid w:val="00562340"/>
    <w:rsid w:val="00562BFF"/>
    <w:rsid w:val="0056382E"/>
    <w:rsid w:val="005639F4"/>
    <w:rsid w:val="005643B1"/>
    <w:rsid w:val="0056465D"/>
    <w:rsid w:val="00564AE8"/>
    <w:rsid w:val="005651C5"/>
    <w:rsid w:val="00565A8E"/>
    <w:rsid w:val="00565BF8"/>
    <w:rsid w:val="00565D1B"/>
    <w:rsid w:val="0056741B"/>
    <w:rsid w:val="00572AE8"/>
    <w:rsid w:val="00572D70"/>
    <w:rsid w:val="00572E8A"/>
    <w:rsid w:val="005734C7"/>
    <w:rsid w:val="0057389D"/>
    <w:rsid w:val="005751D8"/>
    <w:rsid w:val="0057625D"/>
    <w:rsid w:val="0057632B"/>
    <w:rsid w:val="00576E42"/>
    <w:rsid w:val="00576FB1"/>
    <w:rsid w:val="005773A9"/>
    <w:rsid w:val="0057751A"/>
    <w:rsid w:val="005778FA"/>
    <w:rsid w:val="00580E41"/>
    <w:rsid w:val="00580E86"/>
    <w:rsid w:val="00580F33"/>
    <w:rsid w:val="00582B6E"/>
    <w:rsid w:val="00585301"/>
    <w:rsid w:val="00585ACC"/>
    <w:rsid w:val="00585F06"/>
    <w:rsid w:val="00586444"/>
    <w:rsid w:val="005865E6"/>
    <w:rsid w:val="00586643"/>
    <w:rsid w:val="005866B4"/>
    <w:rsid w:val="00586D48"/>
    <w:rsid w:val="00586D85"/>
    <w:rsid w:val="0058770E"/>
    <w:rsid w:val="00587D3F"/>
    <w:rsid w:val="00587DC2"/>
    <w:rsid w:val="00590022"/>
    <w:rsid w:val="00590075"/>
    <w:rsid w:val="00590540"/>
    <w:rsid w:val="00590942"/>
    <w:rsid w:val="005918A4"/>
    <w:rsid w:val="00591C7B"/>
    <w:rsid w:val="00591F1E"/>
    <w:rsid w:val="00592927"/>
    <w:rsid w:val="00592C13"/>
    <w:rsid w:val="0059369D"/>
    <w:rsid w:val="00594A9C"/>
    <w:rsid w:val="00594BCD"/>
    <w:rsid w:val="00594C36"/>
    <w:rsid w:val="005956ED"/>
    <w:rsid w:val="00595721"/>
    <w:rsid w:val="00595856"/>
    <w:rsid w:val="00595F20"/>
    <w:rsid w:val="00596885"/>
    <w:rsid w:val="00597449"/>
    <w:rsid w:val="00597F95"/>
    <w:rsid w:val="005A0BA4"/>
    <w:rsid w:val="005A0D0D"/>
    <w:rsid w:val="005A1041"/>
    <w:rsid w:val="005A1175"/>
    <w:rsid w:val="005A1791"/>
    <w:rsid w:val="005A279E"/>
    <w:rsid w:val="005A2A8D"/>
    <w:rsid w:val="005A4215"/>
    <w:rsid w:val="005A47C8"/>
    <w:rsid w:val="005A53AF"/>
    <w:rsid w:val="005A54F1"/>
    <w:rsid w:val="005A5540"/>
    <w:rsid w:val="005A5689"/>
    <w:rsid w:val="005A59CD"/>
    <w:rsid w:val="005A5D8C"/>
    <w:rsid w:val="005A7B0F"/>
    <w:rsid w:val="005B11B2"/>
    <w:rsid w:val="005B1894"/>
    <w:rsid w:val="005B1A20"/>
    <w:rsid w:val="005B1BE5"/>
    <w:rsid w:val="005B1C26"/>
    <w:rsid w:val="005B1C39"/>
    <w:rsid w:val="005B2167"/>
    <w:rsid w:val="005B2605"/>
    <w:rsid w:val="005B38E0"/>
    <w:rsid w:val="005B3D08"/>
    <w:rsid w:val="005B4209"/>
    <w:rsid w:val="005B4588"/>
    <w:rsid w:val="005B4743"/>
    <w:rsid w:val="005B483A"/>
    <w:rsid w:val="005B5741"/>
    <w:rsid w:val="005B5D3E"/>
    <w:rsid w:val="005B688B"/>
    <w:rsid w:val="005B6DB2"/>
    <w:rsid w:val="005B7425"/>
    <w:rsid w:val="005B7C99"/>
    <w:rsid w:val="005C025C"/>
    <w:rsid w:val="005C042D"/>
    <w:rsid w:val="005C0F91"/>
    <w:rsid w:val="005C11DB"/>
    <w:rsid w:val="005C1689"/>
    <w:rsid w:val="005C1F07"/>
    <w:rsid w:val="005C213D"/>
    <w:rsid w:val="005C2DE1"/>
    <w:rsid w:val="005C2E20"/>
    <w:rsid w:val="005C3310"/>
    <w:rsid w:val="005C3536"/>
    <w:rsid w:val="005C3B20"/>
    <w:rsid w:val="005C3CB6"/>
    <w:rsid w:val="005C4548"/>
    <w:rsid w:val="005C4CBD"/>
    <w:rsid w:val="005C5617"/>
    <w:rsid w:val="005C5DE2"/>
    <w:rsid w:val="005C62C9"/>
    <w:rsid w:val="005C6C7C"/>
    <w:rsid w:val="005C725F"/>
    <w:rsid w:val="005C79C8"/>
    <w:rsid w:val="005C79E4"/>
    <w:rsid w:val="005C7E9F"/>
    <w:rsid w:val="005D0E38"/>
    <w:rsid w:val="005D0F96"/>
    <w:rsid w:val="005D1002"/>
    <w:rsid w:val="005D17ED"/>
    <w:rsid w:val="005D1C99"/>
    <w:rsid w:val="005D2085"/>
    <w:rsid w:val="005D2256"/>
    <w:rsid w:val="005D233A"/>
    <w:rsid w:val="005D23EF"/>
    <w:rsid w:val="005D2457"/>
    <w:rsid w:val="005D2FA2"/>
    <w:rsid w:val="005D33F3"/>
    <w:rsid w:val="005D38FA"/>
    <w:rsid w:val="005D43A5"/>
    <w:rsid w:val="005D4957"/>
    <w:rsid w:val="005D52A6"/>
    <w:rsid w:val="005D5494"/>
    <w:rsid w:val="005D564C"/>
    <w:rsid w:val="005D6A72"/>
    <w:rsid w:val="005D785B"/>
    <w:rsid w:val="005D78B0"/>
    <w:rsid w:val="005D7A9C"/>
    <w:rsid w:val="005E022C"/>
    <w:rsid w:val="005E08F3"/>
    <w:rsid w:val="005E0A83"/>
    <w:rsid w:val="005E0DBB"/>
    <w:rsid w:val="005E148B"/>
    <w:rsid w:val="005E17F1"/>
    <w:rsid w:val="005E262F"/>
    <w:rsid w:val="005E2951"/>
    <w:rsid w:val="005E2D52"/>
    <w:rsid w:val="005E30C9"/>
    <w:rsid w:val="005E373C"/>
    <w:rsid w:val="005E3BC4"/>
    <w:rsid w:val="005E3CFF"/>
    <w:rsid w:val="005E3D81"/>
    <w:rsid w:val="005E40C7"/>
    <w:rsid w:val="005E41B9"/>
    <w:rsid w:val="005E46D4"/>
    <w:rsid w:val="005E4C79"/>
    <w:rsid w:val="005E54E1"/>
    <w:rsid w:val="005E5A82"/>
    <w:rsid w:val="005E6019"/>
    <w:rsid w:val="005E6033"/>
    <w:rsid w:val="005E73FE"/>
    <w:rsid w:val="005E7524"/>
    <w:rsid w:val="005E7ACA"/>
    <w:rsid w:val="005E7CD5"/>
    <w:rsid w:val="005E7FD8"/>
    <w:rsid w:val="005F013E"/>
    <w:rsid w:val="005F0882"/>
    <w:rsid w:val="005F0C33"/>
    <w:rsid w:val="005F0E89"/>
    <w:rsid w:val="005F1EDC"/>
    <w:rsid w:val="005F2C0C"/>
    <w:rsid w:val="005F2E63"/>
    <w:rsid w:val="005F335A"/>
    <w:rsid w:val="005F3A05"/>
    <w:rsid w:val="005F47ED"/>
    <w:rsid w:val="005F4B0B"/>
    <w:rsid w:val="005F502E"/>
    <w:rsid w:val="005F5995"/>
    <w:rsid w:val="005F5C38"/>
    <w:rsid w:val="005F62FC"/>
    <w:rsid w:val="005F7A8C"/>
    <w:rsid w:val="006010EF"/>
    <w:rsid w:val="00601875"/>
    <w:rsid w:val="006019DE"/>
    <w:rsid w:val="00602FC1"/>
    <w:rsid w:val="00603122"/>
    <w:rsid w:val="00603484"/>
    <w:rsid w:val="0060351F"/>
    <w:rsid w:val="00603756"/>
    <w:rsid w:val="006056B0"/>
    <w:rsid w:val="0060579C"/>
    <w:rsid w:val="00605E08"/>
    <w:rsid w:val="006062BE"/>
    <w:rsid w:val="006062FB"/>
    <w:rsid w:val="00606983"/>
    <w:rsid w:val="00606CEB"/>
    <w:rsid w:val="00607411"/>
    <w:rsid w:val="006110E4"/>
    <w:rsid w:val="0061113F"/>
    <w:rsid w:val="00611404"/>
    <w:rsid w:val="006126D7"/>
    <w:rsid w:val="0061288B"/>
    <w:rsid w:val="0061364B"/>
    <w:rsid w:val="00613743"/>
    <w:rsid w:val="006138DF"/>
    <w:rsid w:val="0061517A"/>
    <w:rsid w:val="00615520"/>
    <w:rsid w:val="00615723"/>
    <w:rsid w:val="00615781"/>
    <w:rsid w:val="0061616C"/>
    <w:rsid w:val="0061628E"/>
    <w:rsid w:val="006168AB"/>
    <w:rsid w:val="00616E04"/>
    <w:rsid w:val="00616E66"/>
    <w:rsid w:val="00616FBC"/>
    <w:rsid w:val="0061762D"/>
    <w:rsid w:val="00620322"/>
    <w:rsid w:val="00620A30"/>
    <w:rsid w:val="00620DA1"/>
    <w:rsid w:val="00620E03"/>
    <w:rsid w:val="006212F5"/>
    <w:rsid w:val="0062147C"/>
    <w:rsid w:val="006215A8"/>
    <w:rsid w:val="00621E39"/>
    <w:rsid w:val="0062214D"/>
    <w:rsid w:val="0062220E"/>
    <w:rsid w:val="006225A7"/>
    <w:rsid w:val="00622DFA"/>
    <w:rsid w:val="00622FF3"/>
    <w:rsid w:val="006236AE"/>
    <w:rsid w:val="00624227"/>
    <w:rsid w:val="00624535"/>
    <w:rsid w:val="0062453F"/>
    <w:rsid w:val="00624AFC"/>
    <w:rsid w:val="00624E65"/>
    <w:rsid w:val="0062509F"/>
    <w:rsid w:val="00625316"/>
    <w:rsid w:val="00625A55"/>
    <w:rsid w:val="00625F3B"/>
    <w:rsid w:val="006261EC"/>
    <w:rsid w:val="00627015"/>
    <w:rsid w:val="0062787E"/>
    <w:rsid w:val="00627A56"/>
    <w:rsid w:val="00627ED9"/>
    <w:rsid w:val="00630736"/>
    <w:rsid w:val="00630A42"/>
    <w:rsid w:val="006315F0"/>
    <w:rsid w:val="00631ADE"/>
    <w:rsid w:val="00631B75"/>
    <w:rsid w:val="00631CB7"/>
    <w:rsid w:val="006322CF"/>
    <w:rsid w:val="00632F1A"/>
    <w:rsid w:val="006336A6"/>
    <w:rsid w:val="006339A0"/>
    <w:rsid w:val="00633A32"/>
    <w:rsid w:val="006344A1"/>
    <w:rsid w:val="00634987"/>
    <w:rsid w:val="00634CB6"/>
    <w:rsid w:val="00634FD1"/>
    <w:rsid w:val="0063510B"/>
    <w:rsid w:val="00635483"/>
    <w:rsid w:val="00635839"/>
    <w:rsid w:val="0063620E"/>
    <w:rsid w:val="0063675C"/>
    <w:rsid w:val="006369B0"/>
    <w:rsid w:val="006371DA"/>
    <w:rsid w:val="00637A1A"/>
    <w:rsid w:val="00637A6F"/>
    <w:rsid w:val="00637A9A"/>
    <w:rsid w:val="00637C1B"/>
    <w:rsid w:val="006402B9"/>
    <w:rsid w:val="006402C9"/>
    <w:rsid w:val="00640873"/>
    <w:rsid w:val="00640D8F"/>
    <w:rsid w:val="0064114B"/>
    <w:rsid w:val="00642D3C"/>
    <w:rsid w:val="006433FF"/>
    <w:rsid w:val="00643793"/>
    <w:rsid w:val="00643AD7"/>
    <w:rsid w:val="006442BD"/>
    <w:rsid w:val="00644E23"/>
    <w:rsid w:val="00644ED9"/>
    <w:rsid w:val="00644F57"/>
    <w:rsid w:val="00645C01"/>
    <w:rsid w:val="00645C5A"/>
    <w:rsid w:val="00645DAE"/>
    <w:rsid w:val="0064658B"/>
    <w:rsid w:val="006470CE"/>
    <w:rsid w:val="00647465"/>
    <w:rsid w:val="00651806"/>
    <w:rsid w:val="00652044"/>
    <w:rsid w:val="00653B74"/>
    <w:rsid w:val="00653D92"/>
    <w:rsid w:val="0065452B"/>
    <w:rsid w:val="0065465D"/>
    <w:rsid w:val="00655B2C"/>
    <w:rsid w:val="00655FF6"/>
    <w:rsid w:val="006563A2"/>
    <w:rsid w:val="0065648F"/>
    <w:rsid w:val="00656C76"/>
    <w:rsid w:val="00657778"/>
    <w:rsid w:val="0066024F"/>
    <w:rsid w:val="006609B2"/>
    <w:rsid w:val="00660C81"/>
    <w:rsid w:val="00661A5B"/>
    <w:rsid w:val="006628F0"/>
    <w:rsid w:val="0066321A"/>
    <w:rsid w:val="00663A26"/>
    <w:rsid w:val="0066564D"/>
    <w:rsid w:val="006657C1"/>
    <w:rsid w:val="0066589E"/>
    <w:rsid w:val="0066616A"/>
    <w:rsid w:val="00666576"/>
    <w:rsid w:val="0066657D"/>
    <w:rsid w:val="00666C1B"/>
    <w:rsid w:val="006705A3"/>
    <w:rsid w:val="006706A7"/>
    <w:rsid w:val="006707D9"/>
    <w:rsid w:val="00671A17"/>
    <w:rsid w:val="00671A9F"/>
    <w:rsid w:val="00671AA4"/>
    <w:rsid w:val="0067206B"/>
    <w:rsid w:val="00672391"/>
    <w:rsid w:val="006737D8"/>
    <w:rsid w:val="00673AA9"/>
    <w:rsid w:val="00673AB5"/>
    <w:rsid w:val="00674400"/>
    <w:rsid w:val="00674597"/>
    <w:rsid w:val="006758B3"/>
    <w:rsid w:val="00675985"/>
    <w:rsid w:val="00675EA2"/>
    <w:rsid w:val="00676159"/>
    <w:rsid w:val="006763A6"/>
    <w:rsid w:val="00676756"/>
    <w:rsid w:val="00676BFE"/>
    <w:rsid w:val="00676E8E"/>
    <w:rsid w:val="006770FE"/>
    <w:rsid w:val="006773F0"/>
    <w:rsid w:val="00680965"/>
    <w:rsid w:val="00680AF5"/>
    <w:rsid w:val="00681966"/>
    <w:rsid w:val="006819B8"/>
    <w:rsid w:val="00681D22"/>
    <w:rsid w:val="006824F4"/>
    <w:rsid w:val="00682C45"/>
    <w:rsid w:val="00682D86"/>
    <w:rsid w:val="0068407E"/>
    <w:rsid w:val="00684F7B"/>
    <w:rsid w:val="006858F6"/>
    <w:rsid w:val="0068632E"/>
    <w:rsid w:val="0068745A"/>
    <w:rsid w:val="0068763E"/>
    <w:rsid w:val="006877B8"/>
    <w:rsid w:val="00687B55"/>
    <w:rsid w:val="00687D08"/>
    <w:rsid w:val="00690544"/>
    <w:rsid w:val="00690F80"/>
    <w:rsid w:val="00692198"/>
    <w:rsid w:val="00692AA7"/>
    <w:rsid w:val="00692DBC"/>
    <w:rsid w:val="0069374B"/>
    <w:rsid w:val="00694104"/>
    <w:rsid w:val="006941BE"/>
    <w:rsid w:val="00694431"/>
    <w:rsid w:val="00694698"/>
    <w:rsid w:val="00695A46"/>
    <w:rsid w:val="00695E79"/>
    <w:rsid w:val="0069605D"/>
    <w:rsid w:val="00696065"/>
    <w:rsid w:val="006967D7"/>
    <w:rsid w:val="00696A69"/>
    <w:rsid w:val="00696B76"/>
    <w:rsid w:val="00696CCE"/>
    <w:rsid w:val="00697095"/>
    <w:rsid w:val="00697DBF"/>
    <w:rsid w:val="006A0059"/>
    <w:rsid w:val="006A0173"/>
    <w:rsid w:val="006A0476"/>
    <w:rsid w:val="006A1101"/>
    <w:rsid w:val="006A14E3"/>
    <w:rsid w:val="006A1538"/>
    <w:rsid w:val="006A15C5"/>
    <w:rsid w:val="006A2E59"/>
    <w:rsid w:val="006A3021"/>
    <w:rsid w:val="006A37B8"/>
    <w:rsid w:val="006A3C57"/>
    <w:rsid w:val="006A4056"/>
    <w:rsid w:val="006A4B8F"/>
    <w:rsid w:val="006A5472"/>
    <w:rsid w:val="006A5695"/>
    <w:rsid w:val="006A5E88"/>
    <w:rsid w:val="006A7228"/>
    <w:rsid w:val="006A736B"/>
    <w:rsid w:val="006B0078"/>
    <w:rsid w:val="006B111C"/>
    <w:rsid w:val="006B18C9"/>
    <w:rsid w:val="006B1A24"/>
    <w:rsid w:val="006B1B9D"/>
    <w:rsid w:val="006B1E4B"/>
    <w:rsid w:val="006B2866"/>
    <w:rsid w:val="006B2E52"/>
    <w:rsid w:val="006B3037"/>
    <w:rsid w:val="006B3697"/>
    <w:rsid w:val="006B3A05"/>
    <w:rsid w:val="006B40FA"/>
    <w:rsid w:val="006B4462"/>
    <w:rsid w:val="006B4FF2"/>
    <w:rsid w:val="006B5B41"/>
    <w:rsid w:val="006B662B"/>
    <w:rsid w:val="006B6EAF"/>
    <w:rsid w:val="006B7AE2"/>
    <w:rsid w:val="006B7ED8"/>
    <w:rsid w:val="006C117A"/>
    <w:rsid w:val="006C11C0"/>
    <w:rsid w:val="006C198B"/>
    <w:rsid w:val="006C200D"/>
    <w:rsid w:val="006C2061"/>
    <w:rsid w:val="006C377A"/>
    <w:rsid w:val="006C3DD1"/>
    <w:rsid w:val="006C420C"/>
    <w:rsid w:val="006C44B8"/>
    <w:rsid w:val="006C4B44"/>
    <w:rsid w:val="006C4EC1"/>
    <w:rsid w:val="006C5C33"/>
    <w:rsid w:val="006C5DDF"/>
    <w:rsid w:val="006C67EE"/>
    <w:rsid w:val="006C7083"/>
    <w:rsid w:val="006C7BF3"/>
    <w:rsid w:val="006C7C76"/>
    <w:rsid w:val="006D046E"/>
    <w:rsid w:val="006D08AF"/>
    <w:rsid w:val="006D15E5"/>
    <w:rsid w:val="006D1B25"/>
    <w:rsid w:val="006D2CE3"/>
    <w:rsid w:val="006D36F5"/>
    <w:rsid w:val="006D3709"/>
    <w:rsid w:val="006D5B38"/>
    <w:rsid w:val="006D685B"/>
    <w:rsid w:val="006D6CE6"/>
    <w:rsid w:val="006D6E12"/>
    <w:rsid w:val="006D725C"/>
    <w:rsid w:val="006E0396"/>
    <w:rsid w:val="006E0EE1"/>
    <w:rsid w:val="006E1392"/>
    <w:rsid w:val="006E16AB"/>
    <w:rsid w:val="006E1813"/>
    <w:rsid w:val="006E21C6"/>
    <w:rsid w:val="006E23CF"/>
    <w:rsid w:val="006E46D9"/>
    <w:rsid w:val="006E4F16"/>
    <w:rsid w:val="006E53A8"/>
    <w:rsid w:val="006E607C"/>
    <w:rsid w:val="006E7303"/>
    <w:rsid w:val="006E749A"/>
    <w:rsid w:val="006E77D2"/>
    <w:rsid w:val="006E7FD5"/>
    <w:rsid w:val="006F2139"/>
    <w:rsid w:val="006F2345"/>
    <w:rsid w:val="006F295F"/>
    <w:rsid w:val="006F2CD0"/>
    <w:rsid w:val="006F361D"/>
    <w:rsid w:val="006F3955"/>
    <w:rsid w:val="006F4178"/>
    <w:rsid w:val="006F5051"/>
    <w:rsid w:val="006F5D63"/>
    <w:rsid w:val="006F652D"/>
    <w:rsid w:val="006F691C"/>
    <w:rsid w:val="006F7613"/>
    <w:rsid w:val="006F776F"/>
    <w:rsid w:val="006F7784"/>
    <w:rsid w:val="0070004C"/>
    <w:rsid w:val="007006BC"/>
    <w:rsid w:val="00700703"/>
    <w:rsid w:val="00700D66"/>
    <w:rsid w:val="0070163F"/>
    <w:rsid w:val="007018A8"/>
    <w:rsid w:val="00702824"/>
    <w:rsid w:val="00702B40"/>
    <w:rsid w:val="007032B4"/>
    <w:rsid w:val="007039DF"/>
    <w:rsid w:val="00703D15"/>
    <w:rsid w:val="00703D47"/>
    <w:rsid w:val="00704435"/>
    <w:rsid w:val="00704DF0"/>
    <w:rsid w:val="00705C74"/>
    <w:rsid w:val="00705FAF"/>
    <w:rsid w:val="007062CF"/>
    <w:rsid w:val="0070666C"/>
    <w:rsid w:val="00706CE4"/>
    <w:rsid w:val="00706FC1"/>
    <w:rsid w:val="00707F7D"/>
    <w:rsid w:val="00710725"/>
    <w:rsid w:val="00710909"/>
    <w:rsid w:val="0071214C"/>
    <w:rsid w:val="0071232A"/>
    <w:rsid w:val="007127BE"/>
    <w:rsid w:val="00712927"/>
    <w:rsid w:val="007130F7"/>
    <w:rsid w:val="007133F3"/>
    <w:rsid w:val="007137B4"/>
    <w:rsid w:val="00713B1B"/>
    <w:rsid w:val="00714462"/>
    <w:rsid w:val="007148B7"/>
    <w:rsid w:val="00714D1C"/>
    <w:rsid w:val="00715403"/>
    <w:rsid w:val="00715533"/>
    <w:rsid w:val="0071555A"/>
    <w:rsid w:val="00715A33"/>
    <w:rsid w:val="00715DA0"/>
    <w:rsid w:val="00716857"/>
    <w:rsid w:val="00716A61"/>
    <w:rsid w:val="00716C49"/>
    <w:rsid w:val="007179B8"/>
    <w:rsid w:val="0072019E"/>
    <w:rsid w:val="00721C64"/>
    <w:rsid w:val="00721D57"/>
    <w:rsid w:val="00722F61"/>
    <w:rsid w:val="007232D0"/>
    <w:rsid w:val="007233B0"/>
    <w:rsid w:val="00724665"/>
    <w:rsid w:val="00725A46"/>
    <w:rsid w:val="007262A1"/>
    <w:rsid w:val="007264E2"/>
    <w:rsid w:val="00726798"/>
    <w:rsid w:val="00726DEB"/>
    <w:rsid w:val="00727331"/>
    <w:rsid w:val="00727997"/>
    <w:rsid w:val="0073053D"/>
    <w:rsid w:val="00730C88"/>
    <w:rsid w:val="00731A5F"/>
    <w:rsid w:val="00731D90"/>
    <w:rsid w:val="007321EA"/>
    <w:rsid w:val="00732815"/>
    <w:rsid w:val="00732921"/>
    <w:rsid w:val="00732BAD"/>
    <w:rsid w:val="007337C3"/>
    <w:rsid w:val="00733826"/>
    <w:rsid w:val="00733895"/>
    <w:rsid w:val="00733BB7"/>
    <w:rsid w:val="00733E1E"/>
    <w:rsid w:val="00733FC4"/>
    <w:rsid w:val="0073407F"/>
    <w:rsid w:val="007340EE"/>
    <w:rsid w:val="007342B1"/>
    <w:rsid w:val="0073434E"/>
    <w:rsid w:val="007359FC"/>
    <w:rsid w:val="00735E19"/>
    <w:rsid w:val="00736D66"/>
    <w:rsid w:val="00737631"/>
    <w:rsid w:val="007377DC"/>
    <w:rsid w:val="00737BE6"/>
    <w:rsid w:val="007401BC"/>
    <w:rsid w:val="00740C50"/>
    <w:rsid w:val="00742F0E"/>
    <w:rsid w:val="00742F4F"/>
    <w:rsid w:val="007439E7"/>
    <w:rsid w:val="00743EB7"/>
    <w:rsid w:val="00744BA4"/>
    <w:rsid w:val="00745020"/>
    <w:rsid w:val="00745056"/>
    <w:rsid w:val="0074527B"/>
    <w:rsid w:val="007454A1"/>
    <w:rsid w:val="0074564A"/>
    <w:rsid w:val="007459A7"/>
    <w:rsid w:val="00745F61"/>
    <w:rsid w:val="00745FDB"/>
    <w:rsid w:val="007461C9"/>
    <w:rsid w:val="007466DA"/>
    <w:rsid w:val="00746861"/>
    <w:rsid w:val="00746B7B"/>
    <w:rsid w:val="00747840"/>
    <w:rsid w:val="00747913"/>
    <w:rsid w:val="00747C0F"/>
    <w:rsid w:val="00750740"/>
    <w:rsid w:val="00750A93"/>
    <w:rsid w:val="00750E9D"/>
    <w:rsid w:val="00751446"/>
    <w:rsid w:val="007520A0"/>
    <w:rsid w:val="0075272F"/>
    <w:rsid w:val="007529D9"/>
    <w:rsid w:val="00752FBB"/>
    <w:rsid w:val="00753C0F"/>
    <w:rsid w:val="00753EDF"/>
    <w:rsid w:val="00753F6B"/>
    <w:rsid w:val="00754220"/>
    <w:rsid w:val="007546C7"/>
    <w:rsid w:val="00754BE1"/>
    <w:rsid w:val="00754E84"/>
    <w:rsid w:val="00755C65"/>
    <w:rsid w:val="00755D17"/>
    <w:rsid w:val="00755D5C"/>
    <w:rsid w:val="00755E9B"/>
    <w:rsid w:val="007562CC"/>
    <w:rsid w:val="0075670B"/>
    <w:rsid w:val="00756F24"/>
    <w:rsid w:val="0075709E"/>
    <w:rsid w:val="0075747C"/>
    <w:rsid w:val="0076013D"/>
    <w:rsid w:val="00760A6A"/>
    <w:rsid w:val="00761D83"/>
    <w:rsid w:val="00762313"/>
    <w:rsid w:val="007628BF"/>
    <w:rsid w:val="00762937"/>
    <w:rsid w:val="007638A3"/>
    <w:rsid w:val="00764C85"/>
    <w:rsid w:val="00765031"/>
    <w:rsid w:val="0076536B"/>
    <w:rsid w:val="00765E14"/>
    <w:rsid w:val="00765E81"/>
    <w:rsid w:val="00766BCD"/>
    <w:rsid w:val="00770381"/>
    <w:rsid w:val="007716F6"/>
    <w:rsid w:val="00771DD0"/>
    <w:rsid w:val="00771EE0"/>
    <w:rsid w:val="00773672"/>
    <w:rsid w:val="00773ECC"/>
    <w:rsid w:val="0077478B"/>
    <w:rsid w:val="00775232"/>
    <w:rsid w:val="007752C4"/>
    <w:rsid w:val="00775437"/>
    <w:rsid w:val="007756AE"/>
    <w:rsid w:val="00775867"/>
    <w:rsid w:val="00775A71"/>
    <w:rsid w:val="00776A17"/>
    <w:rsid w:val="00776F95"/>
    <w:rsid w:val="00777770"/>
    <w:rsid w:val="007815DE"/>
    <w:rsid w:val="00781D5C"/>
    <w:rsid w:val="007823B2"/>
    <w:rsid w:val="00783414"/>
    <w:rsid w:val="007838EC"/>
    <w:rsid w:val="00783DDD"/>
    <w:rsid w:val="007842D0"/>
    <w:rsid w:val="00784368"/>
    <w:rsid w:val="00784971"/>
    <w:rsid w:val="00784BE5"/>
    <w:rsid w:val="00785932"/>
    <w:rsid w:val="00786151"/>
    <w:rsid w:val="00786269"/>
    <w:rsid w:val="00786832"/>
    <w:rsid w:val="00786C70"/>
    <w:rsid w:val="00786CC8"/>
    <w:rsid w:val="00786D87"/>
    <w:rsid w:val="00787FC7"/>
    <w:rsid w:val="00790148"/>
    <w:rsid w:val="0079073B"/>
    <w:rsid w:val="00790786"/>
    <w:rsid w:val="0079106E"/>
    <w:rsid w:val="007923E1"/>
    <w:rsid w:val="007927EC"/>
    <w:rsid w:val="007932F6"/>
    <w:rsid w:val="007932F8"/>
    <w:rsid w:val="0079358E"/>
    <w:rsid w:val="007936AE"/>
    <w:rsid w:val="00793998"/>
    <w:rsid w:val="00793F62"/>
    <w:rsid w:val="007957C8"/>
    <w:rsid w:val="0079616B"/>
    <w:rsid w:val="0079629F"/>
    <w:rsid w:val="007968EA"/>
    <w:rsid w:val="00796E6A"/>
    <w:rsid w:val="00797025"/>
    <w:rsid w:val="007974E2"/>
    <w:rsid w:val="00797CF4"/>
    <w:rsid w:val="00797CFF"/>
    <w:rsid w:val="00797D1C"/>
    <w:rsid w:val="007A0001"/>
    <w:rsid w:val="007A0910"/>
    <w:rsid w:val="007A11BF"/>
    <w:rsid w:val="007A122D"/>
    <w:rsid w:val="007A1888"/>
    <w:rsid w:val="007A1BDF"/>
    <w:rsid w:val="007A1F79"/>
    <w:rsid w:val="007A1F7B"/>
    <w:rsid w:val="007A22ED"/>
    <w:rsid w:val="007A2516"/>
    <w:rsid w:val="007A301A"/>
    <w:rsid w:val="007A345B"/>
    <w:rsid w:val="007A3743"/>
    <w:rsid w:val="007A3A9F"/>
    <w:rsid w:val="007A3F36"/>
    <w:rsid w:val="007A48CC"/>
    <w:rsid w:val="007A52E8"/>
    <w:rsid w:val="007A5E15"/>
    <w:rsid w:val="007A5F54"/>
    <w:rsid w:val="007A6243"/>
    <w:rsid w:val="007A6290"/>
    <w:rsid w:val="007A66A9"/>
    <w:rsid w:val="007A73F6"/>
    <w:rsid w:val="007A7535"/>
    <w:rsid w:val="007A768F"/>
    <w:rsid w:val="007A7B69"/>
    <w:rsid w:val="007B002E"/>
    <w:rsid w:val="007B036F"/>
    <w:rsid w:val="007B0853"/>
    <w:rsid w:val="007B09E1"/>
    <w:rsid w:val="007B0B89"/>
    <w:rsid w:val="007B1487"/>
    <w:rsid w:val="007B1A34"/>
    <w:rsid w:val="007B1A9E"/>
    <w:rsid w:val="007B2D27"/>
    <w:rsid w:val="007B30FF"/>
    <w:rsid w:val="007B3988"/>
    <w:rsid w:val="007B44F8"/>
    <w:rsid w:val="007B4F84"/>
    <w:rsid w:val="007B54F0"/>
    <w:rsid w:val="007B5FBA"/>
    <w:rsid w:val="007B605A"/>
    <w:rsid w:val="007B618B"/>
    <w:rsid w:val="007B62F1"/>
    <w:rsid w:val="007B657D"/>
    <w:rsid w:val="007B6954"/>
    <w:rsid w:val="007B6AEA"/>
    <w:rsid w:val="007C031C"/>
    <w:rsid w:val="007C042F"/>
    <w:rsid w:val="007C172C"/>
    <w:rsid w:val="007C18A6"/>
    <w:rsid w:val="007C1A82"/>
    <w:rsid w:val="007C2028"/>
    <w:rsid w:val="007C2419"/>
    <w:rsid w:val="007C2DE0"/>
    <w:rsid w:val="007C2E82"/>
    <w:rsid w:val="007C2EDE"/>
    <w:rsid w:val="007C322F"/>
    <w:rsid w:val="007C4585"/>
    <w:rsid w:val="007C5D63"/>
    <w:rsid w:val="007C665C"/>
    <w:rsid w:val="007C6914"/>
    <w:rsid w:val="007C6C3A"/>
    <w:rsid w:val="007C6C44"/>
    <w:rsid w:val="007C74C1"/>
    <w:rsid w:val="007C75F9"/>
    <w:rsid w:val="007C77FB"/>
    <w:rsid w:val="007C781E"/>
    <w:rsid w:val="007C7E1A"/>
    <w:rsid w:val="007D0148"/>
    <w:rsid w:val="007D042F"/>
    <w:rsid w:val="007D0C94"/>
    <w:rsid w:val="007D0D1C"/>
    <w:rsid w:val="007D1216"/>
    <w:rsid w:val="007D12E9"/>
    <w:rsid w:val="007D137D"/>
    <w:rsid w:val="007D1853"/>
    <w:rsid w:val="007D23D4"/>
    <w:rsid w:val="007D2910"/>
    <w:rsid w:val="007D2F8A"/>
    <w:rsid w:val="007D349F"/>
    <w:rsid w:val="007D41CE"/>
    <w:rsid w:val="007D4775"/>
    <w:rsid w:val="007D498D"/>
    <w:rsid w:val="007D4AE0"/>
    <w:rsid w:val="007E003D"/>
    <w:rsid w:val="007E08EC"/>
    <w:rsid w:val="007E0D20"/>
    <w:rsid w:val="007E1385"/>
    <w:rsid w:val="007E13A3"/>
    <w:rsid w:val="007E2131"/>
    <w:rsid w:val="007E23CB"/>
    <w:rsid w:val="007E2586"/>
    <w:rsid w:val="007E27FA"/>
    <w:rsid w:val="007E2B55"/>
    <w:rsid w:val="007E3021"/>
    <w:rsid w:val="007E360B"/>
    <w:rsid w:val="007E41A7"/>
    <w:rsid w:val="007E4911"/>
    <w:rsid w:val="007E4C79"/>
    <w:rsid w:val="007E4F50"/>
    <w:rsid w:val="007E4F5A"/>
    <w:rsid w:val="007E5F78"/>
    <w:rsid w:val="007E6FE1"/>
    <w:rsid w:val="007E74FD"/>
    <w:rsid w:val="007E7960"/>
    <w:rsid w:val="007E79DA"/>
    <w:rsid w:val="007F01BE"/>
    <w:rsid w:val="007F0A3A"/>
    <w:rsid w:val="007F298C"/>
    <w:rsid w:val="007F2CF5"/>
    <w:rsid w:val="007F2EC7"/>
    <w:rsid w:val="007F32B6"/>
    <w:rsid w:val="007F4B81"/>
    <w:rsid w:val="007F53DC"/>
    <w:rsid w:val="007F584C"/>
    <w:rsid w:val="007F7F1E"/>
    <w:rsid w:val="0080120D"/>
    <w:rsid w:val="00802411"/>
    <w:rsid w:val="008024F9"/>
    <w:rsid w:val="00803244"/>
    <w:rsid w:val="0080328D"/>
    <w:rsid w:val="0080393F"/>
    <w:rsid w:val="00803BAA"/>
    <w:rsid w:val="00803FED"/>
    <w:rsid w:val="00804359"/>
    <w:rsid w:val="00804532"/>
    <w:rsid w:val="00804AB5"/>
    <w:rsid w:val="00804F47"/>
    <w:rsid w:val="0080532C"/>
    <w:rsid w:val="0080539E"/>
    <w:rsid w:val="00805C42"/>
    <w:rsid w:val="00805CAE"/>
    <w:rsid w:val="00806B15"/>
    <w:rsid w:val="008078C1"/>
    <w:rsid w:val="00807C82"/>
    <w:rsid w:val="00807E61"/>
    <w:rsid w:val="00807EB5"/>
    <w:rsid w:val="00807FB0"/>
    <w:rsid w:val="008101E6"/>
    <w:rsid w:val="00810407"/>
    <w:rsid w:val="00810BDC"/>
    <w:rsid w:val="00811467"/>
    <w:rsid w:val="00811A41"/>
    <w:rsid w:val="00811F71"/>
    <w:rsid w:val="008125F9"/>
    <w:rsid w:val="00812C12"/>
    <w:rsid w:val="00813844"/>
    <w:rsid w:val="008139A1"/>
    <w:rsid w:val="00815893"/>
    <w:rsid w:val="00816205"/>
    <w:rsid w:val="00816911"/>
    <w:rsid w:val="00816E3E"/>
    <w:rsid w:val="008175F4"/>
    <w:rsid w:val="0081786E"/>
    <w:rsid w:val="00817A7D"/>
    <w:rsid w:val="00820091"/>
    <w:rsid w:val="00820816"/>
    <w:rsid w:val="00820E8D"/>
    <w:rsid w:val="008210BB"/>
    <w:rsid w:val="0082148F"/>
    <w:rsid w:val="00821587"/>
    <w:rsid w:val="00821959"/>
    <w:rsid w:val="00822762"/>
    <w:rsid w:val="00822EE4"/>
    <w:rsid w:val="00823160"/>
    <w:rsid w:val="00823A25"/>
    <w:rsid w:val="008240DE"/>
    <w:rsid w:val="0082443A"/>
    <w:rsid w:val="00824858"/>
    <w:rsid w:val="00824A98"/>
    <w:rsid w:val="00824F26"/>
    <w:rsid w:val="00825335"/>
    <w:rsid w:val="00825E77"/>
    <w:rsid w:val="00827AD6"/>
    <w:rsid w:val="00827BFE"/>
    <w:rsid w:val="0083055A"/>
    <w:rsid w:val="008305F3"/>
    <w:rsid w:val="00830698"/>
    <w:rsid w:val="00830BF7"/>
    <w:rsid w:val="00830D5C"/>
    <w:rsid w:val="00830EDA"/>
    <w:rsid w:val="008314D7"/>
    <w:rsid w:val="008320C0"/>
    <w:rsid w:val="0083275B"/>
    <w:rsid w:val="00832BFD"/>
    <w:rsid w:val="00833515"/>
    <w:rsid w:val="008336F2"/>
    <w:rsid w:val="00833D5E"/>
    <w:rsid w:val="00833DD3"/>
    <w:rsid w:val="00834337"/>
    <w:rsid w:val="008346EB"/>
    <w:rsid w:val="0083533A"/>
    <w:rsid w:val="008359CE"/>
    <w:rsid w:val="0083615A"/>
    <w:rsid w:val="00836C51"/>
    <w:rsid w:val="00837094"/>
    <w:rsid w:val="008371A3"/>
    <w:rsid w:val="008377F1"/>
    <w:rsid w:val="008429AA"/>
    <w:rsid w:val="00842B79"/>
    <w:rsid w:val="008435CF"/>
    <w:rsid w:val="00843619"/>
    <w:rsid w:val="00844188"/>
    <w:rsid w:val="00844255"/>
    <w:rsid w:val="00844575"/>
    <w:rsid w:val="008447BB"/>
    <w:rsid w:val="008448D7"/>
    <w:rsid w:val="00845552"/>
    <w:rsid w:val="00845CE5"/>
    <w:rsid w:val="00845D78"/>
    <w:rsid w:val="008476D0"/>
    <w:rsid w:val="00847DB5"/>
    <w:rsid w:val="0085000B"/>
    <w:rsid w:val="008507A3"/>
    <w:rsid w:val="00850D95"/>
    <w:rsid w:val="00851186"/>
    <w:rsid w:val="00851698"/>
    <w:rsid w:val="00851C27"/>
    <w:rsid w:val="00852879"/>
    <w:rsid w:val="008528E6"/>
    <w:rsid w:val="00852DF2"/>
    <w:rsid w:val="00853B6B"/>
    <w:rsid w:val="0085417A"/>
    <w:rsid w:val="00854C9B"/>
    <w:rsid w:val="0085500E"/>
    <w:rsid w:val="00855723"/>
    <w:rsid w:val="00855E26"/>
    <w:rsid w:val="00855ED9"/>
    <w:rsid w:val="00856044"/>
    <w:rsid w:val="008564EF"/>
    <w:rsid w:val="00856B76"/>
    <w:rsid w:val="00856D3B"/>
    <w:rsid w:val="0085798A"/>
    <w:rsid w:val="00857F7B"/>
    <w:rsid w:val="008600DD"/>
    <w:rsid w:val="0086011A"/>
    <w:rsid w:val="00861705"/>
    <w:rsid w:val="00861CCC"/>
    <w:rsid w:val="00861CCF"/>
    <w:rsid w:val="00861F0C"/>
    <w:rsid w:val="008621A1"/>
    <w:rsid w:val="00863232"/>
    <w:rsid w:val="00863715"/>
    <w:rsid w:val="00864E56"/>
    <w:rsid w:val="008654EA"/>
    <w:rsid w:val="00865CA4"/>
    <w:rsid w:val="00865D98"/>
    <w:rsid w:val="00865E6E"/>
    <w:rsid w:val="00866986"/>
    <w:rsid w:val="00866CB0"/>
    <w:rsid w:val="008673A7"/>
    <w:rsid w:val="00867AA6"/>
    <w:rsid w:val="00870746"/>
    <w:rsid w:val="008708F1"/>
    <w:rsid w:val="00870E1C"/>
    <w:rsid w:val="00871D26"/>
    <w:rsid w:val="00871DB9"/>
    <w:rsid w:val="00872238"/>
    <w:rsid w:val="00872D2D"/>
    <w:rsid w:val="008735D9"/>
    <w:rsid w:val="00873769"/>
    <w:rsid w:val="00873D46"/>
    <w:rsid w:val="00873E01"/>
    <w:rsid w:val="0087467B"/>
    <w:rsid w:val="00874DFF"/>
    <w:rsid w:val="008751F5"/>
    <w:rsid w:val="008754B2"/>
    <w:rsid w:val="0087569E"/>
    <w:rsid w:val="008757DB"/>
    <w:rsid w:val="00875C7E"/>
    <w:rsid w:val="00876222"/>
    <w:rsid w:val="0087678C"/>
    <w:rsid w:val="00876E12"/>
    <w:rsid w:val="008802C9"/>
    <w:rsid w:val="00880D60"/>
    <w:rsid w:val="00880D89"/>
    <w:rsid w:val="00880FA9"/>
    <w:rsid w:val="008814EC"/>
    <w:rsid w:val="00881545"/>
    <w:rsid w:val="00881EE1"/>
    <w:rsid w:val="008821C8"/>
    <w:rsid w:val="008823E5"/>
    <w:rsid w:val="0088319A"/>
    <w:rsid w:val="008832AC"/>
    <w:rsid w:val="00883483"/>
    <w:rsid w:val="008835C4"/>
    <w:rsid w:val="008838FA"/>
    <w:rsid w:val="00883A1A"/>
    <w:rsid w:val="0088555F"/>
    <w:rsid w:val="008867FE"/>
    <w:rsid w:val="008870C0"/>
    <w:rsid w:val="0088710D"/>
    <w:rsid w:val="0088713A"/>
    <w:rsid w:val="00887BF2"/>
    <w:rsid w:val="00890270"/>
    <w:rsid w:val="0089068B"/>
    <w:rsid w:val="00890897"/>
    <w:rsid w:val="008908B4"/>
    <w:rsid w:val="00890EDE"/>
    <w:rsid w:val="00890F22"/>
    <w:rsid w:val="00891024"/>
    <w:rsid w:val="008917DC"/>
    <w:rsid w:val="0089182F"/>
    <w:rsid w:val="008918CD"/>
    <w:rsid w:val="00891DF7"/>
    <w:rsid w:val="008923F2"/>
    <w:rsid w:val="008923F5"/>
    <w:rsid w:val="008924E1"/>
    <w:rsid w:val="00892FD2"/>
    <w:rsid w:val="008934D6"/>
    <w:rsid w:val="00893D2B"/>
    <w:rsid w:val="008948B9"/>
    <w:rsid w:val="00894DF0"/>
    <w:rsid w:val="00894E68"/>
    <w:rsid w:val="008953A9"/>
    <w:rsid w:val="00895943"/>
    <w:rsid w:val="00895FFB"/>
    <w:rsid w:val="00896FF9"/>
    <w:rsid w:val="00897296"/>
    <w:rsid w:val="008972AB"/>
    <w:rsid w:val="008974A7"/>
    <w:rsid w:val="008A01C4"/>
    <w:rsid w:val="008A065D"/>
    <w:rsid w:val="008A0FA5"/>
    <w:rsid w:val="008A16A8"/>
    <w:rsid w:val="008A16E5"/>
    <w:rsid w:val="008A1766"/>
    <w:rsid w:val="008A1ECE"/>
    <w:rsid w:val="008A2B17"/>
    <w:rsid w:val="008A4A38"/>
    <w:rsid w:val="008A4D0B"/>
    <w:rsid w:val="008A52EE"/>
    <w:rsid w:val="008A54D1"/>
    <w:rsid w:val="008A57C2"/>
    <w:rsid w:val="008A5EBB"/>
    <w:rsid w:val="008A74A6"/>
    <w:rsid w:val="008A79F3"/>
    <w:rsid w:val="008A7B4D"/>
    <w:rsid w:val="008B0176"/>
    <w:rsid w:val="008B108E"/>
    <w:rsid w:val="008B28E9"/>
    <w:rsid w:val="008B2B1D"/>
    <w:rsid w:val="008B38FA"/>
    <w:rsid w:val="008B39CA"/>
    <w:rsid w:val="008B3A5C"/>
    <w:rsid w:val="008B46B7"/>
    <w:rsid w:val="008B4939"/>
    <w:rsid w:val="008B4CD8"/>
    <w:rsid w:val="008B5CDA"/>
    <w:rsid w:val="008B6EBF"/>
    <w:rsid w:val="008C111D"/>
    <w:rsid w:val="008C16DC"/>
    <w:rsid w:val="008C1A74"/>
    <w:rsid w:val="008C21B9"/>
    <w:rsid w:val="008C21D2"/>
    <w:rsid w:val="008C27AE"/>
    <w:rsid w:val="008C2A0B"/>
    <w:rsid w:val="008C2BA3"/>
    <w:rsid w:val="008C2FAD"/>
    <w:rsid w:val="008C394D"/>
    <w:rsid w:val="008C4647"/>
    <w:rsid w:val="008C4B6D"/>
    <w:rsid w:val="008C6089"/>
    <w:rsid w:val="008C643F"/>
    <w:rsid w:val="008C68AE"/>
    <w:rsid w:val="008C74EF"/>
    <w:rsid w:val="008C773C"/>
    <w:rsid w:val="008C7FB5"/>
    <w:rsid w:val="008D0389"/>
    <w:rsid w:val="008D057D"/>
    <w:rsid w:val="008D0E86"/>
    <w:rsid w:val="008D1549"/>
    <w:rsid w:val="008D15DC"/>
    <w:rsid w:val="008D34E0"/>
    <w:rsid w:val="008D3664"/>
    <w:rsid w:val="008D36B9"/>
    <w:rsid w:val="008D3D10"/>
    <w:rsid w:val="008D546E"/>
    <w:rsid w:val="008D62DD"/>
    <w:rsid w:val="008D6D6B"/>
    <w:rsid w:val="008D70F9"/>
    <w:rsid w:val="008D72AA"/>
    <w:rsid w:val="008E074C"/>
    <w:rsid w:val="008E176D"/>
    <w:rsid w:val="008E1A3A"/>
    <w:rsid w:val="008E22EE"/>
    <w:rsid w:val="008E399C"/>
    <w:rsid w:val="008E3D64"/>
    <w:rsid w:val="008E4A9C"/>
    <w:rsid w:val="008E4B1C"/>
    <w:rsid w:val="008E4B6E"/>
    <w:rsid w:val="008E55ED"/>
    <w:rsid w:val="008E57F9"/>
    <w:rsid w:val="008E589D"/>
    <w:rsid w:val="008E5C09"/>
    <w:rsid w:val="008E6DC6"/>
    <w:rsid w:val="008E7788"/>
    <w:rsid w:val="008E785A"/>
    <w:rsid w:val="008E78A3"/>
    <w:rsid w:val="008F06ED"/>
    <w:rsid w:val="008F0EE9"/>
    <w:rsid w:val="008F0FCD"/>
    <w:rsid w:val="008F131C"/>
    <w:rsid w:val="008F1422"/>
    <w:rsid w:val="008F296C"/>
    <w:rsid w:val="008F3007"/>
    <w:rsid w:val="008F32E1"/>
    <w:rsid w:val="008F399F"/>
    <w:rsid w:val="008F3C40"/>
    <w:rsid w:val="008F3E90"/>
    <w:rsid w:val="008F586D"/>
    <w:rsid w:val="008F69E7"/>
    <w:rsid w:val="008F6BB9"/>
    <w:rsid w:val="008F7297"/>
    <w:rsid w:val="008F72E8"/>
    <w:rsid w:val="008F73A7"/>
    <w:rsid w:val="008F7B44"/>
    <w:rsid w:val="008F7C3E"/>
    <w:rsid w:val="00900ACE"/>
    <w:rsid w:val="00902353"/>
    <w:rsid w:val="009028DC"/>
    <w:rsid w:val="00902D94"/>
    <w:rsid w:val="00902EA2"/>
    <w:rsid w:val="00903FEE"/>
    <w:rsid w:val="009040C9"/>
    <w:rsid w:val="00904194"/>
    <w:rsid w:val="009045DE"/>
    <w:rsid w:val="00905689"/>
    <w:rsid w:val="00905FDD"/>
    <w:rsid w:val="0090616D"/>
    <w:rsid w:val="0090655E"/>
    <w:rsid w:val="00906F4C"/>
    <w:rsid w:val="00907A4C"/>
    <w:rsid w:val="00910258"/>
    <w:rsid w:val="0091037F"/>
    <w:rsid w:val="00910DA6"/>
    <w:rsid w:val="009134B6"/>
    <w:rsid w:val="00913501"/>
    <w:rsid w:val="009137C1"/>
    <w:rsid w:val="00913C14"/>
    <w:rsid w:val="009142D4"/>
    <w:rsid w:val="00914402"/>
    <w:rsid w:val="0091514E"/>
    <w:rsid w:val="00915256"/>
    <w:rsid w:val="009154B6"/>
    <w:rsid w:val="00915864"/>
    <w:rsid w:val="00916632"/>
    <w:rsid w:val="00916A30"/>
    <w:rsid w:val="00917929"/>
    <w:rsid w:val="00917A31"/>
    <w:rsid w:val="00917F1F"/>
    <w:rsid w:val="00921AFD"/>
    <w:rsid w:val="009221F3"/>
    <w:rsid w:val="00922A8C"/>
    <w:rsid w:val="00922FC7"/>
    <w:rsid w:val="0092315D"/>
    <w:rsid w:val="009233A8"/>
    <w:rsid w:val="009235EE"/>
    <w:rsid w:val="0092420E"/>
    <w:rsid w:val="00924A1C"/>
    <w:rsid w:val="009257BA"/>
    <w:rsid w:val="009258D2"/>
    <w:rsid w:val="00925CD7"/>
    <w:rsid w:val="00926259"/>
    <w:rsid w:val="009272A4"/>
    <w:rsid w:val="00927599"/>
    <w:rsid w:val="00927EF1"/>
    <w:rsid w:val="009303E6"/>
    <w:rsid w:val="00930A33"/>
    <w:rsid w:val="00931031"/>
    <w:rsid w:val="00932B8A"/>
    <w:rsid w:val="00932C02"/>
    <w:rsid w:val="00935529"/>
    <w:rsid w:val="00935B63"/>
    <w:rsid w:val="0093745A"/>
    <w:rsid w:val="009375D7"/>
    <w:rsid w:val="00937858"/>
    <w:rsid w:val="009378AC"/>
    <w:rsid w:val="00940D1D"/>
    <w:rsid w:val="009419A1"/>
    <w:rsid w:val="00941B6B"/>
    <w:rsid w:val="009423D3"/>
    <w:rsid w:val="00942BB7"/>
    <w:rsid w:val="00942C03"/>
    <w:rsid w:val="009430B9"/>
    <w:rsid w:val="00943890"/>
    <w:rsid w:val="00944226"/>
    <w:rsid w:val="00944986"/>
    <w:rsid w:val="00944A10"/>
    <w:rsid w:val="00946077"/>
    <w:rsid w:val="009465A9"/>
    <w:rsid w:val="009469F7"/>
    <w:rsid w:val="00946B2B"/>
    <w:rsid w:val="009473B8"/>
    <w:rsid w:val="009476F7"/>
    <w:rsid w:val="0094780C"/>
    <w:rsid w:val="00950D17"/>
    <w:rsid w:val="00951121"/>
    <w:rsid w:val="0095117D"/>
    <w:rsid w:val="00951BC0"/>
    <w:rsid w:val="00951F88"/>
    <w:rsid w:val="00952CE8"/>
    <w:rsid w:val="00953ADA"/>
    <w:rsid w:val="00954060"/>
    <w:rsid w:val="009542A8"/>
    <w:rsid w:val="0095453B"/>
    <w:rsid w:val="00954FCE"/>
    <w:rsid w:val="0095534C"/>
    <w:rsid w:val="00955636"/>
    <w:rsid w:val="00955994"/>
    <w:rsid w:val="00955FB1"/>
    <w:rsid w:val="00956330"/>
    <w:rsid w:val="00956ED1"/>
    <w:rsid w:val="009607DF"/>
    <w:rsid w:val="00960A3B"/>
    <w:rsid w:val="0096101D"/>
    <w:rsid w:val="0096197B"/>
    <w:rsid w:val="00961F8E"/>
    <w:rsid w:val="00962113"/>
    <w:rsid w:val="009633B2"/>
    <w:rsid w:val="00963881"/>
    <w:rsid w:val="00963991"/>
    <w:rsid w:val="00965AA9"/>
    <w:rsid w:val="009660AD"/>
    <w:rsid w:val="0096623D"/>
    <w:rsid w:val="00966456"/>
    <w:rsid w:val="00966FFB"/>
    <w:rsid w:val="009679FE"/>
    <w:rsid w:val="00967B12"/>
    <w:rsid w:val="00967E21"/>
    <w:rsid w:val="00970B23"/>
    <w:rsid w:val="00970F05"/>
    <w:rsid w:val="00971950"/>
    <w:rsid w:val="00971A6B"/>
    <w:rsid w:val="00971BDE"/>
    <w:rsid w:val="00971C65"/>
    <w:rsid w:val="00971FAF"/>
    <w:rsid w:val="00972094"/>
    <w:rsid w:val="00973892"/>
    <w:rsid w:val="00973B9A"/>
    <w:rsid w:val="00973BAD"/>
    <w:rsid w:val="00973E78"/>
    <w:rsid w:val="009747C4"/>
    <w:rsid w:val="00974B06"/>
    <w:rsid w:val="00975770"/>
    <w:rsid w:val="00975C01"/>
    <w:rsid w:val="00976970"/>
    <w:rsid w:val="00976C08"/>
    <w:rsid w:val="00976CEA"/>
    <w:rsid w:val="00980701"/>
    <w:rsid w:val="00980972"/>
    <w:rsid w:val="009811E8"/>
    <w:rsid w:val="00981477"/>
    <w:rsid w:val="009816C8"/>
    <w:rsid w:val="00982441"/>
    <w:rsid w:val="00982AD1"/>
    <w:rsid w:val="00982DEE"/>
    <w:rsid w:val="009833AF"/>
    <w:rsid w:val="00983567"/>
    <w:rsid w:val="00983E09"/>
    <w:rsid w:val="00984413"/>
    <w:rsid w:val="009845B9"/>
    <w:rsid w:val="00985226"/>
    <w:rsid w:val="00985B5B"/>
    <w:rsid w:val="00986C4F"/>
    <w:rsid w:val="00986F18"/>
    <w:rsid w:val="00987727"/>
    <w:rsid w:val="0099050E"/>
    <w:rsid w:val="009909CD"/>
    <w:rsid w:val="0099131E"/>
    <w:rsid w:val="0099171A"/>
    <w:rsid w:val="0099246E"/>
    <w:rsid w:val="00992CA4"/>
    <w:rsid w:val="00992EBD"/>
    <w:rsid w:val="00993C75"/>
    <w:rsid w:val="00993FDB"/>
    <w:rsid w:val="00994C37"/>
    <w:rsid w:val="00994D47"/>
    <w:rsid w:val="00994F56"/>
    <w:rsid w:val="00996C0F"/>
    <w:rsid w:val="00997009"/>
    <w:rsid w:val="009A02D1"/>
    <w:rsid w:val="009A09BD"/>
    <w:rsid w:val="009A1ADA"/>
    <w:rsid w:val="009A200B"/>
    <w:rsid w:val="009A21A8"/>
    <w:rsid w:val="009A22DD"/>
    <w:rsid w:val="009A261C"/>
    <w:rsid w:val="009A2AF3"/>
    <w:rsid w:val="009A36B0"/>
    <w:rsid w:val="009A3974"/>
    <w:rsid w:val="009A3B52"/>
    <w:rsid w:val="009A3F47"/>
    <w:rsid w:val="009A45AA"/>
    <w:rsid w:val="009A4A49"/>
    <w:rsid w:val="009A533C"/>
    <w:rsid w:val="009A5A6E"/>
    <w:rsid w:val="009A5CFF"/>
    <w:rsid w:val="009A6376"/>
    <w:rsid w:val="009A6F1A"/>
    <w:rsid w:val="009A75EA"/>
    <w:rsid w:val="009A7D95"/>
    <w:rsid w:val="009A7E31"/>
    <w:rsid w:val="009B0167"/>
    <w:rsid w:val="009B0C12"/>
    <w:rsid w:val="009B16E9"/>
    <w:rsid w:val="009B1929"/>
    <w:rsid w:val="009B249C"/>
    <w:rsid w:val="009B33FD"/>
    <w:rsid w:val="009B36D6"/>
    <w:rsid w:val="009B3A3E"/>
    <w:rsid w:val="009B3B3B"/>
    <w:rsid w:val="009B4612"/>
    <w:rsid w:val="009B4EB9"/>
    <w:rsid w:val="009B5087"/>
    <w:rsid w:val="009B52DC"/>
    <w:rsid w:val="009B5800"/>
    <w:rsid w:val="009B662A"/>
    <w:rsid w:val="009B6BA3"/>
    <w:rsid w:val="009B6FE3"/>
    <w:rsid w:val="009B75ED"/>
    <w:rsid w:val="009B7654"/>
    <w:rsid w:val="009C0097"/>
    <w:rsid w:val="009C0899"/>
    <w:rsid w:val="009C11AA"/>
    <w:rsid w:val="009C17ED"/>
    <w:rsid w:val="009C184E"/>
    <w:rsid w:val="009C20F2"/>
    <w:rsid w:val="009C2161"/>
    <w:rsid w:val="009C21D4"/>
    <w:rsid w:val="009C33C9"/>
    <w:rsid w:val="009C38F6"/>
    <w:rsid w:val="009C4269"/>
    <w:rsid w:val="009C51C8"/>
    <w:rsid w:val="009C5259"/>
    <w:rsid w:val="009C526B"/>
    <w:rsid w:val="009C556A"/>
    <w:rsid w:val="009C59E0"/>
    <w:rsid w:val="009C6831"/>
    <w:rsid w:val="009C6D10"/>
    <w:rsid w:val="009C739A"/>
    <w:rsid w:val="009C7575"/>
    <w:rsid w:val="009C76AC"/>
    <w:rsid w:val="009C7B48"/>
    <w:rsid w:val="009C7C81"/>
    <w:rsid w:val="009D0180"/>
    <w:rsid w:val="009D0DCB"/>
    <w:rsid w:val="009D1044"/>
    <w:rsid w:val="009D173B"/>
    <w:rsid w:val="009D1CF4"/>
    <w:rsid w:val="009D2175"/>
    <w:rsid w:val="009D24EE"/>
    <w:rsid w:val="009D259C"/>
    <w:rsid w:val="009D29F5"/>
    <w:rsid w:val="009D31B6"/>
    <w:rsid w:val="009D334A"/>
    <w:rsid w:val="009D40D1"/>
    <w:rsid w:val="009D4F4E"/>
    <w:rsid w:val="009D52AE"/>
    <w:rsid w:val="009D55B7"/>
    <w:rsid w:val="009D5667"/>
    <w:rsid w:val="009D57E2"/>
    <w:rsid w:val="009D5BB6"/>
    <w:rsid w:val="009D6258"/>
    <w:rsid w:val="009D6D9F"/>
    <w:rsid w:val="009D752C"/>
    <w:rsid w:val="009D79AE"/>
    <w:rsid w:val="009D7D05"/>
    <w:rsid w:val="009E002E"/>
    <w:rsid w:val="009E00BD"/>
    <w:rsid w:val="009E0349"/>
    <w:rsid w:val="009E0F45"/>
    <w:rsid w:val="009E1CCB"/>
    <w:rsid w:val="009E1D14"/>
    <w:rsid w:val="009E35E6"/>
    <w:rsid w:val="009E374F"/>
    <w:rsid w:val="009E57EC"/>
    <w:rsid w:val="009E6573"/>
    <w:rsid w:val="009E667C"/>
    <w:rsid w:val="009E74AB"/>
    <w:rsid w:val="009E7502"/>
    <w:rsid w:val="009E788F"/>
    <w:rsid w:val="009E7FEA"/>
    <w:rsid w:val="009F010C"/>
    <w:rsid w:val="009F069E"/>
    <w:rsid w:val="009F1A92"/>
    <w:rsid w:val="009F2E54"/>
    <w:rsid w:val="009F301F"/>
    <w:rsid w:val="009F3029"/>
    <w:rsid w:val="009F3310"/>
    <w:rsid w:val="009F3617"/>
    <w:rsid w:val="009F3983"/>
    <w:rsid w:val="009F3B9E"/>
    <w:rsid w:val="009F3C24"/>
    <w:rsid w:val="009F4449"/>
    <w:rsid w:val="009F4683"/>
    <w:rsid w:val="009F500E"/>
    <w:rsid w:val="009F5056"/>
    <w:rsid w:val="009F5A35"/>
    <w:rsid w:val="009F5F3A"/>
    <w:rsid w:val="009F7805"/>
    <w:rsid w:val="009F7883"/>
    <w:rsid w:val="00A00476"/>
    <w:rsid w:val="00A00BCF"/>
    <w:rsid w:val="00A011E3"/>
    <w:rsid w:val="00A013FE"/>
    <w:rsid w:val="00A0197C"/>
    <w:rsid w:val="00A01988"/>
    <w:rsid w:val="00A02132"/>
    <w:rsid w:val="00A0246F"/>
    <w:rsid w:val="00A02A78"/>
    <w:rsid w:val="00A04457"/>
    <w:rsid w:val="00A04EA6"/>
    <w:rsid w:val="00A051CD"/>
    <w:rsid w:val="00A05D41"/>
    <w:rsid w:val="00A062CB"/>
    <w:rsid w:val="00A064F0"/>
    <w:rsid w:val="00A06764"/>
    <w:rsid w:val="00A069BD"/>
    <w:rsid w:val="00A10016"/>
    <w:rsid w:val="00A10097"/>
    <w:rsid w:val="00A11373"/>
    <w:rsid w:val="00A11820"/>
    <w:rsid w:val="00A119D8"/>
    <w:rsid w:val="00A11F1B"/>
    <w:rsid w:val="00A1238B"/>
    <w:rsid w:val="00A12891"/>
    <w:rsid w:val="00A12AF3"/>
    <w:rsid w:val="00A13D5F"/>
    <w:rsid w:val="00A148FD"/>
    <w:rsid w:val="00A149ED"/>
    <w:rsid w:val="00A15134"/>
    <w:rsid w:val="00A15B25"/>
    <w:rsid w:val="00A15D63"/>
    <w:rsid w:val="00A162B5"/>
    <w:rsid w:val="00A1739F"/>
    <w:rsid w:val="00A20988"/>
    <w:rsid w:val="00A20AD2"/>
    <w:rsid w:val="00A20D73"/>
    <w:rsid w:val="00A20E96"/>
    <w:rsid w:val="00A20FB5"/>
    <w:rsid w:val="00A21526"/>
    <w:rsid w:val="00A216E1"/>
    <w:rsid w:val="00A21746"/>
    <w:rsid w:val="00A22215"/>
    <w:rsid w:val="00A22873"/>
    <w:rsid w:val="00A236BE"/>
    <w:rsid w:val="00A23761"/>
    <w:rsid w:val="00A23F10"/>
    <w:rsid w:val="00A23F1A"/>
    <w:rsid w:val="00A24254"/>
    <w:rsid w:val="00A25A06"/>
    <w:rsid w:val="00A26008"/>
    <w:rsid w:val="00A26272"/>
    <w:rsid w:val="00A262AA"/>
    <w:rsid w:val="00A26586"/>
    <w:rsid w:val="00A27A03"/>
    <w:rsid w:val="00A27A6E"/>
    <w:rsid w:val="00A27E88"/>
    <w:rsid w:val="00A304B3"/>
    <w:rsid w:val="00A30754"/>
    <w:rsid w:val="00A30C3C"/>
    <w:rsid w:val="00A30EE9"/>
    <w:rsid w:val="00A30F0F"/>
    <w:rsid w:val="00A30F87"/>
    <w:rsid w:val="00A3104A"/>
    <w:rsid w:val="00A31142"/>
    <w:rsid w:val="00A31995"/>
    <w:rsid w:val="00A321CD"/>
    <w:rsid w:val="00A329B4"/>
    <w:rsid w:val="00A3343F"/>
    <w:rsid w:val="00A33545"/>
    <w:rsid w:val="00A33CA8"/>
    <w:rsid w:val="00A33D66"/>
    <w:rsid w:val="00A34C65"/>
    <w:rsid w:val="00A34DF1"/>
    <w:rsid w:val="00A35122"/>
    <w:rsid w:val="00A351DA"/>
    <w:rsid w:val="00A353FF"/>
    <w:rsid w:val="00A36338"/>
    <w:rsid w:val="00A363AA"/>
    <w:rsid w:val="00A3659F"/>
    <w:rsid w:val="00A36823"/>
    <w:rsid w:val="00A36A2D"/>
    <w:rsid w:val="00A36E2D"/>
    <w:rsid w:val="00A37727"/>
    <w:rsid w:val="00A37A6A"/>
    <w:rsid w:val="00A4038E"/>
    <w:rsid w:val="00A403D2"/>
    <w:rsid w:val="00A413E5"/>
    <w:rsid w:val="00A41487"/>
    <w:rsid w:val="00A41C4F"/>
    <w:rsid w:val="00A42450"/>
    <w:rsid w:val="00A42B01"/>
    <w:rsid w:val="00A42FFA"/>
    <w:rsid w:val="00A431D9"/>
    <w:rsid w:val="00A444E7"/>
    <w:rsid w:val="00A44B9A"/>
    <w:rsid w:val="00A4546E"/>
    <w:rsid w:val="00A454E1"/>
    <w:rsid w:val="00A45A1F"/>
    <w:rsid w:val="00A45A85"/>
    <w:rsid w:val="00A45BBC"/>
    <w:rsid w:val="00A45D55"/>
    <w:rsid w:val="00A5066B"/>
    <w:rsid w:val="00A50B40"/>
    <w:rsid w:val="00A50BE3"/>
    <w:rsid w:val="00A50FB4"/>
    <w:rsid w:val="00A5172A"/>
    <w:rsid w:val="00A52846"/>
    <w:rsid w:val="00A52DF1"/>
    <w:rsid w:val="00A535CB"/>
    <w:rsid w:val="00A53638"/>
    <w:rsid w:val="00A543CB"/>
    <w:rsid w:val="00A544EC"/>
    <w:rsid w:val="00A54982"/>
    <w:rsid w:val="00A55028"/>
    <w:rsid w:val="00A55E1C"/>
    <w:rsid w:val="00A55E41"/>
    <w:rsid w:val="00A55FD5"/>
    <w:rsid w:val="00A56422"/>
    <w:rsid w:val="00A573E6"/>
    <w:rsid w:val="00A5754F"/>
    <w:rsid w:val="00A578F8"/>
    <w:rsid w:val="00A616C0"/>
    <w:rsid w:val="00A629F4"/>
    <w:rsid w:val="00A6363C"/>
    <w:rsid w:val="00A63757"/>
    <w:rsid w:val="00A639B7"/>
    <w:rsid w:val="00A66FD4"/>
    <w:rsid w:val="00A670CF"/>
    <w:rsid w:val="00A70A08"/>
    <w:rsid w:val="00A70D46"/>
    <w:rsid w:val="00A70F39"/>
    <w:rsid w:val="00A712FB"/>
    <w:rsid w:val="00A71AA9"/>
    <w:rsid w:val="00A71B3F"/>
    <w:rsid w:val="00A71C7E"/>
    <w:rsid w:val="00A71D3C"/>
    <w:rsid w:val="00A73305"/>
    <w:rsid w:val="00A73614"/>
    <w:rsid w:val="00A73DBF"/>
    <w:rsid w:val="00A74293"/>
    <w:rsid w:val="00A74633"/>
    <w:rsid w:val="00A74A38"/>
    <w:rsid w:val="00A74DDB"/>
    <w:rsid w:val="00A75284"/>
    <w:rsid w:val="00A7556D"/>
    <w:rsid w:val="00A75BB8"/>
    <w:rsid w:val="00A75C69"/>
    <w:rsid w:val="00A75CB3"/>
    <w:rsid w:val="00A75DA9"/>
    <w:rsid w:val="00A76475"/>
    <w:rsid w:val="00A8096C"/>
    <w:rsid w:val="00A80F75"/>
    <w:rsid w:val="00A81BD7"/>
    <w:rsid w:val="00A81E9E"/>
    <w:rsid w:val="00A82491"/>
    <w:rsid w:val="00A825B9"/>
    <w:rsid w:val="00A8271F"/>
    <w:rsid w:val="00A82FDE"/>
    <w:rsid w:val="00A8347D"/>
    <w:rsid w:val="00A836CB"/>
    <w:rsid w:val="00A83ADB"/>
    <w:rsid w:val="00A83AEA"/>
    <w:rsid w:val="00A841E8"/>
    <w:rsid w:val="00A8442E"/>
    <w:rsid w:val="00A8468F"/>
    <w:rsid w:val="00A847FF"/>
    <w:rsid w:val="00A850AD"/>
    <w:rsid w:val="00A85A0A"/>
    <w:rsid w:val="00A85EDC"/>
    <w:rsid w:val="00A86DF8"/>
    <w:rsid w:val="00A874AE"/>
    <w:rsid w:val="00A900C5"/>
    <w:rsid w:val="00A916E5"/>
    <w:rsid w:val="00A91999"/>
    <w:rsid w:val="00A9284F"/>
    <w:rsid w:val="00A92B0E"/>
    <w:rsid w:val="00A92BEA"/>
    <w:rsid w:val="00A92CFD"/>
    <w:rsid w:val="00A944CA"/>
    <w:rsid w:val="00A94531"/>
    <w:rsid w:val="00A947D0"/>
    <w:rsid w:val="00A95236"/>
    <w:rsid w:val="00A955F6"/>
    <w:rsid w:val="00A957C1"/>
    <w:rsid w:val="00A96535"/>
    <w:rsid w:val="00A967C0"/>
    <w:rsid w:val="00A96E1C"/>
    <w:rsid w:val="00A9732A"/>
    <w:rsid w:val="00A97553"/>
    <w:rsid w:val="00A97804"/>
    <w:rsid w:val="00AA0250"/>
    <w:rsid w:val="00AA1067"/>
    <w:rsid w:val="00AA2D5D"/>
    <w:rsid w:val="00AA3685"/>
    <w:rsid w:val="00AA3E3D"/>
    <w:rsid w:val="00AA45CB"/>
    <w:rsid w:val="00AA4682"/>
    <w:rsid w:val="00AA46AA"/>
    <w:rsid w:val="00AA47D3"/>
    <w:rsid w:val="00AA4C86"/>
    <w:rsid w:val="00AA5405"/>
    <w:rsid w:val="00AA5630"/>
    <w:rsid w:val="00AA5E9E"/>
    <w:rsid w:val="00AA69D3"/>
    <w:rsid w:val="00AA7815"/>
    <w:rsid w:val="00AA7E36"/>
    <w:rsid w:val="00AA7EEA"/>
    <w:rsid w:val="00AB0BEB"/>
    <w:rsid w:val="00AB0F25"/>
    <w:rsid w:val="00AB1246"/>
    <w:rsid w:val="00AB2269"/>
    <w:rsid w:val="00AB28FC"/>
    <w:rsid w:val="00AB3325"/>
    <w:rsid w:val="00AB33EB"/>
    <w:rsid w:val="00AB3DA1"/>
    <w:rsid w:val="00AB41D3"/>
    <w:rsid w:val="00AB4348"/>
    <w:rsid w:val="00AB4508"/>
    <w:rsid w:val="00AB5D0A"/>
    <w:rsid w:val="00AB5F03"/>
    <w:rsid w:val="00AB65A4"/>
    <w:rsid w:val="00AB6971"/>
    <w:rsid w:val="00AB6C35"/>
    <w:rsid w:val="00AB71BC"/>
    <w:rsid w:val="00AB76A1"/>
    <w:rsid w:val="00AB77CB"/>
    <w:rsid w:val="00AB7B07"/>
    <w:rsid w:val="00AC007C"/>
    <w:rsid w:val="00AC0AAA"/>
    <w:rsid w:val="00AC134F"/>
    <w:rsid w:val="00AC1A13"/>
    <w:rsid w:val="00AC203B"/>
    <w:rsid w:val="00AC28B2"/>
    <w:rsid w:val="00AC2CD9"/>
    <w:rsid w:val="00AC2FE3"/>
    <w:rsid w:val="00AC31B4"/>
    <w:rsid w:val="00AC3223"/>
    <w:rsid w:val="00AC3D4F"/>
    <w:rsid w:val="00AC3FC4"/>
    <w:rsid w:val="00AC4C25"/>
    <w:rsid w:val="00AC5D6E"/>
    <w:rsid w:val="00AC6013"/>
    <w:rsid w:val="00AC6206"/>
    <w:rsid w:val="00AC63E5"/>
    <w:rsid w:val="00AC6EAF"/>
    <w:rsid w:val="00AC6F96"/>
    <w:rsid w:val="00AC7CB4"/>
    <w:rsid w:val="00AC7D57"/>
    <w:rsid w:val="00AC7D95"/>
    <w:rsid w:val="00AD104F"/>
    <w:rsid w:val="00AD1B28"/>
    <w:rsid w:val="00AD2BD7"/>
    <w:rsid w:val="00AD2D95"/>
    <w:rsid w:val="00AD2E5F"/>
    <w:rsid w:val="00AD38BB"/>
    <w:rsid w:val="00AD38C7"/>
    <w:rsid w:val="00AD3966"/>
    <w:rsid w:val="00AD3E03"/>
    <w:rsid w:val="00AD3FB8"/>
    <w:rsid w:val="00AD4710"/>
    <w:rsid w:val="00AD4F5D"/>
    <w:rsid w:val="00AD5034"/>
    <w:rsid w:val="00AD533D"/>
    <w:rsid w:val="00AD54C8"/>
    <w:rsid w:val="00AD58ED"/>
    <w:rsid w:val="00AD62E7"/>
    <w:rsid w:val="00AD63E1"/>
    <w:rsid w:val="00AD6BBC"/>
    <w:rsid w:val="00AD7372"/>
    <w:rsid w:val="00AD794C"/>
    <w:rsid w:val="00AE1662"/>
    <w:rsid w:val="00AE16FC"/>
    <w:rsid w:val="00AE260F"/>
    <w:rsid w:val="00AE27B1"/>
    <w:rsid w:val="00AE28FB"/>
    <w:rsid w:val="00AE2EAE"/>
    <w:rsid w:val="00AE3180"/>
    <w:rsid w:val="00AE3695"/>
    <w:rsid w:val="00AE456A"/>
    <w:rsid w:val="00AE4599"/>
    <w:rsid w:val="00AE467C"/>
    <w:rsid w:val="00AE4706"/>
    <w:rsid w:val="00AE51B7"/>
    <w:rsid w:val="00AE595D"/>
    <w:rsid w:val="00AE63BD"/>
    <w:rsid w:val="00AE691A"/>
    <w:rsid w:val="00AE776F"/>
    <w:rsid w:val="00AE7ED8"/>
    <w:rsid w:val="00AF0C4B"/>
    <w:rsid w:val="00AF24A2"/>
    <w:rsid w:val="00AF2EB3"/>
    <w:rsid w:val="00AF5BAF"/>
    <w:rsid w:val="00AF7BC2"/>
    <w:rsid w:val="00B00643"/>
    <w:rsid w:val="00B00B57"/>
    <w:rsid w:val="00B00B69"/>
    <w:rsid w:val="00B01089"/>
    <w:rsid w:val="00B0320B"/>
    <w:rsid w:val="00B034CD"/>
    <w:rsid w:val="00B035D1"/>
    <w:rsid w:val="00B04290"/>
    <w:rsid w:val="00B04A24"/>
    <w:rsid w:val="00B050C6"/>
    <w:rsid w:val="00B054A1"/>
    <w:rsid w:val="00B05555"/>
    <w:rsid w:val="00B060CD"/>
    <w:rsid w:val="00B06A47"/>
    <w:rsid w:val="00B06D47"/>
    <w:rsid w:val="00B070A3"/>
    <w:rsid w:val="00B071BA"/>
    <w:rsid w:val="00B07D5F"/>
    <w:rsid w:val="00B11950"/>
    <w:rsid w:val="00B1220D"/>
    <w:rsid w:val="00B12A96"/>
    <w:rsid w:val="00B13584"/>
    <w:rsid w:val="00B138C5"/>
    <w:rsid w:val="00B1394B"/>
    <w:rsid w:val="00B13FE5"/>
    <w:rsid w:val="00B1462F"/>
    <w:rsid w:val="00B146A2"/>
    <w:rsid w:val="00B1472E"/>
    <w:rsid w:val="00B149EB"/>
    <w:rsid w:val="00B14D75"/>
    <w:rsid w:val="00B15AD0"/>
    <w:rsid w:val="00B15CCA"/>
    <w:rsid w:val="00B15D54"/>
    <w:rsid w:val="00B15E6D"/>
    <w:rsid w:val="00B16E08"/>
    <w:rsid w:val="00B16FDA"/>
    <w:rsid w:val="00B17364"/>
    <w:rsid w:val="00B17B5A"/>
    <w:rsid w:val="00B20393"/>
    <w:rsid w:val="00B209F4"/>
    <w:rsid w:val="00B21BD8"/>
    <w:rsid w:val="00B23315"/>
    <w:rsid w:val="00B233C7"/>
    <w:rsid w:val="00B23666"/>
    <w:rsid w:val="00B23C45"/>
    <w:rsid w:val="00B2426C"/>
    <w:rsid w:val="00B24E82"/>
    <w:rsid w:val="00B25773"/>
    <w:rsid w:val="00B27047"/>
    <w:rsid w:val="00B27229"/>
    <w:rsid w:val="00B27356"/>
    <w:rsid w:val="00B3008D"/>
    <w:rsid w:val="00B318F5"/>
    <w:rsid w:val="00B32B59"/>
    <w:rsid w:val="00B32F52"/>
    <w:rsid w:val="00B33315"/>
    <w:rsid w:val="00B336E2"/>
    <w:rsid w:val="00B3419E"/>
    <w:rsid w:val="00B34798"/>
    <w:rsid w:val="00B34C6C"/>
    <w:rsid w:val="00B3583D"/>
    <w:rsid w:val="00B36C24"/>
    <w:rsid w:val="00B36D67"/>
    <w:rsid w:val="00B37369"/>
    <w:rsid w:val="00B378D7"/>
    <w:rsid w:val="00B37F90"/>
    <w:rsid w:val="00B402EC"/>
    <w:rsid w:val="00B40938"/>
    <w:rsid w:val="00B40CB3"/>
    <w:rsid w:val="00B41450"/>
    <w:rsid w:val="00B41536"/>
    <w:rsid w:val="00B416EF"/>
    <w:rsid w:val="00B4297A"/>
    <w:rsid w:val="00B435EC"/>
    <w:rsid w:val="00B44614"/>
    <w:rsid w:val="00B44D8E"/>
    <w:rsid w:val="00B466BD"/>
    <w:rsid w:val="00B47B86"/>
    <w:rsid w:val="00B5075D"/>
    <w:rsid w:val="00B508D4"/>
    <w:rsid w:val="00B51959"/>
    <w:rsid w:val="00B51C80"/>
    <w:rsid w:val="00B51D2E"/>
    <w:rsid w:val="00B52C4B"/>
    <w:rsid w:val="00B53F87"/>
    <w:rsid w:val="00B54606"/>
    <w:rsid w:val="00B54A36"/>
    <w:rsid w:val="00B55218"/>
    <w:rsid w:val="00B55D0F"/>
    <w:rsid w:val="00B569BA"/>
    <w:rsid w:val="00B56BD2"/>
    <w:rsid w:val="00B56DE9"/>
    <w:rsid w:val="00B56F19"/>
    <w:rsid w:val="00B6014A"/>
    <w:rsid w:val="00B615E9"/>
    <w:rsid w:val="00B61712"/>
    <w:rsid w:val="00B61D7B"/>
    <w:rsid w:val="00B6304F"/>
    <w:rsid w:val="00B639CB"/>
    <w:rsid w:val="00B63E82"/>
    <w:rsid w:val="00B64781"/>
    <w:rsid w:val="00B6747C"/>
    <w:rsid w:val="00B67BA1"/>
    <w:rsid w:val="00B67DD9"/>
    <w:rsid w:val="00B704F4"/>
    <w:rsid w:val="00B70E2C"/>
    <w:rsid w:val="00B7172B"/>
    <w:rsid w:val="00B72292"/>
    <w:rsid w:val="00B725DE"/>
    <w:rsid w:val="00B73B37"/>
    <w:rsid w:val="00B74390"/>
    <w:rsid w:val="00B743DF"/>
    <w:rsid w:val="00B7532F"/>
    <w:rsid w:val="00B75593"/>
    <w:rsid w:val="00B75B18"/>
    <w:rsid w:val="00B75F16"/>
    <w:rsid w:val="00B76029"/>
    <w:rsid w:val="00B766DC"/>
    <w:rsid w:val="00B76816"/>
    <w:rsid w:val="00B76A67"/>
    <w:rsid w:val="00B777F7"/>
    <w:rsid w:val="00B779F1"/>
    <w:rsid w:val="00B77B3A"/>
    <w:rsid w:val="00B77FF3"/>
    <w:rsid w:val="00B81632"/>
    <w:rsid w:val="00B81C98"/>
    <w:rsid w:val="00B827F4"/>
    <w:rsid w:val="00B82ADD"/>
    <w:rsid w:val="00B83119"/>
    <w:rsid w:val="00B831F9"/>
    <w:rsid w:val="00B8354A"/>
    <w:rsid w:val="00B83B8B"/>
    <w:rsid w:val="00B84345"/>
    <w:rsid w:val="00B84AE7"/>
    <w:rsid w:val="00B84AFD"/>
    <w:rsid w:val="00B85CC4"/>
    <w:rsid w:val="00B8620B"/>
    <w:rsid w:val="00B865BD"/>
    <w:rsid w:val="00B86D0A"/>
    <w:rsid w:val="00B875F2"/>
    <w:rsid w:val="00B87DDE"/>
    <w:rsid w:val="00B9097C"/>
    <w:rsid w:val="00B90E90"/>
    <w:rsid w:val="00B91A3C"/>
    <w:rsid w:val="00B91DCB"/>
    <w:rsid w:val="00B928D2"/>
    <w:rsid w:val="00B93611"/>
    <w:rsid w:val="00B94883"/>
    <w:rsid w:val="00B95649"/>
    <w:rsid w:val="00B95E6C"/>
    <w:rsid w:val="00B968F0"/>
    <w:rsid w:val="00B96E05"/>
    <w:rsid w:val="00B96FA9"/>
    <w:rsid w:val="00B9706F"/>
    <w:rsid w:val="00B97CF7"/>
    <w:rsid w:val="00BA0609"/>
    <w:rsid w:val="00BA0A7D"/>
    <w:rsid w:val="00BA116A"/>
    <w:rsid w:val="00BA124B"/>
    <w:rsid w:val="00BA12BE"/>
    <w:rsid w:val="00BA2751"/>
    <w:rsid w:val="00BA2922"/>
    <w:rsid w:val="00BA2980"/>
    <w:rsid w:val="00BA422A"/>
    <w:rsid w:val="00BA439A"/>
    <w:rsid w:val="00BA43B6"/>
    <w:rsid w:val="00BA4479"/>
    <w:rsid w:val="00BA46E5"/>
    <w:rsid w:val="00BA47AA"/>
    <w:rsid w:val="00BA4B6E"/>
    <w:rsid w:val="00BA566A"/>
    <w:rsid w:val="00BA6619"/>
    <w:rsid w:val="00BA6784"/>
    <w:rsid w:val="00BA67A4"/>
    <w:rsid w:val="00BA6E13"/>
    <w:rsid w:val="00BA745F"/>
    <w:rsid w:val="00BA7667"/>
    <w:rsid w:val="00BA77EB"/>
    <w:rsid w:val="00BA7ACB"/>
    <w:rsid w:val="00BB1468"/>
    <w:rsid w:val="00BB1806"/>
    <w:rsid w:val="00BB2524"/>
    <w:rsid w:val="00BB3448"/>
    <w:rsid w:val="00BB3782"/>
    <w:rsid w:val="00BB420C"/>
    <w:rsid w:val="00BB44C4"/>
    <w:rsid w:val="00BB4F52"/>
    <w:rsid w:val="00BB50CA"/>
    <w:rsid w:val="00BB6264"/>
    <w:rsid w:val="00BB7877"/>
    <w:rsid w:val="00BB7ADA"/>
    <w:rsid w:val="00BC0423"/>
    <w:rsid w:val="00BC1E65"/>
    <w:rsid w:val="00BC20C8"/>
    <w:rsid w:val="00BC20DD"/>
    <w:rsid w:val="00BC260A"/>
    <w:rsid w:val="00BC2894"/>
    <w:rsid w:val="00BC28F9"/>
    <w:rsid w:val="00BC2CBD"/>
    <w:rsid w:val="00BC2DA6"/>
    <w:rsid w:val="00BC3236"/>
    <w:rsid w:val="00BC3B85"/>
    <w:rsid w:val="00BC4264"/>
    <w:rsid w:val="00BC44A2"/>
    <w:rsid w:val="00BC4A5F"/>
    <w:rsid w:val="00BC4F8F"/>
    <w:rsid w:val="00BC5A75"/>
    <w:rsid w:val="00BC6E2E"/>
    <w:rsid w:val="00BD0356"/>
    <w:rsid w:val="00BD1489"/>
    <w:rsid w:val="00BD1AFF"/>
    <w:rsid w:val="00BD2BCD"/>
    <w:rsid w:val="00BD2D6E"/>
    <w:rsid w:val="00BD2FA7"/>
    <w:rsid w:val="00BD32CD"/>
    <w:rsid w:val="00BD35B2"/>
    <w:rsid w:val="00BD3A31"/>
    <w:rsid w:val="00BD3DB6"/>
    <w:rsid w:val="00BD4541"/>
    <w:rsid w:val="00BD4ABD"/>
    <w:rsid w:val="00BD4B5A"/>
    <w:rsid w:val="00BD5165"/>
    <w:rsid w:val="00BD51FE"/>
    <w:rsid w:val="00BD52B7"/>
    <w:rsid w:val="00BD5C73"/>
    <w:rsid w:val="00BD5D6E"/>
    <w:rsid w:val="00BD6F6C"/>
    <w:rsid w:val="00BD77DF"/>
    <w:rsid w:val="00BD796A"/>
    <w:rsid w:val="00BD797A"/>
    <w:rsid w:val="00BD7D9F"/>
    <w:rsid w:val="00BE2770"/>
    <w:rsid w:val="00BE3292"/>
    <w:rsid w:val="00BE3B2E"/>
    <w:rsid w:val="00BE3B66"/>
    <w:rsid w:val="00BE3FC0"/>
    <w:rsid w:val="00BE4645"/>
    <w:rsid w:val="00BE528A"/>
    <w:rsid w:val="00BE532C"/>
    <w:rsid w:val="00BE5A75"/>
    <w:rsid w:val="00BE5B6A"/>
    <w:rsid w:val="00BE5C1E"/>
    <w:rsid w:val="00BE6283"/>
    <w:rsid w:val="00BE63EE"/>
    <w:rsid w:val="00BE6699"/>
    <w:rsid w:val="00BE6913"/>
    <w:rsid w:val="00BE6C13"/>
    <w:rsid w:val="00BE6C17"/>
    <w:rsid w:val="00BE6DE3"/>
    <w:rsid w:val="00BE70DB"/>
    <w:rsid w:val="00BE77DA"/>
    <w:rsid w:val="00BE7A51"/>
    <w:rsid w:val="00BE7C32"/>
    <w:rsid w:val="00BE7CD5"/>
    <w:rsid w:val="00BF0750"/>
    <w:rsid w:val="00BF18B0"/>
    <w:rsid w:val="00BF1B38"/>
    <w:rsid w:val="00BF1F6B"/>
    <w:rsid w:val="00BF27C8"/>
    <w:rsid w:val="00BF30C6"/>
    <w:rsid w:val="00BF31E4"/>
    <w:rsid w:val="00BF32E5"/>
    <w:rsid w:val="00BF3B0A"/>
    <w:rsid w:val="00BF3EAB"/>
    <w:rsid w:val="00BF47D7"/>
    <w:rsid w:val="00BF4FAB"/>
    <w:rsid w:val="00BF50C5"/>
    <w:rsid w:val="00BF5799"/>
    <w:rsid w:val="00BF65E0"/>
    <w:rsid w:val="00BF6A14"/>
    <w:rsid w:val="00BF6BE4"/>
    <w:rsid w:val="00BF6BFA"/>
    <w:rsid w:val="00BF6F5E"/>
    <w:rsid w:val="00BF7314"/>
    <w:rsid w:val="00C007C4"/>
    <w:rsid w:val="00C00E00"/>
    <w:rsid w:val="00C021F9"/>
    <w:rsid w:val="00C040B2"/>
    <w:rsid w:val="00C04310"/>
    <w:rsid w:val="00C0433D"/>
    <w:rsid w:val="00C04EA2"/>
    <w:rsid w:val="00C05CA6"/>
    <w:rsid w:val="00C05E48"/>
    <w:rsid w:val="00C071E8"/>
    <w:rsid w:val="00C10E78"/>
    <w:rsid w:val="00C10F21"/>
    <w:rsid w:val="00C111BD"/>
    <w:rsid w:val="00C114DC"/>
    <w:rsid w:val="00C11636"/>
    <w:rsid w:val="00C11C67"/>
    <w:rsid w:val="00C12D1A"/>
    <w:rsid w:val="00C12F97"/>
    <w:rsid w:val="00C13141"/>
    <w:rsid w:val="00C139F3"/>
    <w:rsid w:val="00C15112"/>
    <w:rsid w:val="00C156A4"/>
    <w:rsid w:val="00C16A93"/>
    <w:rsid w:val="00C16F20"/>
    <w:rsid w:val="00C175DA"/>
    <w:rsid w:val="00C17DF2"/>
    <w:rsid w:val="00C2096E"/>
    <w:rsid w:val="00C21222"/>
    <w:rsid w:val="00C22CA0"/>
    <w:rsid w:val="00C23275"/>
    <w:rsid w:val="00C23712"/>
    <w:rsid w:val="00C2385E"/>
    <w:rsid w:val="00C2451B"/>
    <w:rsid w:val="00C248AE"/>
    <w:rsid w:val="00C2586E"/>
    <w:rsid w:val="00C25A32"/>
    <w:rsid w:val="00C26632"/>
    <w:rsid w:val="00C2678E"/>
    <w:rsid w:val="00C2694F"/>
    <w:rsid w:val="00C26A5C"/>
    <w:rsid w:val="00C26B39"/>
    <w:rsid w:val="00C278A6"/>
    <w:rsid w:val="00C27B8C"/>
    <w:rsid w:val="00C3073C"/>
    <w:rsid w:val="00C30F1A"/>
    <w:rsid w:val="00C30FB9"/>
    <w:rsid w:val="00C31472"/>
    <w:rsid w:val="00C31855"/>
    <w:rsid w:val="00C31B5D"/>
    <w:rsid w:val="00C32153"/>
    <w:rsid w:val="00C325FD"/>
    <w:rsid w:val="00C32734"/>
    <w:rsid w:val="00C32A96"/>
    <w:rsid w:val="00C33439"/>
    <w:rsid w:val="00C3356F"/>
    <w:rsid w:val="00C336F3"/>
    <w:rsid w:val="00C342B6"/>
    <w:rsid w:val="00C34AE8"/>
    <w:rsid w:val="00C34B12"/>
    <w:rsid w:val="00C35105"/>
    <w:rsid w:val="00C35659"/>
    <w:rsid w:val="00C359CC"/>
    <w:rsid w:val="00C35D60"/>
    <w:rsid w:val="00C35F28"/>
    <w:rsid w:val="00C371D1"/>
    <w:rsid w:val="00C37449"/>
    <w:rsid w:val="00C37474"/>
    <w:rsid w:val="00C40544"/>
    <w:rsid w:val="00C40A09"/>
    <w:rsid w:val="00C40ADB"/>
    <w:rsid w:val="00C40D4A"/>
    <w:rsid w:val="00C40E05"/>
    <w:rsid w:val="00C41274"/>
    <w:rsid w:val="00C415D1"/>
    <w:rsid w:val="00C417A1"/>
    <w:rsid w:val="00C4286A"/>
    <w:rsid w:val="00C4296A"/>
    <w:rsid w:val="00C42B3F"/>
    <w:rsid w:val="00C43403"/>
    <w:rsid w:val="00C43F82"/>
    <w:rsid w:val="00C4401B"/>
    <w:rsid w:val="00C44DDE"/>
    <w:rsid w:val="00C44EC8"/>
    <w:rsid w:val="00C459A3"/>
    <w:rsid w:val="00C4600D"/>
    <w:rsid w:val="00C461D7"/>
    <w:rsid w:val="00C46BD7"/>
    <w:rsid w:val="00C476E6"/>
    <w:rsid w:val="00C47D07"/>
    <w:rsid w:val="00C50CA8"/>
    <w:rsid w:val="00C50F99"/>
    <w:rsid w:val="00C5154E"/>
    <w:rsid w:val="00C515C8"/>
    <w:rsid w:val="00C519D7"/>
    <w:rsid w:val="00C51E13"/>
    <w:rsid w:val="00C51F0E"/>
    <w:rsid w:val="00C51FE0"/>
    <w:rsid w:val="00C53F62"/>
    <w:rsid w:val="00C542E5"/>
    <w:rsid w:val="00C548E8"/>
    <w:rsid w:val="00C55F95"/>
    <w:rsid w:val="00C56425"/>
    <w:rsid w:val="00C566C3"/>
    <w:rsid w:val="00C57311"/>
    <w:rsid w:val="00C57564"/>
    <w:rsid w:val="00C57610"/>
    <w:rsid w:val="00C57FE8"/>
    <w:rsid w:val="00C6035D"/>
    <w:rsid w:val="00C60A75"/>
    <w:rsid w:val="00C61244"/>
    <w:rsid w:val="00C6169B"/>
    <w:rsid w:val="00C61D51"/>
    <w:rsid w:val="00C62741"/>
    <w:rsid w:val="00C627A4"/>
    <w:rsid w:val="00C62B93"/>
    <w:rsid w:val="00C62CD3"/>
    <w:rsid w:val="00C640F9"/>
    <w:rsid w:val="00C654A7"/>
    <w:rsid w:val="00C65B45"/>
    <w:rsid w:val="00C65E3B"/>
    <w:rsid w:val="00C665FE"/>
    <w:rsid w:val="00C66A2B"/>
    <w:rsid w:val="00C66A52"/>
    <w:rsid w:val="00C66FE6"/>
    <w:rsid w:val="00C6716D"/>
    <w:rsid w:val="00C67413"/>
    <w:rsid w:val="00C674F9"/>
    <w:rsid w:val="00C67AC4"/>
    <w:rsid w:val="00C67BCA"/>
    <w:rsid w:val="00C67EA1"/>
    <w:rsid w:val="00C70991"/>
    <w:rsid w:val="00C709BA"/>
    <w:rsid w:val="00C70A85"/>
    <w:rsid w:val="00C70B01"/>
    <w:rsid w:val="00C70E40"/>
    <w:rsid w:val="00C710C4"/>
    <w:rsid w:val="00C712FF"/>
    <w:rsid w:val="00C71568"/>
    <w:rsid w:val="00C72023"/>
    <w:rsid w:val="00C72C05"/>
    <w:rsid w:val="00C72D57"/>
    <w:rsid w:val="00C72FB2"/>
    <w:rsid w:val="00C73703"/>
    <w:rsid w:val="00C7387C"/>
    <w:rsid w:val="00C74136"/>
    <w:rsid w:val="00C76258"/>
    <w:rsid w:val="00C76317"/>
    <w:rsid w:val="00C76950"/>
    <w:rsid w:val="00C771C8"/>
    <w:rsid w:val="00C77FB7"/>
    <w:rsid w:val="00C8001F"/>
    <w:rsid w:val="00C800D1"/>
    <w:rsid w:val="00C80D8F"/>
    <w:rsid w:val="00C8176C"/>
    <w:rsid w:val="00C81C7B"/>
    <w:rsid w:val="00C82473"/>
    <w:rsid w:val="00C82746"/>
    <w:rsid w:val="00C82B5C"/>
    <w:rsid w:val="00C82BEE"/>
    <w:rsid w:val="00C82C89"/>
    <w:rsid w:val="00C82CD6"/>
    <w:rsid w:val="00C83759"/>
    <w:rsid w:val="00C8491E"/>
    <w:rsid w:val="00C8628E"/>
    <w:rsid w:val="00C87A51"/>
    <w:rsid w:val="00C90C3F"/>
    <w:rsid w:val="00C91506"/>
    <w:rsid w:val="00C91654"/>
    <w:rsid w:val="00C91B5F"/>
    <w:rsid w:val="00C91DAF"/>
    <w:rsid w:val="00C91E3B"/>
    <w:rsid w:val="00C923ED"/>
    <w:rsid w:val="00C92D8B"/>
    <w:rsid w:val="00C93111"/>
    <w:rsid w:val="00C94203"/>
    <w:rsid w:val="00C94406"/>
    <w:rsid w:val="00C94EDD"/>
    <w:rsid w:val="00C95284"/>
    <w:rsid w:val="00C95571"/>
    <w:rsid w:val="00C95E9D"/>
    <w:rsid w:val="00C96627"/>
    <w:rsid w:val="00C972E8"/>
    <w:rsid w:val="00C974C4"/>
    <w:rsid w:val="00C97AA1"/>
    <w:rsid w:val="00C97E59"/>
    <w:rsid w:val="00CA05ED"/>
    <w:rsid w:val="00CA1072"/>
    <w:rsid w:val="00CA14A1"/>
    <w:rsid w:val="00CA1B1D"/>
    <w:rsid w:val="00CA1C73"/>
    <w:rsid w:val="00CA22DB"/>
    <w:rsid w:val="00CA2720"/>
    <w:rsid w:val="00CA2889"/>
    <w:rsid w:val="00CA28D5"/>
    <w:rsid w:val="00CA30AD"/>
    <w:rsid w:val="00CA3460"/>
    <w:rsid w:val="00CA3911"/>
    <w:rsid w:val="00CA3F1B"/>
    <w:rsid w:val="00CA4058"/>
    <w:rsid w:val="00CA4A64"/>
    <w:rsid w:val="00CA4ECB"/>
    <w:rsid w:val="00CA53F6"/>
    <w:rsid w:val="00CA5437"/>
    <w:rsid w:val="00CA5B73"/>
    <w:rsid w:val="00CA6AB4"/>
    <w:rsid w:val="00CA7856"/>
    <w:rsid w:val="00CB00A6"/>
    <w:rsid w:val="00CB1591"/>
    <w:rsid w:val="00CB15D9"/>
    <w:rsid w:val="00CB1668"/>
    <w:rsid w:val="00CB2088"/>
    <w:rsid w:val="00CB2C6F"/>
    <w:rsid w:val="00CB2FAA"/>
    <w:rsid w:val="00CB3A87"/>
    <w:rsid w:val="00CB3C7D"/>
    <w:rsid w:val="00CB49D1"/>
    <w:rsid w:val="00CB63C9"/>
    <w:rsid w:val="00CB683A"/>
    <w:rsid w:val="00CB6E97"/>
    <w:rsid w:val="00CB75F4"/>
    <w:rsid w:val="00CC056E"/>
    <w:rsid w:val="00CC099D"/>
    <w:rsid w:val="00CC1A17"/>
    <w:rsid w:val="00CC1F12"/>
    <w:rsid w:val="00CC3875"/>
    <w:rsid w:val="00CC4582"/>
    <w:rsid w:val="00CC47A6"/>
    <w:rsid w:val="00CC4D47"/>
    <w:rsid w:val="00CC4E4C"/>
    <w:rsid w:val="00CC57F1"/>
    <w:rsid w:val="00CC5A47"/>
    <w:rsid w:val="00CC6351"/>
    <w:rsid w:val="00CC6BA5"/>
    <w:rsid w:val="00CC707D"/>
    <w:rsid w:val="00CC7D61"/>
    <w:rsid w:val="00CC7E62"/>
    <w:rsid w:val="00CD01A2"/>
    <w:rsid w:val="00CD0331"/>
    <w:rsid w:val="00CD0456"/>
    <w:rsid w:val="00CD0E3D"/>
    <w:rsid w:val="00CD11C3"/>
    <w:rsid w:val="00CD228E"/>
    <w:rsid w:val="00CD313E"/>
    <w:rsid w:val="00CD3385"/>
    <w:rsid w:val="00CD344F"/>
    <w:rsid w:val="00CD3D09"/>
    <w:rsid w:val="00CD4689"/>
    <w:rsid w:val="00CD4C92"/>
    <w:rsid w:val="00CD5AB5"/>
    <w:rsid w:val="00CD5B0B"/>
    <w:rsid w:val="00CD5D45"/>
    <w:rsid w:val="00CD6AF3"/>
    <w:rsid w:val="00CD7692"/>
    <w:rsid w:val="00CD7AD2"/>
    <w:rsid w:val="00CD7BBA"/>
    <w:rsid w:val="00CD7BED"/>
    <w:rsid w:val="00CE0697"/>
    <w:rsid w:val="00CE0699"/>
    <w:rsid w:val="00CE093E"/>
    <w:rsid w:val="00CE1119"/>
    <w:rsid w:val="00CE1415"/>
    <w:rsid w:val="00CE1581"/>
    <w:rsid w:val="00CE180C"/>
    <w:rsid w:val="00CE1D27"/>
    <w:rsid w:val="00CE2188"/>
    <w:rsid w:val="00CE36FD"/>
    <w:rsid w:val="00CE40E9"/>
    <w:rsid w:val="00CE4457"/>
    <w:rsid w:val="00CE470C"/>
    <w:rsid w:val="00CE491F"/>
    <w:rsid w:val="00CE4EC9"/>
    <w:rsid w:val="00CE5354"/>
    <w:rsid w:val="00CE5AED"/>
    <w:rsid w:val="00CE61E1"/>
    <w:rsid w:val="00CE6CD2"/>
    <w:rsid w:val="00CE7B97"/>
    <w:rsid w:val="00CF07DA"/>
    <w:rsid w:val="00CF091C"/>
    <w:rsid w:val="00CF0D24"/>
    <w:rsid w:val="00CF0DFD"/>
    <w:rsid w:val="00CF1435"/>
    <w:rsid w:val="00CF15D8"/>
    <w:rsid w:val="00CF16C8"/>
    <w:rsid w:val="00CF171C"/>
    <w:rsid w:val="00CF1770"/>
    <w:rsid w:val="00CF1A9B"/>
    <w:rsid w:val="00CF2154"/>
    <w:rsid w:val="00CF35AA"/>
    <w:rsid w:val="00CF3793"/>
    <w:rsid w:val="00CF4888"/>
    <w:rsid w:val="00CF4C52"/>
    <w:rsid w:val="00CF5205"/>
    <w:rsid w:val="00CF5284"/>
    <w:rsid w:val="00CF5D7A"/>
    <w:rsid w:val="00CF6371"/>
    <w:rsid w:val="00CF645E"/>
    <w:rsid w:val="00CF6B90"/>
    <w:rsid w:val="00CF6BE3"/>
    <w:rsid w:val="00D00006"/>
    <w:rsid w:val="00D00080"/>
    <w:rsid w:val="00D00847"/>
    <w:rsid w:val="00D009CE"/>
    <w:rsid w:val="00D00B2C"/>
    <w:rsid w:val="00D01417"/>
    <w:rsid w:val="00D01A91"/>
    <w:rsid w:val="00D01DD7"/>
    <w:rsid w:val="00D028E4"/>
    <w:rsid w:val="00D03077"/>
    <w:rsid w:val="00D030EF"/>
    <w:rsid w:val="00D03695"/>
    <w:rsid w:val="00D038F0"/>
    <w:rsid w:val="00D054BC"/>
    <w:rsid w:val="00D05904"/>
    <w:rsid w:val="00D0678C"/>
    <w:rsid w:val="00D06952"/>
    <w:rsid w:val="00D076BB"/>
    <w:rsid w:val="00D10140"/>
    <w:rsid w:val="00D103F0"/>
    <w:rsid w:val="00D1075A"/>
    <w:rsid w:val="00D1107A"/>
    <w:rsid w:val="00D1129C"/>
    <w:rsid w:val="00D119C7"/>
    <w:rsid w:val="00D12264"/>
    <w:rsid w:val="00D12519"/>
    <w:rsid w:val="00D12596"/>
    <w:rsid w:val="00D142ED"/>
    <w:rsid w:val="00D14608"/>
    <w:rsid w:val="00D146AF"/>
    <w:rsid w:val="00D14BBE"/>
    <w:rsid w:val="00D153AC"/>
    <w:rsid w:val="00D154F0"/>
    <w:rsid w:val="00D166D1"/>
    <w:rsid w:val="00D16736"/>
    <w:rsid w:val="00D16798"/>
    <w:rsid w:val="00D169BE"/>
    <w:rsid w:val="00D16CE5"/>
    <w:rsid w:val="00D16D3B"/>
    <w:rsid w:val="00D1716B"/>
    <w:rsid w:val="00D17BFD"/>
    <w:rsid w:val="00D20033"/>
    <w:rsid w:val="00D2069E"/>
    <w:rsid w:val="00D20754"/>
    <w:rsid w:val="00D20968"/>
    <w:rsid w:val="00D2189D"/>
    <w:rsid w:val="00D21CCE"/>
    <w:rsid w:val="00D2219B"/>
    <w:rsid w:val="00D224D2"/>
    <w:rsid w:val="00D2329D"/>
    <w:rsid w:val="00D244E6"/>
    <w:rsid w:val="00D24595"/>
    <w:rsid w:val="00D2530C"/>
    <w:rsid w:val="00D26256"/>
    <w:rsid w:val="00D2685C"/>
    <w:rsid w:val="00D268C6"/>
    <w:rsid w:val="00D27299"/>
    <w:rsid w:val="00D27479"/>
    <w:rsid w:val="00D274B8"/>
    <w:rsid w:val="00D27639"/>
    <w:rsid w:val="00D278F3"/>
    <w:rsid w:val="00D30C34"/>
    <w:rsid w:val="00D31E41"/>
    <w:rsid w:val="00D32E0E"/>
    <w:rsid w:val="00D33F78"/>
    <w:rsid w:val="00D36785"/>
    <w:rsid w:val="00D4025A"/>
    <w:rsid w:val="00D402EF"/>
    <w:rsid w:val="00D40707"/>
    <w:rsid w:val="00D40A83"/>
    <w:rsid w:val="00D40F0C"/>
    <w:rsid w:val="00D42D9E"/>
    <w:rsid w:val="00D4322A"/>
    <w:rsid w:val="00D4323D"/>
    <w:rsid w:val="00D43E1D"/>
    <w:rsid w:val="00D44F6E"/>
    <w:rsid w:val="00D44FED"/>
    <w:rsid w:val="00D450DD"/>
    <w:rsid w:val="00D46286"/>
    <w:rsid w:val="00D4642C"/>
    <w:rsid w:val="00D465A6"/>
    <w:rsid w:val="00D468B3"/>
    <w:rsid w:val="00D46F1D"/>
    <w:rsid w:val="00D46F42"/>
    <w:rsid w:val="00D47742"/>
    <w:rsid w:val="00D4784D"/>
    <w:rsid w:val="00D47863"/>
    <w:rsid w:val="00D47AF6"/>
    <w:rsid w:val="00D47FC6"/>
    <w:rsid w:val="00D504B1"/>
    <w:rsid w:val="00D5065A"/>
    <w:rsid w:val="00D506DD"/>
    <w:rsid w:val="00D50AEE"/>
    <w:rsid w:val="00D510E0"/>
    <w:rsid w:val="00D51123"/>
    <w:rsid w:val="00D523B1"/>
    <w:rsid w:val="00D53B9D"/>
    <w:rsid w:val="00D54ADA"/>
    <w:rsid w:val="00D54B48"/>
    <w:rsid w:val="00D553EE"/>
    <w:rsid w:val="00D566E3"/>
    <w:rsid w:val="00D56FD6"/>
    <w:rsid w:val="00D5766D"/>
    <w:rsid w:val="00D60BB6"/>
    <w:rsid w:val="00D626CE"/>
    <w:rsid w:val="00D6350B"/>
    <w:rsid w:val="00D63EB6"/>
    <w:rsid w:val="00D6448C"/>
    <w:rsid w:val="00D66DF2"/>
    <w:rsid w:val="00D67732"/>
    <w:rsid w:val="00D6791E"/>
    <w:rsid w:val="00D67A2D"/>
    <w:rsid w:val="00D67AAC"/>
    <w:rsid w:val="00D7022D"/>
    <w:rsid w:val="00D711B6"/>
    <w:rsid w:val="00D711D2"/>
    <w:rsid w:val="00D7253F"/>
    <w:rsid w:val="00D725CB"/>
    <w:rsid w:val="00D72B5A"/>
    <w:rsid w:val="00D72CC0"/>
    <w:rsid w:val="00D73322"/>
    <w:rsid w:val="00D73431"/>
    <w:rsid w:val="00D74614"/>
    <w:rsid w:val="00D74B6D"/>
    <w:rsid w:val="00D74C76"/>
    <w:rsid w:val="00D74E1A"/>
    <w:rsid w:val="00D75B41"/>
    <w:rsid w:val="00D76445"/>
    <w:rsid w:val="00D7680A"/>
    <w:rsid w:val="00D768A2"/>
    <w:rsid w:val="00D7729D"/>
    <w:rsid w:val="00D774FF"/>
    <w:rsid w:val="00D77E0A"/>
    <w:rsid w:val="00D77F4C"/>
    <w:rsid w:val="00D803A5"/>
    <w:rsid w:val="00D80945"/>
    <w:rsid w:val="00D81892"/>
    <w:rsid w:val="00D83626"/>
    <w:rsid w:val="00D83808"/>
    <w:rsid w:val="00D838AF"/>
    <w:rsid w:val="00D83EEA"/>
    <w:rsid w:val="00D848D3"/>
    <w:rsid w:val="00D854D1"/>
    <w:rsid w:val="00D858A5"/>
    <w:rsid w:val="00D85BF6"/>
    <w:rsid w:val="00D85D32"/>
    <w:rsid w:val="00D860A1"/>
    <w:rsid w:val="00D8678A"/>
    <w:rsid w:val="00D86F2B"/>
    <w:rsid w:val="00D874DF"/>
    <w:rsid w:val="00D875AC"/>
    <w:rsid w:val="00D87618"/>
    <w:rsid w:val="00D87675"/>
    <w:rsid w:val="00D90098"/>
    <w:rsid w:val="00D9096C"/>
    <w:rsid w:val="00D9127D"/>
    <w:rsid w:val="00D9134D"/>
    <w:rsid w:val="00D91414"/>
    <w:rsid w:val="00D91740"/>
    <w:rsid w:val="00D91C22"/>
    <w:rsid w:val="00D92141"/>
    <w:rsid w:val="00D92332"/>
    <w:rsid w:val="00D9289A"/>
    <w:rsid w:val="00D92C33"/>
    <w:rsid w:val="00D939CC"/>
    <w:rsid w:val="00D947D6"/>
    <w:rsid w:val="00D948FB"/>
    <w:rsid w:val="00D95333"/>
    <w:rsid w:val="00D95654"/>
    <w:rsid w:val="00D957F5"/>
    <w:rsid w:val="00D95E4A"/>
    <w:rsid w:val="00D97964"/>
    <w:rsid w:val="00D97DF8"/>
    <w:rsid w:val="00D97F33"/>
    <w:rsid w:val="00D97F45"/>
    <w:rsid w:val="00D97F87"/>
    <w:rsid w:val="00DA006F"/>
    <w:rsid w:val="00DA0758"/>
    <w:rsid w:val="00DA0CDA"/>
    <w:rsid w:val="00DA1065"/>
    <w:rsid w:val="00DA1705"/>
    <w:rsid w:val="00DA1AB4"/>
    <w:rsid w:val="00DA21D9"/>
    <w:rsid w:val="00DA27B6"/>
    <w:rsid w:val="00DA28F2"/>
    <w:rsid w:val="00DA3F02"/>
    <w:rsid w:val="00DA4C4F"/>
    <w:rsid w:val="00DA4C95"/>
    <w:rsid w:val="00DA4F90"/>
    <w:rsid w:val="00DA5BCB"/>
    <w:rsid w:val="00DA5D86"/>
    <w:rsid w:val="00DA5FBB"/>
    <w:rsid w:val="00DA61EE"/>
    <w:rsid w:val="00DA6A8C"/>
    <w:rsid w:val="00DA720C"/>
    <w:rsid w:val="00DA7C5F"/>
    <w:rsid w:val="00DA7E7C"/>
    <w:rsid w:val="00DA7EC3"/>
    <w:rsid w:val="00DB0468"/>
    <w:rsid w:val="00DB1DA8"/>
    <w:rsid w:val="00DB2022"/>
    <w:rsid w:val="00DB2182"/>
    <w:rsid w:val="00DB2667"/>
    <w:rsid w:val="00DB26AF"/>
    <w:rsid w:val="00DB2A12"/>
    <w:rsid w:val="00DB3045"/>
    <w:rsid w:val="00DB3AD0"/>
    <w:rsid w:val="00DB4B22"/>
    <w:rsid w:val="00DB4CFB"/>
    <w:rsid w:val="00DB51ED"/>
    <w:rsid w:val="00DB546B"/>
    <w:rsid w:val="00DB5487"/>
    <w:rsid w:val="00DB5544"/>
    <w:rsid w:val="00DB5698"/>
    <w:rsid w:val="00DB5BF4"/>
    <w:rsid w:val="00DB5FEF"/>
    <w:rsid w:val="00DB66FF"/>
    <w:rsid w:val="00DB6C6B"/>
    <w:rsid w:val="00DB6DDA"/>
    <w:rsid w:val="00DB7AC9"/>
    <w:rsid w:val="00DB7C66"/>
    <w:rsid w:val="00DB7F88"/>
    <w:rsid w:val="00DC0076"/>
    <w:rsid w:val="00DC0A7E"/>
    <w:rsid w:val="00DC0D2D"/>
    <w:rsid w:val="00DC156B"/>
    <w:rsid w:val="00DC15EA"/>
    <w:rsid w:val="00DC4096"/>
    <w:rsid w:val="00DC419E"/>
    <w:rsid w:val="00DC4AE0"/>
    <w:rsid w:val="00DC5349"/>
    <w:rsid w:val="00DC7309"/>
    <w:rsid w:val="00DD04D1"/>
    <w:rsid w:val="00DD0583"/>
    <w:rsid w:val="00DD06CF"/>
    <w:rsid w:val="00DD0C0E"/>
    <w:rsid w:val="00DD0CA9"/>
    <w:rsid w:val="00DD14D6"/>
    <w:rsid w:val="00DD1D3D"/>
    <w:rsid w:val="00DD30B8"/>
    <w:rsid w:val="00DD3383"/>
    <w:rsid w:val="00DD4C83"/>
    <w:rsid w:val="00DD4F2D"/>
    <w:rsid w:val="00DD5287"/>
    <w:rsid w:val="00DD64BE"/>
    <w:rsid w:val="00DD6A5D"/>
    <w:rsid w:val="00DE074C"/>
    <w:rsid w:val="00DE08C3"/>
    <w:rsid w:val="00DE0EDE"/>
    <w:rsid w:val="00DE0F99"/>
    <w:rsid w:val="00DE1400"/>
    <w:rsid w:val="00DE199C"/>
    <w:rsid w:val="00DE1AA3"/>
    <w:rsid w:val="00DE2095"/>
    <w:rsid w:val="00DE3BED"/>
    <w:rsid w:val="00DE3C45"/>
    <w:rsid w:val="00DE3CD0"/>
    <w:rsid w:val="00DE3D20"/>
    <w:rsid w:val="00DE42B7"/>
    <w:rsid w:val="00DE4B0F"/>
    <w:rsid w:val="00DE5076"/>
    <w:rsid w:val="00DE5449"/>
    <w:rsid w:val="00DE5664"/>
    <w:rsid w:val="00DE623D"/>
    <w:rsid w:val="00DE63D5"/>
    <w:rsid w:val="00DE7958"/>
    <w:rsid w:val="00DF0D93"/>
    <w:rsid w:val="00DF0FB0"/>
    <w:rsid w:val="00DF1AA2"/>
    <w:rsid w:val="00DF21E4"/>
    <w:rsid w:val="00DF30B3"/>
    <w:rsid w:val="00DF30D0"/>
    <w:rsid w:val="00DF3B76"/>
    <w:rsid w:val="00DF6AA8"/>
    <w:rsid w:val="00DF6E4D"/>
    <w:rsid w:val="00DF6F8F"/>
    <w:rsid w:val="00DF728A"/>
    <w:rsid w:val="00DF7EC8"/>
    <w:rsid w:val="00E00967"/>
    <w:rsid w:val="00E00AA6"/>
    <w:rsid w:val="00E011BA"/>
    <w:rsid w:val="00E015F1"/>
    <w:rsid w:val="00E03182"/>
    <w:rsid w:val="00E03267"/>
    <w:rsid w:val="00E03F95"/>
    <w:rsid w:val="00E0457E"/>
    <w:rsid w:val="00E04599"/>
    <w:rsid w:val="00E046DA"/>
    <w:rsid w:val="00E05BA5"/>
    <w:rsid w:val="00E06139"/>
    <w:rsid w:val="00E06849"/>
    <w:rsid w:val="00E06DE3"/>
    <w:rsid w:val="00E075BF"/>
    <w:rsid w:val="00E07660"/>
    <w:rsid w:val="00E07958"/>
    <w:rsid w:val="00E10689"/>
    <w:rsid w:val="00E10ACC"/>
    <w:rsid w:val="00E10B1C"/>
    <w:rsid w:val="00E115CD"/>
    <w:rsid w:val="00E11B75"/>
    <w:rsid w:val="00E12468"/>
    <w:rsid w:val="00E12475"/>
    <w:rsid w:val="00E12CA5"/>
    <w:rsid w:val="00E138D8"/>
    <w:rsid w:val="00E13D2D"/>
    <w:rsid w:val="00E15429"/>
    <w:rsid w:val="00E15618"/>
    <w:rsid w:val="00E159E3"/>
    <w:rsid w:val="00E16AC8"/>
    <w:rsid w:val="00E17620"/>
    <w:rsid w:val="00E177F6"/>
    <w:rsid w:val="00E17B0C"/>
    <w:rsid w:val="00E20917"/>
    <w:rsid w:val="00E2150D"/>
    <w:rsid w:val="00E21A88"/>
    <w:rsid w:val="00E21C77"/>
    <w:rsid w:val="00E21DC5"/>
    <w:rsid w:val="00E22954"/>
    <w:rsid w:val="00E22E29"/>
    <w:rsid w:val="00E2382D"/>
    <w:rsid w:val="00E25288"/>
    <w:rsid w:val="00E25990"/>
    <w:rsid w:val="00E25D5D"/>
    <w:rsid w:val="00E2656E"/>
    <w:rsid w:val="00E265FF"/>
    <w:rsid w:val="00E26630"/>
    <w:rsid w:val="00E268C1"/>
    <w:rsid w:val="00E27CAF"/>
    <w:rsid w:val="00E27EC6"/>
    <w:rsid w:val="00E30B47"/>
    <w:rsid w:val="00E30B99"/>
    <w:rsid w:val="00E30EB6"/>
    <w:rsid w:val="00E31C1E"/>
    <w:rsid w:val="00E32305"/>
    <w:rsid w:val="00E32459"/>
    <w:rsid w:val="00E32D84"/>
    <w:rsid w:val="00E330FA"/>
    <w:rsid w:val="00E339C8"/>
    <w:rsid w:val="00E3455D"/>
    <w:rsid w:val="00E3471F"/>
    <w:rsid w:val="00E34C5E"/>
    <w:rsid w:val="00E34C97"/>
    <w:rsid w:val="00E35EE3"/>
    <w:rsid w:val="00E37865"/>
    <w:rsid w:val="00E37E32"/>
    <w:rsid w:val="00E4003E"/>
    <w:rsid w:val="00E4024B"/>
    <w:rsid w:val="00E41BBF"/>
    <w:rsid w:val="00E42753"/>
    <w:rsid w:val="00E428B6"/>
    <w:rsid w:val="00E45438"/>
    <w:rsid w:val="00E46A5D"/>
    <w:rsid w:val="00E46BDE"/>
    <w:rsid w:val="00E4716B"/>
    <w:rsid w:val="00E4717B"/>
    <w:rsid w:val="00E47437"/>
    <w:rsid w:val="00E511AC"/>
    <w:rsid w:val="00E52680"/>
    <w:rsid w:val="00E5280D"/>
    <w:rsid w:val="00E5336E"/>
    <w:rsid w:val="00E53BBF"/>
    <w:rsid w:val="00E54214"/>
    <w:rsid w:val="00E542F0"/>
    <w:rsid w:val="00E54370"/>
    <w:rsid w:val="00E544C5"/>
    <w:rsid w:val="00E5569E"/>
    <w:rsid w:val="00E55B5F"/>
    <w:rsid w:val="00E57133"/>
    <w:rsid w:val="00E60259"/>
    <w:rsid w:val="00E60F88"/>
    <w:rsid w:val="00E61702"/>
    <w:rsid w:val="00E61B74"/>
    <w:rsid w:val="00E61D28"/>
    <w:rsid w:val="00E61EA9"/>
    <w:rsid w:val="00E62C45"/>
    <w:rsid w:val="00E62E10"/>
    <w:rsid w:val="00E63212"/>
    <w:rsid w:val="00E634E6"/>
    <w:rsid w:val="00E648A9"/>
    <w:rsid w:val="00E657B0"/>
    <w:rsid w:val="00E65A4F"/>
    <w:rsid w:val="00E668DC"/>
    <w:rsid w:val="00E67039"/>
    <w:rsid w:val="00E67163"/>
    <w:rsid w:val="00E67814"/>
    <w:rsid w:val="00E67CFE"/>
    <w:rsid w:val="00E67D9D"/>
    <w:rsid w:val="00E67FB7"/>
    <w:rsid w:val="00E7162E"/>
    <w:rsid w:val="00E717A0"/>
    <w:rsid w:val="00E71C98"/>
    <w:rsid w:val="00E7289C"/>
    <w:rsid w:val="00E73232"/>
    <w:rsid w:val="00E741E3"/>
    <w:rsid w:val="00E74D97"/>
    <w:rsid w:val="00E75166"/>
    <w:rsid w:val="00E75349"/>
    <w:rsid w:val="00E76BB0"/>
    <w:rsid w:val="00E76C7F"/>
    <w:rsid w:val="00E77165"/>
    <w:rsid w:val="00E80086"/>
    <w:rsid w:val="00E81C02"/>
    <w:rsid w:val="00E82145"/>
    <w:rsid w:val="00E8219D"/>
    <w:rsid w:val="00E82239"/>
    <w:rsid w:val="00E82BD0"/>
    <w:rsid w:val="00E82C6F"/>
    <w:rsid w:val="00E82E6A"/>
    <w:rsid w:val="00E83266"/>
    <w:rsid w:val="00E8393F"/>
    <w:rsid w:val="00E84486"/>
    <w:rsid w:val="00E8478A"/>
    <w:rsid w:val="00E84B14"/>
    <w:rsid w:val="00E857BF"/>
    <w:rsid w:val="00E861A2"/>
    <w:rsid w:val="00E8650D"/>
    <w:rsid w:val="00E867FE"/>
    <w:rsid w:val="00E86883"/>
    <w:rsid w:val="00E86A40"/>
    <w:rsid w:val="00E86FF9"/>
    <w:rsid w:val="00E87B2A"/>
    <w:rsid w:val="00E906B3"/>
    <w:rsid w:val="00E909C2"/>
    <w:rsid w:val="00E90C30"/>
    <w:rsid w:val="00E90DE4"/>
    <w:rsid w:val="00E90E6A"/>
    <w:rsid w:val="00E915A0"/>
    <w:rsid w:val="00E9173A"/>
    <w:rsid w:val="00E91EF6"/>
    <w:rsid w:val="00E92503"/>
    <w:rsid w:val="00E92E0F"/>
    <w:rsid w:val="00E935C0"/>
    <w:rsid w:val="00E9370A"/>
    <w:rsid w:val="00E93D7B"/>
    <w:rsid w:val="00E94469"/>
    <w:rsid w:val="00E95204"/>
    <w:rsid w:val="00E956B5"/>
    <w:rsid w:val="00E95F2A"/>
    <w:rsid w:val="00E9609F"/>
    <w:rsid w:val="00E96812"/>
    <w:rsid w:val="00E96C9C"/>
    <w:rsid w:val="00EA0F0D"/>
    <w:rsid w:val="00EA1B4B"/>
    <w:rsid w:val="00EA1D92"/>
    <w:rsid w:val="00EA3139"/>
    <w:rsid w:val="00EA3385"/>
    <w:rsid w:val="00EA47FA"/>
    <w:rsid w:val="00EA4A49"/>
    <w:rsid w:val="00EA4B4B"/>
    <w:rsid w:val="00EA538D"/>
    <w:rsid w:val="00EA569E"/>
    <w:rsid w:val="00EA5BDA"/>
    <w:rsid w:val="00EA5FA2"/>
    <w:rsid w:val="00EA62A3"/>
    <w:rsid w:val="00EA663F"/>
    <w:rsid w:val="00EA727B"/>
    <w:rsid w:val="00EA739E"/>
    <w:rsid w:val="00EB01B5"/>
    <w:rsid w:val="00EB0452"/>
    <w:rsid w:val="00EB093F"/>
    <w:rsid w:val="00EB0D62"/>
    <w:rsid w:val="00EB137B"/>
    <w:rsid w:val="00EB142F"/>
    <w:rsid w:val="00EB256C"/>
    <w:rsid w:val="00EB277B"/>
    <w:rsid w:val="00EB2C26"/>
    <w:rsid w:val="00EB2DF1"/>
    <w:rsid w:val="00EB387F"/>
    <w:rsid w:val="00EB3C49"/>
    <w:rsid w:val="00EB47BD"/>
    <w:rsid w:val="00EB4A3A"/>
    <w:rsid w:val="00EB52ED"/>
    <w:rsid w:val="00EB5ABD"/>
    <w:rsid w:val="00EB5B66"/>
    <w:rsid w:val="00EB6635"/>
    <w:rsid w:val="00EC01EB"/>
    <w:rsid w:val="00EC1529"/>
    <w:rsid w:val="00EC1C82"/>
    <w:rsid w:val="00EC2267"/>
    <w:rsid w:val="00EC235B"/>
    <w:rsid w:val="00EC2A71"/>
    <w:rsid w:val="00EC2F35"/>
    <w:rsid w:val="00EC31EB"/>
    <w:rsid w:val="00EC38CC"/>
    <w:rsid w:val="00EC3939"/>
    <w:rsid w:val="00EC3E0B"/>
    <w:rsid w:val="00EC4538"/>
    <w:rsid w:val="00EC461B"/>
    <w:rsid w:val="00EC49A3"/>
    <w:rsid w:val="00EC4B37"/>
    <w:rsid w:val="00EC5680"/>
    <w:rsid w:val="00EC5BAB"/>
    <w:rsid w:val="00EC610D"/>
    <w:rsid w:val="00EC62BD"/>
    <w:rsid w:val="00EC6A6D"/>
    <w:rsid w:val="00EC6B32"/>
    <w:rsid w:val="00EC6E86"/>
    <w:rsid w:val="00EC6F27"/>
    <w:rsid w:val="00EC7D6B"/>
    <w:rsid w:val="00ED0294"/>
    <w:rsid w:val="00ED03C0"/>
    <w:rsid w:val="00ED0B89"/>
    <w:rsid w:val="00ED2523"/>
    <w:rsid w:val="00ED2AA8"/>
    <w:rsid w:val="00ED2B80"/>
    <w:rsid w:val="00ED2C55"/>
    <w:rsid w:val="00ED2D58"/>
    <w:rsid w:val="00ED2D6A"/>
    <w:rsid w:val="00ED3CDA"/>
    <w:rsid w:val="00ED43BD"/>
    <w:rsid w:val="00ED4D6F"/>
    <w:rsid w:val="00ED4D75"/>
    <w:rsid w:val="00ED53C4"/>
    <w:rsid w:val="00ED54AC"/>
    <w:rsid w:val="00ED5AAE"/>
    <w:rsid w:val="00ED6CF7"/>
    <w:rsid w:val="00ED6E12"/>
    <w:rsid w:val="00ED706E"/>
    <w:rsid w:val="00ED77DC"/>
    <w:rsid w:val="00ED7D71"/>
    <w:rsid w:val="00EE001A"/>
    <w:rsid w:val="00EE019B"/>
    <w:rsid w:val="00EE0508"/>
    <w:rsid w:val="00EE070A"/>
    <w:rsid w:val="00EE19A3"/>
    <w:rsid w:val="00EE1D6B"/>
    <w:rsid w:val="00EE1DE9"/>
    <w:rsid w:val="00EE1E5A"/>
    <w:rsid w:val="00EE2DB4"/>
    <w:rsid w:val="00EE328F"/>
    <w:rsid w:val="00EE3EF3"/>
    <w:rsid w:val="00EE407A"/>
    <w:rsid w:val="00EE5860"/>
    <w:rsid w:val="00EE59A0"/>
    <w:rsid w:val="00EE5E8D"/>
    <w:rsid w:val="00EE61E5"/>
    <w:rsid w:val="00EE65EE"/>
    <w:rsid w:val="00EE6D17"/>
    <w:rsid w:val="00EE6EA5"/>
    <w:rsid w:val="00EE796D"/>
    <w:rsid w:val="00EE7AB2"/>
    <w:rsid w:val="00EF02FF"/>
    <w:rsid w:val="00EF0B9E"/>
    <w:rsid w:val="00EF11E1"/>
    <w:rsid w:val="00EF14C9"/>
    <w:rsid w:val="00EF1D0A"/>
    <w:rsid w:val="00EF2939"/>
    <w:rsid w:val="00EF32FA"/>
    <w:rsid w:val="00EF3D15"/>
    <w:rsid w:val="00EF3E29"/>
    <w:rsid w:val="00EF4486"/>
    <w:rsid w:val="00EF4975"/>
    <w:rsid w:val="00EF4B76"/>
    <w:rsid w:val="00EF4FA3"/>
    <w:rsid w:val="00EF56E5"/>
    <w:rsid w:val="00EF5968"/>
    <w:rsid w:val="00EF65CB"/>
    <w:rsid w:val="00EF6A02"/>
    <w:rsid w:val="00EF6C90"/>
    <w:rsid w:val="00EF73C3"/>
    <w:rsid w:val="00EF7830"/>
    <w:rsid w:val="00EF7F4D"/>
    <w:rsid w:val="00F002B6"/>
    <w:rsid w:val="00F0033C"/>
    <w:rsid w:val="00F00612"/>
    <w:rsid w:val="00F00EA9"/>
    <w:rsid w:val="00F01837"/>
    <w:rsid w:val="00F0242E"/>
    <w:rsid w:val="00F02829"/>
    <w:rsid w:val="00F02933"/>
    <w:rsid w:val="00F02AC0"/>
    <w:rsid w:val="00F02F66"/>
    <w:rsid w:val="00F033DB"/>
    <w:rsid w:val="00F03FEB"/>
    <w:rsid w:val="00F04163"/>
    <w:rsid w:val="00F04581"/>
    <w:rsid w:val="00F0482B"/>
    <w:rsid w:val="00F06CB0"/>
    <w:rsid w:val="00F06DD2"/>
    <w:rsid w:val="00F073E7"/>
    <w:rsid w:val="00F07F64"/>
    <w:rsid w:val="00F10A8E"/>
    <w:rsid w:val="00F1102C"/>
    <w:rsid w:val="00F1154D"/>
    <w:rsid w:val="00F11B93"/>
    <w:rsid w:val="00F1282C"/>
    <w:rsid w:val="00F13EC0"/>
    <w:rsid w:val="00F15DBC"/>
    <w:rsid w:val="00F203E0"/>
    <w:rsid w:val="00F20572"/>
    <w:rsid w:val="00F20601"/>
    <w:rsid w:val="00F2120E"/>
    <w:rsid w:val="00F21E57"/>
    <w:rsid w:val="00F220FF"/>
    <w:rsid w:val="00F2217F"/>
    <w:rsid w:val="00F2368E"/>
    <w:rsid w:val="00F243A8"/>
    <w:rsid w:val="00F24DED"/>
    <w:rsid w:val="00F25351"/>
    <w:rsid w:val="00F2553F"/>
    <w:rsid w:val="00F255C6"/>
    <w:rsid w:val="00F25711"/>
    <w:rsid w:val="00F267B2"/>
    <w:rsid w:val="00F26E24"/>
    <w:rsid w:val="00F27161"/>
    <w:rsid w:val="00F2720E"/>
    <w:rsid w:val="00F300E8"/>
    <w:rsid w:val="00F30CB7"/>
    <w:rsid w:val="00F31636"/>
    <w:rsid w:val="00F31AAB"/>
    <w:rsid w:val="00F32627"/>
    <w:rsid w:val="00F337C2"/>
    <w:rsid w:val="00F339F0"/>
    <w:rsid w:val="00F34360"/>
    <w:rsid w:val="00F34419"/>
    <w:rsid w:val="00F34894"/>
    <w:rsid w:val="00F348AF"/>
    <w:rsid w:val="00F356C4"/>
    <w:rsid w:val="00F35C07"/>
    <w:rsid w:val="00F367A7"/>
    <w:rsid w:val="00F371D7"/>
    <w:rsid w:val="00F374F8"/>
    <w:rsid w:val="00F37C29"/>
    <w:rsid w:val="00F37EC9"/>
    <w:rsid w:val="00F401B0"/>
    <w:rsid w:val="00F411D4"/>
    <w:rsid w:val="00F42F83"/>
    <w:rsid w:val="00F434D6"/>
    <w:rsid w:val="00F439F7"/>
    <w:rsid w:val="00F453CC"/>
    <w:rsid w:val="00F4586C"/>
    <w:rsid w:val="00F45B6E"/>
    <w:rsid w:val="00F46882"/>
    <w:rsid w:val="00F46F66"/>
    <w:rsid w:val="00F47045"/>
    <w:rsid w:val="00F47144"/>
    <w:rsid w:val="00F47312"/>
    <w:rsid w:val="00F47D03"/>
    <w:rsid w:val="00F50B6E"/>
    <w:rsid w:val="00F50BE2"/>
    <w:rsid w:val="00F510E5"/>
    <w:rsid w:val="00F51109"/>
    <w:rsid w:val="00F51862"/>
    <w:rsid w:val="00F51F7F"/>
    <w:rsid w:val="00F5205C"/>
    <w:rsid w:val="00F52399"/>
    <w:rsid w:val="00F524A9"/>
    <w:rsid w:val="00F5309B"/>
    <w:rsid w:val="00F5319C"/>
    <w:rsid w:val="00F53F17"/>
    <w:rsid w:val="00F540CB"/>
    <w:rsid w:val="00F55003"/>
    <w:rsid w:val="00F559C2"/>
    <w:rsid w:val="00F55F9E"/>
    <w:rsid w:val="00F57088"/>
    <w:rsid w:val="00F570D2"/>
    <w:rsid w:val="00F57B30"/>
    <w:rsid w:val="00F602CC"/>
    <w:rsid w:val="00F608B1"/>
    <w:rsid w:val="00F612CD"/>
    <w:rsid w:val="00F6157B"/>
    <w:rsid w:val="00F61EA8"/>
    <w:rsid w:val="00F62E80"/>
    <w:rsid w:val="00F638B1"/>
    <w:rsid w:val="00F63D9C"/>
    <w:rsid w:val="00F63F6D"/>
    <w:rsid w:val="00F642FF"/>
    <w:rsid w:val="00F64BB2"/>
    <w:rsid w:val="00F64DC3"/>
    <w:rsid w:val="00F64EA9"/>
    <w:rsid w:val="00F652F6"/>
    <w:rsid w:val="00F65747"/>
    <w:rsid w:val="00F66BD0"/>
    <w:rsid w:val="00F676CD"/>
    <w:rsid w:val="00F67859"/>
    <w:rsid w:val="00F67FF3"/>
    <w:rsid w:val="00F70182"/>
    <w:rsid w:val="00F702F7"/>
    <w:rsid w:val="00F7111F"/>
    <w:rsid w:val="00F7142F"/>
    <w:rsid w:val="00F72653"/>
    <w:rsid w:val="00F72BA8"/>
    <w:rsid w:val="00F72F5A"/>
    <w:rsid w:val="00F7329E"/>
    <w:rsid w:val="00F732E4"/>
    <w:rsid w:val="00F73AE3"/>
    <w:rsid w:val="00F73E51"/>
    <w:rsid w:val="00F74497"/>
    <w:rsid w:val="00F75291"/>
    <w:rsid w:val="00F756CC"/>
    <w:rsid w:val="00F75992"/>
    <w:rsid w:val="00F75AD2"/>
    <w:rsid w:val="00F75F29"/>
    <w:rsid w:val="00F75F40"/>
    <w:rsid w:val="00F76C8D"/>
    <w:rsid w:val="00F77279"/>
    <w:rsid w:val="00F77C38"/>
    <w:rsid w:val="00F77E0D"/>
    <w:rsid w:val="00F808B9"/>
    <w:rsid w:val="00F809C4"/>
    <w:rsid w:val="00F810AB"/>
    <w:rsid w:val="00F81A3A"/>
    <w:rsid w:val="00F81A96"/>
    <w:rsid w:val="00F81D98"/>
    <w:rsid w:val="00F81D9B"/>
    <w:rsid w:val="00F81E5E"/>
    <w:rsid w:val="00F81FDE"/>
    <w:rsid w:val="00F820E6"/>
    <w:rsid w:val="00F82309"/>
    <w:rsid w:val="00F83721"/>
    <w:rsid w:val="00F847CE"/>
    <w:rsid w:val="00F84BA5"/>
    <w:rsid w:val="00F85BC6"/>
    <w:rsid w:val="00F8631F"/>
    <w:rsid w:val="00F868BA"/>
    <w:rsid w:val="00F86D73"/>
    <w:rsid w:val="00F86D8A"/>
    <w:rsid w:val="00F86EC4"/>
    <w:rsid w:val="00F87229"/>
    <w:rsid w:val="00F91276"/>
    <w:rsid w:val="00F92438"/>
    <w:rsid w:val="00F924AA"/>
    <w:rsid w:val="00F92904"/>
    <w:rsid w:val="00F93472"/>
    <w:rsid w:val="00F9394F"/>
    <w:rsid w:val="00F93A52"/>
    <w:rsid w:val="00F93B2D"/>
    <w:rsid w:val="00F93CBD"/>
    <w:rsid w:val="00F94DDF"/>
    <w:rsid w:val="00F953BD"/>
    <w:rsid w:val="00F955D2"/>
    <w:rsid w:val="00F96371"/>
    <w:rsid w:val="00F965CE"/>
    <w:rsid w:val="00F972A5"/>
    <w:rsid w:val="00F97323"/>
    <w:rsid w:val="00F97991"/>
    <w:rsid w:val="00FA0323"/>
    <w:rsid w:val="00FA098A"/>
    <w:rsid w:val="00FA11C0"/>
    <w:rsid w:val="00FA1578"/>
    <w:rsid w:val="00FA15C7"/>
    <w:rsid w:val="00FA1A51"/>
    <w:rsid w:val="00FA1E70"/>
    <w:rsid w:val="00FA216C"/>
    <w:rsid w:val="00FA23A2"/>
    <w:rsid w:val="00FA2FED"/>
    <w:rsid w:val="00FA323C"/>
    <w:rsid w:val="00FA39C8"/>
    <w:rsid w:val="00FA3FEF"/>
    <w:rsid w:val="00FA4270"/>
    <w:rsid w:val="00FA436C"/>
    <w:rsid w:val="00FA45B3"/>
    <w:rsid w:val="00FA474F"/>
    <w:rsid w:val="00FA567A"/>
    <w:rsid w:val="00FA60C3"/>
    <w:rsid w:val="00FA615E"/>
    <w:rsid w:val="00FA61DB"/>
    <w:rsid w:val="00FA7114"/>
    <w:rsid w:val="00FA7BCD"/>
    <w:rsid w:val="00FB01A3"/>
    <w:rsid w:val="00FB0631"/>
    <w:rsid w:val="00FB0803"/>
    <w:rsid w:val="00FB13F1"/>
    <w:rsid w:val="00FB14F6"/>
    <w:rsid w:val="00FB189B"/>
    <w:rsid w:val="00FB2343"/>
    <w:rsid w:val="00FB2DC3"/>
    <w:rsid w:val="00FB2E9B"/>
    <w:rsid w:val="00FB390E"/>
    <w:rsid w:val="00FB397F"/>
    <w:rsid w:val="00FB5080"/>
    <w:rsid w:val="00FB54B5"/>
    <w:rsid w:val="00FB5F7F"/>
    <w:rsid w:val="00FB5F9A"/>
    <w:rsid w:val="00FB7619"/>
    <w:rsid w:val="00FC033A"/>
    <w:rsid w:val="00FC0A52"/>
    <w:rsid w:val="00FC2DCB"/>
    <w:rsid w:val="00FC30E6"/>
    <w:rsid w:val="00FC340A"/>
    <w:rsid w:val="00FC34FC"/>
    <w:rsid w:val="00FC3654"/>
    <w:rsid w:val="00FC369F"/>
    <w:rsid w:val="00FC3714"/>
    <w:rsid w:val="00FC383F"/>
    <w:rsid w:val="00FC3B0B"/>
    <w:rsid w:val="00FC3D41"/>
    <w:rsid w:val="00FC3D5B"/>
    <w:rsid w:val="00FC4701"/>
    <w:rsid w:val="00FC48B9"/>
    <w:rsid w:val="00FC4906"/>
    <w:rsid w:val="00FC56DC"/>
    <w:rsid w:val="00FC5E4F"/>
    <w:rsid w:val="00FC673F"/>
    <w:rsid w:val="00FC7434"/>
    <w:rsid w:val="00FC757B"/>
    <w:rsid w:val="00FC75B6"/>
    <w:rsid w:val="00FC78F2"/>
    <w:rsid w:val="00FC7CDF"/>
    <w:rsid w:val="00FD1470"/>
    <w:rsid w:val="00FD1926"/>
    <w:rsid w:val="00FD2508"/>
    <w:rsid w:val="00FD34CA"/>
    <w:rsid w:val="00FD3812"/>
    <w:rsid w:val="00FD417D"/>
    <w:rsid w:val="00FD49B3"/>
    <w:rsid w:val="00FD4A0C"/>
    <w:rsid w:val="00FD53B1"/>
    <w:rsid w:val="00FD54BC"/>
    <w:rsid w:val="00FD553B"/>
    <w:rsid w:val="00FD556B"/>
    <w:rsid w:val="00FD5804"/>
    <w:rsid w:val="00FD6882"/>
    <w:rsid w:val="00FD68E8"/>
    <w:rsid w:val="00FD6C15"/>
    <w:rsid w:val="00FD76C4"/>
    <w:rsid w:val="00FD7A30"/>
    <w:rsid w:val="00FE0406"/>
    <w:rsid w:val="00FE1457"/>
    <w:rsid w:val="00FE1BCB"/>
    <w:rsid w:val="00FE1C7A"/>
    <w:rsid w:val="00FE2BCF"/>
    <w:rsid w:val="00FE2C86"/>
    <w:rsid w:val="00FE30E4"/>
    <w:rsid w:val="00FE3E3F"/>
    <w:rsid w:val="00FE5A5B"/>
    <w:rsid w:val="00FE5C38"/>
    <w:rsid w:val="00FE71BC"/>
    <w:rsid w:val="00FE7AC7"/>
    <w:rsid w:val="00FE7D29"/>
    <w:rsid w:val="00FF009C"/>
    <w:rsid w:val="00FF06DD"/>
    <w:rsid w:val="00FF08CE"/>
    <w:rsid w:val="00FF09A0"/>
    <w:rsid w:val="00FF1B1B"/>
    <w:rsid w:val="00FF2016"/>
    <w:rsid w:val="00FF23BB"/>
    <w:rsid w:val="00FF25C7"/>
    <w:rsid w:val="00FF28EE"/>
    <w:rsid w:val="00FF306B"/>
    <w:rsid w:val="00FF329E"/>
    <w:rsid w:val="00FF334D"/>
    <w:rsid w:val="00FF3412"/>
    <w:rsid w:val="00FF4330"/>
    <w:rsid w:val="00FF45EC"/>
    <w:rsid w:val="00FF5C5A"/>
    <w:rsid w:val="00FF5E53"/>
    <w:rsid w:val="00FF6261"/>
    <w:rsid w:val="00FF6521"/>
    <w:rsid w:val="00FF684C"/>
    <w:rsid w:val="00FF6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8A514"/>
  <w15:docId w15:val="{069E9BB0-A9C1-4258-ABCF-12BCC0F5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82E2A"/>
    <w:rPr>
      <w:color w:val="808080"/>
    </w:rPr>
  </w:style>
  <w:style w:type="paragraph" w:styleId="Revisie">
    <w:name w:val="Revision"/>
    <w:hidden/>
    <w:uiPriority w:val="99"/>
    <w:semiHidden/>
    <w:rsid w:val="00082E2A"/>
    <w:rPr>
      <w:rFonts w:ascii="Univers" w:hAnsi="Univers"/>
      <w:sz w:val="22"/>
      <w:szCs w:val="24"/>
    </w:rPr>
  </w:style>
  <w:style w:type="paragraph" w:styleId="Voetnoottekst">
    <w:name w:val="footnote text"/>
    <w:basedOn w:val="Standaard"/>
    <w:link w:val="VoetnoottekstChar"/>
    <w:uiPriority w:val="99"/>
    <w:unhideWhenUsed/>
    <w:rsid w:val="00C21222"/>
    <w:rPr>
      <w:kern w:val="2"/>
      <w:sz w:val="20"/>
      <w:szCs w:val="20"/>
      <w14:ligatures w14:val="standardContextual"/>
    </w:rPr>
  </w:style>
  <w:style w:type="character" w:customStyle="1" w:styleId="VoetnoottekstChar">
    <w:name w:val="Voetnoottekst Char"/>
    <w:basedOn w:val="Standaardalinea-lettertype"/>
    <w:link w:val="Voetnoottekst"/>
    <w:uiPriority w:val="99"/>
    <w:rsid w:val="00C21222"/>
    <w:rPr>
      <w:rFonts w:ascii="Univers" w:hAnsi="Univers"/>
      <w:kern w:val="2"/>
      <w14:ligatures w14:val="standardContextual"/>
    </w:rPr>
  </w:style>
  <w:style w:type="character" w:styleId="Voetnootmarkering">
    <w:name w:val="footnote reference"/>
    <w:basedOn w:val="Standaardalinea-lettertype"/>
    <w:uiPriority w:val="99"/>
    <w:semiHidden/>
    <w:unhideWhenUsed/>
    <w:rsid w:val="00C21222"/>
    <w:rPr>
      <w:vertAlign w:val="superscript"/>
    </w:rPr>
  </w:style>
  <w:style w:type="character" w:styleId="Hyperlink">
    <w:name w:val="Hyperlink"/>
    <w:basedOn w:val="Standaardalinea-lettertype"/>
    <w:uiPriority w:val="99"/>
    <w:unhideWhenUsed/>
    <w:rsid w:val="003E7CB4"/>
    <w:rPr>
      <w:color w:val="0000FF"/>
      <w:u w:val="single"/>
    </w:rPr>
  </w:style>
  <w:style w:type="paragraph" w:styleId="Lijstalinea">
    <w:name w:val="List Paragraph"/>
    <w:basedOn w:val="Standaard"/>
    <w:uiPriority w:val="34"/>
    <w:qFormat/>
    <w:rsid w:val="00F356C4"/>
    <w:pPr>
      <w:ind w:left="720"/>
      <w:contextualSpacing/>
    </w:pPr>
    <w:rPr>
      <w:kern w:val="2"/>
      <w14:ligatures w14:val="standardContextual"/>
    </w:rPr>
  </w:style>
  <w:style w:type="character" w:styleId="Verwijzingopmerking">
    <w:name w:val="annotation reference"/>
    <w:basedOn w:val="Standaardalinea-lettertype"/>
    <w:uiPriority w:val="99"/>
    <w:semiHidden/>
    <w:unhideWhenUsed/>
    <w:rsid w:val="00F356C4"/>
    <w:rPr>
      <w:sz w:val="16"/>
      <w:szCs w:val="16"/>
    </w:rPr>
  </w:style>
  <w:style w:type="paragraph" w:styleId="Tekstopmerking">
    <w:name w:val="annotation text"/>
    <w:basedOn w:val="Standaard"/>
    <w:link w:val="TekstopmerkingChar"/>
    <w:uiPriority w:val="99"/>
    <w:unhideWhenUsed/>
    <w:rsid w:val="00F356C4"/>
    <w:rPr>
      <w:sz w:val="20"/>
      <w:szCs w:val="20"/>
    </w:rPr>
  </w:style>
  <w:style w:type="character" w:customStyle="1" w:styleId="TekstopmerkingChar">
    <w:name w:val="Tekst opmerking Char"/>
    <w:basedOn w:val="Standaardalinea-lettertype"/>
    <w:link w:val="Tekstopmerking"/>
    <w:uiPriority w:val="99"/>
    <w:rsid w:val="00F356C4"/>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F356C4"/>
    <w:rPr>
      <w:b/>
      <w:bCs/>
    </w:rPr>
  </w:style>
  <w:style w:type="character" w:customStyle="1" w:styleId="OnderwerpvanopmerkingChar">
    <w:name w:val="Onderwerp van opmerking Char"/>
    <w:basedOn w:val="TekstopmerkingChar"/>
    <w:link w:val="Onderwerpvanopmerking"/>
    <w:uiPriority w:val="99"/>
    <w:semiHidden/>
    <w:rsid w:val="00F356C4"/>
    <w:rPr>
      <w:rFonts w:ascii="Univers" w:hAnsi="Univers"/>
      <w:b/>
      <w:bCs/>
    </w:rPr>
  </w:style>
  <w:style w:type="character" w:styleId="Onopgelostemelding">
    <w:name w:val="Unresolved Mention"/>
    <w:basedOn w:val="Standaardalinea-lettertype"/>
    <w:uiPriority w:val="99"/>
    <w:unhideWhenUsed/>
    <w:rsid w:val="000F4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764087">
      <w:bodyDiv w:val="1"/>
      <w:marLeft w:val="0"/>
      <w:marRight w:val="0"/>
      <w:marTop w:val="0"/>
      <w:marBottom w:val="0"/>
      <w:divBdr>
        <w:top w:val="none" w:sz="0" w:space="0" w:color="auto"/>
        <w:left w:val="none" w:sz="0" w:space="0" w:color="auto"/>
        <w:bottom w:val="none" w:sz="0" w:space="0" w:color="auto"/>
        <w:right w:val="none" w:sz="0" w:space="0" w:color="auto"/>
      </w:divBdr>
    </w:div>
    <w:div w:id="415252437">
      <w:bodyDiv w:val="1"/>
      <w:marLeft w:val="0"/>
      <w:marRight w:val="0"/>
      <w:marTop w:val="0"/>
      <w:marBottom w:val="0"/>
      <w:divBdr>
        <w:top w:val="none" w:sz="0" w:space="0" w:color="auto"/>
        <w:left w:val="none" w:sz="0" w:space="0" w:color="auto"/>
        <w:bottom w:val="none" w:sz="0" w:space="0" w:color="auto"/>
        <w:right w:val="none" w:sz="0" w:space="0" w:color="auto"/>
      </w:divBdr>
    </w:div>
    <w:div w:id="731661396">
      <w:bodyDiv w:val="1"/>
      <w:marLeft w:val="0"/>
      <w:marRight w:val="0"/>
      <w:marTop w:val="0"/>
      <w:marBottom w:val="0"/>
      <w:divBdr>
        <w:top w:val="none" w:sz="0" w:space="0" w:color="auto"/>
        <w:left w:val="none" w:sz="0" w:space="0" w:color="auto"/>
        <w:bottom w:val="none" w:sz="0" w:space="0" w:color="auto"/>
        <w:right w:val="none" w:sz="0" w:space="0" w:color="auto"/>
      </w:divBdr>
    </w:div>
    <w:div w:id="1253704659">
      <w:bodyDiv w:val="1"/>
      <w:marLeft w:val="0"/>
      <w:marRight w:val="0"/>
      <w:marTop w:val="0"/>
      <w:marBottom w:val="0"/>
      <w:divBdr>
        <w:top w:val="none" w:sz="0" w:space="0" w:color="auto"/>
        <w:left w:val="none" w:sz="0" w:space="0" w:color="auto"/>
        <w:bottom w:val="none" w:sz="0" w:space="0" w:color="auto"/>
        <w:right w:val="none" w:sz="0" w:space="0" w:color="auto"/>
      </w:divBdr>
    </w:div>
    <w:div w:id="1405495356">
      <w:bodyDiv w:val="1"/>
      <w:marLeft w:val="0"/>
      <w:marRight w:val="0"/>
      <w:marTop w:val="0"/>
      <w:marBottom w:val="0"/>
      <w:divBdr>
        <w:top w:val="none" w:sz="0" w:space="0" w:color="auto"/>
        <w:left w:val="none" w:sz="0" w:space="0" w:color="auto"/>
        <w:bottom w:val="none" w:sz="0" w:space="0" w:color="auto"/>
        <w:right w:val="none" w:sz="0" w:space="0" w:color="auto"/>
      </w:divBdr>
    </w:div>
    <w:div w:id="1786924893">
      <w:bodyDiv w:val="1"/>
      <w:marLeft w:val="0"/>
      <w:marRight w:val="0"/>
      <w:marTop w:val="0"/>
      <w:marBottom w:val="0"/>
      <w:divBdr>
        <w:top w:val="none" w:sz="0" w:space="0" w:color="auto"/>
        <w:left w:val="none" w:sz="0" w:space="0" w:color="auto"/>
        <w:bottom w:val="none" w:sz="0" w:space="0" w:color="auto"/>
        <w:right w:val="none" w:sz="0" w:space="0" w:color="auto"/>
      </w:divBdr>
    </w:div>
    <w:div w:id="21080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aadvanstate.nl/adviezen/@117032/w05-18-0206/" TargetMode="External"/><Relationship Id="rId3" Type="http://schemas.openxmlformats.org/officeDocument/2006/relationships/hyperlink" Target="https://www.globalcampuses.nl/" TargetMode="External"/><Relationship Id="rId7" Type="http://schemas.openxmlformats.org/officeDocument/2006/relationships/hyperlink" Target="https://www.raadvanstate.nl/adviezen/@122904/w05-20-0373/" TargetMode="External"/><Relationship Id="rId2" Type="http://schemas.openxmlformats.org/officeDocument/2006/relationships/hyperlink" Target="https://www.globalcampuses.nl/" TargetMode="External"/><Relationship Id="rId1" Type="http://schemas.openxmlformats.org/officeDocument/2006/relationships/hyperlink" Target="https://www.nuffic.nl/nieuws/onderzoek-hoger-onderwijs-belangrijke-aanvoerroute-voor-kenniswerkers" TargetMode="External"/><Relationship Id="rId6" Type="http://schemas.openxmlformats.org/officeDocument/2006/relationships/hyperlink" Target="https://www.awti.nl/documenten/adviezen/2019/06/12/advies-het-stelsel-op-scherp-gezet" TargetMode="External"/><Relationship Id="rId5" Type="http://schemas.openxmlformats.org/officeDocument/2006/relationships/hyperlink" Target="https://roa.nl/projects/project-onderwijs-arbeidsmarkt-poa" TargetMode="External"/><Relationship Id="rId4" Type="http://schemas.openxmlformats.org/officeDocument/2006/relationships/hyperlink" Target="https://www.bundesregierung.de/breg-de/themen/arbeit-und-soziales/fachkraefteeinwanderungsgesetz-218216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6B0B2B63-5664-47DD-A401-415562972E57}"/>
      </w:docPartPr>
      <w:docPartBody>
        <w:p w:rsidR="00ED5228" w:rsidRDefault="00ED5228">
          <w:r w:rsidRPr="00D65005">
            <w:rPr>
              <w:rStyle w:val="Tekstvantijdelijkeaanduiding"/>
            </w:rPr>
            <w:t>Klik of tik om tekst in te voeren.</w:t>
          </w:r>
        </w:p>
      </w:docPartBody>
    </w:docPart>
    <w:docPart>
      <w:docPartPr>
        <w:name w:val="B5C87CDF6085468C808C175C1F6FC923"/>
        <w:category>
          <w:name w:val="Algemeen"/>
          <w:gallery w:val="placeholder"/>
        </w:category>
        <w:types>
          <w:type w:val="bbPlcHdr"/>
        </w:types>
        <w:behaviors>
          <w:behavior w:val="content"/>
        </w:behaviors>
        <w:guid w:val="{DF150C5C-7A0A-4CC7-995D-EE666A645AA0}"/>
      </w:docPartPr>
      <w:docPartBody>
        <w:p w:rsidR="004E7CB4" w:rsidRDefault="00ED5228">
          <w:pPr>
            <w:pStyle w:val="B5C87CDF6085468C808C175C1F6FC923"/>
          </w:pPr>
          <w:r w:rsidRPr="00D65005">
            <w:rPr>
              <w:rStyle w:val="Tekstvantijdelijkeaanduiding"/>
            </w:rPr>
            <w:t>Klik of tik om tekst in te voeren.</w:t>
          </w:r>
        </w:p>
      </w:docPartBody>
    </w:docPart>
    <w:docPart>
      <w:docPartPr>
        <w:name w:val="0C71BA55C34A4B8F8C48277DEFDAA203"/>
        <w:category>
          <w:name w:val="Algemeen"/>
          <w:gallery w:val="placeholder"/>
        </w:category>
        <w:types>
          <w:type w:val="bbPlcHdr"/>
        </w:types>
        <w:behaviors>
          <w:behavior w:val="content"/>
        </w:behaviors>
        <w:guid w:val="{B432FD25-0FBC-44ED-A764-A85E33D44779}"/>
      </w:docPartPr>
      <w:docPartBody>
        <w:p w:rsidR="004E7CB4" w:rsidRDefault="00ED5228">
          <w:pPr>
            <w:pStyle w:val="0C71BA55C34A4B8F8C48277DEFDAA203"/>
          </w:pPr>
          <w:r w:rsidRPr="00D6500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28"/>
    <w:rsid w:val="002332AE"/>
    <w:rsid w:val="00287136"/>
    <w:rsid w:val="00385D3F"/>
    <w:rsid w:val="004E7CB4"/>
    <w:rsid w:val="007A7858"/>
    <w:rsid w:val="00B47742"/>
    <w:rsid w:val="00BB6980"/>
    <w:rsid w:val="00ED52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D5228"/>
    <w:rPr>
      <w:color w:val="808080"/>
    </w:rPr>
  </w:style>
  <w:style w:type="paragraph" w:customStyle="1" w:styleId="B5C87CDF6085468C808C175C1F6FC923">
    <w:name w:val="B5C87CDF6085468C808C175C1F6FC923"/>
  </w:style>
  <w:style w:type="paragraph" w:customStyle="1" w:styleId="0C71BA55C34A4B8F8C48277DEFDAA203">
    <w:name w:val="0C71BA55C34A4B8F8C48277DEFDAA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7062</ap:Words>
  <ap:Characters>42354</ap:Characters>
  <ap:DocSecurity>0</ap:DocSecurity>
  <ap:Lines>352</ap:Lines>
  <ap:Paragraphs>98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2024-03-25T08:45:00.0000000Z</lastPrinted>
  <dcterms:created xsi:type="dcterms:W3CDTF">2024-05-08T13:05:00.0000000Z</dcterms:created>
  <dcterms:modified xsi:type="dcterms:W3CDTF">2024-05-08T13:05:00.0000000Z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W05.24.00042/I</vt:lpwstr>
  </property>
  <property fmtid="{D5CDD505-2E9C-101B-9397-08002B2CF9AE}" pid="5" name="zaaktype">
    <vt:lpwstr>WET</vt:lpwstr>
  </property>
  <property fmtid="{D5CDD505-2E9C-101B-9397-08002B2CF9AE}" pid="6" name="ContentTypeId">
    <vt:lpwstr>0x010100FA5A77795FEADA4EA512273036134446001D6018CF99B4D94C9397AE69748AD7F6</vt:lpwstr>
  </property>
  <property fmtid="{D5CDD505-2E9C-101B-9397-08002B2CF9AE}" pid="7" name="Bestemming">
    <vt:lpwstr>2;#Corsa|a7721b99-8166-4953-a37e-7c8574fb4b8b</vt:lpwstr>
  </property>
  <property fmtid="{D5CDD505-2E9C-101B-9397-08002B2CF9AE}" pid="8" name="_dlc_DocIdItemGuid">
    <vt:lpwstr>f161cd2a-054d-47a1-9876-2db7789c7d9a</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s_objectid">
    <vt:lpwstr>45652299</vt:lpwstr>
  </property>
</Properties>
</file>