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Layout w:type="fixed"/>
        <w:tblCellMar>
          <w:left w:w="0" w:type="dxa"/>
          <w:right w:w="0" w:type="dxa"/>
        </w:tblCellMar>
        <w:tblLook w:val="0000" w:firstRow="0" w:lastRow="0" w:firstColumn="0" w:lastColumn="0" w:noHBand="0" w:noVBand="0"/>
      </w:tblPr>
      <w:tblGrid>
        <w:gridCol w:w="4251"/>
        <w:gridCol w:w="4252"/>
      </w:tblGrid>
      <w:tr w:rsidR="00DC3F2E" w:rsidTr="00DC3F2E" w14:paraId="571578A3" w14:textId="77777777">
        <w:sdt>
          <w:sdtPr>
            <w:tag w:val="bmZaakNummerAdvies"/>
            <w:id w:val="512490996"/>
            <w:lock w:val="sdtLocked"/>
            <w:placeholder>
              <w:docPart w:val="606A98E07F7C49D698F5B7EC386552DA"/>
            </w:placeholder>
          </w:sdtPr>
          <w:sdtEndPr/>
          <w:sdtContent>
            <w:tc>
              <w:tcPr>
                <w:tcW w:w="4251" w:type="dxa"/>
              </w:tcPr>
              <w:p w:rsidR="00DC3F2E" w:rsidRDefault="00DC3F2E" w14:paraId="1DAA0F9B" w14:textId="44400D7B">
                <w:r>
                  <w:rPr>
                    <w:rStyle w:val="Tekstvantijdelijkeaanduiding"/>
                    <w:color w:val="000000"/>
                  </w:rPr>
                  <w:t>No. W04.22.00198/I</w:t>
                </w:r>
              </w:p>
            </w:tc>
          </w:sdtContent>
        </w:sdt>
        <w:sdt>
          <w:sdtPr>
            <w:tag w:val="bmDatumAdvies"/>
            <w:id w:val="-869985158"/>
            <w:lock w:val="sdtLocked"/>
            <w:placeholder>
              <w:docPart w:val="606A98E07F7C49D698F5B7EC386552DA"/>
            </w:placeholder>
          </w:sdtPr>
          <w:sdtEndPr/>
          <w:sdtContent>
            <w:tc>
              <w:tcPr>
                <w:tcW w:w="4252" w:type="dxa"/>
              </w:tcPr>
              <w:p w:rsidR="00DC3F2E" w:rsidRDefault="00DC3F2E" w14:paraId="20256EB9" w14:textId="360EB466">
                <w:r>
                  <w:rPr>
                    <w:rStyle w:val="Tekstvantijdelijkeaanduiding"/>
                    <w:color w:val="000000"/>
                  </w:rPr>
                  <w:t>'s-Gravenhage, 1</w:t>
                </w:r>
                <w:r w:rsidR="00F36203">
                  <w:rPr>
                    <w:rStyle w:val="Tekstvantijdelijkeaanduiding"/>
                    <w:color w:val="000000"/>
                  </w:rPr>
                  <w:t>5</w:t>
                </w:r>
                <w:r>
                  <w:rPr>
                    <w:rStyle w:val="Tekstvantijdelijkeaanduiding"/>
                    <w:color w:val="000000"/>
                  </w:rPr>
                  <w:t xml:space="preserve"> februari 2023</w:t>
                </w:r>
              </w:p>
            </w:tc>
          </w:sdtContent>
        </w:sdt>
      </w:tr>
    </w:tbl>
    <w:p w:rsidR="00DC3F2E" w:rsidRDefault="00DC3F2E" w14:paraId="245A8DCC" w14:textId="77777777"/>
    <w:p w:rsidR="00DC3F2E" w:rsidRDefault="00DC3F2E" w14:paraId="01A68B80" w14:textId="77777777"/>
    <w:sdt>
      <w:sdtPr>
        <w:tag w:val="bmAanhef"/>
        <w:id w:val="-1785328639"/>
        <w:lock w:val="sdtLocked"/>
        <w:placeholder>
          <w:docPart w:val="DefaultPlaceholder_-1854013440"/>
        </w:placeholder>
      </w:sdtPr>
      <w:sdtEndPr/>
      <w:sdtContent>
        <w:p w:rsidR="00281F68" w:rsidRDefault="00F054AC" w14:paraId="25ACBB6E" w14:textId="04BB360B">
          <w:r>
            <w:rPr>
              <w:color w:val="000000"/>
            </w:rPr>
            <w:t>Bij Kabinetsmissive van 14 december 2022, no.2022002761, heeft Uwe Majesteit, op voordracht van de Minister van Binnenlandse Zaken en Koninkrijksrelaties, bij de Afdeling advisering van de Raad van State ter overweging aanhangig gemaakt het voorstel van wet tot wijziging van de Kieswet in verband met het stellen van regels ten behoeve van het houden van een verkiezing ten tijde van een epidemie (Epidemieafdeling Kieswet), met memorie van toelichting.</w:t>
          </w:r>
        </w:p>
      </w:sdtContent>
    </w:sdt>
    <w:p w:rsidR="00281F68" w:rsidRDefault="00281F68" w14:paraId="25ACBB6F" w14:textId="77777777"/>
    <w:sdt>
      <w:sdtPr>
        <w:tag w:val="bmVrijeTekst1"/>
        <w:id w:val="-2116752062"/>
        <w:lock w:val="sdtLocked"/>
        <w:placeholder>
          <w:docPart w:val="DefaultPlaceholder_-1854013440"/>
        </w:placeholder>
      </w:sdtPr>
      <w:sdtEndPr/>
      <w:sdtContent>
        <w:p w:rsidR="00996159" w:rsidRDefault="004C3F40" w14:paraId="706A16E6" w14:textId="38F9DE31">
          <w:r>
            <w:t>Met h</w:t>
          </w:r>
          <w:r w:rsidR="007D1476">
            <w:t xml:space="preserve">et wetsvoorstel </w:t>
          </w:r>
          <w:r>
            <w:t>krijgt de</w:t>
          </w:r>
          <w:r w:rsidR="00C07381">
            <w:t xml:space="preserve"> Kie</w:t>
          </w:r>
          <w:r w:rsidR="00DA32B9">
            <w:t>s</w:t>
          </w:r>
          <w:r w:rsidR="00C07381">
            <w:t>wet een aparte ‘</w:t>
          </w:r>
          <w:r w:rsidR="007D1476">
            <w:t>epidemieafdeling</w:t>
          </w:r>
          <w:r w:rsidR="007D610A">
            <w:t xml:space="preserve">’, met maatregelen die gelden </w:t>
          </w:r>
          <w:r w:rsidR="00B35D6E">
            <w:t xml:space="preserve">voor </w:t>
          </w:r>
          <w:r w:rsidR="00920A29">
            <w:t>het verkiezingsproces</w:t>
          </w:r>
          <w:r w:rsidR="008C2DBF">
            <w:t xml:space="preserve"> </w:t>
          </w:r>
          <w:r w:rsidR="007D610A">
            <w:t xml:space="preserve">op het </w:t>
          </w:r>
          <w:r w:rsidR="007D1476">
            <w:t xml:space="preserve">moment dat één of meer maatregelen uit artikel 58f-i </w:t>
          </w:r>
          <w:r w:rsidR="003725E5">
            <w:t xml:space="preserve">van de </w:t>
          </w:r>
          <w:r w:rsidR="007D1476">
            <w:t xml:space="preserve">Wet publieke gezondheid </w:t>
          </w:r>
          <w:r w:rsidR="007F1A4D">
            <w:t>(</w:t>
          </w:r>
          <w:proofErr w:type="spellStart"/>
          <w:r w:rsidR="007F1A4D">
            <w:t>Wpg</w:t>
          </w:r>
          <w:proofErr w:type="spellEnd"/>
          <w:r w:rsidR="007F1A4D">
            <w:t xml:space="preserve">) </w:t>
          </w:r>
          <w:r w:rsidR="007D1476">
            <w:t>gelden.</w:t>
          </w:r>
          <w:r w:rsidR="007D1476">
            <w:rPr>
              <w:rStyle w:val="Voetnootmarkering"/>
            </w:rPr>
            <w:footnoteReference w:id="2"/>
          </w:r>
          <w:r w:rsidR="007D1476">
            <w:t xml:space="preserve"> Dit gebeurt als sprake is van (een directe dreiging van) een epidemie van een </w:t>
          </w:r>
          <w:r w:rsidR="00392578">
            <w:t xml:space="preserve">in de </w:t>
          </w:r>
          <w:proofErr w:type="spellStart"/>
          <w:r w:rsidR="00392578">
            <w:t>Wpg</w:t>
          </w:r>
          <w:proofErr w:type="spellEnd"/>
          <w:r w:rsidR="00392578">
            <w:t xml:space="preserve"> aangewezen </w:t>
          </w:r>
          <w:r w:rsidR="007D1476">
            <w:t xml:space="preserve">infectieziekte. </w:t>
          </w:r>
        </w:p>
        <w:p w:rsidR="002C7368" w:rsidRDefault="002C7368" w14:paraId="7FC179C6" w14:textId="77777777"/>
        <w:p w:rsidR="00DB1E37" w:rsidRDefault="002C7368" w14:paraId="25404EB4" w14:textId="77777777">
          <w:r>
            <w:t xml:space="preserve">De Afdeling advisering van de Raad van State </w:t>
          </w:r>
          <w:r w:rsidR="001A33D5">
            <w:t xml:space="preserve">merkt op dat </w:t>
          </w:r>
          <w:r w:rsidR="00BD0F09">
            <w:t>de</w:t>
          </w:r>
          <w:r w:rsidR="00E667C4">
            <w:t xml:space="preserve"> maatregelen in de </w:t>
          </w:r>
          <w:r w:rsidR="00501BB9">
            <w:t xml:space="preserve">epidemie-afdeling </w:t>
          </w:r>
          <w:r w:rsidR="00B87C11">
            <w:t>automatisch</w:t>
          </w:r>
          <w:r w:rsidR="00EE19CF">
            <w:t xml:space="preserve"> gelden zodra een o</w:t>
          </w:r>
          <w:r w:rsidR="00ED7FDC">
            <w:t>f</w:t>
          </w:r>
          <w:r w:rsidR="00EE19CF">
            <w:t xml:space="preserve"> meer </w:t>
          </w:r>
          <w:r w:rsidR="00B87C11">
            <w:t xml:space="preserve">maatregelen uit de </w:t>
          </w:r>
          <w:proofErr w:type="spellStart"/>
          <w:r w:rsidR="00B87C11">
            <w:t>Wpg</w:t>
          </w:r>
          <w:proofErr w:type="spellEnd"/>
          <w:r w:rsidR="00B87C11">
            <w:t xml:space="preserve"> van kracht worden. </w:t>
          </w:r>
          <w:r w:rsidR="005E1730">
            <w:t xml:space="preserve">Omdat het </w:t>
          </w:r>
          <w:r w:rsidR="000971EC">
            <w:t>hier gaat om bep</w:t>
          </w:r>
          <w:r w:rsidR="0082437C">
            <w:t>alingen die raken aan de uitoefening</w:t>
          </w:r>
          <w:r w:rsidR="000971EC">
            <w:t xml:space="preserve"> van het kiesrecht</w:t>
          </w:r>
          <w:r w:rsidR="00E91C89">
            <w:t xml:space="preserve"> acht zij dat automatisme</w:t>
          </w:r>
          <w:r w:rsidR="00EA6321">
            <w:t xml:space="preserve"> niet noodzakelijk en proportioneel</w:t>
          </w:r>
          <w:r w:rsidR="00CF50EC">
            <w:t>. Zij</w:t>
          </w:r>
          <w:r w:rsidR="00BC66C4">
            <w:t xml:space="preserve"> adviseert daarom </w:t>
          </w:r>
          <w:r w:rsidR="00CD0A0E">
            <w:t xml:space="preserve">de </w:t>
          </w:r>
          <w:r w:rsidR="001178B5">
            <w:t>maatregelen</w:t>
          </w:r>
          <w:r w:rsidR="00CD0A0E">
            <w:t xml:space="preserve"> in </w:t>
          </w:r>
          <w:r w:rsidR="00B536FF">
            <w:t xml:space="preserve">de epidemie-afdeling </w:t>
          </w:r>
          <w:r w:rsidR="00CE2493">
            <w:t xml:space="preserve">in werking </w:t>
          </w:r>
          <w:r w:rsidR="00B536FF">
            <w:t xml:space="preserve">te </w:t>
          </w:r>
          <w:r w:rsidR="00CE2493">
            <w:t>stellen</w:t>
          </w:r>
          <w:r w:rsidR="00B536FF">
            <w:t xml:space="preserve"> door middel van een </w:t>
          </w:r>
          <w:r w:rsidR="00C05431">
            <w:t>zelf</w:t>
          </w:r>
          <w:r w:rsidR="00B536FF">
            <w:t>standig besluit.</w:t>
          </w:r>
          <w:r w:rsidR="005E4D11">
            <w:t xml:space="preserve"> </w:t>
          </w:r>
        </w:p>
        <w:p w:rsidR="00DB1E37" w:rsidRDefault="00DB1E37" w14:paraId="7AA3EE94" w14:textId="77777777"/>
        <w:p w:rsidR="00771840" w:rsidRDefault="007110B4" w14:paraId="67AA4024" w14:textId="128B2377">
          <w:r>
            <w:t>Verder</w:t>
          </w:r>
          <w:r w:rsidR="00EA6321">
            <w:t xml:space="preserve"> </w:t>
          </w:r>
          <w:r w:rsidR="00771840">
            <w:t xml:space="preserve">wijst de </w:t>
          </w:r>
          <w:r w:rsidR="00EA6321">
            <w:t>Afdeling</w:t>
          </w:r>
          <w:r w:rsidR="00771840">
            <w:t xml:space="preserve"> erop dat </w:t>
          </w:r>
          <w:r w:rsidR="005E4D11">
            <w:t>het wetsvoorstel</w:t>
          </w:r>
          <w:r w:rsidR="00771840">
            <w:t xml:space="preserve"> geen mogelijkheid biedt tot differentiatie</w:t>
          </w:r>
          <w:r w:rsidR="00AA2E3E">
            <w:t xml:space="preserve"> tussen </w:t>
          </w:r>
          <w:r>
            <w:t xml:space="preserve">de daarin opgenomen </w:t>
          </w:r>
          <w:r w:rsidR="00AA2E3E">
            <w:t>maatregelen</w:t>
          </w:r>
          <w:r w:rsidR="0020242F">
            <w:t>. Daar</w:t>
          </w:r>
          <w:r w:rsidR="00563C07">
            <w:t>door is</w:t>
          </w:r>
          <w:r w:rsidR="00701C91">
            <w:t xml:space="preserve"> </w:t>
          </w:r>
          <w:r w:rsidR="00554ADD">
            <w:t xml:space="preserve">het niet </w:t>
          </w:r>
          <w:r w:rsidR="00B43FCA">
            <w:t>mogelijk</w:t>
          </w:r>
          <w:r w:rsidR="007E39EC">
            <w:t xml:space="preserve"> om</w:t>
          </w:r>
          <w:r w:rsidR="00F16239">
            <w:t xml:space="preserve">, </w:t>
          </w:r>
          <w:r w:rsidR="00D37118">
            <w:t>afhankelijk</w:t>
          </w:r>
          <w:r w:rsidR="00F16239">
            <w:t xml:space="preserve"> van de omstandigheden</w:t>
          </w:r>
          <w:r w:rsidR="007E39EC">
            <w:t xml:space="preserve">, bepaalde maatregelen wel of niet </w:t>
          </w:r>
          <w:r w:rsidR="00BC7BCA">
            <w:t>in werking te stellen</w:t>
          </w:r>
          <w:r w:rsidR="007E39EC">
            <w:t>.</w:t>
          </w:r>
          <w:r w:rsidR="00E34F7E">
            <w:t xml:space="preserve"> Zij adviseert met het oog op de noodzaak en proportionaliteit</w:t>
          </w:r>
          <w:r w:rsidR="007F04D7">
            <w:t xml:space="preserve"> een zodanige differentiatiemogelijkheid in het wetsvoorstel op te nemen.</w:t>
          </w:r>
        </w:p>
        <w:p w:rsidR="00F16239" w:rsidRDefault="00F16239" w14:paraId="580B96B9" w14:textId="77777777"/>
        <w:p w:rsidR="00F16239" w:rsidRDefault="00295C92" w14:paraId="145B66D4" w14:textId="643F8082">
          <w:r>
            <w:t>E</w:t>
          </w:r>
          <w:r w:rsidR="003C11C5">
            <w:t>en belangrijke les uit de eerste fase van de coronapandemie</w:t>
          </w:r>
          <w:r w:rsidR="006823CA">
            <w:t xml:space="preserve"> is dat</w:t>
          </w:r>
          <w:r w:rsidR="003C11C5">
            <w:t xml:space="preserve"> kwetsbare ouderen onvoldoende bescherm</w:t>
          </w:r>
          <w:r w:rsidR="00395282">
            <w:t>d werden</w:t>
          </w:r>
          <w:r w:rsidR="003C11C5">
            <w:t>.</w:t>
          </w:r>
          <w:r w:rsidR="00395282">
            <w:t xml:space="preserve"> </w:t>
          </w:r>
          <w:r w:rsidR="00C65E07">
            <w:t>Met het oog daarop</w:t>
          </w:r>
          <w:r w:rsidR="00395282">
            <w:t xml:space="preserve"> </w:t>
          </w:r>
          <w:r w:rsidR="00043A65">
            <w:t xml:space="preserve">adviseert </w:t>
          </w:r>
          <w:r w:rsidR="00395282">
            <w:t xml:space="preserve">de Afdeling </w:t>
          </w:r>
          <w:r w:rsidR="003477A4">
            <w:t>om</w:t>
          </w:r>
          <w:r w:rsidR="00552C2A">
            <w:t xml:space="preserve"> </w:t>
          </w:r>
          <w:r w:rsidR="00BD4FEF">
            <w:t>meer</w:t>
          </w:r>
          <w:r w:rsidR="00D37118">
            <w:t xml:space="preserve"> </w:t>
          </w:r>
          <w:r w:rsidR="0004123B">
            <w:t>maatregelen</w:t>
          </w:r>
          <w:r w:rsidR="001D3F31">
            <w:t xml:space="preserve"> in </w:t>
          </w:r>
          <w:r w:rsidR="00C65E07">
            <w:t>het wetsvoorstel</w:t>
          </w:r>
          <w:r w:rsidR="003477A4">
            <w:t xml:space="preserve"> op te nemen</w:t>
          </w:r>
          <w:r w:rsidR="001D3F31">
            <w:t>. D</w:t>
          </w:r>
          <w:r w:rsidR="00E007CB">
            <w:t xml:space="preserve">aarbij kan </w:t>
          </w:r>
          <w:r w:rsidR="00A93405">
            <w:t xml:space="preserve">in het bijzonder </w:t>
          </w:r>
          <w:r w:rsidR="00E007CB">
            <w:t xml:space="preserve">gedacht worden aan </w:t>
          </w:r>
          <w:r w:rsidR="000D2EA3">
            <w:t xml:space="preserve">de mogelijkheid van </w:t>
          </w:r>
          <w:r w:rsidR="00E007CB">
            <w:t xml:space="preserve">briefstemmen en </w:t>
          </w:r>
          <w:r w:rsidR="00A7242D">
            <w:t xml:space="preserve">de mogelijkheid om </w:t>
          </w:r>
          <w:r w:rsidR="00695E84">
            <w:t xml:space="preserve">de toegang tot </w:t>
          </w:r>
          <w:r w:rsidR="00A7242D">
            <w:t>bepaalde stemlocaties – in het bijzonder verzorgingshuizen</w:t>
          </w:r>
          <w:r w:rsidR="00695E84">
            <w:t xml:space="preserve"> – te beperken tot de </w:t>
          </w:r>
          <w:r w:rsidR="00AB33A9">
            <w:t>bewoners en bezoekers van de betreffende instelling</w:t>
          </w:r>
          <w:r w:rsidR="000D2EA3">
            <w:t>.</w:t>
          </w:r>
          <w:r w:rsidR="00204A02">
            <w:t xml:space="preserve"> </w:t>
          </w:r>
          <w:r w:rsidR="002C7522">
            <w:t xml:space="preserve">Ook </w:t>
          </w:r>
          <w:r w:rsidR="00204A02">
            <w:t xml:space="preserve">adviseert de Afdeling aandacht te besteden aan </w:t>
          </w:r>
          <w:r w:rsidR="008244E2">
            <w:t>andere</w:t>
          </w:r>
          <w:r w:rsidR="0092571C">
            <w:t xml:space="preserve"> situaties die bij een toekomstige epidemie</w:t>
          </w:r>
          <w:r w:rsidR="00E200F2">
            <w:t xml:space="preserve"> bepaalde groepen (ook anderen dan ouderen) in een kwetsbare positie kunnen brengen.</w:t>
          </w:r>
        </w:p>
        <w:p w:rsidR="00C64322" w:rsidRDefault="00C64322" w14:paraId="3E2233C0" w14:textId="77777777"/>
        <w:p w:rsidR="00C64322" w:rsidRDefault="00E83868" w14:paraId="42134CED" w14:textId="7A2C9D5C">
          <w:r>
            <w:lastRenderedPageBreak/>
            <w:t>Daarnaast</w:t>
          </w:r>
          <w:r w:rsidR="00083E8E">
            <w:t xml:space="preserve"> </w:t>
          </w:r>
          <w:r w:rsidR="00B619A4">
            <w:t>adviseert</w:t>
          </w:r>
          <w:r w:rsidR="00083E8E">
            <w:t xml:space="preserve"> de </w:t>
          </w:r>
          <w:r w:rsidR="008B52BA">
            <w:t>Afdeling</w:t>
          </w:r>
          <w:r w:rsidR="00083E8E">
            <w:t xml:space="preserve"> </w:t>
          </w:r>
          <w:r w:rsidR="00B9089B">
            <w:t xml:space="preserve">om de </w:t>
          </w:r>
          <w:r w:rsidR="008B52BA">
            <w:t>maatregel van vervroegd stemmen in de epidemieafdeling op te nemen.</w:t>
          </w:r>
          <w:r w:rsidR="00B619A4">
            <w:t xml:space="preserve"> </w:t>
          </w:r>
          <w:r w:rsidR="008F6C60">
            <w:t>Tot slot</w:t>
          </w:r>
          <w:r w:rsidR="00C64322">
            <w:t xml:space="preserve"> maakt de Afdeling </w:t>
          </w:r>
          <w:r w:rsidR="008F6C60">
            <w:t xml:space="preserve">specifieke </w:t>
          </w:r>
          <w:r w:rsidR="00C64322">
            <w:t xml:space="preserve">opmerkingen over </w:t>
          </w:r>
          <w:r w:rsidR="00A7210A">
            <w:t xml:space="preserve">de mogelijkheid om </w:t>
          </w:r>
          <w:r w:rsidR="00D23F51">
            <w:t xml:space="preserve">ook op de dag van de verkiezingen </w:t>
          </w:r>
          <w:r w:rsidR="00A7210A">
            <w:t xml:space="preserve">de locatie van een stemlokaal te wijzigen, </w:t>
          </w:r>
          <w:r w:rsidR="002437CA">
            <w:t>de wijze van identificatie</w:t>
          </w:r>
          <w:r w:rsidR="003F3977">
            <w:t xml:space="preserve"> </w:t>
          </w:r>
          <w:r w:rsidR="00E23320">
            <w:t xml:space="preserve">van kiezers </w:t>
          </w:r>
          <w:r w:rsidR="003F3977">
            <w:t>en d</w:t>
          </w:r>
          <w:r w:rsidR="00C43461">
            <w:t xml:space="preserve">e aanwijzingen van de minister van </w:t>
          </w:r>
          <w:r w:rsidR="006E0BF0">
            <w:t>Binnenlandse Zaken en Koninkrijksrelaties</w:t>
          </w:r>
          <w:r w:rsidR="00FC775E">
            <w:t xml:space="preserve"> (</w:t>
          </w:r>
          <w:r w:rsidR="00C43461">
            <w:t>BZK</w:t>
          </w:r>
          <w:r w:rsidR="00FC775E">
            <w:t>)</w:t>
          </w:r>
          <w:r w:rsidR="00C43461">
            <w:t xml:space="preserve"> aan gemeenten over </w:t>
          </w:r>
          <w:r w:rsidR="009203C9">
            <w:t xml:space="preserve">het afleggen van ondersteuningsverklaringen voor nieuwe </w:t>
          </w:r>
          <w:r w:rsidR="004F5DC1">
            <w:t xml:space="preserve">politieke </w:t>
          </w:r>
          <w:r w:rsidR="009203C9">
            <w:t>partijen.</w:t>
          </w:r>
        </w:p>
        <w:p w:rsidR="00467A0F" w:rsidRDefault="00467A0F" w14:paraId="796DA4E9" w14:textId="77777777"/>
        <w:p w:rsidR="004B1F9C" w:rsidRDefault="00467A0F" w14:paraId="7414EF6E" w14:textId="7331E625">
          <w:r w:rsidRPr="00467A0F">
            <w:t>In verband met deze opmerkingen is</w:t>
          </w:r>
          <w:r w:rsidRPr="00467A0F" w:rsidR="00C53ACB">
            <w:t xml:space="preserve"> </w:t>
          </w:r>
          <w:r w:rsidRPr="00467A0F">
            <w:t xml:space="preserve">aanpassing </w:t>
          </w:r>
          <w:r w:rsidR="000C316D">
            <w:t>nod</w:t>
          </w:r>
          <w:r w:rsidR="00A93405">
            <w:t xml:space="preserve">ig </w:t>
          </w:r>
          <w:r w:rsidRPr="00467A0F">
            <w:t>van het voorstel en de toelichting.</w:t>
          </w:r>
        </w:p>
        <w:p w:rsidR="00996159" w:rsidRDefault="00996159" w14:paraId="7275CF0E" w14:textId="77777777"/>
        <w:p w:rsidR="00996159" w:rsidRDefault="00996159" w14:paraId="179AD8B6" w14:textId="752138D2">
          <w:r>
            <w:t>1.</w:t>
          </w:r>
          <w:r>
            <w:tab/>
          </w:r>
          <w:r w:rsidRPr="00D44BD4" w:rsidR="00D44BD4">
            <w:rPr>
              <w:u w:val="single"/>
            </w:rPr>
            <w:t>Achtergrond en i</w:t>
          </w:r>
          <w:r w:rsidRPr="00D44BD4">
            <w:rPr>
              <w:u w:val="single"/>
            </w:rPr>
            <w:t xml:space="preserve">nhoud </w:t>
          </w:r>
          <w:r w:rsidRPr="00D44BD4" w:rsidR="00D44BD4">
            <w:rPr>
              <w:u w:val="single"/>
            </w:rPr>
            <w:t>wetsvoorstel</w:t>
          </w:r>
        </w:p>
        <w:p w:rsidR="00996159" w:rsidRDefault="00996159" w14:paraId="3EEBE92E" w14:textId="77777777"/>
        <w:p w:rsidRPr="00FC0927" w:rsidR="00B11875" w:rsidRDefault="00B11875" w14:paraId="60C4173B" w14:textId="2E28B61E">
          <w:pPr>
            <w:rPr>
              <w:i/>
              <w:iCs/>
            </w:rPr>
          </w:pPr>
          <w:r w:rsidRPr="00FC0927">
            <w:rPr>
              <w:i/>
              <w:iCs/>
            </w:rPr>
            <w:t xml:space="preserve">a. </w:t>
          </w:r>
          <w:r w:rsidR="00FC0927">
            <w:rPr>
              <w:i/>
              <w:iCs/>
            </w:rPr>
            <w:tab/>
          </w:r>
          <w:r w:rsidRPr="00FC0927">
            <w:rPr>
              <w:i/>
              <w:iCs/>
            </w:rPr>
            <w:t xml:space="preserve">Van tijdelijke naar permanente </w:t>
          </w:r>
          <w:r w:rsidR="00650167">
            <w:rPr>
              <w:i/>
              <w:iCs/>
            </w:rPr>
            <w:t>regeling</w:t>
          </w:r>
        </w:p>
        <w:p w:rsidR="00285AC2" w:rsidP="00466CD6" w:rsidRDefault="00F3260C" w14:paraId="253F8B80" w14:textId="5C57215C">
          <w:r>
            <w:t xml:space="preserve">Ten tijde van de </w:t>
          </w:r>
          <w:r w:rsidR="00074223">
            <w:t xml:space="preserve">coronapandemie </w:t>
          </w:r>
          <w:r w:rsidR="00022555">
            <w:t xml:space="preserve">voorzag de Tijdelijke wet verkiezingen covid-19 (Twv) in </w:t>
          </w:r>
          <w:r w:rsidR="00BA46FD">
            <w:t xml:space="preserve">aanpassingen van de reguliere gang van zaken in het verkiezingsproces. </w:t>
          </w:r>
          <w:r w:rsidR="008C2BAF">
            <w:t>De Twv</w:t>
          </w:r>
          <w:r w:rsidR="00472D7C">
            <w:t xml:space="preserve"> had</w:t>
          </w:r>
          <w:r w:rsidRPr="008C2BAF" w:rsidR="008C2BAF">
            <w:t xml:space="preserve"> tot doel </w:t>
          </w:r>
          <w:r w:rsidR="00472D7C">
            <w:t xml:space="preserve">te waarborgen dat </w:t>
          </w:r>
          <w:r w:rsidRPr="008C2BAF" w:rsidR="008C2BAF">
            <w:t xml:space="preserve">na de uitbraak van het coronavirus kiezers veilig </w:t>
          </w:r>
          <w:r w:rsidR="00C4755F">
            <w:t>zouden kunnen</w:t>
          </w:r>
          <w:r w:rsidRPr="008C2BAF" w:rsidR="008C2BAF">
            <w:t xml:space="preserve"> stemmen. De tijdelijke wet regel</w:t>
          </w:r>
          <w:r w:rsidR="00C4755F">
            <w:t>de</w:t>
          </w:r>
          <w:r w:rsidRPr="008C2BAF" w:rsidR="008C2BAF">
            <w:t xml:space="preserve"> onder meer dat de stemlokalen worden aangepast </w:t>
          </w:r>
          <w:r w:rsidR="005001BE">
            <w:t>aan</w:t>
          </w:r>
          <w:r w:rsidRPr="008C2BAF" w:rsidR="008C2BAF">
            <w:t xml:space="preserve"> de 1,5 meter-regel, en dat er diverse hygiënemaatregelen gelden in de lokalen. Ook </w:t>
          </w:r>
          <w:r w:rsidR="00C4755F">
            <w:t>was</w:t>
          </w:r>
          <w:r w:rsidRPr="008C2BAF" w:rsidR="008C2BAF">
            <w:t xml:space="preserve"> het mogelijk om stembureaus in te stellen in zorginstellingen die alleen toegankelijk zijn voor de bewoners of bezoekers van die instellingen.</w:t>
          </w:r>
          <w:r w:rsidR="00466CD6">
            <w:t xml:space="preserve"> </w:t>
          </w:r>
        </w:p>
        <w:p w:rsidR="00285AC2" w:rsidP="00466CD6" w:rsidRDefault="00285AC2" w14:paraId="15587C4F" w14:textId="77777777"/>
        <w:p w:rsidR="002A56FC" w:rsidP="00466CD6" w:rsidRDefault="00FD5172" w14:paraId="66A510D8" w14:textId="5D9BDAE7">
          <w:r>
            <w:t>Na de inwerkingtreding van de Twv</w:t>
          </w:r>
          <w:r w:rsidR="003E64E0">
            <w:t xml:space="preserve"> in </w:t>
          </w:r>
          <w:r w:rsidR="0036007E">
            <w:t>november 2020</w:t>
          </w:r>
          <w:r w:rsidR="00621725">
            <w:rPr>
              <w:rStyle w:val="Voetnootmarkering"/>
            </w:rPr>
            <w:footnoteReference w:id="3"/>
          </w:r>
          <w:r>
            <w:t xml:space="preserve"> </w:t>
          </w:r>
          <w:r w:rsidR="00C53ACB">
            <w:t xml:space="preserve">is </w:t>
          </w:r>
          <w:r w:rsidR="003E64E0">
            <w:t>de wet twee keer gewi</w:t>
          </w:r>
          <w:r w:rsidR="0036007E">
            <w:t xml:space="preserve">jzigd. De eerste keer </w:t>
          </w:r>
          <w:r w:rsidR="00E65163">
            <w:t>vond een wijziging plaat</w:t>
          </w:r>
          <w:r w:rsidR="00FD4457">
            <w:t>s</w:t>
          </w:r>
          <w:r w:rsidR="0036007E">
            <w:t xml:space="preserve"> ten behoeve van de Tweede Kamerverkiezingen </w:t>
          </w:r>
          <w:r w:rsidR="00872424">
            <w:t>van</w:t>
          </w:r>
          <w:r w:rsidR="0036007E">
            <w:t xml:space="preserve"> 2021.</w:t>
          </w:r>
          <w:r w:rsidR="00286567">
            <w:rPr>
              <w:rStyle w:val="Voetnootmarkering"/>
            </w:rPr>
            <w:footnoteReference w:id="4"/>
          </w:r>
          <w:r w:rsidR="0036007E">
            <w:t xml:space="preserve"> Met die wijziging werd</w:t>
          </w:r>
          <w:r w:rsidR="009F3BD2">
            <w:t xml:space="preserve"> onder andere</w:t>
          </w:r>
          <w:r w:rsidR="0036007E">
            <w:t xml:space="preserve"> de mogelijkhe</w:t>
          </w:r>
          <w:r w:rsidR="00C559AF">
            <w:t>i</w:t>
          </w:r>
          <w:r w:rsidR="0036007E">
            <w:t>d tot briefstemmen en tot vervroegd stemmen geïntroduceerd</w:t>
          </w:r>
          <w:r w:rsidR="00DE440C">
            <w:t>.</w:t>
          </w:r>
          <w:r w:rsidR="00A25741">
            <w:t xml:space="preserve"> Een tweede wijziging, die plaatsvond in een latere fase van de pandemie, </w:t>
          </w:r>
          <w:r w:rsidR="00AE1AE2">
            <w:t>verminderde</w:t>
          </w:r>
          <w:r w:rsidR="00A25741">
            <w:t xml:space="preserve"> het aantal maatregelen.</w:t>
          </w:r>
          <w:r w:rsidR="0055204B">
            <w:rPr>
              <w:rStyle w:val="Voetnootmarkering"/>
            </w:rPr>
            <w:footnoteReference w:id="5"/>
          </w:r>
          <w:r w:rsidR="00A25741">
            <w:t xml:space="preserve"> Zo </w:t>
          </w:r>
          <w:r w:rsidR="00C53ACB">
            <w:t xml:space="preserve">is </w:t>
          </w:r>
          <w:r w:rsidR="00A25741">
            <w:t>het aantal toegestane volmachten teruggebracht van drie naar twee en verviel de mogelijkheid van het briefstemmen. Nadat de wet twee keer was verlengd</w:t>
          </w:r>
          <w:r w:rsidR="00D20CCD">
            <w:t>,</w:t>
          </w:r>
          <w:r w:rsidR="00A25741">
            <w:t xml:space="preserve"> verviel deze op 1 juli 2022</w:t>
          </w:r>
          <w:r w:rsidR="002A56FC">
            <w:t>.</w:t>
          </w:r>
          <w:r w:rsidR="001A0151">
            <w:rPr>
              <w:rStyle w:val="Voetnootmarkering"/>
            </w:rPr>
            <w:footnoteReference w:id="6"/>
          </w:r>
        </w:p>
        <w:p w:rsidR="00773FE0" w:rsidP="00466CD6" w:rsidRDefault="00773FE0" w14:paraId="367C6B6E" w14:textId="77777777"/>
        <w:p w:rsidRPr="00FC0927" w:rsidR="00B11875" w:rsidP="00083E8E" w:rsidRDefault="00B11875" w14:paraId="289CC88C" w14:textId="5AEF4B3F">
          <w:pPr>
            <w:keepNext/>
            <w:rPr>
              <w:i/>
              <w:iCs/>
            </w:rPr>
          </w:pPr>
          <w:r w:rsidRPr="008434DF">
            <w:t>b.</w:t>
          </w:r>
          <w:r w:rsidRPr="00FC0927">
            <w:rPr>
              <w:i/>
              <w:iCs/>
            </w:rPr>
            <w:t xml:space="preserve"> </w:t>
          </w:r>
          <w:r w:rsidR="00FC0927">
            <w:rPr>
              <w:i/>
              <w:iCs/>
            </w:rPr>
            <w:tab/>
          </w:r>
          <w:r w:rsidRPr="00FC0927">
            <w:rPr>
              <w:i/>
              <w:iCs/>
            </w:rPr>
            <w:t xml:space="preserve">Inhoud van het </w:t>
          </w:r>
          <w:r w:rsidR="00416E68">
            <w:rPr>
              <w:i/>
              <w:iCs/>
            </w:rPr>
            <w:t>wets</w:t>
          </w:r>
          <w:r w:rsidRPr="00FC0927">
            <w:rPr>
              <w:i/>
              <w:iCs/>
            </w:rPr>
            <w:t>voorstel</w:t>
          </w:r>
        </w:p>
        <w:p w:rsidR="00A065F9" w:rsidP="00466CD6" w:rsidRDefault="00FD4457" w14:paraId="61AD9BA1" w14:textId="0635EFAE">
          <w:r>
            <w:t>He</w:t>
          </w:r>
          <w:r w:rsidR="00A065F9">
            <w:t>t wetsvoorstel voorziet in een</w:t>
          </w:r>
          <w:r w:rsidDel="00B33928" w:rsidR="00A065F9">
            <w:t xml:space="preserve"> </w:t>
          </w:r>
          <w:r w:rsidR="00A065F9">
            <w:t xml:space="preserve">permanente regeling in de Kieswet </w:t>
          </w:r>
          <w:r w:rsidR="00014312">
            <w:t>voor</w:t>
          </w:r>
          <w:r w:rsidR="00A065F9">
            <w:t xml:space="preserve"> het geval zich een epidemie voordoet. De volledige epidemieafdeling wordt volgens het wetsvoorstel van kracht op het moment dat één of meer maatregelen uit artikel </w:t>
          </w:r>
          <w:r w:rsidR="00A065F9">
            <w:lastRenderedPageBreak/>
            <w:t>58f-i W</w:t>
          </w:r>
          <w:r w:rsidR="00D14D73">
            <w:t xml:space="preserve">et </w:t>
          </w:r>
          <w:r w:rsidR="00A065F9">
            <w:t>p</w:t>
          </w:r>
          <w:r w:rsidR="00D14D73">
            <w:t xml:space="preserve">ublieke </w:t>
          </w:r>
          <w:r w:rsidR="00A065F9">
            <w:t>g</w:t>
          </w:r>
          <w:r w:rsidR="00D14D73">
            <w:t>ezondheid</w:t>
          </w:r>
          <w:r w:rsidR="00DE3DC4">
            <w:t xml:space="preserve"> (</w:t>
          </w:r>
          <w:proofErr w:type="spellStart"/>
          <w:r w:rsidR="00DE3DC4">
            <w:t>Wpg</w:t>
          </w:r>
          <w:proofErr w:type="spellEnd"/>
          <w:r w:rsidR="00DE3DC4">
            <w:t>)</w:t>
          </w:r>
          <w:r w:rsidR="00A065F9">
            <w:t xml:space="preserve"> gelden. </w:t>
          </w:r>
          <w:r w:rsidR="00A55917">
            <w:t>Dit gebeurt als sprake is van (een directe dreiging van) een epidemie van een infectieziekte behorend tot groep A1.</w:t>
          </w:r>
          <w:r w:rsidR="00D14D73">
            <w:t xml:space="preserve"> </w:t>
          </w:r>
          <w:r w:rsidR="00A065F9">
            <w:t xml:space="preserve">Op het moment dat de epidemieafdeling van kracht wordt, blijft deze </w:t>
          </w:r>
          <w:r w:rsidR="008F08A9">
            <w:t xml:space="preserve">van </w:t>
          </w:r>
          <w:r w:rsidR="00A065F9">
            <w:t xml:space="preserve">kracht totdat de verkiezingen zijn afgerond. </w:t>
          </w:r>
        </w:p>
        <w:p w:rsidR="00A065F9" w:rsidP="00466CD6" w:rsidRDefault="00A065F9" w14:paraId="5AABBF59" w14:textId="77777777"/>
        <w:p w:rsidR="00773FE0" w:rsidP="00466CD6" w:rsidRDefault="0003454E" w14:paraId="2D5151A5" w14:textId="5267FA4B">
          <w:r>
            <w:t>De maatregelen in dit wetsvoorstel zijn grotendeels overgenomen uit de Twv</w:t>
          </w:r>
          <w:r w:rsidR="003572E2">
            <w:t xml:space="preserve">. </w:t>
          </w:r>
          <w:r w:rsidR="00BC1D01">
            <w:t>D</w:t>
          </w:r>
          <w:r w:rsidR="00741E28">
            <w:t xml:space="preserve">aarbij </w:t>
          </w:r>
          <w:r w:rsidR="00BC1D01">
            <w:t>is</w:t>
          </w:r>
          <w:r w:rsidR="00741E28">
            <w:t xml:space="preserve"> </w:t>
          </w:r>
          <w:r w:rsidR="000449C0">
            <w:t xml:space="preserve">onderscheid te </w:t>
          </w:r>
          <w:r w:rsidR="0093207C">
            <w:t>maken</w:t>
          </w:r>
          <w:r w:rsidR="000449C0">
            <w:t xml:space="preserve"> in maatregelen die </w:t>
          </w:r>
          <w:r w:rsidR="00A11976">
            <w:t>gelden</w:t>
          </w:r>
          <w:r w:rsidR="00393317">
            <w:t xml:space="preserve"> (1)</w:t>
          </w:r>
          <w:r w:rsidR="00A11976">
            <w:t xml:space="preserve"> in aanloop naar de verkiezingen, </w:t>
          </w:r>
          <w:r w:rsidR="00393317">
            <w:t xml:space="preserve">(2) voor </w:t>
          </w:r>
          <w:r w:rsidR="00A11976">
            <w:t xml:space="preserve">de gang van zaken </w:t>
          </w:r>
          <w:r w:rsidR="009B2721">
            <w:t xml:space="preserve">tijdens stemming en stemopneming </w:t>
          </w:r>
          <w:r w:rsidR="00393317">
            <w:t>en (3)</w:t>
          </w:r>
          <w:r w:rsidR="009B2721">
            <w:t xml:space="preserve"> voor de zittingen van het centraal stembureau, het briefstembureau en de hoofdstembureaus. </w:t>
          </w:r>
        </w:p>
        <w:p w:rsidR="00776B66" w:rsidP="00466CD6" w:rsidRDefault="00776B66" w14:paraId="523550D3" w14:textId="77777777"/>
        <w:p w:rsidR="00FD4457" w:rsidP="00466CD6" w:rsidRDefault="00776B66" w14:paraId="64C4091A" w14:textId="77777777">
          <w:r>
            <w:t xml:space="preserve">In aanloop naar de verkiezingen </w:t>
          </w:r>
          <w:r w:rsidR="00534CF2">
            <w:t>wordt de termijn voor het afleggen van ondersteuningsverklaringen verlengd van twee naar vier weken</w:t>
          </w:r>
          <w:r w:rsidR="00343EAB">
            <w:t xml:space="preserve"> en</w:t>
          </w:r>
          <w:r w:rsidR="00A97D12">
            <w:t xml:space="preserve"> wordt voorzien in plaatsvervangende leden van de Kiesraad</w:t>
          </w:r>
          <w:r w:rsidR="00860CF3">
            <w:t>.</w:t>
          </w:r>
          <w:r w:rsidR="00860CF3">
            <w:rPr>
              <w:rStyle w:val="Voetnootmarkering"/>
            </w:rPr>
            <w:footnoteReference w:id="7"/>
          </w:r>
          <w:r w:rsidR="00D74F0B">
            <w:t xml:space="preserve"> </w:t>
          </w:r>
          <w:r w:rsidR="007A10EE">
            <w:t xml:space="preserve">Ook </w:t>
          </w:r>
          <w:r w:rsidR="00337FA3">
            <w:t>kunnen</w:t>
          </w:r>
          <w:r w:rsidR="006631DB">
            <w:t xml:space="preserve"> ten behoeve </w:t>
          </w:r>
          <w:r w:rsidR="00337FA3">
            <w:t xml:space="preserve">van kiezers die in het buitenland </w:t>
          </w:r>
          <w:r w:rsidR="00350138">
            <w:t>wonen</w:t>
          </w:r>
          <w:r w:rsidR="00337FA3">
            <w:t xml:space="preserve"> bij </w:t>
          </w:r>
          <w:proofErr w:type="spellStart"/>
          <w:r w:rsidR="00337FA3">
            <w:t>amvb</w:t>
          </w:r>
          <w:proofErr w:type="spellEnd"/>
          <w:r w:rsidR="00337FA3">
            <w:t xml:space="preserve"> aanvullende regels worden gesteld over de identiteitsdocumenten </w:t>
          </w:r>
          <w:r w:rsidR="00350138">
            <w:t>die zij mogen gebruiken.</w:t>
          </w:r>
          <w:r w:rsidR="00A108A4">
            <w:rPr>
              <w:rStyle w:val="Voetnootmarkering"/>
            </w:rPr>
            <w:footnoteReference w:id="8"/>
          </w:r>
          <w:r w:rsidR="00350138">
            <w:t xml:space="preserve"> </w:t>
          </w:r>
          <w:r w:rsidR="004E3BB0">
            <w:t xml:space="preserve">Burgemeester en wethouders </w:t>
          </w:r>
          <w:r w:rsidR="00DF67E1">
            <w:t xml:space="preserve">kunnen </w:t>
          </w:r>
          <w:r w:rsidR="00442ED2">
            <w:t>tot op de dag van de stemming</w:t>
          </w:r>
          <w:r w:rsidR="00D54340">
            <w:t xml:space="preserve"> een andere locatie als stembureau aanwijzen.</w:t>
          </w:r>
          <w:r w:rsidR="007C00AC">
            <w:rPr>
              <w:rStyle w:val="Voetnootmarkering"/>
            </w:rPr>
            <w:footnoteReference w:id="9"/>
          </w:r>
          <w:r w:rsidR="00D54340">
            <w:t xml:space="preserve"> </w:t>
          </w:r>
        </w:p>
        <w:p w:rsidR="00FD4457" w:rsidP="00466CD6" w:rsidRDefault="00FD4457" w14:paraId="3AD13D55" w14:textId="77777777"/>
        <w:p w:rsidR="00776B66" w:rsidP="00466CD6" w:rsidRDefault="00D74F0B" w14:paraId="6884A0F3" w14:textId="65B5AD49">
          <w:r>
            <w:t xml:space="preserve">Bij de stemming krijgen stembureauleden </w:t>
          </w:r>
          <w:r w:rsidR="00FD4457">
            <w:t xml:space="preserve">volgens het wetsvoorstel </w:t>
          </w:r>
          <w:r>
            <w:t>de bevoegdheid aanwijzingen te geven aangaande hygiëneregels, persoonlijke beschermingsmiddelen en de veilige afstand</w:t>
          </w:r>
          <w:r w:rsidR="00CE3B09">
            <w:t>. De voorzitter is bevoegd iemand die de</w:t>
          </w:r>
          <w:r w:rsidR="00691CBE">
            <w:t>ze</w:t>
          </w:r>
          <w:r w:rsidR="00CE3B09">
            <w:t xml:space="preserve"> aanwijzingen niet opvolgt</w:t>
          </w:r>
          <w:r w:rsidR="00D54340">
            <w:t xml:space="preserve"> de toegang tot het stem</w:t>
          </w:r>
          <w:r w:rsidR="0000371E">
            <w:t>lokaal</w:t>
          </w:r>
          <w:r w:rsidR="00D54340">
            <w:t xml:space="preserve"> te ontzeggen</w:t>
          </w:r>
          <w:r w:rsidR="00CE3B09">
            <w:t>.</w:t>
          </w:r>
          <w:r w:rsidR="007C00AC">
            <w:rPr>
              <w:rStyle w:val="Voetnootmarkering"/>
            </w:rPr>
            <w:footnoteReference w:id="10"/>
          </w:r>
          <w:r w:rsidR="00CE3B09">
            <w:t xml:space="preserve"> </w:t>
          </w:r>
          <w:r w:rsidR="009C64A9">
            <w:t>Het identiteitsdocument kan door de kiezer ‘getoond’, in plaats van ‘overhandigd’ worden</w:t>
          </w:r>
          <w:r w:rsidR="00495323">
            <w:t>.</w:t>
          </w:r>
          <w:r w:rsidR="00495323">
            <w:rPr>
              <w:rStyle w:val="Voetnootmarkering"/>
            </w:rPr>
            <w:footnoteReference w:id="11"/>
          </w:r>
          <w:r w:rsidR="00495323">
            <w:t xml:space="preserve"> </w:t>
          </w:r>
          <w:r w:rsidR="00350138">
            <w:t xml:space="preserve">Burgemeester en wethouders </w:t>
          </w:r>
          <w:r w:rsidR="00A108A4">
            <w:t>kunnen een afzonderlijke locatie voor het tellen van de stemmen aanwijzen.</w:t>
          </w:r>
          <w:r w:rsidR="00A108A4">
            <w:rPr>
              <w:rStyle w:val="Voetnootmarkering"/>
            </w:rPr>
            <w:footnoteReference w:id="12"/>
          </w:r>
          <w:r w:rsidR="00491DD4">
            <w:t xml:space="preserve"> Tot slot bevat het wetsvoorstel </w:t>
          </w:r>
          <w:r w:rsidR="00135C3A">
            <w:t>mogelijkheden om zittingen van het centraal stembureau en het briefstembureau digitaal bij te wonen</w:t>
          </w:r>
          <w:r w:rsidR="0070588E">
            <w:t xml:space="preserve"> en </w:t>
          </w:r>
          <w:r w:rsidR="009C64A9">
            <w:t>digitaal bezwaren in te dienen.</w:t>
          </w:r>
          <w:r w:rsidR="009C64A9">
            <w:rPr>
              <w:rStyle w:val="Voetnootmarkering"/>
            </w:rPr>
            <w:footnoteReference w:id="13"/>
          </w:r>
          <w:r w:rsidR="00135C3A">
            <w:t xml:space="preserve"> </w:t>
          </w:r>
          <w:r w:rsidR="00FC0927">
            <w:t>Leden van het hoofdstembureau kunnen ook digitaal deelnemen aan de zittingen.</w:t>
          </w:r>
          <w:r w:rsidR="00FC0927">
            <w:rPr>
              <w:rStyle w:val="Voetnootmarkering"/>
            </w:rPr>
            <w:footnoteReference w:id="14"/>
          </w:r>
        </w:p>
        <w:p w:rsidR="00996159" w:rsidRDefault="00996159" w14:paraId="3192A804" w14:textId="77777777"/>
        <w:p w:rsidR="0071606A" w:rsidRDefault="00D44BD4" w14:paraId="4D311D66" w14:textId="0B23EF78">
          <w:pPr>
            <w:rPr>
              <w:u w:val="single"/>
            </w:rPr>
          </w:pPr>
          <w:r>
            <w:t>2.</w:t>
          </w:r>
          <w:r w:rsidRPr="00DB0C97" w:rsidR="001363A3">
            <w:t xml:space="preserve"> </w:t>
          </w:r>
          <w:r w:rsidRPr="00D174EF" w:rsidR="001363A3">
            <w:tab/>
          </w:r>
          <w:r w:rsidRPr="00D174EF" w:rsidR="00CF652E">
            <w:rPr>
              <w:u w:val="single"/>
            </w:rPr>
            <w:t>Constitutionele uitgangspunten</w:t>
          </w:r>
        </w:p>
        <w:p w:rsidRPr="00DB0C97" w:rsidR="00CF652E" w:rsidRDefault="00CF652E" w14:paraId="79E682D8" w14:textId="77777777">
          <w:pPr>
            <w:rPr>
              <w:u w:val="single"/>
            </w:rPr>
          </w:pPr>
        </w:p>
        <w:p w:rsidR="00657B43" w:rsidRDefault="00CF652E" w14:paraId="7A0E6E55" w14:textId="240CD719">
          <w:r>
            <w:t>Het kiesrecht is in de democratische rechts</w:t>
          </w:r>
          <w:r w:rsidR="0043792E">
            <w:t>staat van fundamentele betekenis. D</w:t>
          </w:r>
          <w:r w:rsidR="003B441F">
            <w:t>it</w:t>
          </w:r>
          <w:r w:rsidR="0043792E">
            <w:t xml:space="preserve"> komt </w:t>
          </w:r>
          <w:r w:rsidR="00FA4889">
            <w:t xml:space="preserve">tot uitdrukking </w:t>
          </w:r>
          <w:r w:rsidR="0043792E">
            <w:t>in diverse grondwetsbepalingen</w:t>
          </w:r>
          <w:r w:rsidR="00421E05">
            <w:rPr>
              <w:rStyle w:val="Voetnootmarkering"/>
            </w:rPr>
            <w:footnoteReference w:id="15"/>
          </w:r>
          <w:r w:rsidR="0043792E">
            <w:t xml:space="preserve"> </w:t>
          </w:r>
          <w:r w:rsidR="00280C6A">
            <w:t xml:space="preserve">en internationale verdragsbepalingen. </w:t>
          </w:r>
          <w:r w:rsidR="0056455F">
            <w:t xml:space="preserve">Om het kiesrecht </w:t>
          </w:r>
          <w:r w:rsidR="00A12AE9">
            <w:t xml:space="preserve">ook </w:t>
          </w:r>
          <w:r w:rsidR="0056455F">
            <w:t>in de praktijk goed te laten functioneren</w:t>
          </w:r>
          <w:r w:rsidR="00A34E48">
            <w:t>,</w:t>
          </w:r>
          <w:r w:rsidR="0056455F">
            <w:t xml:space="preserve"> </w:t>
          </w:r>
          <w:r w:rsidR="001662E6">
            <w:t xml:space="preserve">zijn verschillende </w:t>
          </w:r>
          <w:r w:rsidR="00C51DCF">
            <w:t>uitgangspunten</w:t>
          </w:r>
          <w:r w:rsidR="00FA3870">
            <w:t xml:space="preserve"> van belang</w:t>
          </w:r>
          <w:r w:rsidR="005232D9">
            <w:t>.</w:t>
          </w:r>
          <w:r w:rsidR="00FA3870">
            <w:t xml:space="preserve"> Zij dienen </w:t>
          </w:r>
          <w:r w:rsidR="00DD3D66">
            <w:t>bij de beoordeling van wijziging</w:t>
          </w:r>
          <w:r w:rsidR="0057263E">
            <w:t>en</w:t>
          </w:r>
          <w:r w:rsidR="00DD3D66">
            <w:t xml:space="preserve"> van de Kieswet </w:t>
          </w:r>
          <w:r w:rsidR="0057263E">
            <w:t xml:space="preserve">steeds </w:t>
          </w:r>
          <w:r w:rsidR="00DD3D66">
            <w:t xml:space="preserve">in de overwegingen te worden betrokken. </w:t>
          </w:r>
        </w:p>
        <w:p w:rsidR="00657B43" w:rsidRDefault="00657B43" w14:paraId="2D40EF40" w14:textId="77777777"/>
        <w:p w:rsidR="00421E05" w:rsidRDefault="002836A3" w14:paraId="4D20BBD1" w14:textId="77777777">
          <w:r>
            <w:t>Allereerst</w:t>
          </w:r>
          <w:r w:rsidR="005232D9">
            <w:t xml:space="preserve"> is de stabiliteit van het </w:t>
          </w:r>
          <w:r w:rsidR="00177083">
            <w:t xml:space="preserve">kiesproces van groot </w:t>
          </w:r>
          <w:r w:rsidR="008F6E5B">
            <w:t>belang</w:t>
          </w:r>
          <w:r w:rsidR="00177083">
            <w:t xml:space="preserve"> zodat </w:t>
          </w:r>
          <w:r>
            <w:t>dat proces</w:t>
          </w:r>
          <w:r w:rsidR="00177083">
            <w:t xml:space="preserve"> voorspelbaar </w:t>
          </w:r>
          <w:r w:rsidR="00B22313">
            <w:t xml:space="preserve">is </w:t>
          </w:r>
          <w:r w:rsidR="00177083">
            <w:t xml:space="preserve">en </w:t>
          </w:r>
          <w:r w:rsidR="00755550">
            <w:t xml:space="preserve">daarmee kenbaar voor kiezers. </w:t>
          </w:r>
          <w:r w:rsidR="00286FAA">
            <w:t>Dat vereist heldere en inzichtelijke</w:t>
          </w:r>
          <w:r w:rsidR="004009C0">
            <w:t xml:space="preserve"> wetgeving en een kwalitatief goede uitvoering. </w:t>
          </w:r>
          <w:r w:rsidR="00755550">
            <w:t xml:space="preserve">Daarnaast </w:t>
          </w:r>
          <w:r w:rsidR="008F6E5B">
            <w:t xml:space="preserve">is het van belang dat </w:t>
          </w:r>
          <w:r w:rsidR="007C57F7">
            <w:t xml:space="preserve">verkiezingen toegankelijk zijn voor alle kiezers, zowel in </w:t>
          </w:r>
          <w:r w:rsidR="00C533DC">
            <w:t>juridische zin</w:t>
          </w:r>
          <w:r w:rsidR="00226612">
            <w:t xml:space="preserve">, op grond van </w:t>
          </w:r>
          <w:r w:rsidR="007C57F7">
            <w:t>wettelijke regelingen</w:t>
          </w:r>
          <w:r w:rsidR="00226612">
            <w:t>,</w:t>
          </w:r>
          <w:r w:rsidR="007C57F7">
            <w:t xml:space="preserve"> als in meer praktische zin. </w:t>
          </w:r>
          <w:r w:rsidR="00100656">
            <w:t xml:space="preserve">Verder is de betrouwbaarheid </w:t>
          </w:r>
          <w:r w:rsidR="00E67656">
            <w:t xml:space="preserve">en controleerbaarheid </w:t>
          </w:r>
          <w:r w:rsidR="00100656">
            <w:t xml:space="preserve">van de uitslag van </w:t>
          </w:r>
          <w:r w:rsidR="008234E7">
            <w:t>grote betekenis</w:t>
          </w:r>
          <w:r w:rsidR="00100656">
            <w:t xml:space="preserve"> en zijn</w:t>
          </w:r>
          <w:r w:rsidR="008234E7">
            <w:t xml:space="preserve"> met het oog daarop</w:t>
          </w:r>
          <w:r w:rsidR="00100656">
            <w:t xml:space="preserve"> maatregelen nodig die </w:t>
          </w:r>
          <w:r w:rsidR="009A7610">
            <w:t>de kans op fraude beperken.</w:t>
          </w:r>
          <w:r w:rsidR="00E67656">
            <w:t xml:space="preserve"> </w:t>
          </w:r>
        </w:p>
        <w:p w:rsidR="00421E05" w:rsidRDefault="00421E05" w14:paraId="652D2785" w14:textId="77777777"/>
        <w:p w:rsidR="008A536D" w:rsidRDefault="00C1234A" w14:paraId="2109FE10" w14:textId="6FA69849">
          <w:r>
            <w:t>Tegelijk is ook van belang dat het grondwettelijke stemgeheim wordt gerespecteerd.</w:t>
          </w:r>
          <w:r w:rsidR="00A32F0D">
            <w:rPr>
              <w:rStyle w:val="Voetnootmarkering"/>
            </w:rPr>
            <w:footnoteReference w:id="16"/>
          </w:r>
          <w:r>
            <w:t xml:space="preserve"> </w:t>
          </w:r>
          <w:r w:rsidR="00E67656">
            <w:t xml:space="preserve">Zoals de Afdeling in eerdere adviezen heeft uiteengezet, </w:t>
          </w:r>
          <w:r w:rsidR="00405FE4">
            <w:t>bestaa</w:t>
          </w:r>
          <w:r>
            <w:t>n</w:t>
          </w:r>
          <w:r w:rsidR="00405FE4">
            <w:t xml:space="preserve"> </w:t>
          </w:r>
          <w:r>
            <w:t>er spanningsveld</w:t>
          </w:r>
          <w:r w:rsidR="00A46C8B">
            <w:t>en</w:t>
          </w:r>
          <w:r>
            <w:t xml:space="preserve"> </w:t>
          </w:r>
          <w:r w:rsidR="00405FE4">
            <w:t>tussen de diverse uitgangspunten</w:t>
          </w:r>
          <w:r w:rsidR="006604E0">
            <w:t xml:space="preserve">, bijvoorbeeld tussen </w:t>
          </w:r>
          <w:r w:rsidR="00E954B7">
            <w:t xml:space="preserve">de </w:t>
          </w:r>
          <w:r w:rsidR="006604E0">
            <w:t xml:space="preserve">controleerbaarheid en het stemgeheim. Het is dan ook </w:t>
          </w:r>
          <w:r w:rsidR="00E954B7">
            <w:t>van belang</w:t>
          </w:r>
          <w:r w:rsidR="008B4204">
            <w:t xml:space="preserve"> </w:t>
          </w:r>
          <w:r w:rsidR="00A46C8B">
            <w:t>om</w:t>
          </w:r>
          <w:r w:rsidR="008B4204">
            <w:t xml:space="preserve"> </w:t>
          </w:r>
          <w:r w:rsidR="00AE3D66">
            <w:t xml:space="preserve">bij wetswijzigingen </w:t>
          </w:r>
          <w:r w:rsidR="00CE07FE">
            <w:t xml:space="preserve">op zorgvuldige wijze </w:t>
          </w:r>
          <w:r w:rsidR="008B4204">
            <w:t>een balans te treffen</w:t>
          </w:r>
          <w:r w:rsidR="00A46C8B">
            <w:t xml:space="preserve"> tussen de belangen die met deze uitgangspunten zijn gemoeid</w:t>
          </w:r>
          <w:r w:rsidR="008B4204">
            <w:t>.</w:t>
          </w:r>
          <w:r w:rsidR="00414A07">
            <w:rPr>
              <w:rStyle w:val="Voetnootmarkering"/>
            </w:rPr>
            <w:footnoteReference w:id="17"/>
          </w:r>
          <w:r w:rsidR="003705A3">
            <w:t xml:space="preserve"> </w:t>
          </w:r>
        </w:p>
        <w:p w:rsidR="008A536D" w:rsidRDefault="008A536D" w14:paraId="43DC90A1" w14:textId="77777777"/>
        <w:p w:rsidR="004647D3" w:rsidRDefault="00AD7E9F" w14:paraId="71614CC3" w14:textId="740934CF">
          <w:r>
            <w:t>Bij de beoordeling van</w:t>
          </w:r>
          <w:r w:rsidR="003705A3">
            <w:t xml:space="preserve"> het onderhavige wetsvoorstel </w:t>
          </w:r>
          <w:r w:rsidR="008A536D">
            <w:t>is</w:t>
          </w:r>
          <w:r w:rsidR="00557FC4">
            <w:t xml:space="preserve"> in het bijzonder </w:t>
          </w:r>
          <w:r w:rsidR="008A536D">
            <w:t>van belang</w:t>
          </w:r>
          <w:r w:rsidR="00557FC4">
            <w:t xml:space="preserve"> dat de toegankelijkheid van </w:t>
          </w:r>
          <w:r w:rsidR="00A46C8B">
            <w:t>verkiezingen</w:t>
          </w:r>
          <w:r w:rsidR="00557FC4">
            <w:t xml:space="preserve"> ook tijdens een epidemie zo veel </w:t>
          </w:r>
          <w:r w:rsidR="004D54DE">
            <w:t>mogelijk wordt gewaarborgd</w:t>
          </w:r>
          <w:r w:rsidR="00526CBC">
            <w:t>, met zo min mogelijk afwijkingen</w:t>
          </w:r>
          <w:r w:rsidR="00C73DA3">
            <w:t xml:space="preserve"> of verstoringen</w:t>
          </w:r>
          <w:r w:rsidR="00526CBC">
            <w:t xml:space="preserve"> van het reguliere proces. Alleen </w:t>
          </w:r>
          <w:r w:rsidR="00983A40">
            <w:t>voor zover</w:t>
          </w:r>
          <w:r w:rsidR="00526CBC">
            <w:t xml:space="preserve"> </w:t>
          </w:r>
          <w:r w:rsidR="00811788">
            <w:t xml:space="preserve">dat met het oog op de </w:t>
          </w:r>
          <w:r w:rsidR="00983A40">
            <w:t xml:space="preserve">bestrijding van </w:t>
          </w:r>
          <w:r w:rsidR="00586F09">
            <w:t>een</w:t>
          </w:r>
          <w:r w:rsidR="00983A40">
            <w:t xml:space="preserve"> epidemie noodz</w:t>
          </w:r>
          <w:r w:rsidR="00E413F2">
            <w:t>akelijk is</w:t>
          </w:r>
          <w:r w:rsidR="0022048C">
            <w:t>,</w:t>
          </w:r>
          <w:r w:rsidR="00E413F2">
            <w:t xml:space="preserve"> kunnen bepaalde maatregelen </w:t>
          </w:r>
          <w:r w:rsidR="00FE429E">
            <w:t xml:space="preserve">gerechtvaardigd zijn </w:t>
          </w:r>
          <w:r w:rsidR="00E413F2">
            <w:t xml:space="preserve">die </w:t>
          </w:r>
          <w:r w:rsidR="00526CBC">
            <w:t xml:space="preserve">de </w:t>
          </w:r>
          <w:r w:rsidR="009D4CAF">
            <w:t>toegankelijkheid</w:t>
          </w:r>
          <w:r w:rsidR="000A5DEA">
            <w:t xml:space="preserve"> van verkiezingen </w:t>
          </w:r>
          <w:r w:rsidR="00DE1E86">
            <w:t>beperken of anders vormgeven dan in de reguliere situatie</w:t>
          </w:r>
          <w:r w:rsidR="00C1234A">
            <w:t>.</w:t>
          </w:r>
          <w:r w:rsidR="003705A3">
            <w:t xml:space="preserve"> </w:t>
          </w:r>
        </w:p>
        <w:p w:rsidR="004647D3" w:rsidRDefault="004647D3" w14:paraId="5920F8F2" w14:textId="77777777"/>
        <w:p w:rsidR="009A0627" w:rsidRDefault="00C1234A" w14:paraId="208C8C2A" w14:textId="1BA4A0E4">
          <w:r>
            <w:t xml:space="preserve">Tegen de achtergrond </w:t>
          </w:r>
          <w:r w:rsidR="004647D3">
            <w:t xml:space="preserve">van het voorgaande onderschrijft de Afdeling het voorstel om </w:t>
          </w:r>
          <w:r w:rsidR="0077725B">
            <w:t>met het oog op toekomstige epidemieën</w:t>
          </w:r>
          <w:r w:rsidR="00DD56BC">
            <w:t xml:space="preserve"> (en vooruitlopend op een algehele herziening van het staatsnood- en crisi</w:t>
          </w:r>
          <w:r w:rsidR="00385C64">
            <w:t>srecht</w:t>
          </w:r>
          <w:r w:rsidR="00450CE7">
            <w:rPr>
              <w:rStyle w:val="Voetnootmarkering"/>
            </w:rPr>
            <w:footnoteReference w:id="18"/>
          </w:r>
          <w:r w:rsidR="00385C64">
            <w:t>)</w:t>
          </w:r>
          <w:r w:rsidR="0077725B">
            <w:t xml:space="preserve"> </w:t>
          </w:r>
          <w:r w:rsidR="00385C64">
            <w:t xml:space="preserve">een wettelijke voorziening te treffen waarin onder bepaalde voorwaarden afwijkende regels in werking kunnen worden gesteld. </w:t>
          </w:r>
          <w:r w:rsidR="007B11D4">
            <w:t>Het is van belang</w:t>
          </w:r>
          <w:r w:rsidR="009417FB">
            <w:t xml:space="preserve"> om </w:t>
          </w:r>
          <w:r w:rsidR="00E12293">
            <w:t xml:space="preserve">in geval van een epidemie </w:t>
          </w:r>
          <w:r w:rsidR="009417FB">
            <w:t xml:space="preserve">goed voorbereid te zijn </w:t>
          </w:r>
          <w:r w:rsidR="00A05189">
            <w:t>zodat niet hoeft te worden teruggegrepen op</w:t>
          </w:r>
          <w:r w:rsidR="009D4CAF">
            <w:t xml:space="preserve"> </w:t>
          </w:r>
          <w:r w:rsidR="00723046">
            <w:t xml:space="preserve">tijdelijke wetgeving </w:t>
          </w:r>
          <w:r w:rsidR="002776A3">
            <w:t xml:space="preserve">die </w:t>
          </w:r>
          <w:r w:rsidR="001D01E6">
            <w:t>in een noodsituatie inderhaast tot stand moet komen.</w:t>
          </w:r>
        </w:p>
        <w:p w:rsidR="009A0627" w:rsidRDefault="009A0627" w14:paraId="0650BBE7" w14:textId="77777777"/>
        <w:p w:rsidR="0071606A" w:rsidRDefault="00136C6C" w14:paraId="41F51463" w14:textId="15BD1742">
          <w:r>
            <w:t>Mede i</w:t>
          </w:r>
          <w:r w:rsidR="009A0627">
            <w:t xml:space="preserve">n het licht van </w:t>
          </w:r>
          <w:r w:rsidR="00A4539C">
            <w:t>de hiervoor</w:t>
          </w:r>
          <w:r w:rsidR="00421E05">
            <w:t xml:space="preserve"> </w:t>
          </w:r>
          <w:r w:rsidR="009A0627">
            <w:t xml:space="preserve">genoemde uitgangspunten </w:t>
          </w:r>
          <w:r w:rsidR="00C1234A">
            <w:t>maakt de Afdeling de volgende opmerkingen.</w:t>
          </w:r>
        </w:p>
        <w:p w:rsidR="003705A3" w:rsidRDefault="003705A3" w14:paraId="16933CEB" w14:textId="77777777"/>
        <w:p w:rsidR="00D44BD4" w:rsidP="00A55917" w:rsidRDefault="002B2FD4" w14:paraId="297024F7" w14:textId="116EC13B">
          <w:pPr>
            <w:keepNext/>
          </w:pPr>
          <w:r>
            <w:t>3</w:t>
          </w:r>
          <w:r w:rsidR="00D44BD4">
            <w:t>.</w:t>
          </w:r>
          <w:r w:rsidR="00D44BD4">
            <w:tab/>
          </w:r>
          <w:r w:rsidRPr="007D2CD8" w:rsidR="00D44BD4">
            <w:rPr>
              <w:u w:val="single"/>
            </w:rPr>
            <w:t>Inwerking</w:t>
          </w:r>
          <w:r w:rsidR="0023018D">
            <w:rPr>
              <w:u w:val="single"/>
            </w:rPr>
            <w:t>stell</w:t>
          </w:r>
          <w:r w:rsidRPr="007D2CD8" w:rsidR="00D44BD4">
            <w:rPr>
              <w:u w:val="single"/>
            </w:rPr>
            <w:t>ing</w:t>
          </w:r>
          <w:r w:rsidRPr="007D2CD8" w:rsidR="007D2CD8">
            <w:rPr>
              <w:u w:val="single"/>
            </w:rPr>
            <w:t xml:space="preserve"> en differentiatie</w:t>
          </w:r>
        </w:p>
        <w:p w:rsidR="007D2CD8" w:rsidP="00A55917" w:rsidRDefault="007D2CD8" w14:paraId="419F3176" w14:textId="77777777">
          <w:pPr>
            <w:keepNext/>
          </w:pPr>
        </w:p>
        <w:p w:rsidR="00F24B23" w:rsidP="00625D41" w:rsidRDefault="00F24B23" w14:paraId="79821802" w14:textId="1231FCF2">
          <w:pPr>
            <w:pStyle w:val="Lijstalinea"/>
            <w:numPr>
              <w:ilvl w:val="0"/>
              <w:numId w:val="6"/>
            </w:numPr>
          </w:pPr>
          <w:r w:rsidRPr="00625D41">
            <w:rPr>
              <w:i/>
              <w:iCs/>
            </w:rPr>
            <w:t xml:space="preserve">Automatische </w:t>
          </w:r>
          <w:r w:rsidRPr="00625D41" w:rsidR="0023018D">
            <w:rPr>
              <w:i/>
              <w:iCs/>
            </w:rPr>
            <w:t>inwerkingstell</w:t>
          </w:r>
          <w:r w:rsidRPr="00625D41">
            <w:rPr>
              <w:i/>
              <w:iCs/>
            </w:rPr>
            <w:t>ing</w:t>
          </w:r>
        </w:p>
        <w:p w:rsidR="00FC7F8F" w:rsidP="00F43C2C" w:rsidRDefault="00F43C2C" w14:paraId="75E809B2" w14:textId="62886847">
          <w:r>
            <w:t xml:space="preserve">De regels ten behoeve van het houden van verkiezingen ten tijde van een epidemie </w:t>
          </w:r>
          <w:r w:rsidR="001018D9">
            <w:t>worden</w:t>
          </w:r>
          <w:r>
            <w:t xml:space="preserve"> van kracht </w:t>
          </w:r>
          <w:r w:rsidR="001018D9">
            <w:t>zodra</w:t>
          </w:r>
          <w:r w:rsidR="00F03D87">
            <w:t xml:space="preserve"> één of meer maatregele</w:t>
          </w:r>
          <w:r w:rsidR="00A97074">
            <w:t>n op grond</w:t>
          </w:r>
          <w:r>
            <w:t xml:space="preserve"> van de artikelen 58f tot en met 58i van de</w:t>
          </w:r>
          <w:r w:rsidR="00AA4339">
            <w:t xml:space="preserve"> </w:t>
          </w:r>
          <w:proofErr w:type="spellStart"/>
          <w:r w:rsidR="00AA4339">
            <w:t>Wpg</w:t>
          </w:r>
          <w:proofErr w:type="spellEnd"/>
          <w:r w:rsidR="00A97074">
            <w:t xml:space="preserve"> van kracht worden</w:t>
          </w:r>
          <w:r w:rsidR="00D14D73">
            <w:t xml:space="preserve">. </w:t>
          </w:r>
          <w:r w:rsidR="00BB1F42">
            <w:t>Op grond van</w:t>
          </w:r>
          <w:r w:rsidR="00BC205A">
            <w:t xml:space="preserve"> de genoemde artikelen </w:t>
          </w:r>
          <w:r w:rsidR="00A97074">
            <w:t xml:space="preserve">van de </w:t>
          </w:r>
          <w:proofErr w:type="spellStart"/>
          <w:r w:rsidR="00A97074">
            <w:t>Wpg</w:t>
          </w:r>
          <w:proofErr w:type="spellEnd"/>
          <w:r w:rsidR="00A97074">
            <w:t xml:space="preserve"> </w:t>
          </w:r>
          <w:r w:rsidR="00BC205A">
            <w:t xml:space="preserve">kunnen </w:t>
          </w:r>
          <w:r w:rsidR="008558D6">
            <w:t>voorschriften</w:t>
          </w:r>
          <w:r w:rsidR="00BC205A">
            <w:t xml:space="preserve"> worden vastgesteld voor </w:t>
          </w:r>
          <w:r w:rsidRPr="00BC205A" w:rsidR="00FC7F8F">
            <w:t xml:space="preserve">een veilige </w:t>
          </w:r>
          <w:r w:rsidRPr="00BC205A" w:rsidR="00FC7F8F">
            <w:lastRenderedPageBreak/>
            <w:t>afstand, hygiënemaatregelen</w:t>
          </w:r>
          <w:r w:rsidR="004E3920">
            <w:t xml:space="preserve"> en persoonlijke beschermingsmiddelen</w:t>
          </w:r>
          <w:r w:rsidRPr="00BC205A" w:rsidR="00FC7F8F">
            <w:t xml:space="preserve">, de openstelling van publieke plaatsen en </w:t>
          </w:r>
          <w:r w:rsidR="004E3920">
            <w:t xml:space="preserve">de toegang tot </w:t>
          </w:r>
          <w:r w:rsidRPr="00BC205A" w:rsidR="00FC7F8F">
            <w:t>evenementen.</w:t>
          </w:r>
          <w:r w:rsidR="00DB2CDF">
            <w:t xml:space="preserve"> </w:t>
          </w:r>
          <w:r w:rsidR="00B05B95">
            <w:t xml:space="preserve">Deze </w:t>
          </w:r>
          <w:r w:rsidR="00C36BDA">
            <w:t>(afzonderlijke)</w:t>
          </w:r>
          <w:r w:rsidR="00B05B95">
            <w:t xml:space="preserve"> maatregelen </w:t>
          </w:r>
          <w:r w:rsidR="00CB3287">
            <w:t xml:space="preserve">kunnen </w:t>
          </w:r>
          <w:r w:rsidR="00D06BBD">
            <w:t>naar behoeft</w:t>
          </w:r>
          <w:r w:rsidR="00F24B23">
            <w:t>e</w:t>
          </w:r>
          <w:r w:rsidR="00D06BBD">
            <w:t xml:space="preserve"> </w:t>
          </w:r>
          <w:r w:rsidR="008D7E17">
            <w:t xml:space="preserve">in werking </w:t>
          </w:r>
          <w:r w:rsidR="00D06BBD">
            <w:t xml:space="preserve">worden </w:t>
          </w:r>
          <w:r w:rsidR="008D7E17">
            <w:t>gesteld</w:t>
          </w:r>
          <w:r w:rsidR="00BA5256">
            <w:t xml:space="preserve">, </w:t>
          </w:r>
          <w:r w:rsidR="00D06BBD">
            <w:t xml:space="preserve">waarbij </w:t>
          </w:r>
          <w:r w:rsidR="00BA5256">
            <w:t>op grond van de wet</w:t>
          </w:r>
          <w:r w:rsidR="00D06BBD">
            <w:t xml:space="preserve"> </w:t>
          </w:r>
          <w:r w:rsidR="004A132B">
            <w:t xml:space="preserve">onderscheid kan worden gemaakt tussen en binnen gemeenten en tussen </w:t>
          </w:r>
          <w:r w:rsidR="00DF1D56">
            <w:t xml:space="preserve">(categorieën) </w:t>
          </w:r>
          <w:r w:rsidR="004A132B">
            <w:t>personen op wie maatregelen van toepassing zijn.</w:t>
          </w:r>
          <w:r w:rsidR="004A132B">
            <w:rPr>
              <w:rStyle w:val="Voetnootmarkering"/>
            </w:rPr>
            <w:footnoteReference w:id="19"/>
          </w:r>
        </w:p>
        <w:p w:rsidR="004A132B" w:rsidP="00F43C2C" w:rsidRDefault="004A132B" w14:paraId="426E8EBF" w14:textId="77777777"/>
        <w:p w:rsidR="002751CE" w:rsidP="00F43C2C" w:rsidRDefault="00FC0D07" w14:paraId="17A71C50" w14:textId="761976A4">
          <w:r>
            <w:t>De Afdeling merkt</w:t>
          </w:r>
          <w:r w:rsidR="003C7E05">
            <w:t xml:space="preserve"> op dat de </w:t>
          </w:r>
          <w:r w:rsidR="008558D6">
            <w:t>koppeling</w:t>
          </w:r>
          <w:r w:rsidR="003C7E05">
            <w:t xml:space="preserve"> met de </w:t>
          </w:r>
          <w:proofErr w:type="spellStart"/>
          <w:r w:rsidR="003C7E05">
            <w:t>Wpg</w:t>
          </w:r>
          <w:proofErr w:type="spellEnd"/>
          <w:r w:rsidR="003C7E05">
            <w:t xml:space="preserve"> inhoudt dat er geen zelfstandige afweging wordt gemaakt of </w:t>
          </w:r>
          <w:r w:rsidR="00BA5256">
            <w:t>inwerkingstelling</w:t>
          </w:r>
          <w:r w:rsidR="003C7E05">
            <w:t xml:space="preserve"> van de </w:t>
          </w:r>
          <w:r w:rsidR="00B8591E">
            <w:t xml:space="preserve">voorgestelde </w:t>
          </w:r>
          <w:r w:rsidR="003C7E05">
            <w:t xml:space="preserve">epidemie-afdeling </w:t>
          </w:r>
          <w:r w:rsidR="004522E3">
            <w:t>noodzakelijk</w:t>
          </w:r>
          <w:r w:rsidR="003C7E05">
            <w:t xml:space="preserve"> is. </w:t>
          </w:r>
          <w:r w:rsidR="004327E9">
            <w:t>D</w:t>
          </w:r>
          <w:r w:rsidR="00BE3EB7">
            <w:t xml:space="preserve">it betekent dat </w:t>
          </w:r>
          <w:r w:rsidR="0050112E">
            <w:t>met</w:t>
          </w:r>
          <w:r w:rsidR="00BE3EB7">
            <w:t xml:space="preserve"> </w:t>
          </w:r>
          <w:r w:rsidR="00E86F78">
            <w:t xml:space="preserve">de </w:t>
          </w:r>
          <w:r w:rsidR="00B8591E">
            <w:t xml:space="preserve">inwerkingstelling </w:t>
          </w:r>
          <w:r w:rsidR="00E86F78">
            <w:t xml:space="preserve">van </w:t>
          </w:r>
          <w:r w:rsidR="00C12AE8">
            <w:t xml:space="preserve">een enkele maatregel uit de </w:t>
          </w:r>
          <w:proofErr w:type="spellStart"/>
          <w:r w:rsidR="00C12AE8">
            <w:t>Wpg</w:t>
          </w:r>
          <w:proofErr w:type="spellEnd"/>
          <w:r w:rsidR="00C12AE8">
            <w:t xml:space="preserve"> </w:t>
          </w:r>
          <w:r w:rsidR="00716671">
            <w:t xml:space="preserve">automatisch ook de gehele epidemieafdeling uit de Kieswet </w:t>
          </w:r>
          <w:r w:rsidR="00D35E33">
            <w:t xml:space="preserve">in </w:t>
          </w:r>
          <w:r w:rsidR="00C26137">
            <w:t xml:space="preserve">werking </w:t>
          </w:r>
          <w:r w:rsidR="00994567">
            <w:t>wordt ge</w:t>
          </w:r>
          <w:r w:rsidR="00C26137">
            <w:t>stel</w:t>
          </w:r>
          <w:r w:rsidR="00994567">
            <w:t>d.</w:t>
          </w:r>
          <w:r w:rsidR="00A83672">
            <w:rPr>
              <w:rStyle w:val="Voetnootmarkering"/>
            </w:rPr>
            <w:footnoteReference w:id="20"/>
          </w:r>
          <w:r w:rsidR="00994567">
            <w:t xml:space="preserve"> </w:t>
          </w:r>
          <w:r w:rsidR="00A83672">
            <w:t xml:space="preserve">Omdat het </w:t>
          </w:r>
          <w:r w:rsidR="00366D98">
            <w:t xml:space="preserve">gaat het om bepalingen die raken aan de uitoefening van </w:t>
          </w:r>
          <w:r w:rsidR="00A83672">
            <w:t xml:space="preserve">het kiesrecht </w:t>
          </w:r>
          <w:r w:rsidR="00906BFB">
            <w:t>is</w:t>
          </w:r>
          <w:r w:rsidR="00A83672">
            <w:t xml:space="preserve"> dat automatisme niet noodzakelijk en proportioneel</w:t>
          </w:r>
          <w:r w:rsidR="003A2677">
            <w:t>.</w:t>
          </w:r>
          <w:r w:rsidR="001852A6">
            <w:t xml:space="preserve"> I</w:t>
          </w:r>
          <w:r w:rsidR="00AB2E92">
            <w:t>nwerkin</w:t>
          </w:r>
          <w:r w:rsidR="002C0A12">
            <w:t>g</w:t>
          </w:r>
          <w:r w:rsidR="00AB2E92">
            <w:t xml:space="preserve">stelling van de voorgestelde epidemieafdeling van de Kieswet </w:t>
          </w:r>
          <w:r w:rsidR="00C13F83">
            <w:t xml:space="preserve">moet </w:t>
          </w:r>
          <w:r w:rsidR="001852A6">
            <w:t xml:space="preserve">daarom </w:t>
          </w:r>
          <w:r w:rsidR="002C0A12">
            <w:t xml:space="preserve">plaatsvinden </w:t>
          </w:r>
          <w:r w:rsidR="00A83672">
            <w:t>door middel van een zelfstandig besluit.</w:t>
          </w:r>
          <w:r w:rsidR="00C12AE8">
            <w:t xml:space="preserve"> </w:t>
          </w:r>
        </w:p>
        <w:p w:rsidR="002751CE" w:rsidP="00F43C2C" w:rsidRDefault="002751CE" w14:paraId="1477B106" w14:textId="77777777"/>
        <w:p w:rsidR="002751CE" w:rsidP="00F43C2C" w:rsidRDefault="002751CE" w14:paraId="13C04CF0" w14:textId="51A727A3">
          <w:r>
            <w:t>De Afdeling adviseert het wetsvoorstel in deze zin aan te passen.</w:t>
          </w:r>
        </w:p>
        <w:p w:rsidR="00BD57F6" w:rsidP="00F43C2C" w:rsidRDefault="00BD57F6" w14:paraId="57B7A3D3" w14:textId="77777777"/>
        <w:p w:rsidR="00BD57F6" w:rsidP="00F43C2C" w:rsidRDefault="00BD57F6" w14:paraId="37EB6718" w14:textId="71D4363E">
          <w:r>
            <w:t>b.</w:t>
          </w:r>
          <w:r>
            <w:tab/>
          </w:r>
          <w:r w:rsidRPr="00BD57F6">
            <w:rPr>
              <w:i/>
              <w:iCs/>
            </w:rPr>
            <w:t xml:space="preserve">Differentiatie </w:t>
          </w:r>
          <w:r w:rsidR="008A13DB">
            <w:rPr>
              <w:i/>
              <w:iCs/>
            </w:rPr>
            <w:t xml:space="preserve">binnen epidemieafdeling </w:t>
          </w:r>
          <w:r w:rsidRPr="00BD57F6">
            <w:rPr>
              <w:i/>
              <w:iCs/>
            </w:rPr>
            <w:t>Kieswet</w:t>
          </w:r>
        </w:p>
        <w:p w:rsidR="00AC476F" w:rsidP="00F43C2C" w:rsidRDefault="00E85DA7" w14:paraId="684E37FF" w14:textId="2BE09C68">
          <w:r>
            <w:t>Omdat</w:t>
          </w:r>
          <w:r w:rsidR="00C46075">
            <w:t xml:space="preserve"> </w:t>
          </w:r>
          <w:r>
            <w:t>het wetsvoorstel</w:t>
          </w:r>
          <w:r w:rsidR="00C46075">
            <w:t xml:space="preserve"> </w:t>
          </w:r>
          <w:r w:rsidR="00B35FB5">
            <w:t>niet voorzie</w:t>
          </w:r>
          <w:r>
            <w:t>t</w:t>
          </w:r>
          <w:r w:rsidR="00E50574">
            <w:t xml:space="preserve"> </w:t>
          </w:r>
          <w:r w:rsidR="00B35FB5">
            <w:t xml:space="preserve">in een </w:t>
          </w:r>
          <w:r w:rsidR="00CB197E">
            <w:t>zelf</w:t>
          </w:r>
          <w:r w:rsidR="00B35FB5">
            <w:t xml:space="preserve">standig besluit </w:t>
          </w:r>
          <w:r w:rsidR="00CB197E">
            <w:t>tot inwerkingstelling</w:t>
          </w:r>
          <w:r w:rsidR="00B35FB5">
            <w:t xml:space="preserve"> van de </w:t>
          </w:r>
          <w:r w:rsidR="00B47458">
            <w:t>voorgestelde epidemieafdeling</w:t>
          </w:r>
          <w:r w:rsidR="00B35FB5">
            <w:t xml:space="preserve">, is </w:t>
          </w:r>
          <w:r w:rsidR="00DE75A1">
            <w:t xml:space="preserve">er ook geen </w:t>
          </w:r>
          <w:r w:rsidR="008A13DB">
            <w:t>mogelijkheid</w:t>
          </w:r>
          <w:r w:rsidR="00DE75A1">
            <w:t xml:space="preserve"> om te </w:t>
          </w:r>
          <w:r w:rsidR="008A13DB">
            <w:t>differentiëren</w:t>
          </w:r>
          <w:r w:rsidR="00DE75A1">
            <w:t xml:space="preserve"> tussen </w:t>
          </w:r>
          <w:r w:rsidR="004C2FAE">
            <w:t>de daarin</w:t>
          </w:r>
          <w:r w:rsidR="008A13DB">
            <w:t xml:space="preserve"> opgenomen </w:t>
          </w:r>
          <w:r w:rsidR="00DE75A1">
            <w:t>maatregelen</w:t>
          </w:r>
          <w:r w:rsidR="00027167">
            <w:t>.</w:t>
          </w:r>
          <w:r w:rsidR="008A13DB">
            <w:t xml:space="preserve"> </w:t>
          </w:r>
          <w:r w:rsidR="00AC476F">
            <w:t xml:space="preserve">Weliswaar </w:t>
          </w:r>
          <w:r w:rsidR="00C158CD">
            <w:t>bestaat er bij</w:t>
          </w:r>
          <w:r w:rsidR="00AC476F">
            <w:t xml:space="preserve"> bepaalde </w:t>
          </w:r>
          <w:r w:rsidR="00AA7AF8">
            <w:t xml:space="preserve">inwerking gestelde </w:t>
          </w:r>
          <w:r w:rsidR="00AC476F">
            <w:t xml:space="preserve">regels </w:t>
          </w:r>
          <w:r w:rsidR="00C158CD">
            <w:t xml:space="preserve">ruimte om </w:t>
          </w:r>
          <w:r w:rsidR="00717024">
            <w:t xml:space="preserve">deze </w:t>
          </w:r>
          <w:r w:rsidR="00AC476F">
            <w:t xml:space="preserve">op </w:t>
          </w:r>
          <w:r w:rsidR="00BD661E">
            <w:t>lokaal</w:t>
          </w:r>
          <w:r w:rsidR="00AC476F">
            <w:t xml:space="preserve"> niveau </w:t>
          </w:r>
          <w:r w:rsidR="00717024">
            <w:t>verschillend toe te passen</w:t>
          </w:r>
          <w:r w:rsidR="00AC476F">
            <w:t>,</w:t>
          </w:r>
          <w:r w:rsidR="00AC476F">
            <w:rPr>
              <w:rStyle w:val="Voetnootmarkering"/>
            </w:rPr>
            <w:footnoteReference w:id="21"/>
          </w:r>
          <w:r w:rsidR="00AC476F">
            <w:t xml:space="preserve"> maar </w:t>
          </w:r>
          <w:r w:rsidR="008B423F">
            <w:t>bij</w:t>
          </w:r>
          <w:r w:rsidR="00AC476F">
            <w:t xml:space="preserve"> </w:t>
          </w:r>
          <w:r w:rsidR="00F75C27">
            <w:t>de inwerkingstelling</w:t>
          </w:r>
          <w:r w:rsidR="008B423F">
            <w:t xml:space="preserve"> van de epidemieafdeling</w:t>
          </w:r>
          <w:r w:rsidR="00881625">
            <w:t xml:space="preserve"> </w:t>
          </w:r>
          <w:r w:rsidR="00F75C27">
            <w:t xml:space="preserve">zélf </w:t>
          </w:r>
          <w:r w:rsidR="00881625">
            <w:t>bestaat</w:t>
          </w:r>
          <w:r w:rsidR="00AC476F">
            <w:t xml:space="preserve"> </w:t>
          </w:r>
          <w:r w:rsidR="007709BD">
            <w:t xml:space="preserve">er </w:t>
          </w:r>
          <w:r w:rsidR="00AC476F">
            <w:t xml:space="preserve">geen </w:t>
          </w:r>
          <w:r w:rsidR="00C549CD">
            <w:t>differentiatie</w:t>
          </w:r>
          <w:r w:rsidR="00AC476F">
            <w:t>mogelijkheid</w:t>
          </w:r>
          <w:r w:rsidR="00C549CD">
            <w:t xml:space="preserve">. Dit betekent </w:t>
          </w:r>
          <w:r w:rsidR="00544AE6">
            <w:t>dat er geen bevoegdheid is</w:t>
          </w:r>
          <w:r w:rsidR="00AC476F">
            <w:t xml:space="preserve"> </w:t>
          </w:r>
          <w:r w:rsidR="0094638F">
            <w:t>om, afhankelijk</w:t>
          </w:r>
          <w:r w:rsidR="00AC476F">
            <w:t xml:space="preserve"> van de omstandigheden</w:t>
          </w:r>
          <w:r w:rsidR="0094638F">
            <w:t xml:space="preserve">, </w:t>
          </w:r>
          <w:r w:rsidR="00BB34D1">
            <w:t>te besluiten bepaalde maatregelen</w:t>
          </w:r>
          <w:r w:rsidR="00FA49E4">
            <w:t xml:space="preserve"> uit de </w:t>
          </w:r>
          <w:r w:rsidR="00064297">
            <w:t xml:space="preserve">voorgestelde </w:t>
          </w:r>
          <w:r w:rsidR="00FA49E4">
            <w:t xml:space="preserve">afdeling in werking te stellen en andere </w:t>
          </w:r>
          <w:r w:rsidR="0094638F">
            <w:t>maatregelen</w:t>
          </w:r>
          <w:r w:rsidR="00FA49E4">
            <w:t xml:space="preserve"> </w:t>
          </w:r>
          <w:r w:rsidR="0094638F">
            <w:t>niet</w:t>
          </w:r>
          <w:r w:rsidR="00FA49E4">
            <w:t>.</w:t>
          </w:r>
        </w:p>
        <w:p w:rsidR="001938E8" w:rsidP="00F43C2C" w:rsidRDefault="001938E8" w14:paraId="5625C099" w14:textId="77777777"/>
        <w:p w:rsidR="00EB2C81" w:rsidP="00F43C2C" w:rsidRDefault="00064297" w14:paraId="6BD6E023" w14:textId="4A21BDF4">
          <w:r>
            <w:t xml:space="preserve">De Afdeling </w:t>
          </w:r>
          <w:r w:rsidR="007B6350">
            <w:t>merkt op dat</w:t>
          </w:r>
          <w:r>
            <w:t xml:space="preserve"> een dergelijke diffe</w:t>
          </w:r>
          <w:r w:rsidR="00645944">
            <w:t>rentiatiemogelijkheid</w:t>
          </w:r>
          <w:r w:rsidR="00020C1E">
            <w:t xml:space="preserve">, die ook </w:t>
          </w:r>
          <w:r w:rsidR="00F11EEC">
            <w:t>is opgenomen in het voorstel van Wet pandemische paraat</w:t>
          </w:r>
          <w:r w:rsidR="00C536A6">
            <w:t>heid</w:t>
          </w:r>
          <w:r w:rsidR="00906BFB">
            <w:t>,</w:t>
          </w:r>
          <w:r w:rsidR="00C536A6">
            <w:rPr>
              <w:rStyle w:val="Voetnootmarkering"/>
            </w:rPr>
            <w:footnoteReference w:id="22"/>
          </w:r>
          <w:r w:rsidR="00645944">
            <w:t xml:space="preserve"> </w:t>
          </w:r>
          <w:r w:rsidR="004C1CD8">
            <w:t xml:space="preserve">met het oog op de noodzaak en proportionaliteit </w:t>
          </w:r>
          <w:r w:rsidR="00635C02">
            <w:t>geboden</w:t>
          </w:r>
          <w:r w:rsidR="007B6350">
            <w:t xml:space="preserve"> is</w:t>
          </w:r>
          <w:r w:rsidR="00635C02">
            <w:t>. Dit geldt</w:t>
          </w:r>
          <w:r w:rsidR="004C1CD8">
            <w:t xml:space="preserve"> te meer omdat</w:t>
          </w:r>
          <w:r w:rsidR="00645944">
            <w:t xml:space="preserve"> </w:t>
          </w:r>
          <w:r w:rsidR="00700E43">
            <w:t>d</w:t>
          </w:r>
          <w:r w:rsidR="00252309">
            <w:t xml:space="preserve">e </w:t>
          </w:r>
          <w:r w:rsidR="00700E43">
            <w:t>betreffende</w:t>
          </w:r>
          <w:r w:rsidR="00252309">
            <w:t xml:space="preserve"> maatregelen mogelijke beperkingen van het kiesrecht</w:t>
          </w:r>
          <w:r w:rsidR="00700E43">
            <w:t xml:space="preserve"> bevatten</w:t>
          </w:r>
          <w:r w:rsidR="000F7EB7">
            <w:t xml:space="preserve">. </w:t>
          </w:r>
          <w:r w:rsidR="00D0553F">
            <w:t xml:space="preserve">Niet uit te sluiten valt </w:t>
          </w:r>
          <w:r w:rsidR="009003DD">
            <w:t xml:space="preserve">dat </w:t>
          </w:r>
          <w:r w:rsidR="00CF3B34">
            <w:t xml:space="preserve">in de gegeven </w:t>
          </w:r>
          <w:r w:rsidR="009003DD">
            <w:t xml:space="preserve">omstandigheden </w:t>
          </w:r>
          <w:r w:rsidR="0017067B">
            <w:t xml:space="preserve">bepaalde maatregelen </w:t>
          </w:r>
          <w:r w:rsidR="00CF3B34">
            <w:t xml:space="preserve">met het oog op de volksgezondheid noodzakelijk zijn en andere </w:t>
          </w:r>
          <w:r w:rsidR="002D3674">
            <w:t>maatregelen achterwege kunnen blijven</w:t>
          </w:r>
          <w:r w:rsidR="00410622">
            <w:t xml:space="preserve"> (zie ook hierna punt </w:t>
          </w:r>
          <w:r w:rsidR="002B2FD4">
            <w:t>4</w:t>
          </w:r>
          <w:r w:rsidR="00410622">
            <w:t>)</w:t>
          </w:r>
          <w:r w:rsidR="002D3674">
            <w:t>.</w:t>
          </w:r>
        </w:p>
        <w:p w:rsidR="00CE6B6F" w:rsidP="00F43C2C" w:rsidRDefault="00CE6B6F" w14:paraId="4BDD6429" w14:textId="77777777"/>
        <w:p w:rsidR="00CE6B6F" w:rsidP="00CE6B6F" w:rsidRDefault="002751CE" w14:paraId="08F9964B" w14:textId="3A6B314C">
          <w:r>
            <w:t xml:space="preserve">De Afdeling </w:t>
          </w:r>
          <w:r w:rsidR="00CE6B6F">
            <w:t xml:space="preserve">adviseert het wetsvoorstel </w:t>
          </w:r>
          <w:r w:rsidR="0089245C">
            <w:t xml:space="preserve">met inachtneming van het </w:t>
          </w:r>
          <w:r w:rsidR="00A4539C">
            <w:t xml:space="preserve">voorgaande </w:t>
          </w:r>
          <w:r w:rsidR="0089245C">
            <w:t>aan te passen</w:t>
          </w:r>
          <w:r w:rsidR="00CE6B6F">
            <w:t>.</w:t>
          </w:r>
        </w:p>
        <w:p w:rsidR="000F41E7" w:rsidP="00F43C2C" w:rsidRDefault="000F41E7" w14:paraId="28BB4087" w14:textId="77777777"/>
        <w:p w:rsidRPr="00CF51B1" w:rsidR="008558D6" w:rsidP="000D795C" w:rsidRDefault="002B2FD4" w14:paraId="25E685AE" w14:textId="0176B396">
          <w:pPr>
            <w:keepNext/>
            <w:rPr>
              <w:i/>
              <w:iCs/>
            </w:rPr>
          </w:pPr>
          <w:r>
            <w:lastRenderedPageBreak/>
            <w:t>4</w:t>
          </w:r>
          <w:r w:rsidR="00EB2C81">
            <w:t>.</w:t>
          </w:r>
          <w:r w:rsidR="00EB2C81">
            <w:tab/>
          </w:r>
          <w:r w:rsidRPr="009350AB" w:rsidR="00CF51B1">
            <w:rPr>
              <w:u w:val="single"/>
            </w:rPr>
            <w:t>Bescherming k</w:t>
          </w:r>
          <w:r w:rsidRPr="009350AB" w:rsidR="00EB2C81">
            <w:rPr>
              <w:u w:val="single"/>
            </w:rPr>
            <w:t>wetsbare groepen</w:t>
          </w:r>
        </w:p>
        <w:p w:rsidR="00907338" w:rsidP="00F43C2C" w:rsidRDefault="00907338" w14:paraId="4ADA7AD2" w14:textId="77777777"/>
        <w:p w:rsidRPr="00625D41" w:rsidR="006F385B" w:rsidP="00625D41" w:rsidRDefault="003B4828" w14:paraId="20399112" w14:textId="1C6D6E29">
          <w:pPr>
            <w:pStyle w:val="Lijstalinea"/>
            <w:numPr>
              <w:ilvl w:val="0"/>
              <w:numId w:val="6"/>
            </w:numPr>
            <w:rPr>
              <w:i/>
              <w:iCs/>
            </w:rPr>
          </w:pPr>
          <w:r w:rsidRPr="00625D41">
            <w:rPr>
              <w:i/>
              <w:iCs/>
            </w:rPr>
            <w:t>I</w:t>
          </w:r>
          <w:r w:rsidRPr="00625D41" w:rsidR="00807415">
            <w:rPr>
              <w:i/>
              <w:iCs/>
            </w:rPr>
            <w:t>nleidi</w:t>
          </w:r>
          <w:r w:rsidRPr="00625D41">
            <w:rPr>
              <w:i/>
              <w:iCs/>
            </w:rPr>
            <w:t>ng</w:t>
          </w:r>
        </w:p>
        <w:p w:rsidR="008661CE" w:rsidP="00F43C2C" w:rsidRDefault="00D55B4E" w14:paraId="451679EA" w14:textId="2D27CB13">
          <w:r>
            <w:t xml:space="preserve">Voor </w:t>
          </w:r>
          <w:r w:rsidR="00DE4E82">
            <w:t>verkiezingen</w:t>
          </w:r>
          <w:r>
            <w:t xml:space="preserve"> in tijden van een</w:t>
          </w:r>
          <w:r w:rsidR="00DE4E82">
            <w:t xml:space="preserve"> </w:t>
          </w:r>
          <w:r>
            <w:t>epidemie is</w:t>
          </w:r>
          <w:r w:rsidR="009C2F4F">
            <w:t xml:space="preserve"> </w:t>
          </w:r>
          <w:r w:rsidR="00477C5B">
            <w:t>het in het bijzonder van belang</w:t>
          </w:r>
          <w:r>
            <w:t xml:space="preserve"> dat </w:t>
          </w:r>
          <w:r w:rsidR="00DE4E82">
            <w:t xml:space="preserve">kwetsbare groepen zich beschermd weten </w:t>
          </w:r>
          <w:r w:rsidR="00112C96">
            <w:t>op het moment dat</w:t>
          </w:r>
          <w:r w:rsidR="00DE4E82">
            <w:t xml:space="preserve"> zij hun stemrecht </w:t>
          </w:r>
          <w:r w:rsidR="00112C96">
            <w:t>uitoefenen</w:t>
          </w:r>
          <w:r w:rsidR="00DE4E82">
            <w:t xml:space="preserve">. </w:t>
          </w:r>
          <w:r w:rsidR="00EF3FA0">
            <w:t>Het</w:t>
          </w:r>
          <w:r w:rsidR="00112C96">
            <w:t xml:space="preserve"> kan </w:t>
          </w:r>
          <w:r w:rsidR="00EF3FA0">
            <w:t>dan</w:t>
          </w:r>
          <w:r w:rsidR="00112C96">
            <w:t xml:space="preserve"> noodzakelijk zijn </w:t>
          </w:r>
          <w:r w:rsidR="00E46687">
            <w:t xml:space="preserve">bepaalde </w:t>
          </w:r>
          <w:r w:rsidR="008661CE">
            <w:t>beschermings</w:t>
          </w:r>
          <w:r w:rsidR="00E46687">
            <w:t>maatregelen in te voeren, afhankelijk van de omstandigheden</w:t>
          </w:r>
          <w:r w:rsidR="00477C5B">
            <w:t xml:space="preserve">. Dit is een belangrijke les uit </w:t>
          </w:r>
          <w:r w:rsidR="00E24099">
            <w:t xml:space="preserve">de eerste fase van de </w:t>
          </w:r>
          <w:r w:rsidR="007E1E04">
            <w:t>coronapandemie</w:t>
          </w:r>
          <w:r w:rsidR="00E24099">
            <w:t xml:space="preserve">, toen </w:t>
          </w:r>
          <w:r w:rsidR="00705F12">
            <w:t xml:space="preserve">kwetsbare </w:t>
          </w:r>
          <w:r w:rsidR="00E24099">
            <w:t xml:space="preserve">ouderen </w:t>
          </w:r>
          <w:r w:rsidR="007E1BD4">
            <w:t>met name in verpleeg</w:t>
          </w:r>
          <w:r w:rsidR="00BF139A">
            <w:t>- en verzorgings</w:t>
          </w:r>
          <w:r w:rsidR="007E1BD4">
            <w:t xml:space="preserve">huizen </w:t>
          </w:r>
          <w:r w:rsidR="00705F12">
            <w:t xml:space="preserve">onvoldoende bescherming </w:t>
          </w:r>
          <w:r w:rsidR="002A2651">
            <w:t>genoten, met veel zieken en overlijdens tot gevolg</w:t>
          </w:r>
          <w:r w:rsidR="00A7711A">
            <w:t xml:space="preserve"> (punt </w:t>
          </w:r>
          <w:r w:rsidR="00E33304">
            <w:t>b</w:t>
          </w:r>
          <w:r w:rsidR="00A7711A">
            <w:t>)</w:t>
          </w:r>
          <w:r w:rsidR="002A2651">
            <w:t>.</w:t>
          </w:r>
          <w:r w:rsidR="002A2651">
            <w:rPr>
              <w:rStyle w:val="Voetnootmarkering"/>
            </w:rPr>
            <w:footnoteReference w:id="23"/>
          </w:r>
          <w:r w:rsidR="009560A3">
            <w:t xml:space="preserve"> </w:t>
          </w:r>
          <w:r w:rsidR="00895CBE">
            <w:t xml:space="preserve">Ook in meer algemene zin moet de overheid </w:t>
          </w:r>
          <w:r w:rsidR="00C4533E">
            <w:t xml:space="preserve">met het oog op </w:t>
          </w:r>
          <w:r w:rsidR="00A57CAB">
            <w:t xml:space="preserve">de </w:t>
          </w:r>
          <w:r w:rsidR="00C4533E">
            <w:t xml:space="preserve">bescherming van kwetsbare groepen (mogelijk ook anderen dan ouderen) </w:t>
          </w:r>
          <w:r w:rsidR="00A1175C">
            <w:t xml:space="preserve">zo goed mogelijk </w:t>
          </w:r>
          <w:r w:rsidR="00895CBE">
            <w:t xml:space="preserve">voorbereid zijn op </w:t>
          </w:r>
          <w:r w:rsidR="00A1175C">
            <w:t>andere</w:t>
          </w:r>
          <w:r w:rsidR="00A7711A">
            <w:t xml:space="preserve"> scenario</w:t>
          </w:r>
          <w:r w:rsidR="006C2954">
            <w:t>’</w:t>
          </w:r>
          <w:r w:rsidR="00A7711A">
            <w:t xml:space="preserve">s </w:t>
          </w:r>
          <w:r w:rsidR="002167A7">
            <w:t xml:space="preserve">dan die zich in het recente verleden hebben voltrokken </w:t>
          </w:r>
          <w:r w:rsidR="00A7711A">
            <w:t xml:space="preserve">(punt </w:t>
          </w:r>
          <w:r w:rsidR="00E33304">
            <w:t>c</w:t>
          </w:r>
          <w:r w:rsidR="00A7711A">
            <w:t>)</w:t>
          </w:r>
          <w:r w:rsidR="002167A7">
            <w:t>.</w:t>
          </w:r>
        </w:p>
        <w:p w:rsidR="008661CE" w:rsidP="00F43C2C" w:rsidRDefault="008661CE" w14:paraId="61F42F02" w14:textId="77777777"/>
        <w:p w:rsidRPr="00625D41" w:rsidR="006E4EBF" w:rsidP="00625D41" w:rsidRDefault="006E4EBF" w14:paraId="5D3B5A94" w14:textId="4196FF05">
          <w:pPr>
            <w:pStyle w:val="Lijstalinea"/>
            <w:numPr>
              <w:ilvl w:val="0"/>
              <w:numId w:val="6"/>
            </w:numPr>
            <w:rPr>
              <w:i/>
              <w:iCs/>
            </w:rPr>
          </w:pPr>
          <w:r w:rsidRPr="00625D41">
            <w:rPr>
              <w:i/>
              <w:iCs/>
            </w:rPr>
            <w:t>Kwetsbare ouderen</w:t>
          </w:r>
        </w:p>
        <w:p w:rsidR="00EB2C81" w:rsidP="00F43C2C" w:rsidRDefault="00C64CD7" w14:paraId="7D3118F0" w14:textId="4EC48D0A">
          <w:r>
            <w:t>Onder</w:t>
          </w:r>
          <w:r w:rsidR="00FF1360">
            <w:t xml:space="preserve"> de </w:t>
          </w:r>
          <w:r w:rsidR="00624116">
            <w:t>Tijdelijke</w:t>
          </w:r>
          <w:r w:rsidR="00FF1360">
            <w:t xml:space="preserve"> wet verkiezingen</w:t>
          </w:r>
          <w:r w:rsidR="00624116">
            <w:t xml:space="preserve"> covid-19</w:t>
          </w:r>
          <w:r w:rsidR="00FF1360">
            <w:t xml:space="preserve"> </w:t>
          </w:r>
          <w:r w:rsidR="00041BF3">
            <w:t>waren</w:t>
          </w:r>
          <w:r w:rsidR="008A6F13">
            <w:t>, althans in de eerste fase van de pandemie,</w:t>
          </w:r>
          <w:r w:rsidR="00FF1360">
            <w:t xml:space="preserve"> voor ouderen specifieke maatregelen op</w:t>
          </w:r>
          <w:r w:rsidR="00A37425">
            <w:t>genomen</w:t>
          </w:r>
          <w:r w:rsidR="00041BF3">
            <w:t xml:space="preserve"> die hen enerzijds moesten beschermen tegen het virus en </w:t>
          </w:r>
          <w:r w:rsidR="002B61A7">
            <w:t xml:space="preserve">anderzijds in staat moesten stellen om het kiesrecht </w:t>
          </w:r>
          <w:r w:rsidR="00FC70AF">
            <w:t>uit</w:t>
          </w:r>
          <w:r w:rsidR="002B61A7">
            <w:t xml:space="preserve"> te </w:t>
          </w:r>
          <w:r w:rsidR="00FC70AF">
            <w:t>oefen</w:t>
          </w:r>
          <w:r w:rsidR="002B61A7">
            <w:t xml:space="preserve">en. </w:t>
          </w:r>
          <w:r w:rsidR="00D45E34">
            <w:t>Zo</w:t>
          </w:r>
          <w:r w:rsidR="002B61A7">
            <w:t xml:space="preserve"> konden mensen </w:t>
          </w:r>
          <w:r w:rsidR="00065594">
            <w:t>van</w:t>
          </w:r>
          <w:r w:rsidR="002B61A7">
            <w:t xml:space="preserve"> </w:t>
          </w:r>
          <w:r w:rsidR="00056EDF">
            <w:t xml:space="preserve">zeventig jaar </w:t>
          </w:r>
          <w:r w:rsidR="00065594">
            <w:t xml:space="preserve">en ouder </w:t>
          </w:r>
          <w:r w:rsidR="00056EDF">
            <w:t>per brief stemmen</w:t>
          </w:r>
          <w:r w:rsidR="00BF5287">
            <w:t xml:space="preserve"> </w:t>
          </w:r>
          <w:r w:rsidR="002F5832">
            <w:t>zodat zij zich niet onder de mensen behoefden te begeven om te stemmen</w:t>
          </w:r>
          <w:r w:rsidR="00EB43BA">
            <w:t>. Verder</w:t>
          </w:r>
          <w:r w:rsidR="00056EDF">
            <w:t xml:space="preserve"> kon voor bepaalde stemlocaties – in het bijzonder </w:t>
          </w:r>
          <w:r w:rsidR="009F65E5">
            <w:t xml:space="preserve">verzorgingshuizen – de toegang beperkt worden tot de bewoners </w:t>
          </w:r>
          <w:r w:rsidR="00720279">
            <w:t xml:space="preserve">en bezoekers </w:t>
          </w:r>
          <w:r w:rsidR="009F65E5">
            <w:t xml:space="preserve">van </w:t>
          </w:r>
          <w:r w:rsidR="00EB43BA">
            <w:t>de</w:t>
          </w:r>
          <w:r w:rsidR="009F65E5">
            <w:t xml:space="preserve"> betreffende </w:t>
          </w:r>
          <w:r w:rsidR="00EB43BA">
            <w:t>instelling</w:t>
          </w:r>
          <w:r w:rsidR="009F65E5">
            <w:t>.</w:t>
          </w:r>
          <w:r w:rsidR="00546A3F">
            <w:t xml:space="preserve"> </w:t>
          </w:r>
        </w:p>
        <w:p w:rsidR="00EB2C81" w:rsidP="00F43C2C" w:rsidRDefault="00EB2C81" w14:paraId="6355E658" w14:textId="77777777"/>
        <w:p w:rsidR="001A6C7E" w:rsidP="00AA41E2" w:rsidRDefault="00BF5287" w14:paraId="3DC948CB" w14:textId="302D58BA">
          <w:r>
            <w:t xml:space="preserve">De Afdeling </w:t>
          </w:r>
          <w:r w:rsidR="00C82880">
            <w:t xml:space="preserve">merkt </w:t>
          </w:r>
          <w:r>
            <w:t xml:space="preserve">op dat deze maatregelen niet in </w:t>
          </w:r>
          <w:r w:rsidR="0092671F">
            <w:t xml:space="preserve">het wetsvoorstel zijn opgenomen. De regering motiveert dit </w:t>
          </w:r>
          <w:r w:rsidR="003F14B6">
            <w:t xml:space="preserve">met de constatering van het RIVM dat </w:t>
          </w:r>
          <w:r w:rsidR="00FE116A">
            <w:t xml:space="preserve">personen van </w:t>
          </w:r>
          <w:r w:rsidR="00EE2121">
            <w:t>zeventig</w:t>
          </w:r>
          <w:r w:rsidR="00FE116A">
            <w:t xml:space="preserve"> jaar en ouder</w:t>
          </w:r>
          <w:r w:rsidR="003F14B6">
            <w:t xml:space="preserve"> inmiddels niet </w:t>
          </w:r>
          <w:r w:rsidR="007725AD">
            <w:t xml:space="preserve">meer </w:t>
          </w:r>
          <w:r w:rsidR="00B440B2">
            <w:t>specifieke gezondheidsrisico</w:t>
          </w:r>
          <w:r w:rsidR="006C2954">
            <w:t>’</w:t>
          </w:r>
          <w:r w:rsidR="00B440B2">
            <w:t>s lopen door de hoge vaccinatiegraad</w:t>
          </w:r>
          <w:r w:rsidR="004C6A0B">
            <w:t xml:space="preserve"> in deze leeftijdsgroep</w:t>
          </w:r>
          <w:r w:rsidR="00B440B2">
            <w:t>.</w:t>
          </w:r>
          <w:r w:rsidR="004D0C97">
            <w:rPr>
              <w:rStyle w:val="Voetnootmarkering"/>
            </w:rPr>
            <w:footnoteReference w:id="24"/>
          </w:r>
          <w:r w:rsidR="00B440B2">
            <w:t xml:space="preserve"> </w:t>
          </w:r>
          <w:r w:rsidR="00AD4E28">
            <w:t xml:space="preserve">De Afdeling </w:t>
          </w:r>
          <w:r w:rsidR="006B06E2">
            <w:t>acht deze motivering niet toereikend</w:t>
          </w:r>
          <w:r w:rsidR="0051250C">
            <w:t xml:space="preserve">. </w:t>
          </w:r>
          <w:r w:rsidR="00EC2542">
            <w:t xml:space="preserve">Niet op voorhand is uit te sluiten dat door mutaties of door een nieuw virus ouderen </w:t>
          </w:r>
          <w:r w:rsidR="00C925D5">
            <w:t xml:space="preserve">niet of niet voldoende </w:t>
          </w:r>
          <w:r w:rsidR="004B2650">
            <w:t>immuun zijn en daar</w:t>
          </w:r>
          <w:r w:rsidR="00E50B3C">
            <w:t>door</w:t>
          </w:r>
          <w:r w:rsidR="004B2650">
            <w:t xml:space="preserve"> </w:t>
          </w:r>
          <w:r w:rsidR="00EC2542">
            <w:t>opnieuw</w:t>
          </w:r>
          <w:r w:rsidR="002D14A6">
            <w:t xml:space="preserve"> zijn aan te merken als </w:t>
          </w:r>
          <w:r w:rsidR="005A7CCE">
            <w:t>kwetsbare</w:t>
          </w:r>
          <w:r w:rsidR="002D14A6">
            <w:t xml:space="preserve"> groep die extra bescherming verdient.</w:t>
          </w:r>
          <w:r w:rsidR="006B1036">
            <w:t xml:space="preserve"> </w:t>
          </w:r>
          <w:r w:rsidR="001A6C7E">
            <w:t>Het wetsvoorstel</w:t>
          </w:r>
          <w:r w:rsidR="00BC2E0A">
            <w:t>,</w:t>
          </w:r>
          <w:r w:rsidR="001A6C7E">
            <w:t xml:space="preserve"> dat bedoeld is om </w:t>
          </w:r>
          <w:r w:rsidR="001514E2">
            <w:t>een permanente voorziening</w:t>
          </w:r>
          <w:r w:rsidR="001A6C7E">
            <w:t xml:space="preserve"> te treffen </w:t>
          </w:r>
          <w:r w:rsidR="001514E2">
            <w:t>met het oog op toekomstige epidemieën, dient me</w:t>
          </w:r>
          <w:r w:rsidR="00926798">
            <w:t>t dergelijke scenario</w:t>
          </w:r>
          <w:r w:rsidR="006C2954">
            <w:t>’</w:t>
          </w:r>
          <w:r w:rsidR="00926798">
            <w:t>s rekening te houden.</w:t>
          </w:r>
          <w:r w:rsidR="001514E2">
            <w:t xml:space="preserve"> </w:t>
          </w:r>
        </w:p>
        <w:p w:rsidR="001A6C7E" w:rsidP="00AA41E2" w:rsidRDefault="001A6C7E" w14:paraId="5DB15C70" w14:textId="77777777"/>
        <w:p w:rsidR="00AA41E2" w:rsidP="00AA41E2" w:rsidRDefault="00402F9A" w14:paraId="7545A6BB" w14:textId="7FA45C24">
          <w:r>
            <w:t xml:space="preserve">Gelet op het voorgaande </w:t>
          </w:r>
          <w:r w:rsidR="006C2954">
            <w:t xml:space="preserve">is </w:t>
          </w:r>
          <w:r>
            <w:t xml:space="preserve">het van belang dat ter bescherming van kwetsbare ouderen </w:t>
          </w:r>
          <w:r w:rsidR="00966F3A">
            <w:t>de hier</w:t>
          </w:r>
          <w:r w:rsidR="001422AA">
            <w:t>voor</w:t>
          </w:r>
          <w:r w:rsidR="00966F3A">
            <w:t xml:space="preserve"> genoemde maatregelen </w:t>
          </w:r>
          <w:r w:rsidR="00CF798E">
            <w:t>(</w:t>
          </w:r>
          <w:r w:rsidR="00E274D1">
            <w:t xml:space="preserve">briefstemmen en </w:t>
          </w:r>
          <w:r w:rsidR="00CC2399">
            <w:t>stemlokalen met beperkte toegang</w:t>
          </w:r>
          <w:r w:rsidR="00CF798E">
            <w:t>)</w:t>
          </w:r>
          <w:r w:rsidR="00CC2399">
            <w:t xml:space="preserve"> </w:t>
          </w:r>
          <w:r w:rsidR="00E274D1">
            <w:t xml:space="preserve">in de </w:t>
          </w:r>
          <w:r w:rsidR="001E2603">
            <w:t xml:space="preserve">wettelijke </w:t>
          </w:r>
          <w:r w:rsidR="00E274D1">
            <w:t xml:space="preserve">‘gereedschapskist‘ </w:t>
          </w:r>
          <w:r w:rsidR="00CF798E">
            <w:t>zitten zodat</w:t>
          </w:r>
          <w:r w:rsidR="000A1C4B">
            <w:t>, mocht de situatie daar onverhoopt toe nopen, deze in werking kunnen worden gesteld</w:t>
          </w:r>
          <w:r w:rsidR="00E274D1">
            <w:t xml:space="preserve">. </w:t>
          </w:r>
          <w:r w:rsidR="00A23F8D">
            <w:t xml:space="preserve">De Afdeling merkt daarbij op dat </w:t>
          </w:r>
          <w:r w:rsidR="00C954F2">
            <w:t xml:space="preserve">hier een samenhang bestaat </w:t>
          </w:r>
          <w:r w:rsidR="00A25D43">
            <w:t>met de voorgaande opmerking over ged</w:t>
          </w:r>
          <w:r w:rsidR="006D24DD">
            <w:t>i</w:t>
          </w:r>
          <w:r w:rsidR="00A25D43">
            <w:t>fferentieerde inwerkingstelling</w:t>
          </w:r>
          <w:r w:rsidR="006D24DD">
            <w:t xml:space="preserve"> (zie punt 3); </w:t>
          </w:r>
          <w:r w:rsidR="00C84BFF">
            <w:t>d</w:t>
          </w:r>
          <w:r w:rsidR="00E274D1">
            <w:t xml:space="preserve">e mogelijkheid om te differentiëren en slechts de op dat moment noodzakelijke maatregelen in </w:t>
          </w:r>
          <w:r w:rsidR="00E274D1">
            <w:lastRenderedPageBreak/>
            <w:t xml:space="preserve">werking te stellen (en niet de volledige epidemieafdeling) is </w:t>
          </w:r>
          <w:r w:rsidR="00191CBF">
            <w:t xml:space="preserve">ook in het licht van het </w:t>
          </w:r>
          <w:r w:rsidR="001422AA">
            <w:t xml:space="preserve">voorgaande </w:t>
          </w:r>
          <w:r w:rsidR="00E274D1">
            <w:t xml:space="preserve">relevant. </w:t>
          </w:r>
        </w:p>
        <w:p w:rsidR="00D04761" w:rsidP="00AA41E2" w:rsidRDefault="00D04761" w14:paraId="1337CB1F" w14:textId="77777777"/>
        <w:p w:rsidR="00AA41E2" w:rsidP="00AA41E2" w:rsidRDefault="00AA41E2" w14:paraId="4D8C6454" w14:textId="5F6FD0AE">
          <w:r>
            <w:t xml:space="preserve">De Afdeling adviseert gelet op het </w:t>
          </w:r>
          <w:r w:rsidR="001422AA">
            <w:t xml:space="preserve">voorgaande </w:t>
          </w:r>
          <w:r>
            <w:t>het wetsvoorstel aan te vullen.</w:t>
          </w:r>
        </w:p>
        <w:p w:rsidR="009A339B" w:rsidP="00F43C2C" w:rsidRDefault="009A339B" w14:paraId="615A78BF" w14:textId="77777777"/>
        <w:p w:rsidRPr="00625D41" w:rsidR="009A339B" w:rsidP="00625D41" w:rsidRDefault="002E4C16" w14:paraId="76239E8D" w14:textId="41187A46">
          <w:pPr>
            <w:pStyle w:val="Lijstalinea"/>
            <w:numPr>
              <w:ilvl w:val="0"/>
              <w:numId w:val="7"/>
            </w:numPr>
            <w:rPr>
              <w:i/>
              <w:iCs/>
            </w:rPr>
          </w:pPr>
          <w:r w:rsidRPr="00625D41">
            <w:rPr>
              <w:i/>
              <w:iCs/>
            </w:rPr>
            <w:t>Anticiperen</w:t>
          </w:r>
          <w:r w:rsidRPr="00625D41" w:rsidR="00E37CCD">
            <w:rPr>
              <w:i/>
              <w:iCs/>
            </w:rPr>
            <w:t xml:space="preserve"> op </w:t>
          </w:r>
          <w:r w:rsidRPr="00625D41" w:rsidR="00B43CF9">
            <w:rPr>
              <w:i/>
              <w:iCs/>
            </w:rPr>
            <w:t>nieuwe</w:t>
          </w:r>
          <w:r w:rsidRPr="00625D41" w:rsidR="00E37CCD">
            <w:rPr>
              <w:i/>
              <w:iCs/>
            </w:rPr>
            <w:t xml:space="preserve"> scenario’s</w:t>
          </w:r>
        </w:p>
        <w:p w:rsidR="00FF38F2" w:rsidP="00F43C2C" w:rsidRDefault="005D4FED" w14:paraId="31758ACA" w14:textId="6317B7CE">
          <w:r>
            <w:t xml:space="preserve">De voorgestelde epidemieafdeling is </w:t>
          </w:r>
          <w:r w:rsidR="00B43CF9">
            <w:t xml:space="preserve">begrijpelijkerwijs </w:t>
          </w:r>
          <w:r>
            <w:t xml:space="preserve">opgesteld vanuit de ervaring met de aanpak van het coronavirus. </w:t>
          </w:r>
          <w:r w:rsidR="0041399E">
            <w:t>Tegelijk</w:t>
          </w:r>
          <w:r w:rsidR="003C6CC9">
            <w:t>ertijd</w:t>
          </w:r>
          <w:r w:rsidR="0041399E">
            <w:t xml:space="preserve"> moet de </w:t>
          </w:r>
          <w:r w:rsidR="003C6CC9">
            <w:t>wetgever, zoals hiervoor al opgemerkt,</w:t>
          </w:r>
          <w:r w:rsidR="0041399E">
            <w:t xml:space="preserve"> ook </w:t>
          </w:r>
          <w:r w:rsidR="00B663C8">
            <w:t xml:space="preserve">meer algemeen </w:t>
          </w:r>
          <w:r w:rsidR="0041399E">
            <w:t xml:space="preserve">voorbereid </w:t>
          </w:r>
          <w:r w:rsidR="001957CE">
            <w:t xml:space="preserve">zijn </w:t>
          </w:r>
          <w:r w:rsidR="0041399E">
            <w:t>op scenario</w:t>
          </w:r>
          <w:r w:rsidR="00786AF7">
            <w:t>’</w:t>
          </w:r>
          <w:r w:rsidR="0041399E">
            <w:t>s</w:t>
          </w:r>
          <w:r w:rsidR="00E85A40">
            <w:t xml:space="preserve"> </w:t>
          </w:r>
          <w:r w:rsidR="008902F4">
            <w:t xml:space="preserve">met virussen </w:t>
          </w:r>
          <w:r w:rsidR="00E85A40">
            <w:t xml:space="preserve">die zich op een andere manier </w:t>
          </w:r>
          <w:r w:rsidR="00044968">
            <w:t xml:space="preserve">manifesteren </w:t>
          </w:r>
          <w:r w:rsidR="00E85A40">
            <w:t xml:space="preserve">en </w:t>
          </w:r>
          <w:r w:rsidR="00FA0687">
            <w:t>met</w:t>
          </w:r>
          <w:r w:rsidR="00E85A40">
            <w:t xml:space="preserve"> een andere maatschappelijke impact.</w:t>
          </w:r>
          <w:r w:rsidR="00E85A40">
            <w:rPr>
              <w:rStyle w:val="Voetnootmarkering"/>
            </w:rPr>
            <w:footnoteReference w:id="25"/>
          </w:r>
          <w:r w:rsidR="00EE3EC6">
            <w:t xml:space="preserve"> </w:t>
          </w:r>
          <w:r w:rsidR="0099046D">
            <w:t>Zo kunnen in de toekomst</w:t>
          </w:r>
          <w:r w:rsidR="004C6A0B">
            <w:t xml:space="preserve"> ook andere virussen </w:t>
          </w:r>
          <w:r w:rsidR="008D597A">
            <w:t>opkomen waarvoor geen of niet aanstonds voldoende immuniteit</w:t>
          </w:r>
          <w:r w:rsidR="00F151C0">
            <w:t xml:space="preserve"> bestaat</w:t>
          </w:r>
          <w:r w:rsidR="003626A8">
            <w:t xml:space="preserve">. </w:t>
          </w:r>
          <w:r w:rsidR="001C4528">
            <w:t xml:space="preserve">Ook kan </w:t>
          </w:r>
          <w:r w:rsidR="00FF38F2">
            <w:t xml:space="preserve">de bestrijding van </w:t>
          </w:r>
          <w:r w:rsidR="001C4528">
            <w:t xml:space="preserve">een </w:t>
          </w:r>
          <w:r w:rsidR="00FF38F2">
            <w:t xml:space="preserve">nieuw </w:t>
          </w:r>
          <w:r w:rsidR="001C4528">
            <w:t xml:space="preserve">virus </w:t>
          </w:r>
          <w:r w:rsidR="00FF38F2">
            <w:t>vanwege</w:t>
          </w:r>
          <w:r w:rsidR="001C4528">
            <w:t xml:space="preserve"> zijn </w:t>
          </w:r>
          <w:r w:rsidR="00FF38F2">
            <w:t xml:space="preserve">specifieke </w:t>
          </w:r>
          <w:r w:rsidR="001C4528">
            <w:t xml:space="preserve">aard </w:t>
          </w:r>
          <w:r w:rsidR="00FF38F2">
            <w:t>nieuwe maatregelen vergen.</w:t>
          </w:r>
        </w:p>
        <w:p w:rsidR="00FF38F2" w:rsidP="00F43C2C" w:rsidRDefault="00FF38F2" w14:paraId="7CDCB6D9" w14:textId="77777777"/>
        <w:p w:rsidR="00BF5287" w:rsidP="00F43C2C" w:rsidRDefault="00C84AA1" w14:paraId="09351939" w14:textId="02DDD8A1">
          <w:r>
            <w:t>In dat licht bezien</w:t>
          </w:r>
          <w:r w:rsidR="003626A8">
            <w:t xml:space="preserve"> is niet op voorhand uit te sluiten dat</w:t>
          </w:r>
          <w:r w:rsidR="004C6A0B">
            <w:t xml:space="preserve"> </w:t>
          </w:r>
          <w:r w:rsidR="00FC16C2">
            <w:t xml:space="preserve">bepaalde delen van de </w:t>
          </w:r>
          <w:r w:rsidR="001768EC">
            <w:t>bevolking</w:t>
          </w:r>
          <w:r w:rsidR="00E54C99">
            <w:t>, bijvoorbeeld bepaalde beroepsgroepen in de veeho</w:t>
          </w:r>
          <w:r w:rsidR="00350282">
            <w:t>uderij,</w:t>
          </w:r>
          <w:r w:rsidR="00FC16C2">
            <w:t xml:space="preserve"> </w:t>
          </w:r>
          <w:r w:rsidR="00F151C0">
            <w:t xml:space="preserve">in </w:t>
          </w:r>
          <w:r w:rsidR="00FC16C2">
            <w:t xml:space="preserve">bepaalde </w:t>
          </w:r>
          <w:r w:rsidR="00F151C0">
            <w:t>situaties</w:t>
          </w:r>
          <w:r w:rsidR="00FC16C2">
            <w:t xml:space="preserve"> extra risico lopen</w:t>
          </w:r>
          <w:r w:rsidR="00350282">
            <w:t>. Vanwege die</w:t>
          </w:r>
          <w:r w:rsidR="0086123E">
            <w:t xml:space="preserve"> </w:t>
          </w:r>
          <w:r w:rsidR="00350282">
            <w:t xml:space="preserve">kwetsbaarheid kan het </w:t>
          </w:r>
          <w:r w:rsidR="0086123E">
            <w:t xml:space="preserve">in bepaalde situaties </w:t>
          </w:r>
          <w:r w:rsidR="00350282">
            <w:t>nodig</w:t>
          </w:r>
          <w:r w:rsidR="0086123E">
            <w:t xml:space="preserve"> zijn </w:t>
          </w:r>
          <w:r w:rsidR="008A788D">
            <w:t xml:space="preserve">dat </w:t>
          </w:r>
          <w:r w:rsidR="00FC16C2">
            <w:t xml:space="preserve">voor hen </w:t>
          </w:r>
          <w:r w:rsidR="00405C0D">
            <w:t>extra</w:t>
          </w:r>
          <w:r w:rsidR="00FC16C2">
            <w:t xml:space="preserve"> maatregelen </w:t>
          </w:r>
          <w:r w:rsidR="00BD6674">
            <w:t>kunnen worden getroffen</w:t>
          </w:r>
          <w:r w:rsidR="00AE0C2D">
            <w:t xml:space="preserve"> om </w:t>
          </w:r>
          <w:r w:rsidR="00EB4FDD">
            <w:t xml:space="preserve">ook voor hen </w:t>
          </w:r>
          <w:r w:rsidR="00AE0C2D">
            <w:t>de verkiezingen toegankelijk te houden</w:t>
          </w:r>
          <w:r w:rsidR="00FC16C2">
            <w:t>.</w:t>
          </w:r>
          <w:r w:rsidR="008C3D51">
            <w:t xml:space="preserve"> </w:t>
          </w:r>
          <w:r w:rsidR="00BD6674">
            <w:t xml:space="preserve">De toelichting gaat nog niet in op deze mogelijkheid en </w:t>
          </w:r>
          <w:r w:rsidR="000B0256">
            <w:t xml:space="preserve">op welke gevolgen </w:t>
          </w:r>
          <w:r w:rsidR="00160EB8">
            <w:t>dit</w:t>
          </w:r>
          <w:r w:rsidR="000B0256">
            <w:t xml:space="preserve"> </w:t>
          </w:r>
          <w:r w:rsidR="00901A73">
            <w:t>zou</w:t>
          </w:r>
          <w:r w:rsidR="00160EB8">
            <w:t xml:space="preserve"> kunnen hebben</w:t>
          </w:r>
          <w:r w:rsidR="000B0256">
            <w:t xml:space="preserve"> voor het wetsvoorstel.</w:t>
          </w:r>
        </w:p>
        <w:p w:rsidR="00B440B2" w:rsidP="00F43C2C" w:rsidRDefault="00B440B2" w14:paraId="4A2245C2" w14:textId="77777777"/>
        <w:p w:rsidR="00696B22" w:rsidRDefault="00AA41E2" w14:paraId="03AB9A75" w14:textId="13CC575B">
          <w:r>
            <w:t>De Afdeling adviseert de toelichting aan te vullen.</w:t>
          </w:r>
        </w:p>
        <w:p w:rsidR="00AA41E2" w:rsidRDefault="00AA41E2" w14:paraId="0E5FBF34" w14:textId="77777777"/>
        <w:p w:rsidR="00860C94" w:rsidRDefault="009E44E4" w14:paraId="48A69E3D" w14:textId="39C7771C">
          <w:r>
            <w:t>5</w:t>
          </w:r>
          <w:r w:rsidR="007D2CD8">
            <w:t>.</w:t>
          </w:r>
          <w:r w:rsidR="007D2CD8">
            <w:tab/>
          </w:r>
          <w:r w:rsidRPr="00A850F1" w:rsidR="00860C94">
            <w:rPr>
              <w:u w:val="single"/>
            </w:rPr>
            <w:t>Vervroeg</w:t>
          </w:r>
          <w:r w:rsidRPr="00A850F1" w:rsidR="0079064E">
            <w:rPr>
              <w:u w:val="single"/>
            </w:rPr>
            <w:t>d stemmen</w:t>
          </w:r>
        </w:p>
        <w:p w:rsidR="003860FF" w:rsidP="00E67036" w:rsidRDefault="003860FF" w14:paraId="62B84091" w14:textId="77777777"/>
        <w:p w:rsidR="00860C94" w:rsidP="00E67036" w:rsidRDefault="0079064E" w14:paraId="5B43DD05" w14:textId="56385B30">
          <w:r>
            <w:t xml:space="preserve">De Twv kende de mogelijkheid </w:t>
          </w:r>
          <w:r w:rsidR="00985471">
            <w:t xml:space="preserve">voor kiezers </w:t>
          </w:r>
          <w:r>
            <w:t xml:space="preserve">om </w:t>
          </w:r>
          <w:r w:rsidR="00985471">
            <w:t xml:space="preserve">ook </w:t>
          </w:r>
          <w:r w:rsidR="00373D25">
            <w:t>een of twee dagen voor de verkiezingsdag een stem uit te brengen. De gedacht</w:t>
          </w:r>
          <w:r w:rsidR="00985471">
            <w:t>e</w:t>
          </w:r>
          <w:r w:rsidR="00373D25">
            <w:t xml:space="preserve"> hierachter is </w:t>
          </w:r>
          <w:r w:rsidR="00985471">
            <w:t>dat</w:t>
          </w:r>
          <w:r w:rsidR="00BB1452">
            <w:t xml:space="preserve"> </w:t>
          </w:r>
          <w:r w:rsidR="00B67E6C">
            <w:t>kiezers verspreid over meer dagen stemmen en dat zo drukte wordt vermeden</w:t>
          </w:r>
          <w:r w:rsidR="00036AF2">
            <w:t xml:space="preserve">. </w:t>
          </w:r>
          <w:r w:rsidR="00265E8E">
            <w:t>Zeker</w:t>
          </w:r>
          <w:r w:rsidR="00036AF2">
            <w:t xml:space="preserve"> als voldoende afstand houden </w:t>
          </w:r>
          <w:r w:rsidR="00265E8E">
            <w:t>belangrijk</w:t>
          </w:r>
          <w:r w:rsidR="00036AF2">
            <w:t xml:space="preserve"> is vanuit het oogpunt van volksgezondheid</w:t>
          </w:r>
          <w:r w:rsidR="00BB1452">
            <w:t>,</w:t>
          </w:r>
          <w:r w:rsidR="00036AF2">
            <w:t xml:space="preserve"> kan dit een nuttige </w:t>
          </w:r>
          <w:r w:rsidR="004C2145">
            <w:t>maatregel</w:t>
          </w:r>
          <w:r w:rsidR="00036AF2">
            <w:t xml:space="preserve"> zijn. De </w:t>
          </w:r>
          <w:r w:rsidR="00265E8E">
            <w:t>regering</w:t>
          </w:r>
          <w:r w:rsidR="00036AF2">
            <w:t xml:space="preserve"> heeft ervoor gekozen om </w:t>
          </w:r>
          <w:r w:rsidR="00E67036">
            <w:t xml:space="preserve">vervroegd stemmen niet in dit wetsvoorstel op te nemen omdat </w:t>
          </w:r>
          <w:r w:rsidRPr="00AB27EC" w:rsidR="00AB27EC">
            <w:t>een initiatiefwetsvoorstel aanhangig</w:t>
          </w:r>
          <w:r w:rsidR="004C2145">
            <w:t xml:space="preserve"> is</w:t>
          </w:r>
          <w:r w:rsidR="0072437D">
            <w:t xml:space="preserve"> gemaakt om</w:t>
          </w:r>
          <w:r w:rsidR="00BB1452">
            <w:t xml:space="preserve"> vervroegd stemmen permane</w:t>
          </w:r>
          <w:r w:rsidR="0022499F">
            <w:t>nt in te voeren, ook als er geen sprake is van een epidemie</w:t>
          </w:r>
          <w:r w:rsidRPr="00AB27EC" w:rsidR="00AB27EC">
            <w:t>.</w:t>
          </w:r>
          <w:r w:rsidR="009C4E13">
            <w:rPr>
              <w:rStyle w:val="Voetnootmarkering"/>
            </w:rPr>
            <w:footnoteReference w:id="26"/>
          </w:r>
          <w:r w:rsidRPr="00AB27EC" w:rsidR="00AB27EC">
            <w:t xml:space="preserve"> De regering is nog in afwachting van het verdere verloop van deze procedure. </w:t>
          </w:r>
        </w:p>
        <w:p w:rsidR="00265E8E" w:rsidP="00E67036" w:rsidRDefault="00265E8E" w14:paraId="713C5E3C" w14:textId="77777777"/>
        <w:p w:rsidR="008937BC" w:rsidP="00E67036" w:rsidRDefault="00265E8E" w14:paraId="3D72C6BE" w14:textId="5F438D96">
          <w:r>
            <w:t xml:space="preserve">De Afdeling heeft </w:t>
          </w:r>
          <w:r w:rsidR="002A2ED1">
            <w:t>er begrip voor</w:t>
          </w:r>
          <w:r w:rsidR="00C21B3C">
            <w:t xml:space="preserve"> dat de </w:t>
          </w:r>
          <w:r w:rsidR="007D3FEA">
            <w:t>regering</w:t>
          </w:r>
          <w:r w:rsidR="00C21B3C">
            <w:t xml:space="preserve"> ruimte l</w:t>
          </w:r>
          <w:r w:rsidR="007D3FEA">
            <w:t>a</w:t>
          </w:r>
          <w:r w:rsidR="00C21B3C">
            <w:t xml:space="preserve">at aan de </w:t>
          </w:r>
          <w:r w:rsidR="002A2ED1">
            <w:t xml:space="preserve">Tweede </w:t>
          </w:r>
          <w:r w:rsidR="00C21B3C">
            <w:t>Kamer</w:t>
          </w:r>
          <w:r w:rsidR="00A96C9D">
            <w:t xml:space="preserve"> voor </w:t>
          </w:r>
          <w:r w:rsidR="00B77A72">
            <w:t>de</w:t>
          </w:r>
          <w:r w:rsidR="00DE1A9F">
            <w:t xml:space="preserve"> </w:t>
          </w:r>
          <w:r w:rsidR="00B77A72">
            <w:t xml:space="preserve">indiening en behandeling van </w:t>
          </w:r>
          <w:r w:rsidR="008F72E8">
            <w:t>initiatiefwetsvoorstellen</w:t>
          </w:r>
          <w:r w:rsidR="00B77A72">
            <w:t xml:space="preserve">. Het enkele </w:t>
          </w:r>
          <w:r w:rsidR="007708E0">
            <w:t xml:space="preserve">feit dat een dergelijk </w:t>
          </w:r>
          <w:r w:rsidR="003860FF">
            <w:t>initiatiefvoorstel</w:t>
          </w:r>
          <w:r w:rsidR="007708E0">
            <w:t xml:space="preserve"> op het punt van vervroegd stemmen is inged</w:t>
          </w:r>
          <w:r w:rsidR="0072437D">
            <w:t>iend is op zichzelf</w:t>
          </w:r>
          <w:r w:rsidR="003860FF">
            <w:t xml:space="preserve"> </w:t>
          </w:r>
          <w:r w:rsidR="00E75648">
            <w:t xml:space="preserve">echter </w:t>
          </w:r>
          <w:r w:rsidR="00F46BE9">
            <w:t>nog geen reden ervan af te zien in onderhavig wetsvoorstel. Dit hangt ook samen met het verschil in werking: opname in de epidemie-afdeling zou beteken</w:t>
          </w:r>
          <w:r w:rsidR="00077344">
            <w:t>en</w:t>
          </w:r>
          <w:r w:rsidR="00F46BE9">
            <w:t xml:space="preserve"> dat alleen in geval van een</w:t>
          </w:r>
          <w:r w:rsidR="00BB3A18">
            <w:t xml:space="preserve"> </w:t>
          </w:r>
          <w:r w:rsidR="00F46BE9">
            <w:t xml:space="preserve">epidemie vervroegd stemmen mogelijk zou </w:t>
          </w:r>
          <w:r w:rsidR="00F46BE9">
            <w:lastRenderedPageBreak/>
            <w:t xml:space="preserve">zijn; het </w:t>
          </w:r>
          <w:r w:rsidR="00BB3A18">
            <w:t>initiatief</w:t>
          </w:r>
          <w:r w:rsidR="00F46BE9">
            <w:t>wetsvoorstel gaat verder en voorziet</w:t>
          </w:r>
          <w:r w:rsidR="00BB3A18">
            <w:t xml:space="preserve"> </w:t>
          </w:r>
          <w:r w:rsidR="00F46BE9">
            <w:t>in een regeling</w:t>
          </w:r>
          <w:r w:rsidR="00371974">
            <w:t xml:space="preserve"> die ook geldt in normale situatie</w:t>
          </w:r>
          <w:r w:rsidR="00172A04">
            <w:t>s</w:t>
          </w:r>
          <w:r w:rsidR="00F22C78">
            <w:t>.</w:t>
          </w:r>
          <w:r w:rsidR="00077344">
            <w:t xml:space="preserve"> </w:t>
          </w:r>
        </w:p>
        <w:p w:rsidR="008937BC" w:rsidP="00E67036" w:rsidRDefault="008937BC" w14:paraId="6B7FF367" w14:textId="77777777"/>
        <w:p w:rsidR="00265E8E" w:rsidP="00E67036" w:rsidRDefault="004E23D3" w14:paraId="14688993" w14:textId="5037A3D6">
          <w:r>
            <w:t xml:space="preserve">Op dit moment is nog onduidelijk of het initiatiefwetvoorstel </w:t>
          </w:r>
          <w:r w:rsidR="00C93398">
            <w:t xml:space="preserve">zal </w:t>
          </w:r>
          <w:r w:rsidR="001951FA">
            <w:t>worden aa</w:t>
          </w:r>
          <w:r w:rsidR="005D56AA">
            <w:t>n</w:t>
          </w:r>
          <w:r w:rsidR="001951FA">
            <w:t>genomen</w:t>
          </w:r>
          <w:r w:rsidR="00667FA2">
            <w:t xml:space="preserve">. </w:t>
          </w:r>
          <w:r w:rsidR="00C93398">
            <w:t>G</w:t>
          </w:r>
          <w:r w:rsidR="00A0616A">
            <w:t xml:space="preserve">elet daarop </w:t>
          </w:r>
          <w:r w:rsidR="00786AF7">
            <w:t xml:space="preserve">is </w:t>
          </w:r>
          <w:r w:rsidR="006D2284">
            <w:t>het van belang</w:t>
          </w:r>
          <w:r w:rsidR="009C4816">
            <w:t xml:space="preserve"> </w:t>
          </w:r>
          <w:r w:rsidR="00667FA2">
            <w:t>om</w:t>
          </w:r>
          <w:r w:rsidR="006704AB">
            <w:t xml:space="preserve"> de</w:t>
          </w:r>
          <w:r w:rsidR="006D1AD3">
            <w:t xml:space="preserve"> mogelijkheid van vervroeg</w:t>
          </w:r>
          <w:r w:rsidR="00B8567C">
            <w:t>d</w:t>
          </w:r>
          <w:r w:rsidR="006D1AD3">
            <w:t xml:space="preserve"> stemmen </w:t>
          </w:r>
          <w:r w:rsidR="00F91184">
            <w:t xml:space="preserve">ook </w:t>
          </w:r>
          <w:r w:rsidR="006D1AD3">
            <w:t xml:space="preserve">in </w:t>
          </w:r>
          <w:r w:rsidR="00D76E9F">
            <w:t xml:space="preserve">de epidemie-afdeling van </w:t>
          </w:r>
          <w:r w:rsidR="00F91184">
            <w:t>di</w:t>
          </w:r>
          <w:r w:rsidR="006D1AD3">
            <w:t xml:space="preserve">t wetsvoorstel op te nemen. </w:t>
          </w:r>
          <w:r w:rsidR="00071CA0">
            <w:t>H</w:t>
          </w:r>
          <w:r w:rsidR="009F74E4">
            <w:t>et</w:t>
          </w:r>
          <w:r w:rsidR="004714B7">
            <w:t xml:space="preserve"> </w:t>
          </w:r>
          <w:r w:rsidR="00BE50E9">
            <w:t xml:space="preserve">onderhavige </w:t>
          </w:r>
          <w:r w:rsidR="009F74E4">
            <w:t xml:space="preserve">wetsvoorstel </w:t>
          </w:r>
          <w:r w:rsidR="00071CA0">
            <w:t xml:space="preserve">kan </w:t>
          </w:r>
          <w:r w:rsidR="009F74E4">
            <w:t>worden aangevuld met een samenloopbepaling</w:t>
          </w:r>
          <w:r w:rsidR="004714B7">
            <w:t xml:space="preserve"> zodat in het geval </w:t>
          </w:r>
          <w:r w:rsidR="002D5289">
            <w:t>het initiatiefvoorstel kracht van wet krijgt, dit onderdeel van het wetsvoorstel vervalt</w:t>
          </w:r>
          <w:r w:rsidR="009F74E4">
            <w:t>.</w:t>
          </w:r>
        </w:p>
        <w:p w:rsidR="00985471" w:rsidP="00E67036" w:rsidRDefault="00985471" w14:paraId="76432253" w14:textId="77777777"/>
        <w:p w:rsidR="00580D8A" w:rsidP="00E67036" w:rsidRDefault="00580D8A" w14:paraId="1CE80547" w14:textId="0195394A">
          <w:r>
            <w:t xml:space="preserve">De Afdeling adviseert </w:t>
          </w:r>
          <w:r w:rsidR="00BF0421">
            <w:t xml:space="preserve">het wetsvoorstel </w:t>
          </w:r>
          <w:r w:rsidR="00935413">
            <w:t xml:space="preserve">in </w:t>
          </w:r>
          <w:r w:rsidR="001422AA">
            <w:t xml:space="preserve">de hiervoor </w:t>
          </w:r>
          <w:r w:rsidR="00935413">
            <w:t xml:space="preserve">genoemde zin </w:t>
          </w:r>
          <w:r w:rsidR="00F36B6D">
            <w:t>aa</w:t>
          </w:r>
          <w:r w:rsidR="00BF0421">
            <w:t>n te passen</w:t>
          </w:r>
          <w:r w:rsidR="006E4EBF">
            <w:t>.</w:t>
          </w:r>
        </w:p>
        <w:p w:rsidR="00985471" w:rsidP="00E67036" w:rsidRDefault="00985471" w14:paraId="2387F44A" w14:textId="77777777"/>
        <w:p w:rsidR="007D2CD8" w:rsidRDefault="009E44E4" w14:paraId="734E737A" w14:textId="79246ED1">
          <w:pPr>
            <w:rPr>
              <w:u w:val="single"/>
            </w:rPr>
          </w:pPr>
          <w:r>
            <w:t>6</w:t>
          </w:r>
          <w:r w:rsidR="007D2CD8">
            <w:t>.</w:t>
          </w:r>
          <w:r w:rsidR="007D2CD8">
            <w:tab/>
          </w:r>
          <w:r w:rsidR="009A3A60">
            <w:rPr>
              <w:u w:val="single"/>
            </w:rPr>
            <w:t xml:space="preserve">Wijzigen locatie stemlokaal </w:t>
          </w:r>
        </w:p>
        <w:p w:rsidR="009A3A60" w:rsidRDefault="009A3A60" w14:paraId="18D5D48A" w14:textId="77777777">
          <w:pPr>
            <w:rPr>
              <w:u w:val="single"/>
            </w:rPr>
          </w:pPr>
        </w:p>
        <w:p w:rsidR="00BB080E" w:rsidRDefault="00E54A8C" w14:paraId="1C59E135" w14:textId="1AA370E0">
          <w:r w:rsidRPr="00BF623A">
            <w:t xml:space="preserve">De Twv voorzag in de mogelijkheid voor burgemeester en wethouders om tot </w:t>
          </w:r>
          <w:r w:rsidR="00BB080E">
            <w:t>ee</w:t>
          </w:r>
          <w:r w:rsidRPr="00BF623A">
            <w:t>n dag v</w:t>
          </w:r>
          <w:r w:rsidR="00BB080E">
            <w:t>óó</w:t>
          </w:r>
          <w:r w:rsidRPr="00BF623A">
            <w:t xml:space="preserve">r de verkiezingen </w:t>
          </w:r>
          <w:r w:rsidRPr="00BF623A" w:rsidR="006D3969">
            <w:t>een andere locatie voor de stemming aan te wijzen.</w:t>
          </w:r>
          <w:r w:rsidRPr="00BF623A" w:rsidR="006D3969">
            <w:rPr>
              <w:rStyle w:val="Voetnootmarkering"/>
            </w:rPr>
            <w:footnoteReference w:id="27"/>
          </w:r>
          <w:r w:rsidRPr="00BF623A" w:rsidR="006D3969">
            <w:t xml:space="preserve"> In het wetsvoorstel </w:t>
          </w:r>
          <w:r w:rsidRPr="00BF623A" w:rsidR="00BC1B34">
            <w:t xml:space="preserve">kan deze andere locatie </w:t>
          </w:r>
          <w:r w:rsidR="0078699B">
            <w:t>ook</w:t>
          </w:r>
          <w:r w:rsidRPr="00BF623A" w:rsidR="00BC1B34">
            <w:t xml:space="preserve"> op de dag van de verkiezingen z</w:t>
          </w:r>
          <w:r w:rsidR="002535B3">
            <w:t>é</w:t>
          </w:r>
          <w:r w:rsidRPr="00BF623A" w:rsidR="00BC1B34">
            <w:t>lf worden aangewezen.</w:t>
          </w:r>
          <w:r w:rsidRPr="00BF623A" w:rsidR="00BC1B34">
            <w:rPr>
              <w:rStyle w:val="Voetnootmarkering"/>
            </w:rPr>
            <w:footnoteReference w:id="28"/>
          </w:r>
          <w:r w:rsidRPr="00BF623A" w:rsidR="00F513F1">
            <w:t xml:space="preserve"> </w:t>
          </w:r>
          <w:r w:rsidR="00983196">
            <w:t>Uit de toelichting komt niet naar voren dat</w:t>
          </w:r>
          <w:r w:rsidR="00E27DED">
            <w:t xml:space="preserve"> </w:t>
          </w:r>
          <w:r w:rsidRPr="00BF623A" w:rsidR="00E27DED">
            <w:t xml:space="preserve">ten tijde van de coronapandemie </w:t>
          </w:r>
          <w:r w:rsidRPr="00BF623A" w:rsidR="00DC33BC">
            <w:t xml:space="preserve">problemen zijn ontstaan doordat een locatiewijziging niet meer op de verkiezingsdag zelf kon plaatsvinden. </w:t>
          </w:r>
        </w:p>
        <w:p w:rsidR="00BB080E" w:rsidRDefault="00BB080E" w14:paraId="10935A28" w14:textId="77777777"/>
        <w:p w:rsidR="00366FB0" w:rsidRDefault="000A35F0" w14:paraId="084C57B7" w14:textId="04705FDE">
          <w:r>
            <w:t xml:space="preserve">De Afdeling </w:t>
          </w:r>
          <w:r w:rsidR="002535B3">
            <w:t xml:space="preserve">merkt </w:t>
          </w:r>
          <w:r>
            <w:t>op dat e</w:t>
          </w:r>
          <w:r w:rsidR="003565A5">
            <w:t>en locatiewijziging op de dag van de verkiezingen kan</w:t>
          </w:r>
          <w:r w:rsidRPr="00BF623A" w:rsidR="003565A5">
            <w:t xml:space="preserve"> </w:t>
          </w:r>
          <w:r w:rsidR="003565A5">
            <w:t>zorgen voor</w:t>
          </w:r>
          <w:r w:rsidRPr="00BF623A" w:rsidR="003565A5">
            <w:t xml:space="preserve"> verwarring </w:t>
          </w:r>
          <w:r w:rsidR="003565A5">
            <w:t>onder kiezers</w:t>
          </w:r>
          <w:r w:rsidR="00C206A6">
            <w:t>. De effectieve</w:t>
          </w:r>
          <w:r w:rsidRPr="00BF623A" w:rsidR="003565A5">
            <w:t xml:space="preserve"> toegang tot het stemproces </w:t>
          </w:r>
          <w:r w:rsidR="0038507F">
            <w:t xml:space="preserve">kan </w:t>
          </w:r>
          <w:r w:rsidRPr="00BF623A" w:rsidR="003565A5">
            <w:t xml:space="preserve">hierdoor in het gedrang komen. </w:t>
          </w:r>
          <w:r w:rsidR="0038507F">
            <w:t xml:space="preserve">Nu niet is gebleken dat </w:t>
          </w:r>
          <w:r w:rsidR="00483DB1">
            <w:t>de bepaling ui</w:t>
          </w:r>
          <w:r w:rsidR="000A7690">
            <w:t>t</w:t>
          </w:r>
          <w:r w:rsidR="00483DB1">
            <w:t xml:space="preserve"> de Twv tot uitvoeringsproblemen heeft geleid is</w:t>
          </w:r>
          <w:r w:rsidR="00C90205">
            <w:t xml:space="preserve"> de vraag of deze </w:t>
          </w:r>
          <w:r w:rsidR="009F0B07">
            <w:t xml:space="preserve">verruimde </w:t>
          </w:r>
          <w:r w:rsidR="00775A3C">
            <w:t xml:space="preserve">mogelijkheid </w:t>
          </w:r>
          <w:r w:rsidR="009F0B07">
            <w:t xml:space="preserve">tot verplaatsing </w:t>
          </w:r>
          <w:r w:rsidR="00EE7626">
            <w:t>noodzakelijk</w:t>
          </w:r>
          <w:r w:rsidR="00775A3C">
            <w:t xml:space="preserve"> is. </w:t>
          </w:r>
        </w:p>
        <w:p w:rsidR="00366FB0" w:rsidRDefault="00366FB0" w14:paraId="06CB407A" w14:textId="77777777"/>
        <w:p w:rsidRPr="00091751" w:rsidR="00665089" w:rsidRDefault="001E3F0B" w14:paraId="42F874E6" w14:textId="54C3789D">
          <w:r w:rsidRPr="00BF623A">
            <w:t xml:space="preserve">De Afdeling adviseert </w:t>
          </w:r>
          <w:r w:rsidR="00805B8E">
            <w:t xml:space="preserve">in </w:t>
          </w:r>
          <w:r w:rsidRPr="00BF623A">
            <w:t xml:space="preserve">de toelichting op </w:t>
          </w:r>
          <w:r w:rsidR="00805B8E">
            <w:t xml:space="preserve">het </w:t>
          </w:r>
          <w:r w:rsidR="001422AA">
            <w:t xml:space="preserve">voorgaande </w:t>
          </w:r>
          <w:r w:rsidR="00805B8E">
            <w:t>in te gaan</w:t>
          </w:r>
          <w:r w:rsidR="006B42A1">
            <w:t xml:space="preserve"> en zo nodig het wetsvoorstel</w:t>
          </w:r>
          <w:r w:rsidR="00805B8E">
            <w:t xml:space="preserve"> aan te passen</w:t>
          </w:r>
          <w:r w:rsidR="006B42A1">
            <w:t>.</w:t>
          </w:r>
        </w:p>
        <w:p w:rsidRPr="00091751" w:rsidR="009C228C" w:rsidP="009C228C" w:rsidRDefault="009C228C" w14:paraId="582E9E56" w14:textId="77777777"/>
        <w:p w:rsidR="00A554DC" w:rsidRDefault="009E44E4" w14:paraId="1298678B" w14:textId="62478CB2">
          <w:r>
            <w:t>7</w:t>
          </w:r>
          <w:r w:rsidRPr="00FA0575" w:rsidR="001E3F0B">
            <w:t>.</w:t>
          </w:r>
          <w:r w:rsidRPr="0017067A" w:rsidR="001E3F0B">
            <w:t xml:space="preserve"> </w:t>
          </w:r>
          <w:r w:rsidRPr="0017067A" w:rsidR="001E3F0B">
            <w:tab/>
          </w:r>
          <w:r w:rsidR="00667446">
            <w:rPr>
              <w:u w:val="single"/>
            </w:rPr>
            <w:t>Bewijs van Nederlanderschap</w:t>
          </w:r>
        </w:p>
        <w:p w:rsidR="00221A1D" w:rsidRDefault="00221A1D" w14:paraId="7C1F26CB" w14:textId="77777777"/>
        <w:p w:rsidR="00B56E47" w:rsidRDefault="00F944C2" w14:paraId="1DE70969" w14:textId="77777777">
          <w:r w:rsidRPr="00F944C2">
            <w:t xml:space="preserve">Ten tijde van een epidemie kan het voor Nederlanders </w:t>
          </w:r>
          <w:r>
            <w:t>in het buitenland</w:t>
          </w:r>
          <w:r w:rsidRPr="00F944C2">
            <w:t xml:space="preserve"> moeilijker zijn om identiteitsbewijzen aan te vragen en te verkrijgen. Om te voorkomen dat zij om die reden hun stemrecht niet kunnen uitoefenen, </w:t>
          </w:r>
          <w:r w:rsidR="000B201C">
            <w:t>regelt</w:t>
          </w:r>
          <w:r w:rsidRPr="00F944C2">
            <w:t xml:space="preserve"> </w:t>
          </w:r>
          <w:r w:rsidR="009B022D">
            <w:t>het</w:t>
          </w:r>
          <w:r w:rsidRPr="00F944C2">
            <w:t xml:space="preserve"> wetsvoorstel </w:t>
          </w:r>
          <w:r w:rsidR="000B201C">
            <w:t>dat</w:t>
          </w:r>
          <w:r w:rsidRPr="00F944C2">
            <w:t xml:space="preserve"> enkele aanvullende identiteitsdocumenten worden geaccepteerd. </w:t>
          </w:r>
          <w:r w:rsidR="00BF18DB">
            <w:t xml:space="preserve">Het wetsvoorstel voorziet in een grondslag om </w:t>
          </w:r>
          <w:r w:rsidR="0035319D">
            <w:t xml:space="preserve">in het Kiesbesluit de </w:t>
          </w:r>
          <w:r w:rsidR="007D7CD5">
            <w:t xml:space="preserve">documenten </w:t>
          </w:r>
          <w:r w:rsidR="00D37BA1">
            <w:t xml:space="preserve">vast te stellen </w:t>
          </w:r>
          <w:r w:rsidR="007D7CD5">
            <w:t xml:space="preserve">die Nederlanders in het buitenland </w:t>
          </w:r>
          <w:r w:rsidR="00C45F01">
            <w:t xml:space="preserve">tijdens </w:t>
          </w:r>
          <w:r w:rsidR="007D7CD5">
            <w:t xml:space="preserve">een epidemie </w:t>
          </w:r>
          <w:r w:rsidR="00D47052">
            <w:t>mogen</w:t>
          </w:r>
          <w:r w:rsidR="007D7CD5">
            <w:t xml:space="preserve"> gebruik</w:t>
          </w:r>
          <w:r w:rsidR="00D47052">
            <w:t>en voor</w:t>
          </w:r>
          <w:r w:rsidR="007D7CD5">
            <w:t xml:space="preserve"> identificatie</w:t>
          </w:r>
          <w:r w:rsidR="00185F60">
            <w:t>.</w:t>
          </w:r>
          <w:r w:rsidR="00185F60">
            <w:rPr>
              <w:rStyle w:val="Voetnootmarkering"/>
            </w:rPr>
            <w:footnoteReference w:id="29"/>
          </w:r>
          <w:r w:rsidR="00185F60">
            <w:t xml:space="preserve"> </w:t>
          </w:r>
          <w:r w:rsidR="00C90287">
            <w:t xml:space="preserve">De </w:t>
          </w:r>
          <w:r w:rsidR="007D6FC3">
            <w:t>toelichting</w:t>
          </w:r>
          <w:r w:rsidR="00C90287">
            <w:t xml:space="preserve"> </w:t>
          </w:r>
          <w:r w:rsidR="00C6787B">
            <w:t>noemt onder andere</w:t>
          </w:r>
          <w:r w:rsidR="007D6FC3">
            <w:t xml:space="preserve"> een noodpaspoort of een la</w:t>
          </w:r>
          <w:r w:rsidR="00100E18">
            <w:t>i</w:t>
          </w:r>
          <w:r w:rsidR="007D6FC3">
            <w:t>sse</w:t>
          </w:r>
          <w:r w:rsidR="00100E18">
            <w:t>z-</w:t>
          </w:r>
          <w:r w:rsidR="007D6FC3">
            <w:t>passer.</w:t>
          </w:r>
          <w:r w:rsidR="0085619F">
            <w:rPr>
              <w:rStyle w:val="Voetnootmarkering"/>
            </w:rPr>
            <w:footnoteReference w:id="30"/>
          </w:r>
          <w:r w:rsidR="007D6FC3">
            <w:t xml:space="preserve"> </w:t>
          </w:r>
        </w:p>
        <w:p w:rsidR="00B56E47" w:rsidRDefault="00B56E47" w14:paraId="5976175D" w14:textId="77777777"/>
        <w:p w:rsidR="00940B42" w:rsidRDefault="007D6FC3" w14:paraId="09B729B7" w14:textId="453D496A">
          <w:r>
            <w:lastRenderedPageBreak/>
            <w:t>In de</w:t>
          </w:r>
          <w:r w:rsidR="00BE1451">
            <w:t xml:space="preserve"> Twv </w:t>
          </w:r>
          <w:r>
            <w:t xml:space="preserve">waren </w:t>
          </w:r>
          <w:r w:rsidR="009D7B71">
            <w:t xml:space="preserve">deze documenten </w:t>
          </w:r>
          <w:r>
            <w:t xml:space="preserve">geregeld </w:t>
          </w:r>
          <w:r w:rsidR="009D7B71">
            <w:t>op wetsniveau.</w:t>
          </w:r>
          <w:r w:rsidR="009D7B71">
            <w:rPr>
              <w:rStyle w:val="Voetnootmarkering"/>
            </w:rPr>
            <w:footnoteReference w:id="31"/>
          </w:r>
          <w:r w:rsidR="004D7771">
            <w:t xml:space="preserve"> </w:t>
          </w:r>
          <w:r w:rsidR="007A02D7">
            <w:t>D</w:t>
          </w:r>
          <w:r w:rsidR="00DD4B4F">
            <w:t xml:space="preserve">e regering heeft daar nu niet voor gekozen maar heeft aangesloten </w:t>
          </w:r>
          <w:r w:rsidR="00D83BE2">
            <w:t xml:space="preserve">bij de </w:t>
          </w:r>
          <w:r w:rsidR="007A231D">
            <w:t>‘</w:t>
          </w:r>
          <w:r w:rsidR="00D83BE2">
            <w:t>systematiek</w:t>
          </w:r>
          <w:r w:rsidR="007B5E10">
            <w:t>,</w:t>
          </w:r>
          <w:r w:rsidR="00D83BE2">
            <w:t xml:space="preserve"> waarbij </w:t>
          </w:r>
          <w:r w:rsidRPr="0035319D" w:rsidR="0035319D">
            <w:t>de te gebruiken identiteitsdocumenten worden aangewezen in het Kiesbesluit</w:t>
          </w:r>
          <w:r w:rsidR="007B5E10">
            <w:t>’</w:t>
          </w:r>
          <w:r w:rsidR="0035319D">
            <w:t>.</w:t>
          </w:r>
          <w:r w:rsidR="00D86DE3">
            <w:rPr>
              <w:rStyle w:val="Voetnootmarkering"/>
            </w:rPr>
            <w:footnoteReference w:id="32"/>
          </w:r>
          <w:r w:rsidR="0035319D">
            <w:t xml:space="preserve"> </w:t>
          </w:r>
          <w:r w:rsidR="004D7771">
            <w:t>D</w:t>
          </w:r>
          <w:r w:rsidR="00E45370">
            <w:t xml:space="preserve">ie motivering </w:t>
          </w:r>
          <w:r w:rsidR="000E777B">
            <w:t xml:space="preserve">is </w:t>
          </w:r>
          <w:r w:rsidR="00E45370">
            <w:t>nog niet toe</w:t>
          </w:r>
          <w:r w:rsidR="00E43720">
            <w:t>reikend</w:t>
          </w:r>
          <w:r w:rsidR="000E777B">
            <w:t>,</w:t>
          </w:r>
          <w:r w:rsidR="00E43720">
            <w:t xml:space="preserve"> omdat het</w:t>
          </w:r>
          <w:r w:rsidR="00B02AB5">
            <w:t xml:space="preserve"> wetsvoorstel </w:t>
          </w:r>
          <w:r w:rsidR="00767AEA">
            <w:t>betrekking heeft op bijzondere omstandigheden en</w:t>
          </w:r>
          <w:r w:rsidR="00EF741F">
            <w:t xml:space="preserve"> de toelichting </w:t>
          </w:r>
          <w:r w:rsidR="00767AEA">
            <w:t>geen inhoudelijke redenen bevat waarom</w:t>
          </w:r>
          <w:r w:rsidR="009570BB">
            <w:t>, zoals in de Tw</w:t>
          </w:r>
          <w:r w:rsidR="00323A17">
            <w:t>v</w:t>
          </w:r>
          <w:r w:rsidR="009570BB">
            <w:t xml:space="preserve"> het geval was, regeling op wetsniveau op bezwaren zou stuiten. </w:t>
          </w:r>
        </w:p>
        <w:p w:rsidR="00EF741F" w:rsidRDefault="00EF741F" w14:paraId="0C11A597" w14:textId="77777777"/>
        <w:p w:rsidRPr="00BF623A" w:rsidR="00F21C07" w:rsidP="00F21C07" w:rsidRDefault="00EF741F" w14:paraId="2D15578F" w14:textId="4936DEDE">
          <w:r>
            <w:t xml:space="preserve">De Afdeling </w:t>
          </w:r>
          <w:r w:rsidRPr="00BF623A" w:rsidR="00F21C07">
            <w:t xml:space="preserve">adviseert </w:t>
          </w:r>
          <w:r w:rsidR="00610F2C">
            <w:t xml:space="preserve">in </w:t>
          </w:r>
          <w:r w:rsidRPr="00BF623A" w:rsidR="00F21C07">
            <w:t xml:space="preserve">de toelichting op </w:t>
          </w:r>
          <w:r w:rsidR="00610F2C">
            <w:t xml:space="preserve">het </w:t>
          </w:r>
          <w:r w:rsidR="001422AA">
            <w:t xml:space="preserve">voorgaande </w:t>
          </w:r>
          <w:r w:rsidR="00610F2C">
            <w:t>in te gaan</w:t>
          </w:r>
          <w:r w:rsidR="00F21C07">
            <w:t xml:space="preserve"> en het wetsvoorstel</w:t>
          </w:r>
          <w:r w:rsidR="00610F2C">
            <w:t xml:space="preserve"> zo </w:t>
          </w:r>
          <w:r w:rsidR="00F21C07">
            <w:t xml:space="preserve">nodig </w:t>
          </w:r>
          <w:r w:rsidR="00610F2C">
            <w:t>aan te passen</w:t>
          </w:r>
          <w:r w:rsidR="00F21C07">
            <w:t>.</w:t>
          </w:r>
        </w:p>
        <w:p w:rsidR="007217A3" w:rsidRDefault="007217A3" w14:paraId="3C0AA52B" w14:textId="26CCC39F"/>
        <w:p w:rsidR="00221A1D" w:rsidRDefault="009E44E4" w14:paraId="51A5757C" w14:textId="03319717">
          <w:r>
            <w:t>8</w:t>
          </w:r>
          <w:r w:rsidR="009101EE">
            <w:t>.</w:t>
          </w:r>
          <w:r w:rsidR="00FF0823">
            <w:tab/>
          </w:r>
          <w:r w:rsidR="005A01CB">
            <w:rPr>
              <w:u w:val="single"/>
            </w:rPr>
            <w:t>Aanwijzingen betreffende ondersteuningsverklaringen</w:t>
          </w:r>
        </w:p>
        <w:p w:rsidR="00FF0823" w:rsidRDefault="00FF0823" w14:paraId="302FB798" w14:textId="77777777"/>
        <w:p w:rsidR="00E3193B" w:rsidP="00BB58ED" w:rsidRDefault="0070255D" w14:paraId="1A789E64" w14:textId="7E258396">
          <w:r>
            <w:t>Op grond van de wet moeten n</w:t>
          </w:r>
          <w:r w:rsidR="00A3548A">
            <w:t>ieuwe p</w:t>
          </w:r>
          <w:r w:rsidR="00BB58ED">
            <w:t xml:space="preserve">artijen op de dag van kandidaatstelling </w:t>
          </w:r>
          <w:r w:rsidR="00A3548A">
            <w:t xml:space="preserve">voldoende </w:t>
          </w:r>
          <w:r w:rsidR="00BB58ED">
            <w:t xml:space="preserve">ondersteuningsverklaringen inleveren </w:t>
          </w:r>
          <w:r w:rsidR="00A3548A">
            <w:t>om mee te mogen doen</w:t>
          </w:r>
          <w:r w:rsidR="00183779">
            <w:t xml:space="preserve"> aan de verkiezingen</w:t>
          </w:r>
          <w:r w:rsidR="00A3548A">
            <w:t xml:space="preserve">. Dit geldt </w:t>
          </w:r>
          <w:r w:rsidR="00BB58ED">
            <w:t>als zij</w:t>
          </w:r>
          <w:r w:rsidR="00A235BC">
            <w:t xml:space="preserve"> </w:t>
          </w:r>
          <w:r w:rsidR="00BB58ED">
            <w:t>voor het eerst deelnemen of</w:t>
          </w:r>
          <w:r w:rsidR="00A235BC">
            <w:t xml:space="preserve"> </w:t>
          </w:r>
          <w:r w:rsidR="00BB58ED">
            <w:t>bij de vorige verkiezingen geen zetel hebben behaald</w:t>
          </w:r>
          <w:r w:rsidR="00A235BC">
            <w:t xml:space="preserve">. </w:t>
          </w:r>
          <w:r w:rsidR="0053694B">
            <w:t xml:space="preserve">Als de </w:t>
          </w:r>
          <w:r w:rsidR="00617B3D">
            <w:t>voorgestelde</w:t>
          </w:r>
          <w:r w:rsidR="0053694B">
            <w:t xml:space="preserve"> epidemieafdeling </w:t>
          </w:r>
          <w:r w:rsidR="00617B3D">
            <w:t>in werking</w:t>
          </w:r>
          <w:r w:rsidR="0053694B">
            <w:t xml:space="preserve"> </w:t>
          </w:r>
          <w:r w:rsidR="003A6F6B">
            <w:t>is</w:t>
          </w:r>
          <w:r w:rsidR="00617B3D">
            <w:t xml:space="preserve"> gesteld</w:t>
          </w:r>
          <w:r w:rsidR="0053694B">
            <w:t xml:space="preserve">, wordt </w:t>
          </w:r>
          <w:r w:rsidR="003608DA">
            <w:t>volgens het wetsvoorstel</w:t>
          </w:r>
          <w:r w:rsidR="0053694B">
            <w:t xml:space="preserve"> de termijn voor het afleggen </w:t>
          </w:r>
          <w:r w:rsidR="004563E7">
            <w:t>van</w:t>
          </w:r>
          <w:r w:rsidR="0053694B">
            <w:t xml:space="preserve"> </w:t>
          </w:r>
          <w:r w:rsidR="00142B63">
            <w:t xml:space="preserve">deze </w:t>
          </w:r>
          <w:r w:rsidR="0053694B">
            <w:t>ondersteuningsverklaringen verlengd</w:t>
          </w:r>
          <w:r w:rsidR="00406193">
            <w:t xml:space="preserve"> van twee naar vier </w:t>
          </w:r>
          <w:r w:rsidR="000F24C9">
            <w:t>weken</w:t>
          </w:r>
          <w:r w:rsidR="00A23098">
            <w:t>.</w:t>
          </w:r>
          <w:r w:rsidR="004563E7">
            <w:rPr>
              <w:rStyle w:val="Voetnootmarkering"/>
            </w:rPr>
            <w:footnoteReference w:id="33"/>
          </w:r>
          <w:r w:rsidR="00A23098">
            <w:t xml:space="preserve"> </w:t>
          </w:r>
          <w:r w:rsidR="00AE1D5E">
            <w:t xml:space="preserve">Dit hangt samen met de omstandigheid dat </w:t>
          </w:r>
          <w:r w:rsidR="00135BE1">
            <w:t>t</w:t>
          </w:r>
          <w:r w:rsidR="003800FF">
            <w:t xml:space="preserve">en tijde van een epidemie beperkende maatregelen </w:t>
          </w:r>
          <w:r w:rsidR="00135BE1">
            <w:t xml:space="preserve">kunnen </w:t>
          </w:r>
          <w:r w:rsidR="003800FF">
            <w:t xml:space="preserve">gelden </w:t>
          </w:r>
          <w:r w:rsidR="00497801">
            <w:t>zoals beperkte openingstijden van het gemeentehuis</w:t>
          </w:r>
          <w:r w:rsidR="00F35BF8">
            <w:t>. Door de termijn te verlengen wordt de</w:t>
          </w:r>
          <w:r w:rsidR="00ED0E45">
            <w:t>ze</w:t>
          </w:r>
          <w:r w:rsidR="00F35BF8">
            <w:t xml:space="preserve"> beperking gecompenseerd. </w:t>
          </w:r>
          <w:r w:rsidR="00E3193B">
            <w:t xml:space="preserve">De </w:t>
          </w:r>
          <w:r w:rsidR="004E6A9A">
            <w:t>toelichting</w:t>
          </w:r>
          <w:r w:rsidR="00E3193B">
            <w:t xml:space="preserve"> </w:t>
          </w:r>
          <w:r w:rsidR="00AF78BF">
            <w:t>ver</w:t>
          </w:r>
          <w:r w:rsidR="00E3193B">
            <w:t xml:space="preserve">meldt </w:t>
          </w:r>
          <w:r w:rsidR="00AF78BF">
            <w:t>met het oog daarop</w:t>
          </w:r>
          <w:r w:rsidR="00E3193B">
            <w:t xml:space="preserve"> dat </w:t>
          </w:r>
          <w:r w:rsidR="004E6A9A">
            <w:t>vooral</w:t>
          </w:r>
          <w:r w:rsidRPr="004E6A9A" w:rsidR="004E6A9A">
            <w:t xml:space="preserve"> in kleinere gemeenten nauwelijks ondersteuningsverklaringen </w:t>
          </w:r>
          <w:r w:rsidR="004E6A9A">
            <w:t xml:space="preserve">worden </w:t>
          </w:r>
          <w:r w:rsidRPr="004E6A9A" w:rsidR="004E6A9A">
            <w:t>afgelegd</w:t>
          </w:r>
          <w:r w:rsidR="004E6A9A">
            <w:t xml:space="preserve">, waardoor het niet </w:t>
          </w:r>
          <w:r w:rsidRPr="004E6A9A" w:rsidR="004E6A9A">
            <w:t xml:space="preserve">nodig </w:t>
          </w:r>
          <w:r w:rsidR="004E6A9A">
            <w:t xml:space="preserve">is </w:t>
          </w:r>
          <w:r w:rsidRPr="004E6A9A" w:rsidR="004E6A9A">
            <w:t xml:space="preserve">om te zorgen dat er </w:t>
          </w:r>
          <w:r w:rsidR="008D196B">
            <w:t xml:space="preserve">vier weken lang continu </w:t>
          </w:r>
          <w:r w:rsidRPr="004E6A9A" w:rsidR="004E6A9A">
            <w:t>deskundig personeel aanwezig is op het gemeentehuis.</w:t>
          </w:r>
          <w:r w:rsidR="00B53F92">
            <w:rPr>
              <w:rStyle w:val="Voetnootmarkering"/>
            </w:rPr>
            <w:footnoteReference w:id="34"/>
          </w:r>
          <w:r w:rsidRPr="004E6A9A" w:rsidR="004E6A9A">
            <w:t xml:space="preserve"> </w:t>
          </w:r>
        </w:p>
        <w:p w:rsidR="00E3193B" w:rsidP="00BB58ED" w:rsidRDefault="00E3193B" w14:paraId="43CE4C7D" w14:textId="77777777"/>
        <w:p w:rsidRPr="00704F5D" w:rsidR="00834931" w:rsidP="00704F5D" w:rsidRDefault="00FA2A9A" w14:paraId="3D262DD3" w14:textId="1532CFB5">
          <w:pPr>
            <w:rPr>
              <w:szCs w:val="22"/>
            </w:rPr>
          </w:pPr>
          <w:r>
            <w:t>De toelichting vermeld</w:t>
          </w:r>
          <w:r w:rsidR="001555C9">
            <w:t>t</w:t>
          </w:r>
          <w:r>
            <w:t xml:space="preserve"> dat </w:t>
          </w:r>
          <w:r w:rsidR="008F1593">
            <w:t xml:space="preserve">de minister van </w:t>
          </w:r>
          <w:r w:rsidR="00FC775E">
            <w:t>BZK</w:t>
          </w:r>
          <w:r w:rsidR="008F1593">
            <w:t xml:space="preserve"> per circulaire </w:t>
          </w:r>
          <w:r w:rsidR="00F75049">
            <w:t>gemeenten</w:t>
          </w:r>
          <w:r w:rsidR="008B4D82">
            <w:t>, al dan niet dringen</w:t>
          </w:r>
          <w:r w:rsidR="00EC779F">
            <w:t>d,</w:t>
          </w:r>
          <w:r w:rsidR="00F75049">
            <w:t xml:space="preserve"> </w:t>
          </w:r>
          <w:r w:rsidR="003E641B">
            <w:t xml:space="preserve">kan </w:t>
          </w:r>
          <w:r w:rsidR="00F75049">
            <w:t xml:space="preserve">adviseren </w:t>
          </w:r>
          <w:r w:rsidR="00FB1814">
            <w:t>over de inrichting van dit proces</w:t>
          </w:r>
          <w:r w:rsidR="00EC779F">
            <w:t>. Daar</w:t>
          </w:r>
          <w:r w:rsidR="00A15C07">
            <w:t xml:space="preserve">bij kan het blijkens de toelichting bijvoorbeeld gaan </w:t>
          </w:r>
          <w:r w:rsidR="008018CA">
            <w:t>om een verzoek aan gemeenten om in de eerste twee weken</w:t>
          </w:r>
          <w:r w:rsidR="003B2BE5">
            <w:t xml:space="preserve"> alleen op afspraak </w:t>
          </w:r>
          <w:r w:rsidR="00684C51">
            <w:t>te werken</w:t>
          </w:r>
          <w:r w:rsidR="00387E95">
            <w:t xml:space="preserve"> en om in de laatste twe</w:t>
          </w:r>
          <w:r w:rsidR="00DD635F">
            <w:t>e</w:t>
          </w:r>
          <w:r w:rsidR="00387E95">
            <w:t xml:space="preserve"> weken het afleggen van ondersteuningsverklaringen </w:t>
          </w:r>
          <w:r w:rsidR="000A6AAC">
            <w:t xml:space="preserve">ook zonder afspraak mogelijk te laten zijn. </w:t>
          </w:r>
          <w:r w:rsidRPr="00704F5D" w:rsidR="00834931">
            <w:rPr>
              <w:szCs w:val="22"/>
            </w:rPr>
            <w:t>Door gedurende een langere periode ondersteuningsverklaringen af te kunnen leggen, en tegelijk enkel in het laatste deel daarvan dit zonder afspraak te kunnen doen, kan er tijdens een epidemische situatie een balans worden gevonden tussen enerzijds het belang van politieke partijen en anderzijds de uitvoerbaarheid voor de gemeentelijke organisatie</w:t>
          </w:r>
          <w:r w:rsidR="007027F5">
            <w:rPr>
              <w:szCs w:val="22"/>
            </w:rPr>
            <w:t>, aldus de toelichting</w:t>
          </w:r>
          <w:r w:rsidRPr="00704F5D" w:rsidR="00834931">
            <w:rPr>
              <w:szCs w:val="22"/>
            </w:rPr>
            <w:t>.</w:t>
          </w:r>
          <w:r w:rsidR="00807B8C">
            <w:rPr>
              <w:szCs w:val="22"/>
            </w:rPr>
            <w:t xml:space="preserve"> </w:t>
          </w:r>
          <w:r w:rsidR="00807B8C">
            <w:t xml:space="preserve">De minister kan </w:t>
          </w:r>
          <w:r w:rsidR="002147E7">
            <w:t xml:space="preserve">om dat doel te bereiken </w:t>
          </w:r>
          <w:r w:rsidR="00807B8C">
            <w:t>echter geen bindende instructies geven omdat daartoe een wettelijke grondslag ontbreekt.</w:t>
          </w:r>
          <w:r w:rsidR="00807B8C">
            <w:rPr>
              <w:rStyle w:val="Voetnootmarkering"/>
            </w:rPr>
            <w:footnoteReference w:id="35"/>
          </w:r>
          <w:r w:rsidR="00807B8C">
            <w:t xml:space="preserve"> </w:t>
          </w:r>
        </w:p>
        <w:p w:rsidR="00834931" w:rsidP="00FB1814" w:rsidRDefault="00834931" w14:paraId="7C47155C" w14:textId="77777777"/>
        <w:p w:rsidR="00F461EE" w:rsidP="00FB1814" w:rsidRDefault="00FB1814" w14:paraId="7D013F22" w14:textId="5910D69E">
          <w:r>
            <w:t xml:space="preserve">De Afdeling </w:t>
          </w:r>
          <w:r w:rsidR="00F461EE">
            <w:t xml:space="preserve">acht </w:t>
          </w:r>
          <w:r w:rsidR="00421E05">
            <w:t xml:space="preserve">deze </w:t>
          </w:r>
          <w:r w:rsidR="00F461EE">
            <w:t>toelichting ontoereikend.</w:t>
          </w:r>
          <w:r w:rsidR="007027F5">
            <w:t xml:space="preserve"> Indien de aangegeven balans</w:t>
          </w:r>
          <w:r w:rsidR="00DD635F">
            <w:t xml:space="preserve"> tussen enerzijds het belang van politieke partijen en anderzijds de </w:t>
          </w:r>
          <w:r w:rsidR="00663944">
            <w:t xml:space="preserve">uitvoerbaarheid </w:t>
          </w:r>
          <w:r w:rsidR="00663944">
            <w:lastRenderedPageBreak/>
            <w:t xml:space="preserve">voor de gemeentelijke organisatie zodanig van belang is dat ministeriële bemoeienis op zijn plaats is, </w:t>
          </w:r>
          <w:r w:rsidR="004C61A2">
            <w:t xml:space="preserve">is een wettelijke </w:t>
          </w:r>
          <w:r w:rsidR="00D40F88">
            <w:t xml:space="preserve">basis </w:t>
          </w:r>
          <w:r w:rsidR="00A54C5D">
            <w:t xml:space="preserve">van een bevoegdheid daartoe </w:t>
          </w:r>
          <w:r w:rsidR="004C61A2">
            <w:t xml:space="preserve">geboden. </w:t>
          </w:r>
          <w:r w:rsidR="000E1530">
            <w:t>De toelichting motiveert niet waarom daarvoor niet is gekozen.</w:t>
          </w:r>
          <w:r w:rsidR="00F461EE">
            <w:t xml:space="preserve"> </w:t>
          </w:r>
        </w:p>
        <w:p w:rsidR="00FB1814" w:rsidP="00FB1814" w:rsidRDefault="00FB1814" w14:paraId="59AEB3DC" w14:textId="77777777"/>
        <w:p w:rsidR="00281F68" w:rsidRDefault="008F6082" w14:paraId="25ACBB70" w14:textId="760661C8">
          <w:r>
            <w:t xml:space="preserve">De Afdeling </w:t>
          </w:r>
          <w:r w:rsidRPr="00BF623A">
            <w:t xml:space="preserve">adviseert </w:t>
          </w:r>
          <w:r w:rsidR="00C32D6B">
            <w:t xml:space="preserve">in </w:t>
          </w:r>
          <w:r w:rsidRPr="00BF623A">
            <w:t xml:space="preserve">de toelichting op </w:t>
          </w:r>
          <w:r w:rsidR="005C6F7F">
            <w:t xml:space="preserve">het </w:t>
          </w:r>
          <w:r w:rsidR="00867A2B">
            <w:t>voorg</w:t>
          </w:r>
          <w:r w:rsidR="005C6F7F">
            <w:t>aande in te gaan en</w:t>
          </w:r>
          <w:r>
            <w:t xml:space="preserve"> het wetsvoorstel</w:t>
          </w:r>
          <w:r w:rsidR="005C6F7F">
            <w:t xml:space="preserve"> zo nodig aan te passen</w:t>
          </w:r>
          <w:r>
            <w:t>.</w:t>
          </w:r>
        </w:p>
      </w:sdtContent>
    </w:sdt>
    <w:p w:rsidR="003B36B6" w:rsidRDefault="003B36B6" w14:paraId="507FE214" w14:textId="5511072F"/>
    <w:p w:rsidR="00D365F2" w:rsidRDefault="00D365F2" w14:paraId="545B6F2C" w14:textId="77777777"/>
    <w:sdt>
      <w:sdtPr>
        <w:tag w:val="bmDictum"/>
        <w:id w:val="-204256451"/>
        <w:lock w:val="sdtLocked"/>
        <w:placeholder>
          <w:docPart w:val="C7A4CC6294924CB39F698AA2DFF345A8"/>
        </w:placeholder>
      </w:sdtPr>
      <w:sdtEndPr/>
      <w:sdtContent>
        <w:p w:rsidR="00D365F2" w:rsidRDefault="00DC3F2E" w14:paraId="094D81D3" w14:textId="707EE9EB">
          <w:r>
            <w:rPr>
              <w:rStyle w:val="Tekstvantijdelijkeaanduiding"/>
              <w:color w:val="000000"/>
            </w:rPr>
            <w:t xml:space="preserve">De Afdeling advisering van de Raad van State heeft een aantal opmerkingen bij het voorstel en adviseert daarmee rekening te houden voordat het voorstel bij de Tweede Kamer der Staten-Generaal wordt ingediend. </w:t>
          </w:r>
          <w:r>
            <w:rPr>
              <w:rStyle w:val="Tekstvantijdelijkeaanduiding"/>
              <w:color w:val="000000"/>
            </w:rPr>
            <w:br/>
          </w:r>
          <w:r>
            <w:rPr>
              <w:rStyle w:val="Tekstvantijdelijkeaanduiding"/>
              <w:color w:val="000000"/>
            </w:rPr>
            <w:br/>
          </w:r>
          <w:r>
            <w:rPr>
              <w:rStyle w:val="Tekstvantijdelijkeaanduiding"/>
              <w:color w:val="000000"/>
            </w:rPr>
            <w:br/>
          </w:r>
          <w:r>
            <w:rPr>
              <w:rStyle w:val="Tekstvantijdelijkeaanduiding"/>
              <w:color w:val="000000"/>
            </w:rPr>
            <w:br/>
          </w:r>
          <w:r>
            <w:rPr>
              <w:rStyle w:val="Tekstvantijdelijkeaanduiding"/>
              <w:color w:val="000000"/>
            </w:rPr>
            <w:br/>
          </w:r>
          <w:r>
            <w:rPr>
              <w:rStyle w:val="Tekstvantijdelijkeaanduiding"/>
              <w:color w:val="000000"/>
            </w:rPr>
            <w:br/>
            <w:t xml:space="preserve">De </w:t>
          </w:r>
          <w:proofErr w:type="spellStart"/>
          <w:r>
            <w:rPr>
              <w:rStyle w:val="Tekstvantijdelijkeaanduiding"/>
              <w:color w:val="000000"/>
            </w:rPr>
            <w:t>vice-president</w:t>
          </w:r>
          <w:proofErr w:type="spellEnd"/>
          <w:r>
            <w:rPr>
              <w:rStyle w:val="Tekstvantijdelijkeaanduiding"/>
              <w:color w:val="000000"/>
            </w:rPr>
            <w:t xml:space="preserve"> van de Raad van State,</w:t>
          </w:r>
        </w:p>
      </w:sdtContent>
    </w:sdt>
    <w:p w:rsidR="00862415" w:rsidRDefault="00862415" w14:paraId="32BB8FC7" w14:textId="4C61777A"/>
    <w:sectPr w:rsidR="00862415" w:rsidSect="008E05F1">
      <w:headerReference w:type="even" r:id="rId12"/>
      <w:headerReference w:type="default" r:id="rId13"/>
      <w:footerReference w:type="even" r:id="rId14"/>
      <w:footerReference w:type="default" r:id="rId15"/>
      <w:headerReference w:type="first" r:id="rId16"/>
      <w:footerReference w:type="first" r:id="rId17"/>
      <w:pgSz w:w="11906" w:h="16838"/>
      <w:pgMar w:top="2523" w:right="1418" w:bottom="1418" w:left="1985" w:header="709" w:footer="709" w:gutter="0"/>
      <w:cols w:space="708"/>
      <w:titlePg/>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61273CE" w14:textId="77777777" w:rsidR="002630A8" w:rsidRDefault="002630A8">
      <w:r>
        <w:separator/>
      </w:r>
    </w:p>
  </w:endnote>
  <w:endnote w:type="continuationSeparator" w:id="0">
    <w:p w14:paraId="76BEECE6" w14:textId="77777777" w:rsidR="002630A8" w:rsidRDefault="002630A8">
      <w:r>
        <w:continuationSeparator/>
      </w:r>
    </w:p>
  </w:endnote>
  <w:endnote w:type="continuationNotice" w:id="1">
    <w:p w14:paraId="47FF5036" w14:textId="77777777" w:rsidR="002630A8" w:rsidRDefault="002630A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Univers">
    <w:altName w:val="Arial"/>
    <w:panose1 w:val="020B0603020202030204"/>
    <w:charset w:val="00"/>
    <w:family w:val="swiss"/>
    <w:pitch w:val="variable"/>
    <w:sig w:usb0="00000007" w:usb1="00000000" w:usb2="00000000" w:usb3="00000000" w:csb0="00000013" w:csb1="00000000"/>
  </w:font>
  <w:font w:name="Arial">
    <w:panose1 w:val="020B0604020202020204"/>
    <w:charset w:val="00"/>
    <w:family w:val="swiss"/>
    <w:pitch w:val="variable"/>
    <w:sig w:usb0="E0002EFF" w:usb1="C000785B" w:usb2="00000009" w:usb3="00000000" w:csb0="000001FF" w:csb1="00000000"/>
  </w:font>
  <w:font w:name="Bembo">
    <w:panose1 w:val="02020502050201020203"/>
    <w:charset w:val="00"/>
    <w:family w:val="roman"/>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347D3A" w14:textId="77777777" w:rsidR="00281F68" w:rsidRDefault="00281F68">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elraster"/>
      <w:tblW w:w="0" w:type="auto"/>
      <w:tblBorders>
        <w:top w:val="nil"/>
        <w:left w:val="nil"/>
        <w:bottom w:val="nil"/>
        <w:right w:val="nil"/>
        <w:insideH w:val="nil"/>
        <w:insideV w:val="nil"/>
      </w:tblBorders>
      <w:tblLook w:val="04A0" w:firstRow="1" w:lastRow="0" w:firstColumn="1" w:lastColumn="0" w:noHBand="0" w:noVBand="1"/>
    </w:tblPr>
    <w:tblGrid>
      <w:gridCol w:w="4517"/>
      <w:gridCol w:w="3986"/>
    </w:tblGrid>
    <w:tr w:rsidR="00827EAE" w14:paraId="25ACBB78" w14:textId="77777777" w:rsidTr="00281F68">
      <w:tc>
        <w:tcPr>
          <w:tcW w:w="4815" w:type="dxa"/>
        </w:tcPr>
        <w:p w14:paraId="25ACBB76" w14:textId="77777777" w:rsidR="00281F68" w:rsidRDefault="00281F68" w:rsidP="00281F68">
          <w:pPr>
            <w:pStyle w:val="Voettekst"/>
          </w:pPr>
        </w:p>
      </w:tc>
      <w:tc>
        <w:tcPr>
          <w:tcW w:w="4247" w:type="dxa"/>
        </w:tcPr>
        <w:p w14:paraId="25ACBB77" w14:textId="77777777" w:rsidR="00281F68" w:rsidRDefault="00281F68" w:rsidP="00281F68">
          <w:pPr>
            <w:pStyle w:val="Voettekst"/>
            <w:jc w:val="right"/>
          </w:pPr>
        </w:p>
      </w:tc>
    </w:tr>
  </w:tbl>
  <w:p w14:paraId="25ACBB79" w14:textId="77777777" w:rsidR="00281F68" w:rsidRDefault="00281F68">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5DE176" w14:textId="6CF24ED5" w:rsidR="00DC3F2E" w:rsidRPr="00DC3F2E" w:rsidRDefault="00DC3F2E">
    <w:pPr>
      <w:pStyle w:val="Voettekst"/>
      <w:rPr>
        <w:rFonts w:ascii="Bembo" w:hAnsi="Bembo"/>
        <w:sz w:val="32"/>
      </w:rPr>
    </w:pPr>
    <w:r w:rsidRPr="00DC3F2E">
      <w:rPr>
        <w:rFonts w:ascii="Bembo" w:hAnsi="Bembo"/>
        <w:sz w:val="32"/>
      </w:rPr>
      <w:t>AAN DE KONING</w:t>
    </w:r>
  </w:p>
  <w:p w14:paraId="6F0C12EC" w14:textId="77777777" w:rsidR="00281F68" w:rsidRDefault="00281F68">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6EB973F" w14:textId="77777777" w:rsidR="002630A8" w:rsidRDefault="002630A8">
      <w:r>
        <w:separator/>
      </w:r>
    </w:p>
  </w:footnote>
  <w:footnote w:type="continuationSeparator" w:id="0">
    <w:p w14:paraId="1A24C60D" w14:textId="77777777" w:rsidR="002630A8" w:rsidRDefault="002630A8">
      <w:r>
        <w:continuationSeparator/>
      </w:r>
    </w:p>
  </w:footnote>
  <w:footnote w:type="continuationNotice" w:id="1">
    <w:p w14:paraId="065F9471" w14:textId="77777777" w:rsidR="002630A8" w:rsidRDefault="002630A8"/>
  </w:footnote>
  <w:footnote w:id="2">
    <w:p w14:paraId="304BAD1F" w14:textId="0F1E2D55" w:rsidR="007D1476" w:rsidRDefault="007D1476" w:rsidP="007D1476">
      <w:pPr>
        <w:pStyle w:val="Voetnoottekst"/>
      </w:pPr>
      <w:r>
        <w:rPr>
          <w:rStyle w:val="Voetnootmarkering"/>
        </w:rPr>
        <w:footnoteRef/>
      </w:r>
      <w:r>
        <w:t xml:space="preserve"> </w:t>
      </w:r>
      <w:r w:rsidR="00611E2F">
        <w:t>Kamerstukken I</w:t>
      </w:r>
      <w:r w:rsidR="009F3A37">
        <w:t xml:space="preserve"> 2022/23, </w:t>
      </w:r>
      <w:r w:rsidR="00BB64D6">
        <w:t>36194</w:t>
      </w:r>
      <w:r w:rsidR="009B2260">
        <w:t xml:space="preserve"> A.</w:t>
      </w:r>
      <w:r>
        <w:t xml:space="preserve"> D</w:t>
      </w:r>
      <w:r w:rsidR="005256D7">
        <w:t>it wetsontwerp</w:t>
      </w:r>
      <w:r>
        <w:t xml:space="preserve"> </w:t>
      </w:r>
      <w:r w:rsidR="003846C0">
        <w:t xml:space="preserve">tot wijziging van de </w:t>
      </w:r>
      <w:proofErr w:type="spellStart"/>
      <w:r w:rsidR="003846C0">
        <w:t>Wpg</w:t>
      </w:r>
      <w:proofErr w:type="spellEnd"/>
      <w:r w:rsidR="003846C0">
        <w:t xml:space="preserve"> </w:t>
      </w:r>
      <w:r w:rsidR="004F5DC1">
        <w:t xml:space="preserve">ten behoeve van de ‘pandemische paraatheid’ </w:t>
      </w:r>
      <w:r w:rsidR="0052269D" w:rsidRPr="00083033">
        <w:t xml:space="preserve">is </w:t>
      </w:r>
      <w:r w:rsidR="00F74BC9" w:rsidRPr="00083033">
        <w:rPr>
          <w:color w:val="0A0A0A"/>
          <w:shd w:val="clear" w:color="auto" w:fill="FEFEFE"/>
        </w:rPr>
        <w:t>op 20 december</w:t>
      </w:r>
      <w:r w:rsidR="00EA4D6A" w:rsidRPr="00083033">
        <w:rPr>
          <w:color w:val="0A0A0A"/>
          <w:shd w:val="clear" w:color="auto" w:fill="FEFEFE"/>
        </w:rPr>
        <w:t xml:space="preserve"> </w:t>
      </w:r>
      <w:r w:rsidR="00F74BC9" w:rsidRPr="00F36203">
        <w:t>2022</w:t>
      </w:r>
      <w:r w:rsidR="000C29C2" w:rsidRPr="00F36203">
        <w:t xml:space="preserve"> </w:t>
      </w:r>
      <w:hyperlink r:id="rId1" w:history="1">
        <w:r w:rsidR="00F74BC9" w:rsidRPr="00F36203">
          <w:t>aangenomen</w:t>
        </w:r>
      </w:hyperlink>
      <w:r w:rsidR="000C29C2" w:rsidRPr="00083033">
        <w:t xml:space="preserve"> </w:t>
      </w:r>
      <w:r w:rsidR="00F74BC9" w:rsidRPr="00F36203">
        <w:t xml:space="preserve">door de Tweede Kamer en </w:t>
      </w:r>
      <w:r w:rsidRPr="00083033">
        <w:t>l</w:t>
      </w:r>
      <w:r w:rsidR="00F74BC9" w:rsidRPr="00083033">
        <w:t>ag</w:t>
      </w:r>
      <w:r>
        <w:t xml:space="preserve"> </w:t>
      </w:r>
      <w:r w:rsidR="0099652C">
        <w:t xml:space="preserve">op het moment van </w:t>
      </w:r>
      <w:r w:rsidR="00F74BC9" w:rsidRPr="00083033">
        <w:t xml:space="preserve">vaststelling van dit advies </w:t>
      </w:r>
      <w:r>
        <w:t>voor bij de Eerste Kamer</w:t>
      </w:r>
      <w:r w:rsidR="00E23320">
        <w:t>.</w:t>
      </w:r>
    </w:p>
  </w:footnote>
  <w:footnote w:id="3">
    <w:p w14:paraId="11257250" w14:textId="2C398C43" w:rsidR="00621725" w:rsidRDefault="00621725">
      <w:pPr>
        <w:pStyle w:val="Voetnoottekst"/>
      </w:pPr>
      <w:r>
        <w:rPr>
          <w:rStyle w:val="Voetnootmarkering"/>
        </w:rPr>
        <w:footnoteRef/>
      </w:r>
      <w:r>
        <w:t xml:space="preserve"> </w:t>
      </w:r>
      <w:r w:rsidR="00C72C4B">
        <w:t>Besluit van 4 november 2020 tot vaststelling van het tijdstip van inwerkingtreding van de Tijdelijke wet verkiezingen covid-19 en het Tijdelijke besluit verkiezingen covid-19, Stb.</w:t>
      </w:r>
      <w:r w:rsidR="00286567">
        <w:t xml:space="preserve"> 2020, 428. </w:t>
      </w:r>
    </w:p>
  </w:footnote>
  <w:footnote w:id="4">
    <w:p w14:paraId="3B10F2E8" w14:textId="401BADA0" w:rsidR="00286567" w:rsidRDefault="00286567" w:rsidP="0055204B">
      <w:pPr>
        <w:pStyle w:val="Voetnoottekst"/>
      </w:pPr>
      <w:r>
        <w:rPr>
          <w:rStyle w:val="Voetnootmarkering"/>
        </w:rPr>
        <w:footnoteRef/>
      </w:r>
      <w:r w:rsidR="0055204B">
        <w:t xml:space="preserve"> Wet van 27 januari tot Wijziging van de Tijdelijke wet verkiezingen covid-19 ten behoeve van de verkiezingen van de leden van de Tweede Kamer in 2021 (</w:t>
      </w:r>
      <w:r>
        <w:t>Tijdelijke wet Tweede</w:t>
      </w:r>
      <w:r w:rsidR="00E721CA">
        <w:t xml:space="preserve"> Kamerverkiezing</w:t>
      </w:r>
      <w:r>
        <w:t xml:space="preserve"> covid</w:t>
      </w:r>
      <w:r w:rsidR="0055204B">
        <w:t xml:space="preserve">-19), Stb. 2021, 36. </w:t>
      </w:r>
    </w:p>
  </w:footnote>
  <w:footnote w:id="5">
    <w:p w14:paraId="42B875D7" w14:textId="208619BF" w:rsidR="0055204B" w:rsidRDefault="0055204B">
      <w:pPr>
        <w:pStyle w:val="Voetnoottekst"/>
      </w:pPr>
      <w:r>
        <w:rPr>
          <w:rStyle w:val="Voetnootmarkering"/>
        </w:rPr>
        <w:footnoteRef/>
      </w:r>
      <w:r>
        <w:t xml:space="preserve"> </w:t>
      </w:r>
      <w:r w:rsidR="001A0151">
        <w:t xml:space="preserve">Wet van 29 september 2021 tot wijziging van de Tijdelijke wet verkiezingen covid-19 in verband met </w:t>
      </w:r>
      <w:proofErr w:type="spellStart"/>
      <w:r w:rsidR="001A0151">
        <w:t>afschaling</w:t>
      </w:r>
      <w:proofErr w:type="spellEnd"/>
      <w:r w:rsidR="001A0151">
        <w:t xml:space="preserve"> van bijzondere maatregelen vanwege covid-19 bij verkiezingen</w:t>
      </w:r>
      <w:r w:rsidR="00D17F40">
        <w:t>, Stb</w:t>
      </w:r>
      <w:r w:rsidR="00700770">
        <w:t>.</w:t>
      </w:r>
      <w:r w:rsidR="00623BB9">
        <w:t xml:space="preserve"> 2021, 456</w:t>
      </w:r>
      <w:r w:rsidR="001A0151">
        <w:t xml:space="preserve">. </w:t>
      </w:r>
    </w:p>
  </w:footnote>
  <w:footnote w:id="6">
    <w:p w14:paraId="36BC9F0F" w14:textId="2C96F0AD" w:rsidR="001A0151" w:rsidRDefault="001A0151">
      <w:pPr>
        <w:pStyle w:val="Voetnoottekst"/>
      </w:pPr>
      <w:r>
        <w:rPr>
          <w:rStyle w:val="Voetnootmarkering"/>
        </w:rPr>
        <w:footnoteRef/>
      </w:r>
      <w:r>
        <w:t xml:space="preserve"> </w:t>
      </w:r>
      <w:r w:rsidR="00B0021C">
        <w:t xml:space="preserve">Enig artikel van het </w:t>
      </w:r>
      <w:r w:rsidR="00040514">
        <w:t>Besluit van 3 december 2021, houdende verl</w:t>
      </w:r>
      <w:r w:rsidR="00B0021C">
        <w:t>enging van de geldingsduur van de Tijdelijke wet verkiezingen covid-19, Stb.</w:t>
      </w:r>
      <w:r w:rsidR="009C6533">
        <w:t xml:space="preserve"> 2021, 598. </w:t>
      </w:r>
    </w:p>
  </w:footnote>
  <w:footnote w:id="7">
    <w:p w14:paraId="3E5A1AC6" w14:textId="50B2C7FB" w:rsidR="00860CF3" w:rsidRDefault="00860CF3">
      <w:pPr>
        <w:pStyle w:val="Voetnoottekst"/>
      </w:pPr>
      <w:r>
        <w:rPr>
          <w:rStyle w:val="Voetnootmarkering"/>
        </w:rPr>
        <w:footnoteRef/>
      </w:r>
      <w:r>
        <w:t xml:space="preserve"> Artikelen Yb</w:t>
      </w:r>
      <w:r w:rsidR="00E6581C">
        <w:t xml:space="preserve"> </w:t>
      </w:r>
      <w:r>
        <w:t>2 en Yb</w:t>
      </w:r>
      <w:r w:rsidR="00E6581C">
        <w:t xml:space="preserve"> </w:t>
      </w:r>
      <w:r>
        <w:t>3</w:t>
      </w:r>
      <w:r w:rsidR="00D74F0B">
        <w:t>.</w:t>
      </w:r>
    </w:p>
  </w:footnote>
  <w:footnote w:id="8">
    <w:p w14:paraId="4066D0A1" w14:textId="75AEDB7F" w:rsidR="00A108A4" w:rsidRDefault="00A108A4">
      <w:pPr>
        <w:pStyle w:val="Voetnoottekst"/>
      </w:pPr>
      <w:r>
        <w:rPr>
          <w:rStyle w:val="Voetnootmarkering"/>
        </w:rPr>
        <w:footnoteRef/>
      </w:r>
      <w:r>
        <w:t xml:space="preserve"> Artikel Yb</w:t>
      </w:r>
      <w:r w:rsidR="00E6581C">
        <w:t xml:space="preserve"> </w:t>
      </w:r>
      <w:r>
        <w:t xml:space="preserve">10. </w:t>
      </w:r>
    </w:p>
  </w:footnote>
  <w:footnote w:id="9">
    <w:p w14:paraId="107827C7" w14:textId="502785E1" w:rsidR="007C00AC" w:rsidRDefault="007C00AC">
      <w:pPr>
        <w:pStyle w:val="Voetnoottekst"/>
      </w:pPr>
      <w:r>
        <w:rPr>
          <w:rStyle w:val="Voetnootmarkering"/>
        </w:rPr>
        <w:footnoteRef/>
      </w:r>
      <w:r>
        <w:t xml:space="preserve"> Artikel Yb</w:t>
      </w:r>
      <w:r w:rsidR="00E6581C">
        <w:t xml:space="preserve"> </w:t>
      </w:r>
      <w:r>
        <w:t xml:space="preserve">8. </w:t>
      </w:r>
    </w:p>
  </w:footnote>
  <w:footnote w:id="10">
    <w:p w14:paraId="1215D6D4" w14:textId="1747F490" w:rsidR="007C00AC" w:rsidRDefault="007C00AC">
      <w:pPr>
        <w:pStyle w:val="Voetnoottekst"/>
      </w:pPr>
      <w:r>
        <w:rPr>
          <w:rStyle w:val="Voetnootmarkering"/>
        </w:rPr>
        <w:footnoteRef/>
      </w:r>
      <w:r>
        <w:t xml:space="preserve"> Artikel Yb</w:t>
      </w:r>
      <w:r w:rsidR="00E6581C">
        <w:t xml:space="preserve"> </w:t>
      </w:r>
      <w:r>
        <w:t xml:space="preserve">4. </w:t>
      </w:r>
    </w:p>
  </w:footnote>
  <w:footnote w:id="11">
    <w:p w14:paraId="17140BAD" w14:textId="3E7DFA66" w:rsidR="00495323" w:rsidRDefault="00495323">
      <w:pPr>
        <w:pStyle w:val="Voetnoottekst"/>
      </w:pPr>
      <w:r>
        <w:rPr>
          <w:rStyle w:val="Voetnootmarkering"/>
        </w:rPr>
        <w:footnoteRef/>
      </w:r>
      <w:r>
        <w:t xml:space="preserve"> Artikel Yb</w:t>
      </w:r>
      <w:r w:rsidR="00E6581C">
        <w:t xml:space="preserve"> </w:t>
      </w:r>
      <w:r>
        <w:t xml:space="preserve">11. </w:t>
      </w:r>
    </w:p>
  </w:footnote>
  <w:footnote w:id="12">
    <w:p w14:paraId="7BB87A94" w14:textId="01FBFCD7" w:rsidR="00A108A4" w:rsidRDefault="00A108A4">
      <w:pPr>
        <w:pStyle w:val="Voetnoottekst"/>
      </w:pPr>
      <w:r>
        <w:rPr>
          <w:rStyle w:val="Voetnootmarkering"/>
        </w:rPr>
        <w:footnoteRef/>
      </w:r>
      <w:r>
        <w:t xml:space="preserve"> Artikel Yb</w:t>
      </w:r>
      <w:r w:rsidR="00E6581C">
        <w:t xml:space="preserve"> </w:t>
      </w:r>
      <w:r>
        <w:t>9.</w:t>
      </w:r>
    </w:p>
  </w:footnote>
  <w:footnote w:id="13">
    <w:p w14:paraId="37F04055" w14:textId="3B1F7928" w:rsidR="009C64A9" w:rsidRDefault="009C64A9">
      <w:pPr>
        <w:pStyle w:val="Voetnoottekst"/>
      </w:pPr>
      <w:r>
        <w:rPr>
          <w:rStyle w:val="Voetnootmarkering"/>
        </w:rPr>
        <w:footnoteRef/>
      </w:r>
      <w:r>
        <w:t xml:space="preserve"> Artikel Yb</w:t>
      </w:r>
      <w:r w:rsidR="00E6581C">
        <w:t xml:space="preserve"> </w:t>
      </w:r>
      <w:r>
        <w:t xml:space="preserve">5. </w:t>
      </w:r>
    </w:p>
  </w:footnote>
  <w:footnote w:id="14">
    <w:p w14:paraId="45CBE161" w14:textId="4177BE16" w:rsidR="00FC0927" w:rsidRDefault="00FC0927">
      <w:pPr>
        <w:pStyle w:val="Voetnoottekst"/>
      </w:pPr>
      <w:r>
        <w:rPr>
          <w:rStyle w:val="Voetnootmarkering"/>
        </w:rPr>
        <w:footnoteRef/>
      </w:r>
      <w:r>
        <w:t xml:space="preserve"> Artikel Yb</w:t>
      </w:r>
      <w:r w:rsidR="00E6581C">
        <w:t xml:space="preserve"> </w:t>
      </w:r>
      <w:r>
        <w:t xml:space="preserve">6. </w:t>
      </w:r>
    </w:p>
  </w:footnote>
  <w:footnote w:id="15">
    <w:p w14:paraId="687939AB" w14:textId="61B762F2" w:rsidR="00421E05" w:rsidRDefault="00421E05">
      <w:pPr>
        <w:pStyle w:val="Voetnoottekst"/>
      </w:pPr>
      <w:r>
        <w:rPr>
          <w:rStyle w:val="Voetnootmarkering"/>
        </w:rPr>
        <w:footnoteRef/>
      </w:r>
      <w:r>
        <w:t xml:space="preserve"> A</w:t>
      </w:r>
      <w:r w:rsidRPr="00421E05">
        <w:t>rtikel 4, en 53-59 van de Grondwet</w:t>
      </w:r>
    </w:p>
  </w:footnote>
  <w:footnote w:id="16">
    <w:p w14:paraId="1DF0AAA1" w14:textId="2521BA5B" w:rsidR="00A32F0D" w:rsidRDefault="00A32F0D">
      <w:pPr>
        <w:pStyle w:val="Voetnoottekst"/>
      </w:pPr>
      <w:r>
        <w:rPr>
          <w:rStyle w:val="Voetnootmarkering"/>
        </w:rPr>
        <w:footnoteRef/>
      </w:r>
      <w:r>
        <w:t xml:space="preserve"> Artikel 53 tweede lid van de Grondwet.</w:t>
      </w:r>
    </w:p>
  </w:footnote>
  <w:footnote w:id="17">
    <w:p w14:paraId="55C44D54" w14:textId="60DAC91B" w:rsidR="00414A07" w:rsidRDefault="00414A07">
      <w:pPr>
        <w:pStyle w:val="Voetnoottekst"/>
      </w:pPr>
      <w:r>
        <w:rPr>
          <w:rStyle w:val="Voetnootmarkering"/>
        </w:rPr>
        <w:footnoteRef/>
      </w:r>
      <w:r>
        <w:t xml:space="preserve"> </w:t>
      </w:r>
      <w:r w:rsidR="00FE6716">
        <w:t>Advies</w:t>
      </w:r>
      <w:r>
        <w:t xml:space="preserve"> van de Afdeling advisering bij de Wet inrichting verkiezingsproces</w:t>
      </w:r>
      <w:r w:rsidR="00FE6716">
        <w:t xml:space="preserve">, 13 april 2010, </w:t>
      </w:r>
      <w:r w:rsidR="00FE6716" w:rsidRPr="00FE6716">
        <w:t>W04.10.0038/I</w:t>
      </w:r>
      <w:r w:rsidR="00FE6716">
        <w:t>.</w:t>
      </w:r>
    </w:p>
  </w:footnote>
  <w:footnote w:id="18">
    <w:p w14:paraId="623E11E2" w14:textId="2D39C6D1" w:rsidR="00450CE7" w:rsidRDefault="00450CE7">
      <w:pPr>
        <w:pStyle w:val="Voetnoottekst"/>
      </w:pPr>
      <w:r>
        <w:rPr>
          <w:rStyle w:val="Voetnootmarkering"/>
        </w:rPr>
        <w:footnoteRef/>
      </w:r>
      <w:r>
        <w:t xml:space="preserve"> </w:t>
      </w:r>
      <w:r w:rsidR="003D0A25" w:rsidRPr="003D0A25">
        <w:t>Ongevraagd advies 'van noodwet tot crisisrecht'</w:t>
      </w:r>
      <w:r w:rsidR="004D71B7">
        <w:t xml:space="preserve"> van de Afdeling advisering</w:t>
      </w:r>
      <w:r w:rsidR="00D82847">
        <w:t>,</w:t>
      </w:r>
      <w:r w:rsidR="004D71B7">
        <w:t xml:space="preserve"> 15 december 201, </w:t>
      </w:r>
      <w:r w:rsidR="00D82847" w:rsidRPr="00D82847">
        <w:t>W04.21.0291/I</w:t>
      </w:r>
      <w:r w:rsidR="003D0A25" w:rsidRPr="003D0A25">
        <w:t>.</w:t>
      </w:r>
    </w:p>
  </w:footnote>
  <w:footnote w:id="19">
    <w:p w14:paraId="1BF4762D" w14:textId="7CEF210C" w:rsidR="004A132B" w:rsidRDefault="004A132B">
      <w:pPr>
        <w:pStyle w:val="Voetnoottekst"/>
      </w:pPr>
      <w:r>
        <w:rPr>
          <w:rStyle w:val="Voetnootmarkering"/>
        </w:rPr>
        <w:footnoteRef/>
      </w:r>
      <w:r>
        <w:t xml:space="preserve"> </w:t>
      </w:r>
      <w:proofErr w:type="spellStart"/>
      <w:r w:rsidR="00AA4339">
        <w:t>Wpg</w:t>
      </w:r>
      <w:proofErr w:type="spellEnd"/>
      <w:r w:rsidR="00AA4339">
        <w:t xml:space="preserve">, </w:t>
      </w:r>
      <w:r w:rsidR="00E5037F">
        <w:t>Artikel 58</w:t>
      </w:r>
      <w:r w:rsidR="00E5037F">
        <w:rPr>
          <w:vertAlign w:val="superscript"/>
        </w:rPr>
        <w:t xml:space="preserve"> </w:t>
      </w:r>
      <w:r w:rsidR="00E5037F">
        <w:t xml:space="preserve">e </w:t>
      </w:r>
      <w:r w:rsidR="00FC0D07">
        <w:t>‘</w:t>
      </w:r>
      <w:r w:rsidR="00E5037F">
        <w:t>Differentiatie, ontheffing en lokaal maatwerk</w:t>
      </w:r>
      <w:r w:rsidR="00FC0D07">
        <w:t>’</w:t>
      </w:r>
      <w:r w:rsidR="00E5037F">
        <w:t>.</w:t>
      </w:r>
    </w:p>
  </w:footnote>
  <w:footnote w:id="20">
    <w:p w14:paraId="5A675B34" w14:textId="77777777" w:rsidR="00A83672" w:rsidRDefault="00A83672" w:rsidP="00A83672">
      <w:pPr>
        <w:pStyle w:val="Voetnoottekst"/>
      </w:pPr>
      <w:r>
        <w:rPr>
          <w:rStyle w:val="Voetnootmarkering"/>
        </w:rPr>
        <w:footnoteRef/>
      </w:r>
      <w:r>
        <w:t xml:space="preserve"> Uit artikel Yb 1, eerste lid, alsmede de toelichting blijkt dat onderscheid enkel mogelijk is tussen Caribisch en Europees Nederland en tussen Bonaire, Sint Eustatius en Saba en niet tussen gemeenten in Europees Nederland. </w:t>
      </w:r>
    </w:p>
  </w:footnote>
  <w:footnote w:id="21">
    <w:p w14:paraId="07EBCFE4" w14:textId="77777777" w:rsidR="00AC476F" w:rsidRDefault="00AC476F" w:rsidP="00AC476F">
      <w:pPr>
        <w:pStyle w:val="Voetnoottekst"/>
      </w:pPr>
      <w:r>
        <w:rPr>
          <w:rStyle w:val="Voetnootmarkering"/>
        </w:rPr>
        <w:footnoteRef/>
      </w:r>
      <w:r>
        <w:t xml:space="preserve"> Zie bijvoorbeeld Yb 8 en Yb 9. </w:t>
      </w:r>
    </w:p>
  </w:footnote>
  <w:footnote w:id="22">
    <w:p w14:paraId="3DF3DDD6" w14:textId="0B9A50CD" w:rsidR="00C536A6" w:rsidRDefault="00C536A6">
      <w:pPr>
        <w:pStyle w:val="Voetnoottekst"/>
      </w:pPr>
      <w:r>
        <w:rPr>
          <w:rStyle w:val="Voetnootmarkering"/>
        </w:rPr>
        <w:footnoteRef/>
      </w:r>
      <w:r>
        <w:t xml:space="preserve"> </w:t>
      </w:r>
      <w:proofErr w:type="spellStart"/>
      <w:r w:rsidR="00761EC6">
        <w:t>Wpg</w:t>
      </w:r>
      <w:proofErr w:type="spellEnd"/>
      <w:r w:rsidR="00761EC6">
        <w:t>, Artikel 58</w:t>
      </w:r>
      <w:r w:rsidR="00761EC6">
        <w:rPr>
          <w:vertAlign w:val="superscript"/>
        </w:rPr>
        <w:t xml:space="preserve"> </w:t>
      </w:r>
      <w:r w:rsidR="00761EC6">
        <w:t>e ‘Differentiatie, ontheffing en lokaal maatwerk’.</w:t>
      </w:r>
    </w:p>
  </w:footnote>
  <w:footnote w:id="23">
    <w:p w14:paraId="08CCF8DF" w14:textId="6F7A84F5" w:rsidR="002A2651" w:rsidRDefault="002A2651">
      <w:pPr>
        <w:pStyle w:val="Voetnoottekst"/>
      </w:pPr>
      <w:r>
        <w:rPr>
          <w:rStyle w:val="Voetnootmarkering"/>
        </w:rPr>
        <w:footnoteRef/>
      </w:r>
      <w:r>
        <w:t xml:space="preserve"> </w:t>
      </w:r>
      <w:proofErr w:type="spellStart"/>
      <w:r>
        <w:t>Onderzoeksraad</w:t>
      </w:r>
      <w:proofErr w:type="spellEnd"/>
      <w:r>
        <w:t xml:space="preserve"> voor Veiligheid, </w:t>
      </w:r>
      <w:r w:rsidR="004E5138" w:rsidRPr="004E5138">
        <w:t>Aanpak coronacrisis</w:t>
      </w:r>
      <w:r w:rsidR="004E5138">
        <w:t xml:space="preserve">, Deel1, </w:t>
      </w:r>
      <w:r w:rsidR="007217A3" w:rsidRPr="007217A3">
        <w:t>februari 2022</w:t>
      </w:r>
      <w:r w:rsidR="001F24F7">
        <w:t xml:space="preserve">, </w:t>
      </w:r>
      <w:r w:rsidR="007E1E04">
        <w:t>h</w:t>
      </w:r>
      <w:r w:rsidR="001F24F7">
        <w:t>oofdstuk 7 ‘</w:t>
      </w:r>
      <w:r w:rsidR="00D45E34">
        <w:t>V</w:t>
      </w:r>
      <w:r w:rsidR="001F24F7">
        <w:t>erpleeghuizen’.</w:t>
      </w:r>
    </w:p>
  </w:footnote>
  <w:footnote w:id="24">
    <w:p w14:paraId="3CF07A32" w14:textId="159AAF83" w:rsidR="004D0C97" w:rsidRDefault="004D0C97">
      <w:pPr>
        <w:pStyle w:val="Voetnoottekst"/>
      </w:pPr>
      <w:r>
        <w:rPr>
          <w:rStyle w:val="Voetnootmarkering"/>
        </w:rPr>
        <w:footnoteRef/>
      </w:r>
      <w:r>
        <w:t xml:space="preserve"> Toelichting</w:t>
      </w:r>
      <w:r w:rsidR="00FD0CBF">
        <w:t>, paragraaf 3.</w:t>
      </w:r>
    </w:p>
  </w:footnote>
  <w:footnote w:id="25">
    <w:p w14:paraId="0B715957" w14:textId="6B11B851" w:rsidR="00E85A40" w:rsidRDefault="00E85A40">
      <w:pPr>
        <w:pStyle w:val="Voetnoottekst"/>
      </w:pPr>
      <w:r>
        <w:rPr>
          <w:rStyle w:val="Voetnootmarkering"/>
        </w:rPr>
        <w:footnoteRef/>
      </w:r>
      <w:r>
        <w:t xml:space="preserve"> </w:t>
      </w:r>
      <w:r w:rsidR="00EE3EC6">
        <w:t xml:space="preserve">Wetenschappelijke Raad voor het Regeringsbeleid (WRR) en de Koninklijke </w:t>
      </w:r>
      <w:proofErr w:type="spellStart"/>
      <w:r w:rsidR="00EE3EC6">
        <w:t>Akademie</w:t>
      </w:r>
      <w:proofErr w:type="spellEnd"/>
      <w:r w:rsidR="00EE3EC6">
        <w:t xml:space="preserve"> van Wetenschappen (KNAW)</w:t>
      </w:r>
      <w:r>
        <w:t xml:space="preserve">, 2021, </w:t>
      </w:r>
      <w:r w:rsidR="00EE3EC6">
        <w:t>‘</w:t>
      </w:r>
      <w:r w:rsidR="00CC542A" w:rsidRPr="00CC542A">
        <w:t>Navigeren en anticiperen in onzekere tijden</w:t>
      </w:r>
      <w:r w:rsidR="00EE3EC6">
        <w:t>’</w:t>
      </w:r>
      <w:r w:rsidR="00CC542A">
        <w:t>.</w:t>
      </w:r>
    </w:p>
  </w:footnote>
  <w:footnote w:id="26">
    <w:p w14:paraId="375FEA9F" w14:textId="13BDD01A" w:rsidR="009C4E13" w:rsidRDefault="009C4E13">
      <w:pPr>
        <w:pStyle w:val="Voetnoottekst"/>
      </w:pPr>
      <w:r>
        <w:rPr>
          <w:rStyle w:val="Voetnootmarkering"/>
        </w:rPr>
        <w:footnoteRef/>
      </w:r>
      <w:r>
        <w:t xml:space="preserve"> </w:t>
      </w:r>
      <w:r w:rsidRPr="009C4E13">
        <w:t xml:space="preserve">Kamerstukken </w:t>
      </w:r>
      <w:r w:rsidR="00265E8E">
        <w:t xml:space="preserve">II 2021/22, </w:t>
      </w:r>
      <w:r w:rsidRPr="009C4E13">
        <w:t>36047</w:t>
      </w:r>
      <w:r w:rsidR="005B2208">
        <w:t>, nr. 2.</w:t>
      </w:r>
      <w:r w:rsidR="00F84549">
        <w:t xml:space="preserve"> </w:t>
      </w:r>
      <w:r w:rsidR="00F84549" w:rsidRPr="009C4E13">
        <w:t>Initiatiefwetsvoorstel-Sneller/</w:t>
      </w:r>
      <w:proofErr w:type="spellStart"/>
      <w:r w:rsidR="00F84549" w:rsidRPr="009C4E13">
        <w:t>Kathmann</w:t>
      </w:r>
      <w:proofErr w:type="spellEnd"/>
      <w:r w:rsidR="008953EC">
        <w:t>.</w:t>
      </w:r>
    </w:p>
  </w:footnote>
  <w:footnote w:id="27">
    <w:p w14:paraId="1E2F551D" w14:textId="328EB1FA" w:rsidR="006D3969" w:rsidRDefault="006D3969">
      <w:pPr>
        <w:pStyle w:val="Voetnoottekst"/>
      </w:pPr>
      <w:r>
        <w:rPr>
          <w:rStyle w:val="Voetnootmarkering"/>
        </w:rPr>
        <w:footnoteRef/>
      </w:r>
      <w:r>
        <w:t xml:space="preserve"> Artikel 5 Twv. </w:t>
      </w:r>
    </w:p>
  </w:footnote>
  <w:footnote w:id="28">
    <w:p w14:paraId="559A4424" w14:textId="3E0E109F" w:rsidR="00BC1B34" w:rsidRDefault="00BC1B34">
      <w:pPr>
        <w:pStyle w:val="Voetnoottekst"/>
      </w:pPr>
      <w:r>
        <w:rPr>
          <w:rStyle w:val="Voetnootmarkering"/>
        </w:rPr>
        <w:footnoteRef/>
      </w:r>
      <w:r>
        <w:t xml:space="preserve"> Artikel Yb 8</w:t>
      </w:r>
      <w:r w:rsidR="00F513F1">
        <w:t xml:space="preserve">. </w:t>
      </w:r>
    </w:p>
  </w:footnote>
  <w:footnote w:id="29">
    <w:p w14:paraId="758B2F38" w14:textId="0332D548" w:rsidR="00185F60" w:rsidRDefault="00185F60">
      <w:pPr>
        <w:pStyle w:val="Voetnoottekst"/>
      </w:pPr>
      <w:r>
        <w:rPr>
          <w:rStyle w:val="Voetnootmarkering"/>
        </w:rPr>
        <w:footnoteRef/>
      </w:r>
      <w:r>
        <w:t xml:space="preserve"> Artikel Yb 10</w:t>
      </w:r>
      <w:r w:rsidR="00BA0F63">
        <w:t>.</w:t>
      </w:r>
    </w:p>
  </w:footnote>
  <w:footnote w:id="30">
    <w:p w14:paraId="555F4AFD" w14:textId="776BB0DC" w:rsidR="0085619F" w:rsidRDefault="0085619F">
      <w:pPr>
        <w:pStyle w:val="Voetnoottekst"/>
      </w:pPr>
      <w:r>
        <w:rPr>
          <w:rStyle w:val="Voetnootmarkering"/>
        </w:rPr>
        <w:footnoteRef/>
      </w:r>
      <w:r>
        <w:t xml:space="preserve"> Toelichting, paragraaf 2.5 </w:t>
      </w:r>
      <w:r w:rsidR="00021848">
        <w:t>‘</w:t>
      </w:r>
      <w:r w:rsidR="00021848" w:rsidRPr="00021848">
        <w:t>Bewijs van Nederlanderschap</w:t>
      </w:r>
      <w:r w:rsidR="00021848">
        <w:t>’.</w:t>
      </w:r>
    </w:p>
  </w:footnote>
  <w:footnote w:id="31">
    <w:p w14:paraId="521A1B6B" w14:textId="4733C475" w:rsidR="009D7B71" w:rsidRDefault="009D7B71">
      <w:pPr>
        <w:pStyle w:val="Voetnoottekst"/>
      </w:pPr>
      <w:r>
        <w:rPr>
          <w:rStyle w:val="Voetnootmarkering"/>
        </w:rPr>
        <w:footnoteRef/>
      </w:r>
      <w:r>
        <w:t xml:space="preserve"> Artikel </w:t>
      </w:r>
      <w:r w:rsidR="004D7771">
        <w:t xml:space="preserve">16a van de Twv. </w:t>
      </w:r>
    </w:p>
  </w:footnote>
  <w:footnote w:id="32">
    <w:p w14:paraId="082C7516" w14:textId="2BA0D210" w:rsidR="00D86DE3" w:rsidRDefault="00D86DE3">
      <w:pPr>
        <w:pStyle w:val="Voetnoottekst"/>
      </w:pPr>
      <w:r>
        <w:rPr>
          <w:rStyle w:val="Voetnootmarkering"/>
        </w:rPr>
        <w:footnoteRef/>
      </w:r>
      <w:r>
        <w:t xml:space="preserve"> Toelichting, paragraaf 2.5 ‘</w:t>
      </w:r>
      <w:r w:rsidRPr="00021848">
        <w:t>Bewijs van Nederlanderschap</w:t>
      </w:r>
      <w:r>
        <w:t>’</w:t>
      </w:r>
      <w:r w:rsidR="00DB2E80">
        <w:t>.</w:t>
      </w:r>
    </w:p>
  </w:footnote>
  <w:footnote w:id="33">
    <w:p w14:paraId="06914CC2" w14:textId="15D3F6D1" w:rsidR="004563E7" w:rsidRDefault="004563E7">
      <w:pPr>
        <w:pStyle w:val="Voetnoottekst"/>
      </w:pPr>
      <w:r>
        <w:rPr>
          <w:rStyle w:val="Voetnootmarkering"/>
        </w:rPr>
        <w:footnoteRef/>
      </w:r>
      <w:r>
        <w:t xml:space="preserve"> Artikel </w:t>
      </w:r>
      <w:r w:rsidR="00734F54">
        <w:t>Yb 2.</w:t>
      </w:r>
    </w:p>
  </w:footnote>
  <w:footnote w:id="34">
    <w:p w14:paraId="75732A94" w14:textId="216411BE" w:rsidR="00B53F92" w:rsidRDefault="00B53F92">
      <w:pPr>
        <w:pStyle w:val="Voetnoottekst"/>
      </w:pPr>
      <w:r>
        <w:rPr>
          <w:rStyle w:val="Voetnootmarkering"/>
        </w:rPr>
        <w:footnoteRef/>
      </w:r>
      <w:r>
        <w:t xml:space="preserve"> </w:t>
      </w:r>
      <w:r w:rsidR="004451E7">
        <w:t xml:space="preserve">Toelichting, paragraaf 2.2 </w:t>
      </w:r>
      <w:r w:rsidR="00F504D5">
        <w:t>‘</w:t>
      </w:r>
      <w:r w:rsidR="00F504D5" w:rsidRPr="00F504D5">
        <w:t>Termijn voor het afleggen van ondersteuningsverklaringen</w:t>
      </w:r>
      <w:r w:rsidR="00F504D5">
        <w:t>’.</w:t>
      </w:r>
    </w:p>
  </w:footnote>
  <w:footnote w:id="35">
    <w:p w14:paraId="4E1A6EF3" w14:textId="77777777" w:rsidR="00807B8C" w:rsidRDefault="00807B8C" w:rsidP="00807B8C">
      <w:pPr>
        <w:pStyle w:val="Voetnoottekst"/>
      </w:pPr>
      <w:r>
        <w:rPr>
          <w:rStyle w:val="Voetnootmarkering"/>
        </w:rPr>
        <w:footnoteRef/>
      </w:r>
      <w:r>
        <w:t xml:space="preserve"> Toelichting, paragraaf 2.2 en 6 ‘Consultatie’.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2B9E6E" w14:textId="77777777" w:rsidR="00281F68" w:rsidRDefault="00281F68">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ACBB74" w14:textId="77777777" w:rsidR="00281F68" w:rsidRDefault="00C86FE8" w:rsidP="00281F68">
    <w:pPr>
      <w:pStyle w:val="Koptekst"/>
      <w:jc w:val="center"/>
    </w:pPr>
    <w:r>
      <w:rPr>
        <w:rStyle w:val="Paginanummer"/>
      </w:rPr>
      <w:fldChar w:fldCharType="begin"/>
    </w:r>
    <w:r>
      <w:rPr>
        <w:rStyle w:val="Paginanummer"/>
      </w:rPr>
      <w:instrText xml:space="preserve"> PAGE </w:instrText>
    </w:r>
    <w:r>
      <w:rPr>
        <w:rStyle w:val="Paginanummer"/>
      </w:rPr>
      <w:fldChar w:fldCharType="separate"/>
    </w:r>
    <w:r>
      <w:rPr>
        <w:rStyle w:val="Paginanummer"/>
      </w:rPr>
      <w:t>2</w:t>
    </w:r>
    <w:r>
      <w:rPr>
        <w:rStyle w:val="Paginanummer"/>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ACBB7A" w14:textId="77777777" w:rsidR="00281F68" w:rsidRDefault="00C86FE8" w:rsidP="00281F68">
    <w:pPr>
      <w:framePr w:w="8414" w:h="284" w:hRule="exact" w:wrap="around" w:vAnchor="page" w:hAnchor="page" w:x="1940" w:y="1623" w:anchorLock="1"/>
      <w:rPr>
        <w:rFonts w:ascii="Arial" w:hAnsi="Arial"/>
      </w:rPr>
    </w:pP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p>
  <w:p w14:paraId="25ACBB7B" w14:textId="77777777" w:rsidR="00281F68" w:rsidRDefault="00C86FE8">
    <w:pPr>
      <w:pStyle w:val="Koptekst"/>
    </w:pPr>
    <w:r>
      <w:rPr>
        <w:noProof/>
      </w:rPr>
      <w:drawing>
        <wp:anchor distT="0" distB="0" distL="114300" distR="114300" simplePos="0" relativeHeight="251658240" behindDoc="1" locked="0" layoutInCell="1" allowOverlap="1" wp14:anchorId="25ACBB86" wp14:editId="25ACBB87">
          <wp:simplePos x="0" y="0"/>
          <wp:positionH relativeFrom="column">
            <wp:posOffset>-702310</wp:posOffset>
          </wp:positionH>
          <wp:positionV relativeFrom="paragraph">
            <wp:posOffset>-248285</wp:posOffset>
          </wp:positionV>
          <wp:extent cx="1011600" cy="471600"/>
          <wp:effectExtent l="0" t="0" r="0" b="5080"/>
          <wp:wrapTight wrapText="bothSides">
            <wp:wrapPolygon edited="0">
              <wp:start x="5288" y="0"/>
              <wp:lineTo x="0" y="2620"/>
              <wp:lineTo x="0" y="20086"/>
              <wp:lineTo x="8949" y="20960"/>
              <wp:lineTo x="12610" y="20960"/>
              <wp:lineTo x="21153" y="20086"/>
              <wp:lineTo x="21153" y="13973"/>
              <wp:lineTo x="19525" y="6113"/>
              <wp:lineTo x="17898" y="0"/>
              <wp:lineTo x="5288" y="0"/>
            </wp:wrapPolygon>
          </wp:wrapTight>
          <wp:docPr id="5" name="Afbeelding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fbeelding 1"/>
                  <pic:cNvPicPr/>
                </pic:nvPicPr>
                <pic:blipFill>
                  <a:blip r:embed="rId1">
                    <a:extLst>
                      <a:ext uri="{28A0092B-C50C-407E-A947-70E740481C1C}">
                        <a14:useLocalDpi xmlns:a14="http://schemas.microsoft.com/office/drawing/2010/main" val="0"/>
                      </a:ext>
                    </a:extLst>
                  </a:blip>
                  <a:stretch>
                    <a:fillRect/>
                  </a:stretch>
                </pic:blipFill>
                <pic:spPr>
                  <a:xfrm>
                    <a:off x="0" y="0"/>
                    <a:ext cx="1011600" cy="47160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E36CCE"/>
    <w:multiLevelType w:val="hybridMultilevel"/>
    <w:tmpl w:val="422AD178"/>
    <w:lvl w:ilvl="0" w:tplc="6166E5EC">
      <w:start w:val="1"/>
      <w:numFmt w:val="lowerLetter"/>
      <w:lvlText w:val="%1."/>
      <w:lvlJc w:val="left"/>
      <w:pPr>
        <w:ind w:left="1065" w:hanging="705"/>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 w15:restartNumberingAfterBreak="0">
    <w:nsid w:val="07A3301B"/>
    <w:multiLevelType w:val="hybridMultilevel"/>
    <w:tmpl w:val="F3C2DB80"/>
    <w:lvl w:ilvl="0" w:tplc="0D9EC3B0">
      <w:start w:val="5"/>
      <w:numFmt w:val="decimal"/>
      <w:lvlText w:val="%1."/>
      <w:lvlJc w:val="left"/>
      <w:pPr>
        <w:ind w:left="360" w:firstLine="0"/>
      </w:pPr>
      <w:rPr>
        <w:rFonts w:hint="default"/>
        <w:i w:val="0"/>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 w15:restartNumberingAfterBreak="0">
    <w:nsid w:val="0E405BE4"/>
    <w:multiLevelType w:val="multilevel"/>
    <w:tmpl w:val="E5D80D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4E5466A"/>
    <w:multiLevelType w:val="hybridMultilevel"/>
    <w:tmpl w:val="829879E4"/>
    <w:lvl w:ilvl="0" w:tplc="04130019">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 w15:restartNumberingAfterBreak="0">
    <w:nsid w:val="48911968"/>
    <w:multiLevelType w:val="hybridMultilevel"/>
    <w:tmpl w:val="A3FEB9CE"/>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5" w15:restartNumberingAfterBreak="0">
    <w:nsid w:val="4FC91FF5"/>
    <w:multiLevelType w:val="hybridMultilevel"/>
    <w:tmpl w:val="70C6D3CA"/>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6" w15:restartNumberingAfterBreak="0">
    <w:nsid w:val="5BEA5B13"/>
    <w:multiLevelType w:val="multilevel"/>
    <w:tmpl w:val="6C7C6A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137530182">
    <w:abstractNumId w:val="4"/>
  </w:num>
  <w:num w:numId="2" w16cid:durableId="583534852">
    <w:abstractNumId w:val="5"/>
  </w:num>
  <w:num w:numId="3" w16cid:durableId="90977270">
    <w:abstractNumId w:val="6"/>
  </w:num>
  <w:num w:numId="4" w16cid:durableId="708342837">
    <w:abstractNumId w:val="2"/>
  </w:num>
  <w:num w:numId="5" w16cid:durableId="1069615755">
    <w:abstractNumId w:val="3"/>
  </w:num>
  <w:num w:numId="6" w16cid:durableId="1944874455">
    <w:abstractNumId w:val="0"/>
  </w:num>
  <w:num w:numId="7" w16cid:durableId="70945931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oNotTrackFormatting/>
  <w:defaultTabStop w:val="708"/>
  <w:hyphenationZone w:val="425"/>
  <w:noPunctuationKerning/>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7EAE"/>
    <w:rsid w:val="000000F4"/>
    <w:rsid w:val="000020BF"/>
    <w:rsid w:val="0000371E"/>
    <w:rsid w:val="00003B8E"/>
    <w:rsid w:val="00014312"/>
    <w:rsid w:val="00016F3C"/>
    <w:rsid w:val="00017ED2"/>
    <w:rsid w:val="0002033F"/>
    <w:rsid w:val="00020C1E"/>
    <w:rsid w:val="00021848"/>
    <w:rsid w:val="00022555"/>
    <w:rsid w:val="000234EA"/>
    <w:rsid w:val="00027116"/>
    <w:rsid w:val="00027167"/>
    <w:rsid w:val="0003454E"/>
    <w:rsid w:val="00035B72"/>
    <w:rsid w:val="00035D69"/>
    <w:rsid w:val="00036AF2"/>
    <w:rsid w:val="000402AA"/>
    <w:rsid w:val="00040514"/>
    <w:rsid w:val="0004123B"/>
    <w:rsid w:val="00041BF3"/>
    <w:rsid w:val="0004219B"/>
    <w:rsid w:val="00043A65"/>
    <w:rsid w:val="000443B4"/>
    <w:rsid w:val="00044750"/>
    <w:rsid w:val="00044968"/>
    <w:rsid w:val="000449C0"/>
    <w:rsid w:val="00045262"/>
    <w:rsid w:val="00050872"/>
    <w:rsid w:val="0005325C"/>
    <w:rsid w:val="00056083"/>
    <w:rsid w:val="00056EDF"/>
    <w:rsid w:val="00061E05"/>
    <w:rsid w:val="00064297"/>
    <w:rsid w:val="000652E4"/>
    <w:rsid w:val="00065594"/>
    <w:rsid w:val="00071CA0"/>
    <w:rsid w:val="00074223"/>
    <w:rsid w:val="00077344"/>
    <w:rsid w:val="00081419"/>
    <w:rsid w:val="00082BE3"/>
    <w:rsid w:val="00082E24"/>
    <w:rsid w:val="00083033"/>
    <w:rsid w:val="00083449"/>
    <w:rsid w:val="00083E8E"/>
    <w:rsid w:val="00086BE1"/>
    <w:rsid w:val="00091751"/>
    <w:rsid w:val="00096507"/>
    <w:rsid w:val="00096FCC"/>
    <w:rsid w:val="000971EC"/>
    <w:rsid w:val="00097D0D"/>
    <w:rsid w:val="000A0450"/>
    <w:rsid w:val="000A1B31"/>
    <w:rsid w:val="000A1C4B"/>
    <w:rsid w:val="000A35F0"/>
    <w:rsid w:val="000A5DEA"/>
    <w:rsid w:val="000A6AAC"/>
    <w:rsid w:val="000A7690"/>
    <w:rsid w:val="000A7C51"/>
    <w:rsid w:val="000B0256"/>
    <w:rsid w:val="000B13AB"/>
    <w:rsid w:val="000B201C"/>
    <w:rsid w:val="000B6B44"/>
    <w:rsid w:val="000C29C2"/>
    <w:rsid w:val="000C316D"/>
    <w:rsid w:val="000C3B14"/>
    <w:rsid w:val="000D2EA3"/>
    <w:rsid w:val="000D352E"/>
    <w:rsid w:val="000D49D1"/>
    <w:rsid w:val="000D795C"/>
    <w:rsid w:val="000E1530"/>
    <w:rsid w:val="000E1AEB"/>
    <w:rsid w:val="000E24C9"/>
    <w:rsid w:val="000E777B"/>
    <w:rsid w:val="000F24C9"/>
    <w:rsid w:val="000F41E7"/>
    <w:rsid w:val="000F4EB0"/>
    <w:rsid w:val="000F6064"/>
    <w:rsid w:val="000F7EB7"/>
    <w:rsid w:val="00100656"/>
    <w:rsid w:val="00100E18"/>
    <w:rsid w:val="0010120D"/>
    <w:rsid w:val="001018D9"/>
    <w:rsid w:val="00112C96"/>
    <w:rsid w:val="001178B5"/>
    <w:rsid w:val="00117AF6"/>
    <w:rsid w:val="00123FDA"/>
    <w:rsid w:val="00125288"/>
    <w:rsid w:val="0012528F"/>
    <w:rsid w:val="00131C4B"/>
    <w:rsid w:val="00132CBF"/>
    <w:rsid w:val="00135BE1"/>
    <w:rsid w:val="00135C3A"/>
    <w:rsid w:val="001363A3"/>
    <w:rsid w:val="00136639"/>
    <w:rsid w:val="00136C6C"/>
    <w:rsid w:val="001422AA"/>
    <w:rsid w:val="00142B63"/>
    <w:rsid w:val="00145DF8"/>
    <w:rsid w:val="00146B03"/>
    <w:rsid w:val="001514E2"/>
    <w:rsid w:val="001534ED"/>
    <w:rsid w:val="00155590"/>
    <w:rsid w:val="001555C9"/>
    <w:rsid w:val="0016080A"/>
    <w:rsid w:val="00160EB8"/>
    <w:rsid w:val="001630BB"/>
    <w:rsid w:val="00164A32"/>
    <w:rsid w:val="001662E6"/>
    <w:rsid w:val="0017067A"/>
    <w:rsid w:val="0017067B"/>
    <w:rsid w:val="00172A04"/>
    <w:rsid w:val="00174278"/>
    <w:rsid w:val="001768EC"/>
    <w:rsid w:val="00177083"/>
    <w:rsid w:val="00177672"/>
    <w:rsid w:val="00180C4C"/>
    <w:rsid w:val="00183779"/>
    <w:rsid w:val="001852A6"/>
    <w:rsid w:val="00185F60"/>
    <w:rsid w:val="00191CBF"/>
    <w:rsid w:val="001931A6"/>
    <w:rsid w:val="001938E8"/>
    <w:rsid w:val="001951FA"/>
    <w:rsid w:val="00195493"/>
    <w:rsid w:val="001957CE"/>
    <w:rsid w:val="001A0151"/>
    <w:rsid w:val="001A0FEC"/>
    <w:rsid w:val="001A33D5"/>
    <w:rsid w:val="001A4B1C"/>
    <w:rsid w:val="001A6C7E"/>
    <w:rsid w:val="001A7BD7"/>
    <w:rsid w:val="001B39B7"/>
    <w:rsid w:val="001B5B0C"/>
    <w:rsid w:val="001C3C0E"/>
    <w:rsid w:val="001C4528"/>
    <w:rsid w:val="001C4824"/>
    <w:rsid w:val="001C636B"/>
    <w:rsid w:val="001D01E6"/>
    <w:rsid w:val="001D0AE3"/>
    <w:rsid w:val="001D3F31"/>
    <w:rsid w:val="001D71BC"/>
    <w:rsid w:val="001E2603"/>
    <w:rsid w:val="001E3F0B"/>
    <w:rsid w:val="001E6916"/>
    <w:rsid w:val="001E7A1B"/>
    <w:rsid w:val="001F23A1"/>
    <w:rsid w:val="001F24F7"/>
    <w:rsid w:val="002001DE"/>
    <w:rsid w:val="0020242F"/>
    <w:rsid w:val="00202F23"/>
    <w:rsid w:val="00203D10"/>
    <w:rsid w:val="00204A02"/>
    <w:rsid w:val="00206BA5"/>
    <w:rsid w:val="00207071"/>
    <w:rsid w:val="002100D1"/>
    <w:rsid w:val="002115DB"/>
    <w:rsid w:val="0021469E"/>
    <w:rsid w:val="0021474A"/>
    <w:rsid w:val="002147E7"/>
    <w:rsid w:val="002167A7"/>
    <w:rsid w:val="0022048C"/>
    <w:rsid w:val="00221A1D"/>
    <w:rsid w:val="0022499F"/>
    <w:rsid w:val="00226612"/>
    <w:rsid w:val="0023018D"/>
    <w:rsid w:val="0023096B"/>
    <w:rsid w:val="002354CC"/>
    <w:rsid w:val="00236F8D"/>
    <w:rsid w:val="002437CA"/>
    <w:rsid w:val="00243FCA"/>
    <w:rsid w:val="00244EF0"/>
    <w:rsid w:val="00247986"/>
    <w:rsid w:val="00252309"/>
    <w:rsid w:val="002535B3"/>
    <w:rsid w:val="00256175"/>
    <w:rsid w:val="00257C51"/>
    <w:rsid w:val="00262E5B"/>
    <w:rsid w:val="002630A8"/>
    <w:rsid w:val="00265789"/>
    <w:rsid w:val="00265E8E"/>
    <w:rsid w:val="00266F66"/>
    <w:rsid w:val="00271B43"/>
    <w:rsid w:val="002751CE"/>
    <w:rsid w:val="0027566F"/>
    <w:rsid w:val="002774E0"/>
    <w:rsid w:val="002776A3"/>
    <w:rsid w:val="00280C6A"/>
    <w:rsid w:val="00280D07"/>
    <w:rsid w:val="00281F68"/>
    <w:rsid w:val="002836A3"/>
    <w:rsid w:val="00285AC2"/>
    <w:rsid w:val="0028649C"/>
    <w:rsid w:val="00286567"/>
    <w:rsid w:val="00286FAA"/>
    <w:rsid w:val="002872D1"/>
    <w:rsid w:val="00287DDC"/>
    <w:rsid w:val="00293341"/>
    <w:rsid w:val="00295285"/>
    <w:rsid w:val="00295C92"/>
    <w:rsid w:val="00295CDC"/>
    <w:rsid w:val="00296067"/>
    <w:rsid w:val="00297C13"/>
    <w:rsid w:val="002A2651"/>
    <w:rsid w:val="002A2ED1"/>
    <w:rsid w:val="002A380C"/>
    <w:rsid w:val="002A56FC"/>
    <w:rsid w:val="002A7E14"/>
    <w:rsid w:val="002B1F38"/>
    <w:rsid w:val="002B2FD4"/>
    <w:rsid w:val="002B61A7"/>
    <w:rsid w:val="002C0A12"/>
    <w:rsid w:val="002C269A"/>
    <w:rsid w:val="002C4642"/>
    <w:rsid w:val="002C5453"/>
    <w:rsid w:val="002C7368"/>
    <w:rsid w:val="002C7522"/>
    <w:rsid w:val="002D1410"/>
    <w:rsid w:val="002D14A6"/>
    <w:rsid w:val="002D3674"/>
    <w:rsid w:val="002D5289"/>
    <w:rsid w:val="002E2472"/>
    <w:rsid w:val="002E4C16"/>
    <w:rsid w:val="002E4DC6"/>
    <w:rsid w:val="002E67A8"/>
    <w:rsid w:val="002F1728"/>
    <w:rsid w:val="002F1CE2"/>
    <w:rsid w:val="002F1CE6"/>
    <w:rsid w:val="002F372F"/>
    <w:rsid w:val="002F5832"/>
    <w:rsid w:val="00305904"/>
    <w:rsid w:val="00306036"/>
    <w:rsid w:val="00313AB0"/>
    <w:rsid w:val="00316E20"/>
    <w:rsid w:val="00323A17"/>
    <w:rsid w:val="003337ED"/>
    <w:rsid w:val="0033672E"/>
    <w:rsid w:val="0033762A"/>
    <w:rsid w:val="00337FA3"/>
    <w:rsid w:val="00343EAB"/>
    <w:rsid w:val="00346DA9"/>
    <w:rsid w:val="003477A4"/>
    <w:rsid w:val="00350138"/>
    <w:rsid w:val="0035014F"/>
    <w:rsid w:val="00350282"/>
    <w:rsid w:val="003521AF"/>
    <w:rsid w:val="0035319D"/>
    <w:rsid w:val="00355F69"/>
    <w:rsid w:val="003565A5"/>
    <w:rsid w:val="003572E2"/>
    <w:rsid w:val="0036007E"/>
    <w:rsid w:val="003608DA"/>
    <w:rsid w:val="003623EE"/>
    <w:rsid w:val="003626A8"/>
    <w:rsid w:val="00362A2D"/>
    <w:rsid w:val="00364D50"/>
    <w:rsid w:val="00366D98"/>
    <w:rsid w:val="00366FB0"/>
    <w:rsid w:val="003705A3"/>
    <w:rsid w:val="00371974"/>
    <w:rsid w:val="003725E5"/>
    <w:rsid w:val="00373D25"/>
    <w:rsid w:val="00375842"/>
    <w:rsid w:val="00377A35"/>
    <w:rsid w:val="003800FF"/>
    <w:rsid w:val="003828F5"/>
    <w:rsid w:val="003846C0"/>
    <w:rsid w:val="0038507F"/>
    <w:rsid w:val="00385C64"/>
    <w:rsid w:val="00385E94"/>
    <w:rsid w:val="003860FF"/>
    <w:rsid w:val="00387E95"/>
    <w:rsid w:val="003917B0"/>
    <w:rsid w:val="00391E98"/>
    <w:rsid w:val="00392578"/>
    <w:rsid w:val="00393317"/>
    <w:rsid w:val="00395282"/>
    <w:rsid w:val="00396048"/>
    <w:rsid w:val="003A02B0"/>
    <w:rsid w:val="003A2677"/>
    <w:rsid w:val="003A3334"/>
    <w:rsid w:val="003A6F6B"/>
    <w:rsid w:val="003B02D5"/>
    <w:rsid w:val="003B2BE5"/>
    <w:rsid w:val="003B36B6"/>
    <w:rsid w:val="003B441F"/>
    <w:rsid w:val="003B4828"/>
    <w:rsid w:val="003B5E3D"/>
    <w:rsid w:val="003C11C5"/>
    <w:rsid w:val="003C3D3D"/>
    <w:rsid w:val="003C6CC9"/>
    <w:rsid w:val="003C7E05"/>
    <w:rsid w:val="003D0A25"/>
    <w:rsid w:val="003D18C4"/>
    <w:rsid w:val="003D2050"/>
    <w:rsid w:val="003D2208"/>
    <w:rsid w:val="003D3C0B"/>
    <w:rsid w:val="003D3C5C"/>
    <w:rsid w:val="003D4FBC"/>
    <w:rsid w:val="003E1A91"/>
    <w:rsid w:val="003E59BB"/>
    <w:rsid w:val="003E641B"/>
    <w:rsid w:val="003E64E0"/>
    <w:rsid w:val="003E76C6"/>
    <w:rsid w:val="003F14B6"/>
    <w:rsid w:val="003F3141"/>
    <w:rsid w:val="003F3977"/>
    <w:rsid w:val="004009C0"/>
    <w:rsid w:val="00402F9A"/>
    <w:rsid w:val="00405C0D"/>
    <w:rsid w:val="00405FE4"/>
    <w:rsid w:val="00406193"/>
    <w:rsid w:val="00407D36"/>
    <w:rsid w:val="00407EBC"/>
    <w:rsid w:val="00410622"/>
    <w:rsid w:val="0041399E"/>
    <w:rsid w:val="00414A07"/>
    <w:rsid w:val="00415435"/>
    <w:rsid w:val="004155C2"/>
    <w:rsid w:val="00416E68"/>
    <w:rsid w:val="00421E05"/>
    <w:rsid w:val="004310B8"/>
    <w:rsid w:val="00432067"/>
    <w:rsid w:val="004327E9"/>
    <w:rsid w:val="00433E46"/>
    <w:rsid w:val="0043792E"/>
    <w:rsid w:val="004379D9"/>
    <w:rsid w:val="004420B8"/>
    <w:rsid w:val="00442ED2"/>
    <w:rsid w:val="004451E7"/>
    <w:rsid w:val="0044650A"/>
    <w:rsid w:val="00447DB3"/>
    <w:rsid w:val="00450CE7"/>
    <w:rsid w:val="004519DA"/>
    <w:rsid w:val="004522E3"/>
    <w:rsid w:val="00452CCC"/>
    <w:rsid w:val="004563E7"/>
    <w:rsid w:val="0045747D"/>
    <w:rsid w:val="004647D3"/>
    <w:rsid w:val="00466AF9"/>
    <w:rsid w:val="00466CD6"/>
    <w:rsid w:val="00467A0F"/>
    <w:rsid w:val="004714B7"/>
    <w:rsid w:val="00471876"/>
    <w:rsid w:val="004719C4"/>
    <w:rsid w:val="00472D7C"/>
    <w:rsid w:val="004743E9"/>
    <w:rsid w:val="00477C5B"/>
    <w:rsid w:val="00483DB1"/>
    <w:rsid w:val="004862FD"/>
    <w:rsid w:val="00487CBC"/>
    <w:rsid w:val="00491DD4"/>
    <w:rsid w:val="00491FD7"/>
    <w:rsid w:val="00495323"/>
    <w:rsid w:val="00497801"/>
    <w:rsid w:val="004A0B2D"/>
    <w:rsid w:val="004A132B"/>
    <w:rsid w:val="004A2AA7"/>
    <w:rsid w:val="004A6556"/>
    <w:rsid w:val="004B0488"/>
    <w:rsid w:val="004B12C4"/>
    <w:rsid w:val="004B1F9C"/>
    <w:rsid w:val="004B2650"/>
    <w:rsid w:val="004B37A4"/>
    <w:rsid w:val="004B4758"/>
    <w:rsid w:val="004B4AD0"/>
    <w:rsid w:val="004B7516"/>
    <w:rsid w:val="004C18F0"/>
    <w:rsid w:val="004C1CD8"/>
    <w:rsid w:val="004C1EA2"/>
    <w:rsid w:val="004C2145"/>
    <w:rsid w:val="004C2C09"/>
    <w:rsid w:val="004C2FAE"/>
    <w:rsid w:val="004C3F40"/>
    <w:rsid w:val="004C61A2"/>
    <w:rsid w:val="004C6A0B"/>
    <w:rsid w:val="004C788A"/>
    <w:rsid w:val="004D0C97"/>
    <w:rsid w:val="004D2757"/>
    <w:rsid w:val="004D54DE"/>
    <w:rsid w:val="004D71B7"/>
    <w:rsid w:val="004D7771"/>
    <w:rsid w:val="004E23D3"/>
    <w:rsid w:val="004E3920"/>
    <w:rsid w:val="004E3BB0"/>
    <w:rsid w:val="004E5138"/>
    <w:rsid w:val="004E6224"/>
    <w:rsid w:val="004E6A9A"/>
    <w:rsid w:val="004E7695"/>
    <w:rsid w:val="004F5DC1"/>
    <w:rsid w:val="004F67C6"/>
    <w:rsid w:val="005001BE"/>
    <w:rsid w:val="0050112E"/>
    <w:rsid w:val="00501BB9"/>
    <w:rsid w:val="0051250C"/>
    <w:rsid w:val="00513167"/>
    <w:rsid w:val="00514D60"/>
    <w:rsid w:val="00515D7F"/>
    <w:rsid w:val="0052269D"/>
    <w:rsid w:val="0052322D"/>
    <w:rsid w:val="005232D9"/>
    <w:rsid w:val="005256D7"/>
    <w:rsid w:val="00525BD6"/>
    <w:rsid w:val="00526CBC"/>
    <w:rsid w:val="00534CF2"/>
    <w:rsid w:val="0053505F"/>
    <w:rsid w:val="0053694B"/>
    <w:rsid w:val="00544655"/>
    <w:rsid w:val="00544AE6"/>
    <w:rsid w:val="00546301"/>
    <w:rsid w:val="00546A3F"/>
    <w:rsid w:val="0055204B"/>
    <w:rsid w:val="00552243"/>
    <w:rsid w:val="00552C2A"/>
    <w:rsid w:val="00553500"/>
    <w:rsid w:val="00554ADD"/>
    <w:rsid w:val="00556646"/>
    <w:rsid w:val="00557FC4"/>
    <w:rsid w:val="00560543"/>
    <w:rsid w:val="00563C07"/>
    <w:rsid w:val="0056455F"/>
    <w:rsid w:val="0057263E"/>
    <w:rsid w:val="00575F0A"/>
    <w:rsid w:val="00576235"/>
    <w:rsid w:val="00576DC0"/>
    <w:rsid w:val="00577E18"/>
    <w:rsid w:val="00580D8A"/>
    <w:rsid w:val="00582364"/>
    <w:rsid w:val="00586F09"/>
    <w:rsid w:val="00591727"/>
    <w:rsid w:val="00594C3E"/>
    <w:rsid w:val="005953AE"/>
    <w:rsid w:val="005A01CB"/>
    <w:rsid w:val="005A3EB0"/>
    <w:rsid w:val="005A6EF8"/>
    <w:rsid w:val="005A706F"/>
    <w:rsid w:val="005A7CCE"/>
    <w:rsid w:val="005B14D2"/>
    <w:rsid w:val="005B2208"/>
    <w:rsid w:val="005B26D0"/>
    <w:rsid w:val="005B3936"/>
    <w:rsid w:val="005B4A2E"/>
    <w:rsid w:val="005C1A15"/>
    <w:rsid w:val="005C2EED"/>
    <w:rsid w:val="005C6F7F"/>
    <w:rsid w:val="005D08A6"/>
    <w:rsid w:val="005D34EE"/>
    <w:rsid w:val="005D4A24"/>
    <w:rsid w:val="005D4FED"/>
    <w:rsid w:val="005D56AA"/>
    <w:rsid w:val="005D7196"/>
    <w:rsid w:val="005E1730"/>
    <w:rsid w:val="005E4D11"/>
    <w:rsid w:val="005F4498"/>
    <w:rsid w:val="00602FD4"/>
    <w:rsid w:val="00610F2C"/>
    <w:rsid w:val="00611E2F"/>
    <w:rsid w:val="00616F46"/>
    <w:rsid w:val="00617B3D"/>
    <w:rsid w:val="00620413"/>
    <w:rsid w:val="00620BE4"/>
    <w:rsid w:val="0062121B"/>
    <w:rsid w:val="00621725"/>
    <w:rsid w:val="006223AD"/>
    <w:rsid w:val="00623BB9"/>
    <w:rsid w:val="00624116"/>
    <w:rsid w:val="00625D41"/>
    <w:rsid w:val="006268E0"/>
    <w:rsid w:val="006311ED"/>
    <w:rsid w:val="006334BF"/>
    <w:rsid w:val="00633A85"/>
    <w:rsid w:val="00634CA5"/>
    <w:rsid w:val="00635C02"/>
    <w:rsid w:val="00644B5A"/>
    <w:rsid w:val="00645944"/>
    <w:rsid w:val="0064599C"/>
    <w:rsid w:val="00650167"/>
    <w:rsid w:val="0065649E"/>
    <w:rsid w:val="00657B43"/>
    <w:rsid w:val="006600E4"/>
    <w:rsid w:val="006604E0"/>
    <w:rsid w:val="006631DB"/>
    <w:rsid w:val="00663944"/>
    <w:rsid w:val="00663948"/>
    <w:rsid w:val="00665089"/>
    <w:rsid w:val="00667446"/>
    <w:rsid w:val="00667FA2"/>
    <w:rsid w:val="006704AB"/>
    <w:rsid w:val="00670A53"/>
    <w:rsid w:val="00671C33"/>
    <w:rsid w:val="006823CA"/>
    <w:rsid w:val="0068289B"/>
    <w:rsid w:val="00682EE9"/>
    <w:rsid w:val="00684C51"/>
    <w:rsid w:val="00685EAE"/>
    <w:rsid w:val="00686416"/>
    <w:rsid w:val="006868BE"/>
    <w:rsid w:val="00691CBE"/>
    <w:rsid w:val="00694285"/>
    <w:rsid w:val="00694F6B"/>
    <w:rsid w:val="00695E84"/>
    <w:rsid w:val="00696B22"/>
    <w:rsid w:val="00697516"/>
    <w:rsid w:val="006A058A"/>
    <w:rsid w:val="006A252F"/>
    <w:rsid w:val="006A4606"/>
    <w:rsid w:val="006A4B01"/>
    <w:rsid w:val="006A63DF"/>
    <w:rsid w:val="006B05D4"/>
    <w:rsid w:val="006B06E2"/>
    <w:rsid w:val="006B1036"/>
    <w:rsid w:val="006B2366"/>
    <w:rsid w:val="006B42A1"/>
    <w:rsid w:val="006B72CC"/>
    <w:rsid w:val="006B798B"/>
    <w:rsid w:val="006C26AF"/>
    <w:rsid w:val="006C2954"/>
    <w:rsid w:val="006C2B29"/>
    <w:rsid w:val="006D1AD3"/>
    <w:rsid w:val="006D2284"/>
    <w:rsid w:val="006D24DD"/>
    <w:rsid w:val="006D3969"/>
    <w:rsid w:val="006D4BD0"/>
    <w:rsid w:val="006E0BF0"/>
    <w:rsid w:val="006E1142"/>
    <w:rsid w:val="006E183C"/>
    <w:rsid w:val="006E255B"/>
    <w:rsid w:val="006E4EBF"/>
    <w:rsid w:val="006E6262"/>
    <w:rsid w:val="006E6C2E"/>
    <w:rsid w:val="006F2F0D"/>
    <w:rsid w:val="006F385B"/>
    <w:rsid w:val="006F3E36"/>
    <w:rsid w:val="006F5E7B"/>
    <w:rsid w:val="006F6CDE"/>
    <w:rsid w:val="00700770"/>
    <w:rsid w:val="00700E43"/>
    <w:rsid w:val="00701C91"/>
    <w:rsid w:val="007024D0"/>
    <w:rsid w:val="0070255D"/>
    <w:rsid w:val="007027F5"/>
    <w:rsid w:val="007039EC"/>
    <w:rsid w:val="00704925"/>
    <w:rsid w:val="00704E77"/>
    <w:rsid w:val="00704ED8"/>
    <w:rsid w:val="00704F5D"/>
    <w:rsid w:val="00705206"/>
    <w:rsid w:val="0070588E"/>
    <w:rsid w:val="00705F12"/>
    <w:rsid w:val="007110B4"/>
    <w:rsid w:val="0071606A"/>
    <w:rsid w:val="00716671"/>
    <w:rsid w:val="00717024"/>
    <w:rsid w:val="00720279"/>
    <w:rsid w:val="007217A3"/>
    <w:rsid w:val="00722842"/>
    <w:rsid w:val="00723046"/>
    <w:rsid w:val="0072437D"/>
    <w:rsid w:val="00724A54"/>
    <w:rsid w:val="007256C4"/>
    <w:rsid w:val="00725B4B"/>
    <w:rsid w:val="00730D41"/>
    <w:rsid w:val="00731377"/>
    <w:rsid w:val="00734318"/>
    <w:rsid w:val="00734F54"/>
    <w:rsid w:val="00737FA3"/>
    <w:rsid w:val="00741E28"/>
    <w:rsid w:val="00742FC3"/>
    <w:rsid w:val="00744430"/>
    <w:rsid w:val="00751758"/>
    <w:rsid w:val="00755550"/>
    <w:rsid w:val="00761EC6"/>
    <w:rsid w:val="00767AEA"/>
    <w:rsid w:val="007708E0"/>
    <w:rsid w:val="007709BD"/>
    <w:rsid w:val="00771840"/>
    <w:rsid w:val="007725AD"/>
    <w:rsid w:val="00773A34"/>
    <w:rsid w:val="00773FE0"/>
    <w:rsid w:val="00775A3C"/>
    <w:rsid w:val="00776B66"/>
    <w:rsid w:val="0077725B"/>
    <w:rsid w:val="00782198"/>
    <w:rsid w:val="0078639E"/>
    <w:rsid w:val="0078699B"/>
    <w:rsid w:val="00786AF7"/>
    <w:rsid w:val="0079064E"/>
    <w:rsid w:val="007A02D7"/>
    <w:rsid w:val="007A10EE"/>
    <w:rsid w:val="007A1780"/>
    <w:rsid w:val="007A231D"/>
    <w:rsid w:val="007A46CA"/>
    <w:rsid w:val="007A59EE"/>
    <w:rsid w:val="007A5F6B"/>
    <w:rsid w:val="007A68FD"/>
    <w:rsid w:val="007B0BE1"/>
    <w:rsid w:val="007B11D4"/>
    <w:rsid w:val="007B28CC"/>
    <w:rsid w:val="007B2C8E"/>
    <w:rsid w:val="007B5E10"/>
    <w:rsid w:val="007B6350"/>
    <w:rsid w:val="007B67E2"/>
    <w:rsid w:val="007C00AC"/>
    <w:rsid w:val="007C5333"/>
    <w:rsid w:val="007C57F7"/>
    <w:rsid w:val="007D1476"/>
    <w:rsid w:val="007D1BC6"/>
    <w:rsid w:val="007D2CD8"/>
    <w:rsid w:val="007D3FEA"/>
    <w:rsid w:val="007D610A"/>
    <w:rsid w:val="007D6FC3"/>
    <w:rsid w:val="007D7CD5"/>
    <w:rsid w:val="007E1BD4"/>
    <w:rsid w:val="007E1E04"/>
    <w:rsid w:val="007E3607"/>
    <w:rsid w:val="007E38F7"/>
    <w:rsid w:val="007E39EC"/>
    <w:rsid w:val="007F04D7"/>
    <w:rsid w:val="007F1A4D"/>
    <w:rsid w:val="007F29ED"/>
    <w:rsid w:val="008018CA"/>
    <w:rsid w:val="008041EC"/>
    <w:rsid w:val="00804958"/>
    <w:rsid w:val="00805B8E"/>
    <w:rsid w:val="00807415"/>
    <w:rsid w:val="00807B8C"/>
    <w:rsid w:val="00811788"/>
    <w:rsid w:val="0082108B"/>
    <w:rsid w:val="00822F3A"/>
    <w:rsid w:val="00823008"/>
    <w:rsid w:val="008234E7"/>
    <w:rsid w:val="0082437C"/>
    <w:rsid w:val="008244E2"/>
    <w:rsid w:val="008252F9"/>
    <w:rsid w:val="00827EAE"/>
    <w:rsid w:val="00830AB4"/>
    <w:rsid w:val="00831AC6"/>
    <w:rsid w:val="008329AF"/>
    <w:rsid w:val="00834931"/>
    <w:rsid w:val="008371C1"/>
    <w:rsid w:val="008376E0"/>
    <w:rsid w:val="00837800"/>
    <w:rsid w:val="00841C8D"/>
    <w:rsid w:val="008434DF"/>
    <w:rsid w:val="00844CDF"/>
    <w:rsid w:val="008547D7"/>
    <w:rsid w:val="008558D6"/>
    <w:rsid w:val="0085619F"/>
    <w:rsid w:val="00860C94"/>
    <w:rsid w:val="00860CF3"/>
    <w:rsid w:val="0086123E"/>
    <w:rsid w:val="00862415"/>
    <w:rsid w:val="00864FA4"/>
    <w:rsid w:val="008650DF"/>
    <w:rsid w:val="008656AA"/>
    <w:rsid w:val="008661CE"/>
    <w:rsid w:val="00867A2B"/>
    <w:rsid w:val="0087052A"/>
    <w:rsid w:val="00872424"/>
    <w:rsid w:val="00875172"/>
    <w:rsid w:val="0088003D"/>
    <w:rsid w:val="00881625"/>
    <w:rsid w:val="00885D3A"/>
    <w:rsid w:val="0088680E"/>
    <w:rsid w:val="00886EDA"/>
    <w:rsid w:val="008901B1"/>
    <w:rsid w:val="008902F4"/>
    <w:rsid w:val="0089245C"/>
    <w:rsid w:val="00893194"/>
    <w:rsid w:val="008937BC"/>
    <w:rsid w:val="00894CE4"/>
    <w:rsid w:val="008953EC"/>
    <w:rsid w:val="00895CBE"/>
    <w:rsid w:val="008978A6"/>
    <w:rsid w:val="008A0446"/>
    <w:rsid w:val="008A13DB"/>
    <w:rsid w:val="008A536D"/>
    <w:rsid w:val="008A6F13"/>
    <w:rsid w:val="008A788D"/>
    <w:rsid w:val="008B34F8"/>
    <w:rsid w:val="008B4204"/>
    <w:rsid w:val="008B423F"/>
    <w:rsid w:val="008B4D82"/>
    <w:rsid w:val="008B4E82"/>
    <w:rsid w:val="008B52BA"/>
    <w:rsid w:val="008C062A"/>
    <w:rsid w:val="008C0F38"/>
    <w:rsid w:val="008C2B56"/>
    <w:rsid w:val="008C2BAF"/>
    <w:rsid w:val="008C2DBF"/>
    <w:rsid w:val="008C3D51"/>
    <w:rsid w:val="008C4712"/>
    <w:rsid w:val="008D10E7"/>
    <w:rsid w:val="008D196B"/>
    <w:rsid w:val="008D3FF0"/>
    <w:rsid w:val="008D597A"/>
    <w:rsid w:val="008D7E17"/>
    <w:rsid w:val="008E05F1"/>
    <w:rsid w:val="008F08A9"/>
    <w:rsid w:val="008F1593"/>
    <w:rsid w:val="008F1AC6"/>
    <w:rsid w:val="008F6082"/>
    <w:rsid w:val="008F6C60"/>
    <w:rsid w:val="008F6E5B"/>
    <w:rsid w:val="008F72E8"/>
    <w:rsid w:val="009003DD"/>
    <w:rsid w:val="00901A73"/>
    <w:rsid w:val="00903343"/>
    <w:rsid w:val="00906479"/>
    <w:rsid w:val="00906BFB"/>
    <w:rsid w:val="00907338"/>
    <w:rsid w:val="009101EE"/>
    <w:rsid w:val="0091229D"/>
    <w:rsid w:val="00913217"/>
    <w:rsid w:val="009203C9"/>
    <w:rsid w:val="00920A29"/>
    <w:rsid w:val="00920C45"/>
    <w:rsid w:val="009232B7"/>
    <w:rsid w:val="00923EA7"/>
    <w:rsid w:val="0092571C"/>
    <w:rsid w:val="0092671F"/>
    <w:rsid w:val="00926798"/>
    <w:rsid w:val="009306AF"/>
    <w:rsid w:val="0093207C"/>
    <w:rsid w:val="00934305"/>
    <w:rsid w:val="00934DAF"/>
    <w:rsid w:val="009350AB"/>
    <w:rsid w:val="00935413"/>
    <w:rsid w:val="00940B42"/>
    <w:rsid w:val="009417FB"/>
    <w:rsid w:val="0094638F"/>
    <w:rsid w:val="00946C71"/>
    <w:rsid w:val="00951332"/>
    <w:rsid w:val="009560A3"/>
    <w:rsid w:val="009570BB"/>
    <w:rsid w:val="00966F3A"/>
    <w:rsid w:val="0097017F"/>
    <w:rsid w:val="009703E1"/>
    <w:rsid w:val="009739D2"/>
    <w:rsid w:val="0097465E"/>
    <w:rsid w:val="009748AC"/>
    <w:rsid w:val="00980E83"/>
    <w:rsid w:val="00983196"/>
    <w:rsid w:val="00983A40"/>
    <w:rsid w:val="00985471"/>
    <w:rsid w:val="0099046D"/>
    <w:rsid w:val="009932E7"/>
    <w:rsid w:val="00994567"/>
    <w:rsid w:val="00996159"/>
    <w:rsid w:val="0099652C"/>
    <w:rsid w:val="00996ADE"/>
    <w:rsid w:val="009A0627"/>
    <w:rsid w:val="009A064F"/>
    <w:rsid w:val="009A339B"/>
    <w:rsid w:val="009A3A60"/>
    <w:rsid w:val="009A6726"/>
    <w:rsid w:val="009A68DE"/>
    <w:rsid w:val="009A7610"/>
    <w:rsid w:val="009B022D"/>
    <w:rsid w:val="009B1F8E"/>
    <w:rsid w:val="009B2260"/>
    <w:rsid w:val="009B2721"/>
    <w:rsid w:val="009B2FBF"/>
    <w:rsid w:val="009B53EF"/>
    <w:rsid w:val="009B7DDE"/>
    <w:rsid w:val="009C228C"/>
    <w:rsid w:val="009C28FB"/>
    <w:rsid w:val="009C2F4F"/>
    <w:rsid w:val="009C4816"/>
    <w:rsid w:val="009C4E13"/>
    <w:rsid w:val="009C5AEB"/>
    <w:rsid w:val="009C64A9"/>
    <w:rsid w:val="009C6533"/>
    <w:rsid w:val="009D3616"/>
    <w:rsid w:val="009D429F"/>
    <w:rsid w:val="009D4CAF"/>
    <w:rsid w:val="009D6B35"/>
    <w:rsid w:val="009D7B71"/>
    <w:rsid w:val="009D7D96"/>
    <w:rsid w:val="009E0B5F"/>
    <w:rsid w:val="009E409A"/>
    <w:rsid w:val="009E44E4"/>
    <w:rsid w:val="009E4872"/>
    <w:rsid w:val="009F0B07"/>
    <w:rsid w:val="009F0F8F"/>
    <w:rsid w:val="009F161B"/>
    <w:rsid w:val="009F209F"/>
    <w:rsid w:val="009F3A37"/>
    <w:rsid w:val="009F3BD2"/>
    <w:rsid w:val="009F5AF4"/>
    <w:rsid w:val="009F6595"/>
    <w:rsid w:val="009F65E5"/>
    <w:rsid w:val="009F74E4"/>
    <w:rsid w:val="00A026AE"/>
    <w:rsid w:val="00A05189"/>
    <w:rsid w:val="00A06135"/>
    <w:rsid w:val="00A0616A"/>
    <w:rsid w:val="00A065F9"/>
    <w:rsid w:val="00A108A4"/>
    <w:rsid w:val="00A1175C"/>
    <w:rsid w:val="00A11976"/>
    <w:rsid w:val="00A12AE9"/>
    <w:rsid w:val="00A15C07"/>
    <w:rsid w:val="00A17B64"/>
    <w:rsid w:val="00A23098"/>
    <w:rsid w:val="00A235BC"/>
    <w:rsid w:val="00A23F8D"/>
    <w:rsid w:val="00A24177"/>
    <w:rsid w:val="00A2554F"/>
    <w:rsid w:val="00A25741"/>
    <w:rsid w:val="00A25D43"/>
    <w:rsid w:val="00A26599"/>
    <w:rsid w:val="00A279B9"/>
    <w:rsid w:val="00A27EF9"/>
    <w:rsid w:val="00A32F0D"/>
    <w:rsid w:val="00A34E48"/>
    <w:rsid w:val="00A3548A"/>
    <w:rsid w:val="00A36DBD"/>
    <w:rsid w:val="00A37425"/>
    <w:rsid w:val="00A43E15"/>
    <w:rsid w:val="00A4539C"/>
    <w:rsid w:val="00A46C8B"/>
    <w:rsid w:val="00A516C9"/>
    <w:rsid w:val="00A541F9"/>
    <w:rsid w:val="00A54C5D"/>
    <w:rsid w:val="00A554DC"/>
    <w:rsid w:val="00A55917"/>
    <w:rsid w:val="00A57CAB"/>
    <w:rsid w:val="00A613F3"/>
    <w:rsid w:val="00A65220"/>
    <w:rsid w:val="00A65D0E"/>
    <w:rsid w:val="00A65D89"/>
    <w:rsid w:val="00A673A2"/>
    <w:rsid w:val="00A7037F"/>
    <w:rsid w:val="00A712BE"/>
    <w:rsid w:val="00A7145A"/>
    <w:rsid w:val="00A7210A"/>
    <w:rsid w:val="00A7242D"/>
    <w:rsid w:val="00A7257C"/>
    <w:rsid w:val="00A7299F"/>
    <w:rsid w:val="00A7711A"/>
    <w:rsid w:val="00A802CC"/>
    <w:rsid w:val="00A821C7"/>
    <w:rsid w:val="00A83672"/>
    <w:rsid w:val="00A850F1"/>
    <w:rsid w:val="00A9069E"/>
    <w:rsid w:val="00A919F4"/>
    <w:rsid w:val="00A93405"/>
    <w:rsid w:val="00A95C66"/>
    <w:rsid w:val="00A96C9D"/>
    <w:rsid w:val="00A96F40"/>
    <w:rsid w:val="00A97074"/>
    <w:rsid w:val="00A97D12"/>
    <w:rsid w:val="00AA2E3E"/>
    <w:rsid w:val="00AA3338"/>
    <w:rsid w:val="00AA3E87"/>
    <w:rsid w:val="00AA41E2"/>
    <w:rsid w:val="00AA4339"/>
    <w:rsid w:val="00AA4993"/>
    <w:rsid w:val="00AA699C"/>
    <w:rsid w:val="00AA7AF8"/>
    <w:rsid w:val="00AA7DC3"/>
    <w:rsid w:val="00AB1504"/>
    <w:rsid w:val="00AB27EC"/>
    <w:rsid w:val="00AB29BD"/>
    <w:rsid w:val="00AB2E92"/>
    <w:rsid w:val="00AB33A9"/>
    <w:rsid w:val="00AC476F"/>
    <w:rsid w:val="00AC5988"/>
    <w:rsid w:val="00AC60EA"/>
    <w:rsid w:val="00AD2BEA"/>
    <w:rsid w:val="00AD31B7"/>
    <w:rsid w:val="00AD3E18"/>
    <w:rsid w:val="00AD4E28"/>
    <w:rsid w:val="00AD7E9F"/>
    <w:rsid w:val="00AE0C2D"/>
    <w:rsid w:val="00AE1AE2"/>
    <w:rsid w:val="00AE1D5E"/>
    <w:rsid w:val="00AE3D1C"/>
    <w:rsid w:val="00AE3D66"/>
    <w:rsid w:val="00AE530F"/>
    <w:rsid w:val="00AE7AC1"/>
    <w:rsid w:val="00AF3E91"/>
    <w:rsid w:val="00AF691A"/>
    <w:rsid w:val="00AF6D5C"/>
    <w:rsid w:val="00AF78BF"/>
    <w:rsid w:val="00B0021C"/>
    <w:rsid w:val="00B02AB5"/>
    <w:rsid w:val="00B05B95"/>
    <w:rsid w:val="00B063D6"/>
    <w:rsid w:val="00B07A7F"/>
    <w:rsid w:val="00B11875"/>
    <w:rsid w:val="00B13CD6"/>
    <w:rsid w:val="00B208C1"/>
    <w:rsid w:val="00B22313"/>
    <w:rsid w:val="00B24776"/>
    <w:rsid w:val="00B24B56"/>
    <w:rsid w:val="00B27388"/>
    <w:rsid w:val="00B31734"/>
    <w:rsid w:val="00B31826"/>
    <w:rsid w:val="00B33928"/>
    <w:rsid w:val="00B34432"/>
    <w:rsid w:val="00B35D6E"/>
    <w:rsid w:val="00B35FB5"/>
    <w:rsid w:val="00B40312"/>
    <w:rsid w:val="00B41478"/>
    <w:rsid w:val="00B41AC3"/>
    <w:rsid w:val="00B43CF9"/>
    <w:rsid w:val="00B43FCA"/>
    <w:rsid w:val="00B440B2"/>
    <w:rsid w:val="00B446FF"/>
    <w:rsid w:val="00B45577"/>
    <w:rsid w:val="00B46C21"/>
    <w:rsid w:val="00B47458"/>
    <w:rsid w:val="00B51AA3"/>
    <w:rsid w:val="00B536FF"/>
    <w:rsid w:val="00B53F92"/>
    <w:rsid w:val="00B56E47"/>
    <w:rsid w:val="00B57A4B"/>
    <w:rsid w:val="00B61887"/>
    <w:rsid w:val="00B619A4"/>
    <w:rsid w:val="00B63ADE"/>
    <w:rsid w:val="00B663C8"/>
    <w:rsid w:val="00B670AB"/>
    <w:rsid w:val="00B67E6C"/>
    <w:rsid w:val="00B735DF"/>
    <w:rsid w:val="00B75A55"/>
    <w:rsid w:val="00B77A72"/>
    <w:rsid w:val="00B84629"/>
    <w:rsid w:val="00B8567C"/>
    <w:rsid w:val="00B8591E"/>
    <w:rsid w:val="00B87C11"/>
    <w:rsid w:val="00B9089B"/>
    <w:rsid w:val="00B93E1A"/>
    <w:rsid w:val="00B9481A"/>
    <w:rsid w:val="00BA0F63"/>
    <w:rsid w:val="00BA24BC"/>
    <w:rsid w:val="00BA46FD"/>
    <w:rsid w:val="00BA5256"/>
    <w:rsid w:val="00BA751F"/>
    <w:rsid w:val="00BB080E"/>
    <w:rsid w:val="00BB1452"/>
    <w:rsid w:val="00BB1F42"/>
    <w:rsid w:val="00BB21D6"/>
    <w:rsid w:val="00BB34D1"/>
    <w:rsid w:val="00BB3A18"/>
    <w:rsid w:val="00BB4529"/>
    <w:rsid w:val="00BB58ED"/>
    <w:rsid w:val="00BB64D6"/>
    <w:rsid w:val="00BB70DE"/>
    <w:rsid w:val="00BC1B34"/>
    <w:rsid w:val="00BC1D01"/>
    <w:rsid w:val="00BC205A"/>
    <w:rsid w:val="00BC2E0A"/>
    <w:rsid w:val="00BC66C4"/>
    <w:rsid w:val="00BC7BCA"/>
    <w:rsid w:val="00BD0F09"/>
    <w:rsid w:val="00BD4FC6"/>
    <w:rsid w:val="00BD4FEF"/>
    <w:rsid w:val="00BD57F6"/>
    <w:rsid w:val="00BD661E"/>
    <w:rsid w:val="00BD6674"/>
    <w:rsid w:val="00BE1451"/>
    <w:rsid w:val="00BE3E47"/>
    <w:rsid w:val="00BE3EB7"/>
    <w:rsid w:val="00BE50E9"/>
    <w:rsid w:val="00BF0421"/>
    <w:rsid w:val="00BF139A"/>
    <w:rsid w:val="00BF16D0"/>
    <w:rsid w:val="00BF18DB"/>
    <w:rsid w:val="00BF31AE"/>
    <w:rsid w:val="00BF5287"/>
    <w:rsid w:val="00BF623A"/>
    <w:rsid w:val="00BF775D"/>
    <w:rsid w:val="00C05431"/>
    <w:rsid w:val="00C063CB"/>
    <w:rsid w:val="00C07381"/>
    <w:rsid w:val="00C0784F"/>
    <w:rsid w:val="00C10FAC"/>
    <w:rsid w:val="00C1234A"/>
    <w:rsid w:val="00C12AE8"/>
    <w:rsid w:val="00C13F83"/>
    <w:rsid w:val="00C158CD"/>
    <w:rsid w:val="00C16F52"/>
    <w:rsid w:val="00C206A6"/>
    <w:rsid w:val="00C2089C"/>
    <w:rsid w:val="00C21B3C"/>
    <w:rsid w:val="00C23436"/>
    <w:rsid w:val="00C248CE"/>
    <w:rsid w:val="00C25A20"/>
    <w:rsid w:val="00C26137"/>
    <w:rsid w:val="00C3049C"/>
    <w:rsid w:val="00C32D6B"/>
    <w:rsid w:val="00C35616"/>
    <w:rsid w:val="00C3640D"/>
    <w:rsid w:val="00C367D9"/>
    <w:rsid w:val="00C36BDA"/>
    <w:rsid w:val="00C378F2"/>
    <w:rsid w:val="00C41B1D"/>
    <w:rsid w:val="00C42BC8"/>
    <w:rsid w:val="00C43461"/>
    <w:rsid w:val="00C4533E"/>
    <w:rsid w:val="00C45F01"/>
    <w:rsid w:val="00C46075"/>
    <w:rsid w:val="00C4755F"/>
    <w:rsid w:val="00C51DCF"/>
    <w:rsid w:val="00C533DC"/>
    <w:rsid w:val="00C536A6"/>
    <w:rsid w:val="00C53ACB"/>
    <w:rsid w:val="00C549CD"/>
    <w:rsid w:val="00C559AF"/>
    <w:rsid w:val="00C57D4C"/>
    <w:rsid w:val="00C64322"/>
    <w:rsid w:val="00C64CD7"/>
    <w:rsid w:val="00C65E07"/>
    <w:rsid w:val="00C666D4"/>
    <w:rsid w:val="00C6787B"/>
    <w:rsid w:val="00C72923"/>
    <w:rsid w:val="00C72C4B"/>
    <w:rsid w:val="00C733C7"/>
    <w:rsid w:val="00C73DA3"/>
    <w:rsid w:val="00C8077C"/>
    <w:rsid w:val="00C82880"/>
    <w:rsid w:val="00C82F0E"/>
    <w:rsid w:val="00C84AA1"/>
    <w:rsid w:val="00C84BFF"/>
    <w:rsid w:val="00C86FE8"/>
    <w:rsid w:val="00C90205"/>
    <w:rsid w:val="00C90287"/>
    <w:rsid w:val="00C925D5"/>
    <w:rsid w:val="00C93216"/>
    <w:rsid w:val="00C93398"/>
    <w:rsid w:val="00C954F2"/>
    <w:rsid w:val="00C961B7"/>
    <w:rsid w:val="00C979DB"/>
    <w:rsid w:val="00CB197E"/>
    <w:rsid w:val="00CB3287"/>
    <w:rsid w:val="00CB6786"/>
    <w:rsid w:val="00CB731C"/>
    <w:rsid w:val="00CB7C88"/>
    <w:rsid w:val="00CC119E"/>
    <w:rsid w:val="00CC2399"/>
    <w:rsid w:val="00CC542A"/>
    <w:rsid w:val="00CC7FB9"/>
    <w:rsid w:val="00CD0A0E"/>
    <w:rsid w:val="00CD4701"/>
    <w:rsid w:val="00CE07FE"/>
    <w:rsid w:val="00CE2493"/>
    <w:rsid w:val="00CE3B09"/>
    <w:rsid w:val="00CE5649"/>
    <w:rsid w:val="00CE6B6F"/>
    <w:rsid w:val="00CF1862"/>
    <w:rsid w:val="00CF3B34"/>
    <w:rsid w:val="00CF3D58"/>
    <w:rsid w:val="00CF50EC"/>
    <w:rsid w:val="00CF51B1"/>
    <w:rsid w:val="00CF6447"/>
    <w:rsid w:val="00CF652E"/>
    <w:rsid w:val="00CF798E"/>
    <w:rsid w:val="00D00B7C"/>
    <w:rsid w:val="00D04761"/>
    <w:rsid w:val="00D0553F"/>
    <w:rsid w:val="00D05B33"/>
    <w:rsid w:val="00D06BBD"/>
    <w:rsid w:val="00D10E0F"/>
    <w:rsid w:val="00D10E53"/>
    <w:rsid w:val="00D14D73"/>
    <w:rsid w:val="00D158E4"/>
    <w:rsid w:val="00D166F3"/>
    <w:rsid w:val="00D174EF"/>
    <w:rsid w:val="00D17F40"/>
    <w:rsid w:val="00D20CCD"/>
    <w:rsid w:val="00D23F51"/>
    <w:rsid w:val="00D258B9"/>
    <w:rsid w:val="00D30511"/>
    <w:rsid w:val="00D341AE"/>
    <w:rsid w:val="00D3455A"/>
    <w:rsid w:val="00D3530E"/>
    <w:rsid w:val="00D35E33"/>
    <w:rsid w:val="00D35FFA"/>
    <w:rsid w:val="00D365F2"/>
    <w:rsid w:val="00D37118"/>
    <w:rsid w:val="00D37BA1"/>
    <w:rsid w:val="00D40240"/>
    <w:rsid w:val="00D40F88"/>
    <w:rsid w:val="00D44BD4"/>
    <w:rsid w:val="00D45E34"/>
    <w:rsid w:val="00D46E1D"/>
    <w:rsid w:val="00D47052"/>
    <w:rsid w:val="00D47B6E"/>
    <w:rsid w:val="00D507EB"/>
    <w:rsid w:val="00D5177D"/>
    <w:rsid w:val="00D54340"/>
    <w:rsid w:val="00D55B4E"/>
    <w:rsid w:val="00D61B30"/>
    <w:rsid w:val="00D6328F"/>
    <w:rsid w:val="00D6694D"/>
    <w:rsid w:val="00D67BEA"/>
    <w:rsid w:val="00D74F0B"/>
    <w:rsid w:val="00D76E9F"/>
    <w:rsid w:val="00D82847"/>
    <w:rsid w:val="00D83BE2"/>
    <w:rsid w:val="00D8644A"/>
    <w:rsid w:val="00D86DE3"/>
    <w:rsid w:val="00D922E1"/>
    <w:rsid w:val="00D95016"/>
    <w:rsid w:val="00D96D53"/>
    <w:rsid w:val="00DA32B9"/>
    <w:rsid w:val="00DA41D4"/>
    <w:rsid w:val="00DA45AC"/>
    <w:rsid w:val="00DA74FE"/>
    <w:rsid w:val="00DB0A20"/>
    <w:rsid w:val="00DB0C97"/>
    <w:rsid w:val="00DB1E37"/>
    <w:rsid w:val="00DB2CDF"/>
    <w:rsid w:val="00DB2E80"/>
    <w:rsid w:val="00DB34A5"/>
    <w:rsid w:val="00DB5AD1"/>
    <w:rsid w:val="00DC0440"/>
    <w:rsid w:val="00DC33BC"/>
    <w:rsid w:val="00DC3F2E"/>
    <w:rsid w:val="00DC558C"/>
    <w:rsid w:val="00DC5B53"/>
    <w:rsid w:val="00DC67CB"/>
    <w:rsid w:val="00DD331B"/>
    <w:rsid w:val="00DD3D66"/>
    <w:rsid w:val="00DD4B4F"/>
    <w:rsid w:val="00DD56BC"/>
    <w:rsid w:val="00DD635F"/>
    <w:rsid w:val="00DE1A9F"/>
    <w:rsid w:val="00DE1E86"/>
    <w:rsid w:val="00DE309A"/>
    <w:rsid w:val="00DE3DC4"/>
    <w:rsid w:val="00DE440C"/>
    <w:rsid w:val="00DE4E82"/>
    <w:rsid w:val="00DE75A1"/>
    <w:rsid w:val="00DF1D56"/>
    <w:rsid w:val="00DF44CA"/>
    <w:rsid w:val="00DF6613"/>
    <w:rsid w:val="00DF67E1"/>
    <w:rsid w:val="00E007CB"/>
    <w:rsid w:val="00E011FE"/>
    <w:rsid w:val="00E048D6"/>
    <w:rsid w:val="00E04C58"/>
    <w:rsid w:val="00E07269"/>
    <w:rsid w:val="00E07530"/>
    <w:rsid w:val="00E12293"/>
    <w:rsid w:val="00E200F2"/>
    <w:rsid w:val="00E2066E"/>
    <w:rsid w:val="00E23320"/>
    <w:rsid w:val="00E24099"/>
    <w:rsid w:val="00E274D1"/>
    <w:rsid w:val="00E27DED"/>
    <w:rsid w:val="00E3193B"/>
    <w:rsid w:val="00E33304"/>
    <w:rsid w:val="00E34F7E"/>
    <w:rsid w:val="00E370D1"/>
    <w:rsid w:val="00E37CCD"/>
    <w:rsid w:val="00E40B72"/>
    <w:rsid w:val="00E413F2"/>
    <w:rsid w:val="00E43720"/>
    <w:rsid w:val="00E45370"/>
    <w:rsid w:val="00E46687"/>
    <w:rsid w:val="00E5037F"/>
    <w:rsid w:val="00E50574"/>
    <w:rsid w:val="00E50B3C"/>
    <w:rsid w:val="00E525D3"/>
    <w:rsid w:val="00E54A8C"/>
    <w:rsid w:val="00E54C99"/>
    <w:rsid w:val="00E57400"/>
    <w:rsid w:val="00E603AF"/>
    <w:rsid w:val="00E64D19"/>
    <w:rsid w:val="00E65163"/>
    <w:rsid w:val="00E6581C"/>
    <w:rsid w:val="00E667C4"/>
    <w:rsid w:val="00E67036"/>
    <w:rsid w:val="00E67656"/>
    <w:rsid w:val="00E721CA"/>
    <w:rsid w:val="00E73E36"/>
    <w:rsid w:val="00E75648"/>
    <w:rsid w:val="00E76699"/>
    <w:rsid w:val="00E81FE2"/>
    <w:rsid w:val="00E83868"/>
    <w:rsid w:val="00E85A40"/>
    <w:rsid w:val="00E85DA7"/>
    <w:rsid w:val="00E86F78"/>
    <w:rsid w:val="00E91C89"/>
    <w:rsid w:val="00E92E3A"/>
    <w:rsid w:val="00E954B7"/>
    <w:rsid w:val="00EA23CE"/>
    <w:rsid w:val="00EA4D6A"/>
    <w:rsid w:val="00EA6321"/>
    <w:rsid w:val="00EB0552"/>
    <w:rsid w:val="00EB2C81"/>
    <w:rsid w:val="00EB43BA"/>
    <w:rsid w:val="00EB451D"/>
    <w:rsid w:val="00EB4FDD"/>
    <w:rsid w:val="00EB7F43"/>
    <w:rsid w:val="00EC108E"/>
    <w:rsid w:val="00EC1631"/>
    <w:rsid w:val="00EC2542"/>
    <w:rsid w:val="00EC354D"/>
    <w:rsid w:val="00EC3735"/>
    <w:rsid w:val="00EC49FF"/>
    <w:rsid w:val="00EC5A8A"/>
    <w:rsid w:val="00EC73B8"/>
    <w:rsid w:val="00EC74EA"/>
    <w:rsid w:val="00EC779F"/>
    <w:rsid w:val="00ED0E45"/>
    <w:rsid w:val="00ED3AE4"/>
    <w:rsid w:val="00ED68A4"/>
    <w:rsid w:val="00ED740A"/>
    <w:rsid w:val="00ED754C"/>
    <w:rsid w:val="00ED7FDC"/>
    <w:rsid w:val="00EE139E"/>
    <w:rsid w:val="00EE19CF"/>
    <w:rsid w:val="00EE2121"/>
    <w:rsid w:val="00EE23AC"/>
    <w:rsid w:val="00EE3EC6"/>
    <w:rsid w:val="00EE489C"/>
    <w:rsid w:val="00EE7626"/>
    <w:rsid w:val="00EF02D3"/>
    <w:rsid w:val="00EF3FA0"/>
    <w:rsid w:val="00EF4F4A"/>
    <w:rsid w:val="00EF741F"/>
    <w:rsid w:val="00F03D87"/>
    <w:rsid w:val="00F040B7"/>
    <w:rsid w:val="00F04E42"/>
    <w:rsid w:val="00F054AC"/>
    <w:rsid w:val="00F10E47"/>
    <w:rsid w:val="00F117F2"/>
    <w:rsid w:val="00F11EEC"/>
    <w:rsid w:val="00F151C0"/>
    <w:rsid w:val="00F16239"/>
    <w:rsid w:val="00F16393"/>
    <w:rsid w:val="00F1643A"/>
    <w:rsid w:val="00F2161C"/>
    <w:rsid w:val="00F21C07"/>
    <w:rsid w:val="00F22C78"/>
    <w:rsid w:val="00F24B23"/>
    <w:rsid w:val="00F3097C"/>
    <w:rsid w:val="00F3260C"/>
    <w:rsid w:val="00F326F3"/>
    <w:rsid w:val="00F349F3"/>
    <w:rsid w:val="00F35BF8"/>
    <w:rsid w:val="00F36203"/>
    <w:rsid w:val="00F36B6D"/>
    <w:rsid w:val="00F42794"/>
    <w:rsid w:val="00F43C2C"/>
    <w:rsid w:val="00F44C53"/>
    <w:rsid w:val="00F461EE"/>
    <w:rsid w:val="00F46BE9"/>
    <w:rsid w:val="00F504D5"/>
    <w:rsid w:val="00F513F1"/>
    <w:rsid w:val="00F53F58"/>
    <w:rsid w:val="00F56E14"/>
    <w:rsid w:val="00F64FFE"/>
    <w:rsid w:val="00F6561B"/>
    <w:rsid w:val="00F67D64"/>
    <w:rsid w:val="00F71420"/>
    <w:rsid w:val="00F721E7"/>
    <w:rsid w:val="00F74987"/>
    <w:rsid w:val="00F74BC9"/>
    <w:rsid w:val="00F75049"/>
    <w:rsid w:val="00F75C27"/>
    <w:rsid w:val="00F8375B"/>
    <w:rsid w:val="00F83D16"/>
    <w:rsid w:val="00F84277"/>
    <w:rsid w:val="00F84549"/>
    <w:rsid w:val="00F90149"/>
    <w:rsid w:val="00F901CE"/>
    <w:rsid w:val="00F91184"/>
    <w:rsid w:val="00F944C2"/>
    <w:rsid w:val="00FA0575"/>
    <w:rsid w:val="00FA0687"/>
    <w:rsid w:val="00FA2A9A"/>
    <w:rsid w:val="00FA3870"/>
    <w:rsid w:val="00FA44D6"/>
    <w:rsid w:val="00FA4889"/>
    <w:rsid w:val="00FA49E4"/>
    <w:rsid w:val="00FA65F0"/>
    <w:rsid w:val="00FB1814"/>
    <w:rsid w:val="00FB2389"/>
    <w:rsid w:val="00FB2F05"/>
    <w:rsid w:val="00FC0927"/>
    <w:rsid w:val="00FC0D07"/>
    <w:rsid w:val="00FC16C2"/>
    <w:rsid w:val="00FC70AF"/>
    <w:rsid w:val="00FC775E"/>
    <w:rsid w:val="00FC7F8F"/>
    <w:rsid w:val="00FD0BC6"/>
    <w:rsid w:val="00FD0CBF"/>
    <w:rsid w:val="00FD32BB"/>
    <w:rsid w:val="00FD365D"/>
    <w:rsid w:val="00FD4457"/>
    <w:rsid w:val="00FD458A"/>
    <w:rsid w:val="00FD5172"/>
    <w:rsid w:val="00FD734B"/>
    <w:rsid w:val="00FE116A"/>
    <w:rsid w:val="00FE1B96"/>
    <w:rsid w:val="00FE429E"/>
    <w:rsid w:val="00FE6716"/>
    <w:rsid w:val="00FF07D7"/>
    <w:rsid w:val="00FF0823"/>
    <w:rsid w:val="00FF1360"/>
    <w:rsid w:val="00FF2D2D"/>
    <w:rsid w:val="00FF3611"/>
    <w:rsid w:val="00FF38F2"/>
    <w:rsid w:val="00FF5353"/>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5ACBB66"/>
  <w15:docId w15:val="{42456291-4648-4FA3-A08E-5E679A3BF0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nl-NL" w:eastAsia="nl-N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Pr>
      <w:rFonts w:ascii="Univers" w:hAnsi="Univers"/>
      <w:sz w:val="22"/>
      <w:szCs w:val="24"/>
    </w:rPr>
  </w:style>
  <w:style w:type="paragraph" w:styleId="Kop4">
    <w:name w:val="heading 4"/>
    <w:basedOn w:val="Standaard"/>
    <w:link w:val="Kop4Char"/>
    <w:uiPriority w:val="9"/>
    <w:qFormat/>
    <w:rsid w:val="006D3969"/>
    <w:pPr>
      <w:spacing w:before="100" w:beforeAutospacing="1" w:after="100" w:afterAutospacing="1"/>
      <w:outlineLvl w:val="3"/>
    </w:pPr>
    <w:rPr>
      <w:rFonts w:ascii="Times New Roman" w:hAnsi="Times New Roman"/>
      <w:b/>
      <w:bCs/>
      <w:sz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993C75"/>
    <w:pPr>
      <w:tabs>
        <w:tab w:val="center" w:pos="4536"/>
        <w:tab w:val="right" w:pos="9072"/>
      </w:tabs>
    </w:pPr>
  </w:style>
  <w:style w:type="character" w:customStyle="1" w:styleId="KoptekstChar">
    <w:name w:val="Koptekst Char"/>
    <w:basedOn w:val="Standaardalinea-lettertype"/>
    <w:link w:val="Koptekst"/>
    <w:uiPriority w:val="99"/>
    <w:rsid w:val="00993C75"/>
    <w:rPr>
      <w:rFonts w:ascii="Univers" w:hAnsi="Univers"/>
      <w:sz w:val="22"/>
      <w:szCs w:val="24"/>
    </w:rPr>
  </w:style>
  <w:style w:type="paragraph" w:styleId="Voettekst">
    <w:name w:val="footer"/>
    <w:basedOn w:val="Standaard"/>
    <w:link w:val="VoettekstChar"/>
    <w:uiPriority w:val="99"/>
    <w:unhideWhenUsed/>
    <w:rsid w:val="00993C75"/>
    <w:pPr>
      <w:tabs>
        <w:tab w:val="center" w:pos="4536"/>
        <w:tab w:val="right" w:pos="9072"/>
      </w:tabs>
    </w:pPr>
  </w:style>
  <w:style w:type="character" w:customStyle="1" w:styleId="VoettekstChar">
    <w:name w:val="Voettekst Char"/>
    <w:basedOn w:val="Standaardalinea-lettertype"/>
    <w:link w:val="Voettekst"/>
    <w:uiPriority w:val="99"/>
    <w:rsid w:val="00993C75"/>
    <w:rPr>
      <w:rFonts w:ascii="Univers" w:hAnsi="Univers"/>
      <w:sz w:val="22"/>
      <w:szCs w:val="24"/>
    </w:rPr>
  </w:style>
  <w:style w:type="table" w:styleId="Tabelraster">
    <w:name w:val="Table Grid"/>
    <w:basedOn w:val="Standaardtabel"/>
    <w:uiPriority w:val="59"/>
    <w:rsid w:val="00993C7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inanummer">
    <w:name w:val="page number"/>
    <w:rsid w:val="006819B8"/>
    <w:rPr>
      <w:rFonts w:ascii="Univers" w:hAnsi="Univers"/>
      <w:sz w:val="22"/>
    </w:rPr>
  </w:style>
  <w:style w:type="character" w:styleId="Regelnummer">
    <w:name w:val="line number"/>
    <w:basedOn w:val="Standaardalinea-lettertype"/>
    <w:uiPriority w:val="99"/>
    <w:semiHidden/>
    <w:unhideWhenUsed/>
    <w:rsid w:val="00971EF8"/>
  </w:style>
  <w:style w:type="character" w:styleId="Tekstvantijdelijkeaanduiding">
    <w:name w:val="Placeholder Text"/>
    <w:basedOn w:val="Standaardalinea-lettertype"/>
    <w:uiPriority w:val="99"/>
    <w:semiHidden/>
    <w:rsid w:val="00634CA5"/>
    <w:rPr>
      <w:color w:val="808080"/>
    </w:rPr>
  </w:style>
  <w:style w:type="paragraph" w:styleId="Lijstalinea">
    <w:name w:val="List Paragraph"/>
    <w:basedOn w:val="Standaard"/>
    <w:uiPriority w:val="34"/>
    <w:qFormat/>
    <w:rsid w:val="00996159"/>
    <w:pPr>
      <w:ind w:left="720"/>
      <w:contextualSpacing/>
    </w:pPr>
  </w:style>
  <w:style w:type="paragraph" w:styleId="Voetnoottekst">
    <w:name w:val="footnote text"/>
    <w:basedOn w:val="Standaard"/>
    <w:link w:val="VoetnoottekstChar"/>
    <w:uiPriority w:val="99"/>
    <w:semiHidden/>
    <w:unhideWhenUsed/>
    <w:rsid w:val="00F2161C"/>
    <w:rPr>
      <w:sz w:val="20"/>
      <w:szCs w:val="20"/>
    </w:rPr>
  </w:style>
  <w:style w:type="character" w:customStyle="1" w:styleId="VoetnoottekstChar">
    <w:name w:val="Voetnoottekst Char"/>
    <w:basedOn w:val="Standaardalinea-lettertype"/>
    <w:link w:val="Voetnoottekst"/>
    <w:uiPriority w:val="99"/>
    <w:semiHidden/>
    <w:rsid w:val="00F2161C"/>
    <w:rPr>
      <w:rFonts w:ascii="Univers" w:hAnsi="Univers"/>
    </w:rPr>
  </w:style>
  <w:style w:type="character" w:styleId="Voetnootmarkering">
    <w:name w:val="footnote reference"/>
    <w:basedOn w:val="Standaardalinea-lettertype"/>
    <w:uiPriority w:val="99"/>
    <w:semiHidden/>
    <w:unhideWhenUsed/>
    <w:rsid w:val="00F2161C"/>
    <w:rPr>
      <w:vertAlign w:val="superscript"/>
    </w:rPr>
  </w:style>
  <w:style w:type="character" w:styleId="Nadruk">
    <w:name w:val="Emphasis"/>
    <w:basedOn w:val="Standaardalinea-lettertype"/>
    <w:uiPriority w:val="20"/>
    <w:qFormat/>
    <w:rsid w:val="00BA46FD"/>
    <w:rPr>
      <w:i/>
      <w:iCs/>
    </w:rPr>
  </w:style>
  <w:style w:type="character" w:styleId="Verwijzingopmerking">
    <w:name w:val="annotation reference"/>
    <w:basedOn w:val="Standaardalinea-lettertype"/>
    <w:uiPriority w:val="99"/>
    <w:semiHidden/>
    <w:unhideWhenUsed/>
    <w:rsid w:val="006A4606"/>
    <w:rPr>
      <w:sz w:val="16"/>
      <w:szCs w:val="16"/>
    </w:rPr>
  </w:style>
  <w:style w:type="paragraph" w:styleId="Tekstopmerking">
    <w:name w:val="annotation text"/>
    <w:basedOn w:val="Standaard"/>
    <w:link w:val="TekstopmerkingChar"/>
    <w:uiPriority w:val="99"/>
    <w:semiHidden/>
    <w:unhideWhenUsed/>
    <w:rsid w:val="006A4606"/>
    <w:rPr>
      <w:sz w:val="20"/>
      <w:szCs w:val="20"/>
    </w:rPr>
  </w:style>
  <w:style w:type="character" w:customStyle="1" w:styleId="TekstopmerkingChar">
    <w:name w:val="Tekst opmerking Char"/>
    <w:basedOn w:val="Standaardalinea-lettertype"/>
    <w:link w:val="Tekstopmerking"/>
    <w:uiPriority w:val="99"/>
    <w:semiHidden/>
    <w:rsid w:val="006A4606"/>
    <w:rPr>
      <w:rFonts w:ascii="Univers" w:hAnsi="Univers"/>
    </w:rPr>
  </w:style>
  <w:style w:type="paragraph" w:styleId="Onderwerpvanopmerking">
    <w:name w:val="annotation subject"/>
    <w:basedOn w:val="Tekstopmerking"/>
    <w:next w:val="Tekstopmerking"/>
    <w:link w:val="OnderwerpvanopmerkingChar"/>
    <w:uiPriority w:val="99"/>
    <w:semiHidden/>
    <w:unhideWhenUsed/>
    <w:rsid w:val="006A4606"/>
    <w:rPr>
      <w:b/>
      <w:bCs/>
    </w:rPr>
  </w:style>
  <w:style w:type="character" w:customStyle="1" w:styleId="OnderwerpvanopmerkingChar">
    <w:name w:val="Onderwerp van opmerking Char"/>
    <w:basedOn w:val="TekstopmerkingChar"/>
    <w:link w:val="Onderwerpvanopmerking"/>
    <w:uiPriority w:val="99"/>
    <w:semiHidden/>
    <w:rsid w:val="006A4606"/>
    <w:rPr>
      <w:rFonts w:ascii="Univers" w:hAnsi="Univers"/>
      <w:b/>
      <w:bCs/>
    </w:rPr>
  </w:style>
  <w:style w:type="character" w:customStyle="1" w:styleId="Kop4Char">
    <w:name w:val="Kop 4 Char"/>
    <w:basedOn w:val="Standaardalinea-lettertype"/>
    <w:link w:val="Kop4"/>
    <w:uiPriority w:val="9"/>
    <w:rsid w:val="006D3969"/>
    <w:rPr>
      <w:b/>
      <w:bCs/>
      <w:sz w:val="24"/>
      <w:szCs w:val="24"/>
    </w:rPr>
  </w:style>
  <w:style w:type="paragraph" w:customStyle="1" w:styleId="action--relations">
    <w:name w:val="action--relations"/>
    <w:basedOn w:val="Standaard"/>
    <w:rsid w:val="006D3969"/>
    <w:pPr>
      <w:spacing w:before="100" w:beforeAutospacing="1" w:after="100" w:afterAutospacing="1"/>
    </w:pPr>
    <w:rPr>
      <w:rFonts w:ascii="Times New Roman" w:hAnsi="Times New Roman"/>
      <w:sz w:val="24"/>
    </w:rPr>
  </w:style>
  <w:style w:type="character" w:styleId="Hyperlink">
    <w:name w:val="Hyperlink"/>
    <w:basedOn w:val="Standaardalinea-lettertype"/>
    <w:uiPriority w:val="99"/>
    <w:semiHidden/>
    <w:unhideWhenUsed/>
    <w:rsid w:val="006D3969"/>
    <w:rPr>
      <w:color w:val="0000FF"/>
      <w:u w:val="single"/>
    </w:rPr>
  </w:style>
  <w:style w:type="paragraph" w:customStyle="1" w:styleId="action--version">
    <w:name w:val="action--version"/>
    <w:basedOn w:val="Standaard"/>
    <w:rsid w:val="006D3969"/>
    <w:pPr>
      <w:spacing w:before="100" w:beforeAutospacing="1" w:after="100" w:afterAutospacing="1"/>
    </w:pPr>
    <w:rPr>
      <w:rFonts w:ascii="Times New Roman" w:hAnsi="Times New Roman"/>
      <w:sz w:val="24"/>
    </w:rPr>
  </w:style>
  <w:style w:type="paragraph" w:customStyle="1" w:styleId="action--compare">
    <w:name w:val="action--compare"/>
    <w:basedOn w:val="Standaard"/>
    <w:rsid w:val="006D3969"/>
    <w:pPr>
      <w:spacing w:before="100" w:beforeAutospacing="1" w:after="100" w:afterAutospacing="1"/>
    </w:pPr>
    <w:rPr>
      <w:rFonts w:ascii="Times New Roman" w:hAnsi="Times New Roman"/>
      <w:sz w:val="24"/>
    </w:rPr>
  </w:style>
  <w:style w:type="paragraph" w:customStyle="1" w:styleId="action--print">
    <w:name w:val="action--print"/>
    <w:basedOn w:val="Standaard"/>
    <w:rsid w:val="006D3969"/>
    <w:pPr>
      <w:spacing w:before="100" w:beforeAutospacing="1" w:after="100" w:afterAutospacing="1"/>
    </w:pPr>
    <w:rPr>
      <w:rFonts w:ascii="Times New Roman" w:hAnsi="Times New Roman"/>
      <w:sz w:val="24"/>
    </w:rPr>
  </w:style>
  <w:style w:type="paragraph" w:customStyle="1" w:styleId="action--download">
    <w:name w:val="action--download"/>
    <w:basedOn w:val="Standaard"/>
    <w:rsid w:val="006D3969"/>
    <w:pPr>
      <w:spacing w:before="100" w:beforeAutospacing="1" w:after="100" w:afterAutospacing="1"/>
    </w:pPr>
    <w:rPr>
      <w:rFonts w:ascii="Times New Roman" w:hAnsi="Times New Roman"/>
      <w:sz w:val="24"/>
    </w:rPr>
  </w:style>
  <w:style w:type="paragraph" w:styleId="Normaalweb">
    <w:name w:val="Normal (Web)"/>
    <w:basedOn w:val="Standaard"/>
    <w:uiPriority w:val="99"/>
    <w:semiHidden/>
    <w:unhideWhenUsed/>
    <w:rsid w:val="006D3969"/>
    <w:pPr>
      <w:spacing w:before="100" w:beforeAutospacing="1" w:after="100" w:afterAutospacing="1"/>
    </w:pPr>
    <w:rPr>
      <w:rFonts w:ascii="Times New Roman" w:hAnsi="Times New Roman"/>
      <w:sz w:val="24"/>
    </w:rPr>
  </w:style>
  <w:style w:type="paragraph" w:customStyle="1" w:styleId="lid">
    <w:name w:val="lid"/>
    <w:basedOn w:val="Standaard"/>
    <w:rsid w:val="006D3969"/>
    <w:pPr>
      <w:spacing w:before="100" w:beforeAutospacing="1" w:after="100" w:afterAutospacing="1"/>
    </w:pPr>
    <w:rPr>
      <w:rFonts w:ascii="Times New Roman" w:hAnsi="Times New Roman"/>
      <w:sz w:val="24"/>
    </w:rPr>
  </w:style>
  <w:style w:type="character" w:customStyle="1" w:styleId="lidnr">
    <w:name w:val="lidnr"/>
    <w:basedOn w:val="Standaardalinea-lettertype"/>
    <w:rsid w:val="006D3969"/>
  </w:style>
  <w:style w:type="paragraph" w:styleId="Revisie">
    <w:name w:val="Revision"/>
    <w:hidden/>
    <w:uiPriority w:val="99"/>
    <w:semiHidden/>
    <w:rsid w:val="006E1142"/>
    <w:rPr>
      <w:rFonts w:ascii="Univers" w:hAnsi="Univers"/>
      <w:sz w:val="22"/>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243240">
      <w:bodyDiv w:val="1"/>
      <w:marLeft w:val="0"/>
      <w:marRight w:val="0"/>
      <w:marTop w:val="0"/>
      <w:marBottom w:val="0"/>
      <w:divBdr>
        <w:top w:val="none" w:sz="0" w:space="0" w:color="auto"/>
        <w:left w:val="none" w:sz="0" w:space="0" w:color="auto"/>
        <w:bottom w:val="none" w:sz="0" w:space="0" w:color="auto"/>
        <w:right w:val="none" w:sz="0" w:space="0" w:color="auto"/>
      </w:divBdr>
    </w:div>
    <w:div w:id="106462196">
      <w:bodyDiv w:val="1"/>
      <w:marLeft w:val="0"/>
      <w:marRight w:val="0"/>
      <w:marTop w:val="0"/>
      <w:marBottom w:val="0"/>
      <w:divBdr>
        <w:top w:val="none" w:sz="0" w:space="0" w:color="auto"/>
        <w:left w:val="none" w:sz="0" w:space="0" w:color="auto"/>
        <w:bottom w:val="none" w:sz="0" w:space="0" w:color="auto"/>
        <w:right w:val="none" w:sz="0" w:space="0" w:color="auto"/>
      </w:divBdr>
      <w:divsChild>
        <w:div w:id="1443692684">
          <w:marLeft w:val="0"/>
          <w:marRight w:val="0"/>
          <w:marTop w:val="60"/>
          <w:marBottom w:val="60"/>
          <w:divBdr>
            <w:top w:val="none" w:sz="0" w:space="0" w:color="auto"/>
            <w:left w:val="none" w:sz="0" w:space="0" w:color="auto"/>
            <w:bottom w:val="none" w:sz="0" w:space="0" w:color="auto"/>
            <w:right w:val="none" w:sz="0" w:space="0" w:color="auto"/>
          </w:divBdr>
        </w:div>
      </w:divsChild>
    </w:div>
    <w:div w:id="554893904">
      <w:bodyDiv w:val="1"/>
      <w:marLeft w:val="0"/>
      <w:marRight w:val="0"/>
      <w:marTop w:val="0"/>
      <w:marBottom w:val="0"/>
      <w:divBdr>
        <w:top w:val="none" w:sz="0" w:space="0" w:color="auto"/>
        <w:left w:val="none" w:sz="0" w:space="0" w:color="auto"/>
        <w:bottom w:val="none" w:sz="0" w:space="0" w:color="auto"/>
        <w:right w:val="none" w:sz="0" w:space="0" w:color="auto"/>
      </w:divBdr>
    </w:div>
    <w:div w:id="713115193">
      <w:bodyDiv w:val="1"/>
      <w:marLeft w:val="0"/>
      <w:marRight w:val="0"/>
      <w:marTop w:val="0"/>
      <w:marBottom w:val="0"/>
      <w:divBdr>
        <w:top w:val="none" w:sz="0" w:space="0" w:color="auto"/>
        <w:left w:val="none" w:sz="0" w:space="0" w:color="auto"/>
        <w:bottom w:val="none" w:sz="0" w:space="0" w:color="auto"/>
        <w:right w:val="none" w:sz="0" w:space="0" w:color="auto"/>
      </w:divBdr>
    </w:div>
    <w:div w:id="19603359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styles" Target="style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header" Target="header3.xml" Id="rId16" /><Relationship Type="http://schemas.openxmlformats.org/officeDocument/2006/relationships/theme" Target="theme/theme1.xml" Id="rId20"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footer" Target="footer2.xml" Id="rId15" /><Relationship Type="http://schemas.openxmlformats.org/officeDocument/2006/relationships/footnotes" Target="footnotes.xml" Id="rId10" /><Relationship Type="http://schemas.openxmlformats.org/officeDocument/2006/relationships/glossaryDocument" Target="glossary/document.xml" Id="rId19" /><Relationship Type="http://schemas.openxmlformats.org/officeDocument/2006/relationships/webSettings" Target="webSettings.xml" Id="rId9" /><Relationship Type="http://schemas.openxmlformats.org/officeDocument/2006/relationships/footer" Target="footer1.xml" Id="rId14" /></Relationships>
</file>

<file path=word/_rels/footnotes.xml.rels><?xml version="1.0" encoding="UTF-8" standalone="yes"?>
<Relationships xmlns="http://schemas.openxmlformats.org/package/2006/relationships"><Relationship Id="rId1" Type="http://schemas.openxmlformats.org/officeDocument/2006/relationships/hyperlink" Target="https://www.eerstekamer.nl/behandeling/20221220/stemmingsoverzicht_tweede_kamer" TargetMode="Externa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Algemeen"/>
          <w:gallery w:val="placeholder"/>
        </w:category>
        <w:types>
          <w:type w:val="bbPlcHdr"/>
        </w:types>
        <w:behaviors>
          <w:behavior w:val="content"/>
        </w:behaviors>
        <w:guid w:val="{7504CC13-DEA8-4562-BBBA-08FC1F625F84}"/>
      </w:docPartPr>
      <w:docPartBody>
        <w:p w:rsidR="004555D2" w:rsidRDefault="00F7332A">
          <w:r w:rsidRPr="00592117">
            <w:rPr>
              <w:rStyle w:val="Tekstvantijdelijkeaanduiding"/>
            </w:rPr>
            <w:t>Klik of tik om tekst in te voeren.</w:t>
          </w:r>
        </w:p>
      </w:docPartBody>
    </w:docPart>
    <w:docPart>
      <w:docPartPr>
        <w:name w:val="606A98E07F7C49D698F5B7EC386552DA"/>
        <w:category>
          <w:name w:val="Algemeen"/>
          <w:gallery w:val="placeholder"/>
        </w:category>
        <w:types>
          <w:type w:val="bbPlcHdr"/>
        </w:types>
        <w:behaviors>
          <w:behavior w:val="content"/>
        </w:behaviors>
        <w:guid w:val="{1FC33E94-A5BD-472C-A16E-18830E612B37}"/>
      </w:docPartPr>
      <w:docPartBody>
        <w:p w:rsidR="002D11FE" w:rsidRDefault="00F7332A">
          <w:pPr>
            <w:pStyle w:val="606A98E07F7C49D698F5B7EC386552DA"/>
          </w:pPr>
          <w:r w:rsidRPr="00592117">
            <w:rPr>
              <w:rStyle w:val="Tekstvantijdelijkeaanduiding"/>
            </w:rPr>
            <w:t>Klik of tik om tekst in te voeren.</w:t>
          </w:r>
        </w:p>
      </w:docPartBody>
    </w:docPart>
    <w:docPart>
      <w:docPartPr>
        <w:name w:val="C7A4CC6294924CB39F698AA2DFF345A8"/>
        <w:category>
          <w:name w:val="Algemeen"/>
          <w:gallery w:val="placeholder"/>
        </w:category>
        <w:types>
          <w:type w:val="bbPlcHdr"/>
        </w:types>
        <w:behaviors>
          <w:behavior w:val="content"/>
        </w:behaviors>
        <w:guid w:val="{AF0CF01D-C3DA-412A-B4D8-78B0C87F57C4}"/>
      </w:docPartPr>
      <w:docPartBody>
        <w:p w:rsidR="002D11FE" w:rsidRDefault="0038714C" w:rsidP="0038714C">
          <w:pPr>
            <w:pStyle w:val="C7A4CC6294924CB39F698AA2DFF345A8"/>
          </w:pPr>
          <w:r w:rsidRPr="00592117">
            <w:rPr>
              <w:rStyle w:val="Tekstvantijdelijkeaanduiding"/>
            </w:rPr>
            <w:t>Klik of tik om tekst in te voeren.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Univers">
    <w:altName w:val="Arial"/>
    <w:panose1 w:val="020B0603020202030204"/>
    <w:charset w:val="00"/>
    <w:family w:val="swiss"/>
    <w:pitch w:val="variable"/>
    <w:sig w:usb0="00000007" w:usb1="00000000" w:usb2="00000000" w:usb3="00000000" w:csb0="00000013" w:csb1="00000000"/>
  </w:font>
  <w:font w:name="Arial">
    <w:panose1 w:val="020B0604020202020204"/>
    <w:charset w:val="00"/>
    <w:family w:val="swiss"/>
    <w:pitch w:val="variable"/>
    <w:sig w:usb0="E0002EFF" w:usb1="C000785B" w:usb2="00000009" w:usb3="00000000" w:csb0="000001FF" w:csb1="00000000"/>
  </w:font>
  <w:font w:name="Bembo">
    <w:panose1 w:val="02020502050201020203"/>
    <w:charset w:val="00"/>
    <w:family w:val="roman"/>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7332A"/>
    <w:rsid w:val="00184FDE"/>
    <w:rsid w:val="002D11FE"/>
    <w:rsid w:val="0038714C"/>
    <w:rsid w:val="004555D2"/>
    <w:rsid w:val="004C2E90"/>
    <w:rsid w:val="00625FA3"/>
    <w:rsid w:val="00671C30"/>
    <w:rsid w:val="007C7F4E"/>
    <w:rsid w:val="007F5F71"/>
    <w:rsid w:val="00D5305F"/>
    <w:rsid w:val="00F16622"/>
    <w:rsid w:val="00F3680E"/>
    <w:rsid w:val="00F7332A"/>
    <w:rsid w:val="00FA6687"/>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ecimalSymbol w:val=","/>
  <w:listSeparator w:val=";"/>
  <w14:docId w14:val="064C5B86"/>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nl-NL" w:eastAsia="nl-NL"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Tekstvantijdelijkeaanduiding">
    <w:name w:val="Placeholder Text"/>
    <w:basedOn w:val="Standaardalinea-lettertype"/>
    <w:uiPriority w:val="99"/>
    <w:semiHidden/>
    <w:rsid w:val="0038714C"/>
    <w:rPr>
      <w:color w:val="808080"/>
    </w:rPr>
  </w:style>
  <w:style w:type="paragraph" w:customStyle="1" w:styleId="606A98E07F7C49D698F5B7EC386552DA">
    <w:name w:val="606A98E07F7C49D698F5B7EC386552DA"/>
  </w:style>
  <w:style w:type="paragraph" w:customStyle="1" w:styleId="C7A4CC6294924CB39F698AA2DFF345A8">
    <w:name w:val="C7A4CC6294924CB39F698AA2DFF345A8"/>
    <w:rsid w:val="0038714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10</ap:Pages>
  <ap:Words>3386</ap:Words>
  <ap:Characters>18626</ap:Characters>
  <ap:DocSecurity>0</ap:DocSecurity>
  <ap:Lines>155</ap:Lines>
  <ap:Paragraphs>43</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21969</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lastModifiedBy/>
  <revision/>
  <lastPrinted>2023-02-16T10:21:00.0000000Z</lastPrinted>
  <dcterms:created xsi:type="dcterms:W3CDTF">2023-02-16T10:43:00.0000000Z</dcterms:created>
  <dcterms:modified xsi:type="dcterms:W3CDTF">2023-02-16T10:43:00.0000000Z</dcterms:modified>
  <dc:description>------------------------</dc:description>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Doc_UUID">
    <vt:lpwstr>89c933fe-fea5-4caa-a688-21c887bd94b1</vt:lpwstr>
  </property>
  <property fmtid="{D5CDD505-2E9C-101B-9397-08002B2CF9AE}" pid="3" name="verbijzondering">
    <vt:lpwstr>Nee</vt:lpwstr>
  </property>
  <property fmtid="{D5CDD505-2E9C-101B-9397-08002B2CF9AE}" pid="4" name="zaaknummer">
    <vt:lpwstr>W04.22.00198/I</vt:lpwstr>
  </property>
  <property fmtid="{D5CDD505-2E9C-101B-9397-08002B2CF9AE}" pid="5" name="zaaktype">
    <vt:lpwstr>WET</vt:lpwstr>
  </property>
  <property fmtid="{D5CDD505-2E9C-101B-9397-08002B2CF9AE}" pid="6" name="ContentTypeId">
    <vt:lpwstr>0x010100FA5A77795FEADA4EA512273036134446000AD1744EF49D1346A0BC6FD6CC5DD3E6</vt:lpwstr>
  </property>
  <property fmtid="{D5CDD505-2E9C-101B-9397-08002B2CF9AE}" pid="7" name="_dlc_DocIdItemGuid">
    <vt:lpwstr>501ba817-54ed-42d5-a120-2b5df557ce1e</vt:lpwstr>
  </property>
  <property fmtid="{D5CDD505-2E9C-101B-9397-08002B2CF9AE}" pid="8" name="RedactioneleBijlage">
    <vt:lpwstr>Nee</vt:lpwstr>
  </property>
  <property fmtid="{D5CDD505-2E9C-101B-9397-08002B2CF9AE}" pid="9" name="dictum">
    <vt:lpwstr>B</vt:lpwstr>
  </property>
  <property fmtid="{D5CDD505-2E9C-101B-9397-08002B2CF9AE}" pid="10" name="DocumentSetDescription">
    <vt:lpwstr/>
  </property>
  <property fmtid="{D5CDD505-2E9C-101B-9397-08002B2CF9AE}" pid="11" name="xd_ProgID">
    <vt:lpwstr/>
  </property>
  <property fmtid="{D5CDD505-2E9C-101B-9397-08002B2CF9AE}" pid="12" name="ComplianceAssetId">
    <vt:lpwstr/>
  </property>
  <property fmtid="{D5CDD505-2E9C-101B-9397-08002B2CF9AE}" pid="13" name="TemplateUrl">
    <vt:lpwstr/>
  </property>
  <property fmtid="{D5CDD505-2E9C-101B-9397-08002B2CF9AE}" pid="14" name="_ExtendedDescription">
    <vt:lpwstr/>
  </property>
  <property fmtid="{D5CDD505-2E9C-101B-9397-08002B2CF9AE}" pid="15" name="TriggerFlowInfo">
    <vt:lpwstr/>
  </property>
  <property fmtid="{D5CDD505-2E9C-101B-9397-08002B2CF9AE}" pid="16" name="xd_Signature">
    <vt:bool>false</vt:bool>
  </property>
  <property fmtid="{D5CDD505-2E9C-101B-9397-08002B2CF9AE}" pid="17" name="Order">
    <vt:r8>3100</vt:r8>
  </property>
  <property fmtid="{D5CDD505-2E9C-101B-9397-08002B2CF9AE}" pid="18" name="onderdeel">
    <vt:lpwstr>Advies</vt:lpwstr>
  </property>
  <property fmtid="{D5CDD505-2E9C-101B-9397-08002B2CF9AE}" pid="19" name="processtap">
    <vt:lpwstr>Advies (ter ondertekening)</vt:lpwstr>
  </property>
</Properties>
</file>