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3CE5" w:rsidR="00DC1983" w:rsidP="00DC1983" w:rsidRDefault="00DC1983" w14:paraId="159C6771" w14:textId="2C391A57">
      <w:pPr>
        <w:spacing w:after="0"/>
        <w:rPr>
          <w:rFonts w:ascii="Verdana" w:hAnsi="Verdana" w:cstheme="majorHAnsi"/>
          <w:b/>
          <w:bCs/>
          <w:sz w:val="18"/>
          <w:szCs w:val="18"/>
        </w:rPr>
      </w:pPr>
      <w:r w:rsidRPr="00DE3CE5">
        <w:rPr>
          <w:rFonts w:ascii="Verdana" w:hAnsi="Verdana" w:cstheme="majorHAnsi"/>
          <w:b/>
          <w:bCs/>
          <w:sz w:val="18"/>
          <w:szCs w:val="18"/>
        </w:rPr>
        <w:t>GEANNOTEERDE AGENDA RAAD ALGEMENE ZAKEN VAN 21 MEI 2024</w:t>
      </w:r>
    </w:p>
    <w:p w:rsidRPr="00DE3CE5" w:rsidR="00DC1983" w:rsidP="00DC1983" w:rsidRDefault="00DC1983" w14:paraId="1A4620B3" w14:textId="77777777">
      <w:pPr>
        <w:spacing w:after="0"/>
        <w:rPr>
          <w:rFonts w:ascii="Verdana" w:hAnsi="Verdana" w:cstheme="majorHAnsi"/>
          <w:b/>
          <w:bCs/>
          <w:sz w:val="18"/>
          <w:szCs w:val="18"/>
        </w:rPr>
      </w:pPr>
    </w:p>
    <w:p w:rsidRPr="009A6EB4" w:rsidR="00903857" w:rsidP="00DC1983" w:rsidRDefault="00D64565" w14:paraId="3F842BDA" w14:textId="29332CF9">
      <w:pPr>
        <w:spacing w:after="0"/>
        <w:rPr>
          <w:rFonts w:ascii="Verdana" w:hAnsi="Verdana"/>
          <w:kern w:val="2"/>
          <w:sz w:val="18"/>
          <w:szCs w:val="18"/>
          <w14:ligatures w14:val="standardContextual"/>
        </w:rPr>
      </w:pPr>
      <w:r w:rsidRPr="009A6EB4">
        <w:rPr>
          <w:rFonts w:ascii="Verdana" w:hAnsi="Verdana"/>
          <w:kern w:val="2"/>
          <w:sz w:val="18"/>
          <w:szCs w:val="18"/>
          <w14:ligatures w14:val="standardContextual"/>
        </w:rPr>
        <w:t xml:space="preserve">Op dinsdag 21 mei a.s. vindt in Brussel de Raad Algemene Zaken (RAZ) plaats. Op de agenda staan </w:t>
      </w:r>
      <w:r w:rsidR="006F24C7">
        <w:rPr>
          <w:rFonts w:ascii="Verdana" w:hAnsi="Verdana"/>
          <w:kern w:val="2"/>
          <w:sz w:val="18"/>
          <w:szCs w:val="18"/>
          <w14:ligatures w14:val="standardContextual"/>
        </w:rPr>
        <w:t>voor</w:t>
      </w:r>
      <w:r w:rsidR="00224EE2">
        <w:rPr>
          <w:rFonts w:ascii="Verdana" w:hAnsi="Verdana"/>
          <w:kern w:val="2"/>
          <w:sz w:val="18"/>
          <w:szCs w:val="18"/>
          <w14:ligatures w14:val="standardContextual"/>
        </w:rPr>
        <w:t>alsnog</w:t>
      </w:r>
      <w:r w:rsidRPr="009A6EB4">
        <w:rPr>
          <w:rFonts w:ascii="Verdana" w:hAnsi="Verdana"/>
          <w:kern w:val="2"/>
          <w:sz w:val="18"/>
          <w:szCs w:val="18"/>
          <w14:ligatures w14:val="standardContextual"/>
        </w:rPr>
        <w:t xml:space="preserve"> </w:t>
      </w:r>
      <w:r w:rsidRPr="009A6EB4" w:rsidR="006E1B17">
        <w:rPr>
          <w:rFonts w:ascii="Verdana" w:hAnsi="Verdana"/>
          <w:kern w:val="2"/>
          <w:sz w:val="18"/>
          <w:szCs w:val="18"/>
          <w14:ligatures w14:val="standardContextual"/>
        </w:rPr>
        <w:t xml:space="preserve">de voorbereiding van de Europese Raad van 27-28 juni, de </w:t>
      </w:r>
      <w:r w:rsidRPr="009A6EB4" w:rsidR="00903857">
        <w:rPr>
          <w:rFonts w:ascii="Verdana" w:hAnsi="Verdana"/>
          <w:kern w:val="2"/>
          <w:sz w:val="18"/>
          <w:szCs w:val="18"/>
          <w14:ligatures w14:val="standardContextual"/>
        </w:rPr>
        <w:t xml:space="preserve">jaarlijkse </w:t>
      </w:r>
      <w:proofErr w:type="spellStart"/>
      <w:r w:rsidRPr="009A6EB4" w:rsidR="00903857">
        <w:rPr>
          <w:rFonts w:ascii="Verdana" w:hAnsi="Verdana"/>
          <w:kern w:val="2"/>
          <w:sz w:val="18"/>
          <w:szCs w:val="18"/>
          <w14:ligatures w14:val="standardContextual"/>
        </w:rPr>
        <w:t>landenspecifieke</w:t>
      </w:r>
      <w:proofErr w:type="spellEnd"/>
      <w:r w:rsidRPr="009A6EB4" w:rsidR="00903857">
        <w:rPr>
          <w:rFonts w:ascii="Verdana" w:hAnsi="Verdana"/>
          <w:kern w:val="2"/>
          <w:sz w:val="18"/>
          <w:szCs w:val="18"/>
          <w14:ligatures w14:val="standardContextual"/>
        </w:rPr>
        <w:t xml:space="preserve"> rechtstaatdialoog</w:t>
      </w:r>
      <w:r w:rsidRPr="009A6EB4" w:rsidR="006E1B17">
        <w:rPr>
          <w:rFonts w:ascii="Verdana" w:hAnsi="Verdana"/>
          <w:kern w:val="2"/>
          <w:sz w:val="18"/>
          <w:szCs w:val="18"/>
          <w14:ligatures w14:val="standardContextual"/>
        </w:rPr>
        <w:t xml:space="preserve"> en de artikel 7-procedure aangaande de rechtsstaat in Polen</w:t>
      </w:r>
      <w:r w:rsidRPr="009A6EB4" w:rsidR="003F59F9">
        <w:rPr>
          <w:rFonts w:ascii="Verdana" w:hAnsi="Verdana"/>
          <w:kern w:val="2"/>
          <w:sz w:val="18"/>
          <w:szCs w:val="18"/>
          <w14:ligatures w14:val="standardContextual"/>
        </w:rPr>
        <w:t>.</w:t>
      </w:r>
      <w:r w:rsidR="00DD08E9">
        <w:rPr>
          <w:rFonts w:ascii="Verdana" w:hAnsi="Verdana"/>
          <w:kern w:val="2"/>
          <w:sz w:val="18"/>
          <w:szCs w:val="18"/>
          <w14:ligatures w14:val="standardContextual"/>
        </w:rPr>
        <w:t xml:space="preserve"> De </w:t>
      </w:r>
      <w:r w:rsidR="00243EDC">
        <w:rPr>
          <w:rFonts w:ascii="Verdana" w:hAnsi="Verdana"/>
          <w:kern w:val="2"/>
          <w:sz w:val="18"/>
          <w:szCs w:val="18"/>
          <w14:ligatures w14:val="standardContextual"/>
        </w:rPr>
        <w:t>m</w:t>
      </w:r>
      <w:r w:rsidR="00DD08E9">
        <w:rPr>
          <w:rFonts w:ascii="Verdana" w:hAnsi="Verdana"/>
          <w:kern w:val="2"/>
          <w:sz w:val="18"/>
          <w:szCs w:val="18"/>
          <w14:ligatures w14:val="standardContextual"/>
        </w:rPr>
        <w:t>inister van Buitenlandse Zaken is voornemens deel te nemen aan de RAZ.</w:t>
      </w:r>
    </w:p>
    <w:p w:rsidRPr="00DE3CE5" w:rsidR="00233BE9" w:rsidP="00DC1983" w:rsidRDefault="00233BE9" w14:paraId="6C6D9533" w14:textId="77777777">
      <w:pPr>
        <w:spacing w:after="0"/>
        <w:rPr>
          <w:rFonts w:ascii="Verdana" w:hAnsi="Verdana" w:cstheme="majorHAnsi"/>
          <w:b/>
          <w:bCs/>
          <w:sz w:val="18"/>
          <w:szCs w:val="18"/>
        </w:rPr>
      </w:pPr>
    </w:p>
    <w:p w:rsidRPr="00DE3CE5" w:rsidR="00DC1983" w:rsidP="00DC1983" w:rsidRDefault="00DC1983" w14:paraId="1DB8660A" w14:textId="27CCF374">
      <w:pPr>
        <w:spacing w:after="0" w:line="360" w:lineRule="auto"/>
        <w:rPr>
          <w:rFonts w:ascii="Verdana" w:hAnsi="Verdana" w:eastAsia="Times New Roman"/>
          <w:b/>
          <w:bCs/>
          <w:color w:val="FF0000"/>
          <w:sz w:val="18"/>
          <w:szCs w:val="18"/>
        </w:rPr>
      </w:pPr>
      <w:r w:rsidRPr="00DE3CE5">
        <w:rPr>
          <w:rFonts w:ascii="Verdana" w:hAnsi="Verdana" w:eastAsia="Times New Roman"/>
          <w:b/>
          <w:bCs/>
          <w:sz w:val="18"/>
          <w:szCs w:val="18"/>
        </w:rPr>
        <w:t>Voorbereiding Europese Raad van 2</w:t>
      </w:r>
      <w:r w:rsidRPr="00DE3CE5" w:rsidR="006E1B17">
        <w:rPr>
          <w:rFonts w:ascii="Verdana" w:hAnsi="Verdana" w:eastAsia="Times New Roman"/>
          <w:b/>
          <w:bCs/>
          <w:sz w:val="18"/>
          <w:szCs w:val="18"/>
        </w:rPr>
        <w:t xml:space="preserve">7 </w:t>
      </w:r>
      <w:r w:rsidRPr="00DE3CE5">
        <w:rPr>
          <w:rFonts w:ascii="Verdana" w:hAnsi="Verdana" w:eastAsia="Times New Roman"/>
          <w:b/>
          <w:bCs/>
          <w:sz w:val="18"/>
          <w:szCs w:val="18"/>
        </w:rPr>
        <w:t xml:space="preserve">en </w:t>
      </w:r>
      <w:r w:rsidRPr="00DE3CE5" w:rsidR="006E1B17">
        <w:rPr>
          <w:rFonts w:ascii="Verdana" w:hAnsi="Verdana" w:eastAsia="Times New Roman"/>
          <w:b/>
          <w:bCs/>
          <w:sz w:val="18"/>
          <w:szCs w:val="18"/>
        </w:rPr>
        <w:t xml:space="preserve">28 </w:t>
      </w:r>
      <w:r w:rsidRPr="00DE3CE5">
        <w:rPr>
          <w:rFonts w:ascii="Verdana" w:hAnsi="Verdana" w:eastAsia="Times New Roman"/>
          <w:b/>
          <w:bCs/>
          <w:sz w:val="18"/>
          <w:szCs w:val="18"/>
        </w:rPr>
        <w:t xml:space="preserve">juni </w:t>
      </w:r>
    </w:p>
    <w:p w:rsidR="009D5930" w:rsidP="006E1B17" w:rsidRDefault="00903857" w14:paraId="125B5660" w14:textId="719E9102">
      <w:pPr>
        <w:spacing w:after="0" w:line="240" w:lineRule="auto"/>
        <w:rPr>
          <w:rFonts w:ascii="Verdana" w:hAnsi="Verdana"/>
          <w:kern w:val="2"/>
          <w:sz w:val="18"/>
          <w:szCs w:val="18"/>
          <w14:ligatures w14:val="standardContextual"/>
        </w:rPr>
      </w:pPr>
      <w:r w:rsidRPr="00DE3CE5">
        <w:rPr>
          <w:rFonts w:ascii="Verdana" w:hAnsi="Verdana"/>
          <w:kern w:val="2"/>
          <w:sz w:val="18"/>
          <w:szCs w:val="18"/>
          <w14:ligatures w14:val="standardContextual"/>
        </w:rPr>
        <w:t xml:space="preserve">De RAZ zal stilstaan bij de voorbereiding op de </w:t>
      </w:r>
      <w:r w:rsidR="000547DC">
        <w:rPr>
          <w:rFonts w:ascii="Verdana" w:hAnsi="Verdana"/>
          <w:kern w:val="2"/>
          <w:sz w:val="18"/>
          <w:szCs w:val="18"/>
          <w14:ligatures w14:val="standardContextual"/>
        </w:rPr>
        <w:t>Europese Raad (</w:t>
      </w:r>
      <w:r w:rsidRPr="00DE3CE5">
        <w:rPr>
          <w:rFonts w:ascii="Verdana" w:hAnsi="Verdana"/>
          <w:kern w:val="2"/>
          <w:sz w:val="18"/>
          <w:szCs w:val="18"/>
          <w14:ligatures w14:val="standardContextual"/>
        </w:rPr>
        <w:t>ER</w:t>
      </w:r>
      <w:r w:rsidR="000547DC">
        <w:rPr>
          <w:rFonts w:ascii="Verdana" w:hAnsi="Verdana"/>
          <w:kern w:val="2"/>
          <w:sz w:val="18"/>
          <w:szCs w:val="18"/>
          <w14:ligatures w14:val="standardContextual"/>
        </w:rPr>
        <w:t>)</w:t>
      </w:r>
      <w:r w:rsidRPr="00DE3CE5">
        <w:rPr>
          <w:rFonts w:ascii="Verdana" w:hAnsi="Verdana"/>
          <w:kern w:val="2"/>
          <w:sz w:val="18"/>
          <w:szCs w:val="18"/>
          <w14:ligatures w14:val="standardContextual"/>
        </w:rPr>
        <w:t xml:space="preserve"> van 27 en 28 juni. </w:t>
      </w:r>
      <w:r w:rsidR="000547DC">
        <w:rPr>
          <w:rFonts w:ascii="Verdana" w:hAnsi="Verdana"/>
          <w:kern w:val="2"/>
          <w:sz w:val="18"/>
          <w:szCs w:val="18"/>
          <w14:ligatures w14:val="standardContextual"/>
        </w:rPr>
        <w:t xml:space="preserve">In juni zal de RAZ hier in meer detail op terugkomen. </w:t>
      </w:r>
      <w:r w:rsidRPr="00DE3CE5">
        <w:rPr>
          <w:rFonts w:ascii="Verdana" w:hAnsi="Verdana"/>
          <w:kern w:val="2"/>
          <w:sz w:val="18"/>
          <w:szCs w:val="18"/>
          <w14:ligatures w14:val="standardContextual"/>
        </w:rPr>
        <w:t>De agenda</w:t>
      </w:r>
      <w:r w:rsidR="000547DC">
        <w:rPr>
          <w:rFonts w:ascii="Verdana" w:hAnsi="Verdana"/>
          <w:kern w:val="2"/>
          <w:sz w:val="18"/>
          <w:szCs w:val="18"/>
          <w14:ligatures w14:val="standardContextual"/>
        </w:rPr>
        <w:t xml:space="preserve"> van de ER</w:t>
      </w:r>
      <w:r w:rsidRPr="00DE3CE5">
        <w:rPr>
          <w:rFonts w:ascii="Verdana" w:hAnsi="Verdana"/>
          <w:kern w:val="2"/>
          <w:sz w:val="18"/>
          <w:szCs w:val="18"/>
          <w14:ligatures w14:val="standardContextual"/>
        </w:rPr>
        <w:t xml:space="preserve"> is op het moment van schrijven nog niet bekend. Naar verwachting zal </w:t>
      </w:r>
      <w:r w:rsidR="0096382A">
        <w:rPr>
          <w:rFonts w:ascii="Verdana" w:hAnsi="Verdana"/>
          <w:kern w:val="2"/>
          <w:sz w:val="18"/>
          <w:szCs w:val="18"/>
          <w14:ligatures w14:val="standardContextual"/>
        </w:rPr>
        <w:t xml:space="preserve">gesproken worden over </w:t>
      </w:r>
      <w:r w:rsidRPr="00DE3CE5">
        <w:rPr>
          <w:rFonts w:ascii="Verdana" w:hAnsi="Verdana"/>
          <w:kern w:val="2"/>
          <w:sz w:val="18"/>
          <w:szCs w:val="18"/>
          <w14:ligatures w14:val="standardContextual"/>
        </w:rPr>
        <w:t>buitenlandpolitieke onderwerpen, mogelijk nader te bepalen naar aanleiding van de actualiteit. Voor informatie over buitenlandpolitieke onderwerpen verwijs ik uw Kamer ook graag naar de geannoteerde agenda’s voorafgaand aan de Raden Buitenlandse Zaken</w:t>
      </w:r>
      <w:r w:rsidRPr="00DE3CE5" w:rsidR="006E1B17">
        <w:rPr>
          <w:rFonts w:ascii="Verdana" w:hAnsi="Verdana"/>
          <w:kern w:val="2"/>
          <w:sz w:val="18"/>
          <w:szCs w:val="18"/>
          <w14:ligatures w14:val="standardContextual"/>
        </w:rPr>
        <w:t xml:space="preserve">. </w:t>
      </w:r>
    </w:p>
    <w:p w:rsidR="009D5930" w:rsidP="006E1B17" w:rsidRDefault="009D5930" w14:paraId="7BC00E7C" w14:textId="77777777">
      <w:pPr>
        <w:spacing w:after="0" w:line="240" w:lineRule="auto"/>
        <w:rPr>
          <w:rFonts w:ascii="Verdana" w:hAnsi="Verdana"/>
          <w:kern w:val="2"/>
          <w:sz w:val="18"/>
          <w:szCs w:val="18"/>
          <w14:ligatures w14:val="standardContextual"/>
        </w:rPr>
      </w:pPr>
    </w:p>
    <w:p w:rsidRPr="00DE3CE5" w:rsidR="00903857" w:rsidP="006E1B17" w:rsidRDefault="009D5930" w14:paraId="52BC9DD7" w14:textId="3AC2438B">
      <w:pPr>
        <w:spacing w:after="0" w:line="240" w:lineRule="auto"/>
        <w:rPr>
          <w:rFonts w:ascii="Verdana" w:hAnsi="Verdana" w:eastAsia="Times New Roman"/>
          <w:b/>
          <w:bCs/>
          <w:sz w:val="18"/>
          <w:szCs w:val="18"/>
        </w:rPr>
      </w:pPr>
      <w:r>
        <w:rPr>
          <w:rFonts w:ascii="Verdana" w:hAnsi="Verdana"/>
          <w:kern w:val="2"/>
          <w:sz w:val="18"/>
          <w:szCs w:val="18"/>
          <w14:ligatures w14:val="standardContextual"/>
        </w:rPr>
        <w:t xml:space="preserve">Tijdens deze ER </w:t>
      </w:r>
      <w:r w:rsidRPr="00DE3CE5" w:rsidR="00903857">
        <w:rPr>
          <w:rFonts w:ascii="Verdana" w:hAnsi="Verdana"/>
          <w:kern w:val="2"/>
          <w:sz w:val="18"/>
          <w:szCs w:val="18"/>
          <w14:ligatures w14:val="standardContextual"/>
        </w:rPr>
        <w:t xml:space="preserve">zullen naar verwachting </w:t>
      </w:r>
      <w:r>
        <w:rPr>
          <w:rFonts w:ascii="Verdana" w:hAnsi="Verdana"/>
          <w:kern w:val="2"/>
          <w:sz w:val="18"/>
          <w:szCs w:val="18"/>
          <w14:ligatures w14:val="standardContextual"/>
        </w:rPr>
        <w:t xml:space="preserve">twee documenten worden vastgesteld: </w:t>
      </w:r>
      <w:r w:rsidRPr="00DE3CE5" w:rsidR="00903857">
        <w:rPr>
          <w:rFonts w:ascii="Verdana" w:hAnsi="Verdana"/>
          <w:kern w:val="2"/>
          <w:sz w:val="18"/>
          <w:szCs w:val="18"/>
          <w14:ligatures w14:val="standardContextual"/>
        </w:rPr>
        <w:t xml:space="preserve">de Strategische Agenda voor 2024-2029 en </w:t>
      </w:r>
      <w:r w:rsidR="00D43021">
        <w:rPr>
          <w:rFonts w:ascii="Verdana" w:hAnsi="Verdana"/>
          <w:kern w:val="2"/>
          <w:sz w:val="18"/>
          <w:szCs w:val="18"/>
          <w14:ligatures w14:val="standardContextual"/>
        </w:rPr>
        <w:t>de</w:t>
      </w:r>
      <w:r w:rsidRPr="00D43021" w:rsidR="00D43021">
        <w:rPr>
          <w:rFonts w:ascii="Verdana" w:hAnsi="Verdana"/>
          <w:kern w:val="2"/>
          <w:sz w:val="18"/>
          <w:szCs w:val="18"/>
          <w14:ligatures w14:val="standardContextual"/>
        </w:rPr>
        <w:t xml:space="preserve"> routekaart </w:t>
      </w:r>
      <w:r w:rsidR="00D43021">
        <w:rPr>
          <w:rFonts w:ascii="Verdana" w:hAnsi="Verdana"/>
          <w:kern w:val="2"/>
          <w:sz w:val="18"/>
          <w:szCs w:val="18"/>
          <w14:ligatures w14:val="standardContextual"/>
        </w:rPr>
        <w:t>die</w:t>
      </w:r>
      <w:r w:rsidRPr="00D43021" w:rsidR="00D43021">
        <w:rPr>
          <w:rFonts w:ascii="Verdana" w:hAnsi="Verdana"/>
          <w:kern w:val="2"/>
          <w:sz w:val="18"/>
          <w:szCs w:val="18"/>
          <w14:ligatures w14:val="standardContextual"/>
        </w:rPr>
        <w:t xml:space="preserve"> het voorbereidende werk </w:t>
      </w:r>
      <w:r w:rsidR="00D43021">
        <w:rPr>
          <w:rFonts w:ascii="Verdana" w:hAnsi="Verdana"/>
          <w:kern w:val="2"/>
          <w:sz w:val="18"/>
          <w:szCs w:val="18"/>
          <w14:ligatures w14:val="standardContextual"/>
        </w:rPr>
        <w:t xml:space="preserve">zal </w:t>
      </w:r>
      <w:r w:rsidRPr="00D43021" w:rsidR="00D43021">
        <w:rPr>
          <w:rFonts w:ascii="Verdana" w:hAnsi="Verdana"/>
          <w:kern w:val="2"/>
          <w:sz w:val="18"/>
          <w:szCs w:val="18"/>
          <w14:ligatures w14:val="standardContextual"/>
        </w:rPr>
        <w:t>structureren om de EU klaar te maken voor uitbreiding</w:t>
      </w:r>
      <w:r w:rsidRPr="00DE3CE5" w:rsidR="00903857">
        <w:rPr>
          <w:rFonts w:ascii="Verdana" w:hAnsi="Verdana"/>
          <w:kern w:val="2"/>
          <w:sz w:val="18"/>
          <w:szCs w:val="18"/>
          <w14:ligatures w14:val="standardContextual"/>
        </w:rPr>
        <w:t>.</w:t>
      </w:r>
      <w:r w:rsidRPr="00DE3CE5" w:rsidR="006E1B17">
        <w:rPr>
          <w:rFonts w:ascii="Verdana" w:hAnsi="Verdana"/>
          <w:kern w:val="2"/>
          <w:sz w:val="18"/>
          <w:szCs w:val="18"/>
          <w14:ligatures w14:val="standardContextual"/>
        </w:rPr>
        <w:t xml:space="preserve"> </w:t>
      </w:r>
      <w:r w:rsidRPr="00DE3CE5" w:rsidR="00903857">
        <w:rPr>
          <w:rFonts w:ascii="Verdana" w:hAnsi="Verdana"/>
          <w:kern w:val="2"/>
          <w:sz w:val="18"/>
          <w:szCs w:val="18"/>
          <w14:ligatures w14:val="standardContextual"/>
        </w:rPr>
        <w:t xml:space="preserve">Tevens zal de ER naar verwachting opvolging geven aan de </w:t>
      </w:r>
      <w:r w:rsidR="00094DA1">
        <w:rPr>
          <w:rFonts w:ascii="Verdana" w:hAnsi="Verdana"/>
          <w:kern w:val="2"/>
          <w:sz w:val="18"/>
          <w:szCs w:val="18"/>
          <w14:ligatures w14:val="standardContextual"/>
        </w:rPr>
        <w:t>financieel-</w:t>
      </w:r>
      <w:r w:rsidRPr="00DE3CE5" w:rsidR="00903857">
        <w:rPr>
          <w:rFonts w:ascii="Verdana" w:hAnsi="Verdana"/>
          <w:kern w:val="2"/>
          <w:sz w:val="18"/>
          <w:szCs w:val="18"/>
          <w14:ligatures w14:val="standardContextual"/>
        </w:rPr>
        <w:t>economische agendapunten die aan de orde kwamen tijdens de buitengewone ER van 17-18 april</w:t>
      </w:r>
      <w:r w:rsidR="00470775">
        <w:rPr>
          <w:rFonts w:ascii="Verdana" w:hAnsi="Verdana"/>
          <w:kern w:val="2"/>
          <w:sz w:val="18"/>
          <w:szCs w:val="18"/>
          <w14:ligatures w14:val="standardContextual"/>
        </w:rPr>
        <w:t>.</w:t>
      </w:r>
      <w:r w:rsidR="00217694">
        <w:rPr>
          <w:rStyle w:val="FootnoteReference"/>
          <w:rFonts w:ascii="Verdana" w:hAnsi="Verdana"/>
          <w:kern w:val="2"/>
          <w:sz w:val="18"/>
          <w:szCs w:val="18"/>
          <w14:ligatures w14:val="standardContextual"/>
        </w:rPr>
        <w:footnoteReference w:id="2"/>
      </w:r>
    </w:p>
    <w:p w:rsidRPr="00595D49" w:rsidR="00DC1983" w:rsidP="00DC1983" w:rsidRDefault="00DC1983" w14:paraId="46D24470" w14:textId="77777777">
      <w:pPr>
        <w:spacing w:after="0" w:line="360" w:lineRule="auto"/>
        <w:rPr>
          <w:rFonts w:ascii="Verdana" w:hAnsi="Verdana" w:eastAsia="Times New Roman"/>
          <w:b/>
          <w:bCs/>
          <w:sz w:val="18"/>
          <w:szCs w:val="18"/>
        </w:rPr>
      </w:pPr>
    </w:p>
    <w:p w:rsidRPr="00595D49" w:rsidR="00DC1983" w:rsidP="00DC1983" w:rsidRDefault="00722977" w14:paraId="462F58B6" w14:textId="7C3BEB09">
      <w:pPr>
        <w:spacing w:after="0" w:line="360" w:lineRule="auto"/>
        <w:rPr>
          <w:rFonts w:ascii="Verdana" w:hAnsi="Verdana" w:eastAsia="Times New Roman"/>
          <w:b/>
          <w:bCs/>
          <w:color w:val="FF0000"/>
          <w:sz w:val="18"/>
          <w:szCs w:val="18"/>
        </w:rPr>
      </w:pPr>
      <w:bookmarkStart w:name="_Hlk163203951" w:id="0"/>
      <w:proofErr w:type="spellStart"/>
      <w:r w:rsidRPr="00595D49">
        <w:rPr>
          <w:rFonts w:ascii="Verdana" w:hAnsi="Verdana" w:eastAsia="Times New Roman"/>
          <w:b/>
          <w:bCs/>
          <w:sz w:val="18"/>
          <w:szCs w:val="18"/>
        </w:rPr>
        <w:t>Landenspecifieke</w:t>
      </w:r>
      <w:proofErr w:type="spellEnd"/>
      <w:r w:rsidRPr="00595D49">
        <w:rPr>
          <w:rFonts w:ascii="Verdana" w:hAnsi="Verdana" w:eastAsia="Times New Roman"/>
          <w:b/>
          <w:bCs/>
          <w:sz w:val="18"/>
          <w:szCs w:val="18"/>
        </w:rPr>
        <w:t xml:space="preserve"> r</w:t>
      </w:r>
      <w:r w:rsidRPr="00595D49" w:rsidR="00DC1983">
        <w:rPr>
          <w:rFonts w:ascii="Verdana" w:hAnsi="Verdana" w:eastAsia="Times New Roman"/>
          <w:b/>
          <w:bCs/>
          <w:sz w:val="18"/>
          <w:szCs w:val="18"/>
        </w:rPr>
        <w:t>echtsstaat</w:t>
      </w:r>
      <w:r w:rsidRPr="00595D49">
        <w:rPr>
          <w:rFonts w:ascii="Verdana" w:hAnsi="Verdana" w:eastAsia="Times New Roman"/>
          <w:b/>
          <w:bCs/>
          <w:sz w:val="18"/>
          <w:szCs w:val="18"/>
        </w:rPr>
        <w:t>rapportages</w:t>
      </w:r>
      <w:r w:rsidRPr="00595D49" w:rsidR="00DC1983">
        <w:rPr>
          <w:rFonts w:ascii="Verdana" w:hAnsi="Verdana" w:eastAsia="Times New Roman"/>
          <w:b/>
          <w:bCs/>
          <w:sz w:val="18"/>
          <w:szCs w:val="18"/>
        </w:rPr>
        <w:t xml:space="preserve"> </w:t>
      </w:r>
      <w:bookmarkEnd w:id="0"/>
    </w:p>
    <w:p w:rsidRPr="00595D49" w:rsidR="00722977" w:rsidP="00722977" w:rsidRDefault="00722977" w14:paraId="5A9490CD" w14:textId="789952E6">
      <w:pPr>
        <w:rPr>
          <w:rFonts w:ascii="Verdana" w:hAnsi="Verdana"/>
          <w:kern w:val="2"/>
          <w:sz w:val="18"/>
          <w:szCs w:val="18"/>
          <w14:ligatures w14:val="standardContextual"/>
        </w:rPr>
      </w:pPr>
      <w:r w:rsidRPr="00595D49">
        <w:rPr>
          <w:rFonts w:ascii="Verdana" w:hAnsi="Verdana"/>
          <w:kern w:val="2"/>
          <w:sz w:val="18"/>
          <w:szCs w:val="18"/>
          <w14:ligatures w14:val="standardContextual"/>
        </w:rPr>
        <w:t xml:space="preserve">Tijdens de RAZ wordt </w:t>
      </w:r>
      <w:r w:rsidRPr="00595D49" w:rsidR="0055383C">
        <w:rPr>
          <w:rFonts w:ascii="Verdana" w:hAnsi="Verdana"/>
          <w:kern w:val="2"/>
          <w:sz w:val="18"/>
          <w:szCs w:val="18"/>
          <w14:ligatures w14:val="standardContextual"/>
        </w:rPr>
        <w:t xml:space="preserve">opnieuw een </w:t>
      </w:r>
      <w:proofErr w:type="spellStart"/>
      <w:r w:rsidRPr="00595D49" w:rsidR="0055383C">
        <w:rPr>
          <w:rFonts w:ascii="Verdana" w:hAnsi="Verdana"/>
          <w:kern w:val="2"/>
          <w:sz w:val="18"/>
          <w:szCs w:val="18"/>
          <w14:ligatures w14:val="standardContextual"/>
        </w:rPr>
        <w:t>landenspecifieke</w:t>
      </w:r>
      <w:proofErr w:type="spellEnd"/>
      <w:r w:rsidRPr="00595D49" w:rsidR="0055383C">
        <w:rPr>
          <w:rFonts w:ascii="Verdana" w:hAnsi="Verdana"/>
          <w:kern w:val="2"/>
          <w:sz w:val="18"/>
          <w:szCs w:val="18"/>
          <w14:ligatures w14:val="standardContextual"/>
        </w:rPr>
        <w:t xml:space="preserve"> dialoog gevoerd </w:t>
      </w:r>
      <w:r w:rsidRPr="00595D49">
        <w:rPr>
          <w:rFonts w:ascii="Verdana" w:hAnsi="Verdana"/>
          <w:kern w:val="2"/>
          <w:sz w:val="18"/>
          <w:szCs w:val="18"/>
          <w14:ligatures w14:val="standardContextual"/>
        </w:rPr>
        <w:t>in het kader van het rechtsstaatmechanisme waarmee de Raad in 2020 is begonnen. De landenhoofdstukken uit de rechtsstaatrapporten van de Commissie</w:t>
      </w:r>
      <w:r w:rsidRPr="00595D49" w:rsidR="0055383C">
        <w:rPr>
          <w:rFonts w:ascii="Verdana" w:hAnsi="Verdana"/>
          <w:kern w:val="2"/>
          <w:sz w:val="18"/>
          <w:szCs w:val="18"/>
          <w14:ligatures w14:val="standardContextual"/>
        </w:rPr>
        <w:t xml:space="preserve"> vormen de basis voor deze dialoog.</w:t>
      </w:r>
      <w:r w:rsidRPr="00595D49">
        <w:rPr>
          <w:rFonts w:ascii="Verdana" w:hAnsi="Verdana"/>
          <w:kern w:val="2"/>
          <w:sz w:val="18"/>
          <w:szCs w:val="18"/>
          <w14:ligatures w14:val="standardContextual"/>
        </w:rPr>
        <w:t xml:space="preserve"> Uw Kamer ontving op 8 september 2023 de kabinetsreactie</w:t>
      </w:r>
      <w:r w:rsidR="00C21584">
        <w:rPr>
          <w:rStyle w:val="FootnoteReference"/>
          <w:rFonts w:ascii="Verdana" w:hAnsi="Verdana"/>
          <w:kern w:val="2"/>
          <w:sz w:val="18"/>
          <w:szCs w:val="18"/>
          <w14:ligatures w14:val="standardContextual"/>
        </w:rPr>
        <w:footnoteReference w:id="3"/>
      </w:r>
      <w:r w:rsidRPr="00595D49">
        <w:rPr>
          <w:rFonts w:ascii="Verdana" w:hAnsi="Verdana"/>
          <w:kern w:val="2"/>
          <w:sz w:val="18"/>
          <w:szCs w:val="18"/>
          <w14:ligatures w14:val="standardContextual"/>
        </w:rPr>
        <w:t xml:space="preserve"> op het rechtsstaatrapport </w:t>
      </w:r>
      <w:r w:rsidRPr="00595D49" w:rsidR="0055383C">
        <w:rPr>
          <w:rFonts w:ascii="Verdana" w:hAnsi="Verdana"/>
          <w:kern w:val="2"/>
          <w:sz w:val="18"/>
          <w:szCs w:val="18"/>
          <w14:ligatures w14:val="standardContextual"/>
        </w:rPr>
        <w:t xml:space="preserve">2023 </w:t>
      </w:r>
      <w:r w:rsidRPr="00595D49">
        <w:rPr>
          <w:rFonts w:ascii="Verdana" w:hAnsi="Verdana"/>
          <w:kern w:val="2"/>
          <w:sz w:val="18"/>
          <w:szCs w:val="18"/>
          <w14:ligatures w14:val="standardContextual"/>
        </w:rPr>
        <w:t>dat op 5 juli 2023 werd gepubliceerd.</w:t>
      </w:r>
      <w:r w:rsidRPr="00595D49">
        <w:rPr>
          <w:rFonts w:ascii="Verdana" w:hAnsi="Verdana"/>
          <w:kern w:val="2"/>
          <w:sz w:val="18"/>
          <w:szCs w:val="18"/>
          <w:vertAlign w:val="superscript"/>
          <w14:ligatures w14:val="standardContextual"/>
        </w:rPr>
        <w:footnoteReference w:id="4"/>
      </w:r>
      <w:r w:rsidRPr="00595D49">
        <w:rPr>
          <w:rFonts w:ascii="Verdana" w:hAnsi="Verdana"/>
          <w:kern w:val="2"/>
          <w:sz w:val="18"/>
          <w:szCs w:val="18"/>
          <w14:ligatures w14:val="standardContextual"/>
        </w:rPr>
        <w:t xml:space="preserve"> </w:t>
      </w:r>
      <w:r w:rsidRPr="00595D49" w:rsidR="00251646">
        <w:rPr>
          <w:rFonts w:ascii="Verdana" w:hAnsi="Verdana"/>
          <w:kern w:val="2"/>
          <w:sz w:val="18"/>
          <w:szCs w:val="18"/>
          <w14:ligatures w14:val="standardContextual"/>
        </w:rPr>
        <w:t>I</w:t>
      </w:r>
      <w:r w:rsidRPr="00595D49">
        <w:rPr>
          <w:rFonts w:ascii="Verdana" w:hAnsi="Verdana"/>
          <w:kern w:val="2"/>
          <w:sz w:val="18"/>
          <w:szCs w:val="18"/>
          <w14:ligatures w14:val="standardContextual"/>
        </w:rPr>
        <w:t xml:space="preserve">n algemene zin </w:t>
      </w:r>
      <w:r w:rsidRPr="00595D49" w:rsidR="00251646">
        <w:rPr>
          <w:rFonts w:ascii="Verdana" w:hAnsi="Verdana"/>
          <w:kern w:val="2"/>
          <w:sz w:val="18"/>
          <w:szCs w:val="18"/>
          <w14:ligatures w14:val="standardContextual"/>
        </w:rPr>
        <w:t xml:space="preserve">kan het kabinet zich </w:t>
      </w:r>
      <w:r w:rsidRPr="00595D49">
        <w:rPr>
          <w:rFonts w:ascii="Verdana" w:hAnsi="Verdana"/>
          <w:kern w:val="2"/>
          <w:sz w:val="18"/>
          <w:szCs w:val="18"/>
          <w14:ligatures w14:val="standardContextual"/>
        </w:rPr>
        <w:t xml:space="preserve">vinden in de constateringen </w:t>
      </w:r>
      <w:r w:rsidRPr="00595D49" w:rsidR="0055383C">
        <w:rPr>
          <w:rFonts w:ascii="Verdana" w:hAnsi="Verdana"/>
          <w:kern w:val="2"/>
          <w:sz w:val="18"/>
          <w:szCs w:val="18"/>
          <w14:ligatures w14:val="standardContextual"/>
        </w:rPr>
        <w:t>van</w:t>
      </w:r>
      <w:r w:rsidRPr="00595D49">
        <w:rPr>
          <w:rFonts w:ascii="Verdana" w:hAnsi="Verdana"/>
          <w:kern w:val="2"/>
          <w:sz w:val="18"/>
          <w:szCs w:val="18"/>
          <w14:ligatures w14:val="standardContextual"/>
        </w:rPr>
        <w:t xml:space="preserve"> de Commissie in de geagendeerde landenhoofdstukken, </w:t>
      </w:r>
      <w:r w:rsidRPr="00595D49" w:rsidR="0055383C">
        <w:rPr>
          <w:rFonts w:ascii="Verdana" w:hAnsi="Verdana"/>
          <w:kern w:val="2"/>
          <w:sz w:val="18"/>
          <w:szCs w:val="18"/>
          <w14:ligatures w14:val="standardContextual"/>
        </w:rPr>
        <w:t>waaronder</w:t>
      </w:r>
      <w:r w:rsidRPr="00595D49">
        <w:rPr>
          <w:rFonts w:ascii="Verdana" w:hAnsi="Verdana"/>
          <w:kern w:val="2"/>
          <w:sz w:val="18"/>
          <w:szCs w:val="18"/>
          <w14:ligatures w14:val="standardContextual"/>
        </w:rPr>
        <w:t xml:space="preserve"> de opgenomen aanbevelingen. </w:t>
      </w:r>
    </w:p>
    <w:p w:rsidRPr="00595D49" w:rsidR="00722977" w:rsidP="0055383C" w:rsidRDefault="00722977" w14:paraId="37671D6D" w14:textId="77777777">
      <w:pPr>
        <w:rPr>
          <w:rFonts w:ascii="Verdana" w:hAnsi="Verdana"/>
          <w:i/>
          <w:iCs/>
          <w:kern w:val="2"/>
          <w:sz w:val="18"/>
          <w:szCs w:val="18"/>
          <w14:ligatures w14:val="standardContextual"/>
        </w:rPr>
      </w:pPr>
      <w:r w:rsidRPr="00595D49">
        <w:rPr>
          <w:rFonts w:ascii="Verdana" w:hAnsi="Verdana"/>
          <w:i/>
          <w:iCs/>
          <w:kern w:val="2"/>
          <w:sz w:val="18"/>
          <w:szCs w:val="18"/>
          <w14:ligatures w14:val="standardContextual"/>
        </w:rPr>
        <w:t>Cyprus</w:t>
      </w:r>
    </w:p>
    <w:p w:rsidRPr="00595D49" w:rsidR="0055383C" w:rsidP="009B03E4" w:rsidRDefault="0017294A" w14:paraId="29AFA148" w14:textId="7C226100">
      <w:pPr>
        <w:spacing w:line="240" w:lineRule="auto"/>
        <w:rPr>
          <w:rFonts w:ascii="Verdana" w:hAnsi="Verdana"/>
          <w:kern w:val="2"/>
          <w:sz w:val="18"/>
          <w:szCs w:val="18"/>
          <w14:ligatures w14:val="standardContextual"/>
        </w:rPr>
      </w:pPr>
      <w:r w:rsidRPr="00595D49">
        <w:rPr>
          <w:rFonts w:ascii="Verdana" w:hAnsi="Verdana"/>
          <w:kern w:val="2"/>
          <w:sz w:val="18"/>
          <w:szCs w:val="18"/>
          <w14:ligatures w14:val="standardContextual"/>
        </w:rPr>
        <w:t xml:space="preserve">Cyprus </w:t>
      </w:r>
      <w:r w:rsidRPr="00595D49" w:rsidR="00BB5F15">
        <w:rPr>
          <w:rFonts w:ascii="Verdana" w:hAnsi="Verdana"/>
          <w:kern w:val="2"/>
          <w:sz w:val="18"/>
          <w:szCs w:val="18"/>
          <w14:ligatures w14:val="standardContextual"/>
        </w:rPr>
        <w:t xml:space="preserve">heeft </w:t>
      </w:r>
      <w:r w:rsidRPr="00595D49" w:rsidR="00C1535E">
        <w:rPr>
          <w:rFonts w:ascii="Verdana" w:hAnsi="Verdana"/>
          <w:kern w:val="2"/>
          <w:sz w:val="18"/>
          <w:szCs w:val="18"/>
          <w14:ligatures w14:val="standardContextual"/>
        </w:rPr>
        <w:t>vooruitgang geboekt</w:t>
      </w:r>
      <w:r w:rsidRPr="00595D49" w:rsidR="00092D64">
        <w:rPr>
          <w:rFonts w:ascii="Verdana" w:hAnsi="Verdana"/>
          <w:kern w:val="2"/>
          <w:sz w:val="18"/>
          <w:szCs w:val="18"/>
          <w14:ligatures w14:val="standardContextual"/>
        </w:rPr>
        <w:t xml:space="preserve"> in het </w:t>
      </w:r>
      <w:r w:rsidRPr="00595D49" w:rsidR="000A6CA3">
        <w:rPr>
          <w:rFonts w:ascii="Verdana" w:hAnsi="Verdana"/>
          <w:kern w:val="2"/>
          <w:sz w:val="18"/>
          <w:szCs w:val="18"/>
          <w14:ligatures w14:val="standardContextual"/>
        </w:rPr>
        <w:t>(</w:t>
      </w:r>
      <w:r w:rsidRPr="00595D49" w:rsidR="00092D64">
        <w:rPr>
          <w:rFonts w:ascii="Verdana" w:hAnsi="Verdana"/>
          <w:kern w:val="2"/>
          <w:sz w:val="18"/>
          <w:szCs w:val="18"/>
          <w14:ligatures w14:val="standardContextual"/>
        </w:rPr>
        <w:t xml:space="preserve">ingrijpend) hervormen van het </w:t>
      </w:r>
      <w:r w:rsidRPr="00595D49" w:rsidR="00F328DE">
        <w:rPr>
          <w:rFonts w:ascii="Verdana" w:hAnsi="Verdana"/>
          <w:kern w:val="2"/>
          <w:sz w:val="18"/>
          <w:szCs w:val="18"/>
          <w14:ligatures w14:val="standardContextual"/>
        </w:rPr>
        <w:t>justitiële</w:t>
      </w:r>
      <w:r w:rsidRPr="00595D49" w:rsidR="00092D64">
        <w:rPr>
          <w:rFonts w:ascii="Verdana" w:hAnsi="Verdana"/>
          <w:kern w:val="2"/>
          <w:sz w:val="18"/>
          <w:szCs w:val="18"/>
          <w14:ligatures w14:val="standardContextual"/>
        </w:rPr>
        <w:t xml:space="preserve"> systeem</w:t>
      </w:r>
      <w:r w:rsidRPr="00595D49" w:rsidDel="00092D64" w:rsidR="00C1535E">
        <w:rPr>
          <w:rFonts w:ascii="Verdana" w:hAnsi="Verdana"/>
          <w:kern w:val="2"/>
          <w:sz w:val="18"/>
          <w:szCs w:val="18"/>
          <w14:ligatures w14:val="standardContextual"/>
        </w:rPr>
        <w:t>.</w:t>
      </w:r>
      <w:r w:rsidRPr="00595D49" w:rsidR="00C1535E">
        <w:rPr>
          <w:rFonts w:ascii="Verdana" w:hAnsi="Verdana"/>
          <w:kern w:val="2"/>
          <w:sz w:val="18"/>
          <w:szCs w:val="18"/>
          <w14:ligatures w14:val="standardContextual"/>
        </w:rPr>
        <w:t xml:space="preserve"> </w:t>
      </w:r>
      <w:r w:rsidRPr="00595D49" w:rsidR="00BB5F15">
        <w:rPr>
          <w:rFonts w:ascii="Verdana" w:hAnsi="Verdana"/>
          <w:kern w:val="2"/>
          <w:sz w:val="18"/>
          <w:szCs w:val="18"/>
          <w14:ligatures w14:val="standardContextual"/>
        </w:rPr>
        <w:t>N</w:t>
      </w:r>
      <w:r w:rsidRPr="00595D49" w:rsidR="00092D64">
        <w:rPr>
          <w:rFonts w:ascii="Verdana" w:hAnsi="Verdana"/>
          <w:kern w:val="2"/>
          <w:sz w:val="18"/>
          <w:szCs w:val="18"/>
          <w14:ligatures w14:val="standardContextual"/>
        </w:rPr>
        <w:t xml:space="preserve">ieuwe wetgeving </w:t>
      </w:r>
      <w:r w:rsidRPr="00595D49" w:rsidR="00BB5F15">
        <w:rPr>
          <w:rFonts w:ascii="Verdana" w:hAnsi="Verdana"/>
          <w:kern w:val="2"/>
          <w:sz w:val="18"/>
          <w:szCs w:val="18"/>
          <w14:ligatures w14:val="standardContextual"/>
        </w:rPr>
        <w:t xml:space="preserve">is </w:t>
      </w:r>
      <w:r w:rsidRPr="00595D49" w:rsidR="00092D64">
        <w:rPr>
          <w:rFonts w:ascii="Verdana" w:hAnsi="Verdana"/>
          <w:kern w:val="2"/>
          <w:sz w:val="18"/>
          <w:szCs w:val="18"/>
          <w14:ligatures w14:val="standardContextual"/>
        </w:rPr>
        <w:t xml:space="preserve">in werking getreden </w:t>
      </w:r>
      <w:r w:rsidRPr="00595D49" w:rsidR="00E41526">
        <w:rPr>
          <w:rFonts w:ascii="Verdana" w:hAnsi="Verdana"/>
          <w:kern w:val="2"/>
          <w:sz w:val="18"/>
          <w:szCs w:val="18"/>
          <w14:ligatures w14:val="standardContextual"/>
        </w:rPr>
        <w:t>om</w:t>
      </w:r>
      <w:r w:rsidRPr="00595D49" w:rsidR="00092D64">
        <w:rPr>
          <w:rFonts w:ascii="Verdana" w:hAnsi="Verdana"/>
          <w:kern w:val="2"/>
          <w:sz w:val="18"/>
          <w:szCs w:val="18"/>
          <w14:ligatures w14:val="standardContextual"/>
        </w:rPr>
        <w:t xml:space="preserve"> </w:t>
      </w:r>
      <w:r w:rsidRPr="00595D49" w:rsidR="002521B2">
        <w:rPr>
          <w:rFonts w:ascii="Verdana" w:hAnsi="Verdana"/>
          <w:kern w:val="2"/>
          <w:sz w:val="18"/>
          <w:szCs w:val="18"/>
          <w14:ligatures w14:val="standardContextual"/>
        </w:rPr>
        <w:t>de</w:t>
      </w:r>
      <w:r w:rsidRPr="00595D49" w:rsidR="00092D64">
        <w:rPr>
          <w:rFonts w:ascii="Verdana" w:hAnsi="Verdana"/>
          <w:kern w:val="2"/>
          <w:sz w:val="18"/>
          <w:szCs w:val="18"/>
          <w14:ligatures w14:val="standardContextual"/>
        </w:rPr>
        <w:t xml:space="preserve"> </w:t>
      </w:r>
      <w:r w:rsidRPr="00595D49" w:rsidR="00C1535E">
        <w:rPr>
          <w:rFonts w:ascii="Verdana" w:hAnsi="Verdana"/>
          <w:kern w:val="2"/>
          <w:sz w:val="18"/>
          <w:szCs w:val="18"/>
          <w14:ligatures w14:val="standardContextual"/>
        </w:rPr>
        <w:t xml:space="preserve">benoeming van rechters voor het Constitutioneel Hof en Hooggerechtshof meer in lijn </w:t>
      </w:r>
      <w:r w:rsidRPr="00595D49" w:rsidR="00E41526">
        <w:rPr>
          <w:rFonts w:ascii="Verdana" w:hAnsi="Verdana"/>
          <w:kern w:val="2"/>
          <w:sz w:val="18"/>
          <w:szCs w:val="18"/>
          <w14:ligatures w14:val="standardContextual"/>
        </w:rPr>
        <w:t>te brengen</w:t>
      </w:r>
      <w:r w:rsidRPr="00595D49" w:rsidR="00C1535E">
        <w:rPr>
          <w:rFonts w:ascii="Verdana" w:hAnsi="Verdana"/>
          <w:kern w:val="2"/>
          <w:sz w:val="18"/>
          <w:szCs w:val="18"/>
          <w14:ligatures w14:val="standardContextual"/>
        </w:rPr>
        <w:t xml:space="preserve"> met </w:t>
      </w:r>
      <w:r w:rsidRPr="00595D49" w:rsidR="000A6CA3">
        <w:rPr>
          <w:rFonts w:ascii="Verdana" w:hAnsi="Verdana"/>
          <w:kern w:val="2"/>
          <w:sz w:val="18"/>
          <w:szCs w:val="18"/>
          <w14:ligatures w14:val="standardContextual"/>
        </w:rPr>
        <w:t xml:space="preserve">de </w:t>
      </w:r>
      <w:r w:rsidRPr="00595D49" w:rsidR="00C1535E">
        <w:rPr>
          <w:rFonts w:ascii="Verdana" w:hAnsi="Verdana"/>
          <w:kern w:val="2"/>
          <w:sz w:val="18"/>
          <w:szCs w:val="18"/>
          <w14:ligatures w14:val="standardContextual"/>
        </w:rPr>
        <w:t>Europese standaarden</w:t>
      </w:r>
      <w:r w:rsidRPr="00595D49" w:rsidR="006E4AF6">
        <w:rPr>
          <w:rFonts w:ascii="Verdana" w:hAnsi="Verdana"/>
          <w:kern w:val="2"/>
          <w:sz w:val="18"/>
          <w:szCs w:val="18"/>
          <w14:ligatures w14:val="standardContextual"/>
        </w:rPr>
        <w:t>.</w:t>
      </w:r>
      <w:r w:rsidRPr="00595D49" w:rsidR="001714E4">
        <w:rPr>
          <w:rFonts w:ascii="Verdana" w:hAnsi="Verdana"/>
          <w:kern w:val="2"/>
          <w:sz w:val="18"/>
          <w:szCs w:val="18"/>
          <w14:ligatures w14:val="standardContextual"/>
        </w:rPr>
        <w:t xml:space="preserve"> </w:t>
      </w:r>
      <w:r w:rsidRPr="00595D49" w:rsidR="004723DA">
        <w:rPr>
          <w:rFonts w:ascii="Verdana" w:hAnsi="Verdana"/>
          <w:kern w:val="2"/>
          <w:sz w:val="18"/>
          <w:szCs w:val="18"/>
          <w14:ligatures w14:val="standardContextual"/>
        </w:rPr>
        <w:t xml:space="preserve">In het rapport uit de </w:t>
      </w:r>
      <w:r w:rsidRPr="00595D49" w:rsidR="006E4AF6">
        <w:rPr>
          <w:rFonts w:ascii="Verdana" w:hAnsi="Verdana"/>
          <w:kern w:val="2"/>
          <w:sz w:val="18"/>
          <w:szCs w:val="18"/>
          <w14:ligatures w14:val="standardContextual"/>
        </w:rPr>
        <w:t>Commissie</w:t>
      </w:r>
      <w:r w:rsidRPr="00595D49" w:rsidR="00BB5F15">
        <w:rPr>
          <w:rFonts w:ascii="Verdana" w:hAnsi="Verdana"/>
          <w:kern w:val="2"/>
          <w:sz w:val="18"/>
          <w:szCs w:val="18"/>
          <w14:ligatures w14:val="standardContextual"/>
        </w:rPr>
        <w:t xml:space="preserve"> zorgen over</w:t>
      </w:r>
      <w:r w:rsidRPr="00595D49" w:rsidR="00645AF1">
        <w:rPr>
          <w:rFonts w:ascii="Verdana" w:hAnsi="Verdana"/>
          <w:kern w:val="2"/>
          <w:sz w:val="18"/>
          <w:szCs w:val="18"/>
          <w14:ligatures w14:val="standardContextual"/>
        </w:rPr>
        <w:t xml:space="preserve"> </w:t>
      </w:r>
      <w:r w:rsidRPr="00595D49" w:rsidR="00F328DE">
        <w:rPr>
          <w:rFonts w:ascii="Verdana" w:hAnsi="Verdana"/>
          <w:kern w:val="2"/>
          <w:sz w:val="18"/>
          <w:szCs w:val="18"/>
          <w14:ligatures w14:val="standardContextual"/>
        </w:rPr>
        <w:t xml:space="preserve">de bevoegdheid </w:t>
      </w:r>
      <w:r w:rsidRPr="00595D49" w:rsidR="000A6CA3">
        <w:rPr>
          <w:rFonts w:ascii="Verdana" w:hAnsi="Verdana"/>
          <w:kern w:val="2"/>
          <w:sz w:val="18"/>
          <w:szCs w:val="18"/>
          <w14:ligatures w14:val="standardContextual"/>
        </w:rPr>
        <w:t xml:space="preserve">van de procureur-generaal om </w:t>
      </w:r>
      <w:r w:rsidRPr="00595D49" w:rsidR="008F6B2C">
        <w:rPr>
          <w:rFonts w:ascii="Verdana" w:hAnsi="Verdana"/>
          <w:kern w:val="2"/>
          <w:sz w:val="18"/>
          <w:szCs w:val="18"/>
          <w14:ligatures w14:val="standardContextual"/>
        </w:rPr>
        <w:t xml:space="preserve">te besluiten om </w:t>
      </w:r>
      <w:r w:rsidRPr="00595D49" w:rsidR="000A6CA3">
        <w:rPr>
          <w:rFonts w:ascii="Verdana" w:hAnsi="Verdana"/>
          <w:kern w:val="2"/>
          <w:sz w:val="18"/>
          <w:szCs w:val="18"/>
          <w14:ligatures w14:val="standardContextual"/>
        </w:rPr>
        <w:t xml:space="preserve">strafrechtelijke vervolging </w:t>
      </w:r>
      <w:r w:rsidRPr="00595D49" w:rsidR="008F6B2C">
        <w:rPr>
          <w:rFonts w:ascii="Verdana" w:hAnsi="Verdana"/>
          <w:kern w:val="2"/>
          <w:sz w:val="18"/>
          <w:szCs w:val="18"/>
          <w14:ligatures w14:val="standardContextual"/>
        </w:rPr>
        <w:t>niet</w:t>
      </w:r>
      <w:r w:rsidRPr="00595D49" w:rsidR="000A6CA3">
        <w:rPr>
          <w:rFonts w:ascii="Verdana" w:hAnsi="Verdana"/>
          <w:kern w:val="2"/>
          <w:sz w:val="18"/>
          <w:szCs w:val="18"/>
          <w14:ligatures w14:val="standardContextual"/>
        </w:rPr>
        <w:t xml:space="preserve"> in te stellen</w:t>
      </w:r>
      <w:r w:rsidRPr="00595D49" w:rsidR="008F6B2C">
        <w:rPr>
          <w:rFonts w:ascii="Verdana" w:hAnsi="Verdana"/>
          <w:kern w:val="2"/>
          <w:sz w:val="18"/>
          <w:szCs w:val="18"/>
          <w14:ligatures w14:val="standardContextual"/>
        </w:rPr>
        <w:t xml:space="preserve"> dan wel te beëindigen</w:t>
      </w:r>
      <w:r w:rsidRPr="00595D49" w:rsidR="00BB5F15">
        <w:rPr>
          <w:rFonts w:ascii="Verdana" w:hAnsi="Verdana"/>
          <w:kern w:val="2"/>
          <w:sz w:val="18"/>
          <w:szCs w:val="18"/>
          <w14:ligatures w14:val="standardContextual"/>
        </w:rPr>
        <w:t>,</w:t>
      </w:r>
      <w:r w:rsidRPr="00595D49" w:rsidR="000A6CA3">
        <w:rPr>
          <w:rFonts w:ascii="Verdana" w:hAnsi="Verdana"/>
          <w:kern w:val="2"/>
          <w:sz w:val="18"/>
          <w:szCs w:val="18"/>
          <w14:ligatures w14:val="standardContextual"/>
        </w:rPr>
        <w:t xml:space="preserve"> omdat</w:t>
      </w:r>
      <w:r w:rsidRPr="00595D49" w:rsidR="00BB5F15">
        <w:rPr>
          <w:rFonts w:ascii="Verdana" w:hAnsi="Verdana"/>
          <w:kern w:val="2"/>
          <w:sz w:val="18"/>
          <w:szCs w:val="18"/>
          <w14:ligatures w14:val="standardContextual"/>
        </w:rPr>
        <w:t xml:space="preserve"> </w:t>
      </w:r>
      <w:r w:rsidRPr="00595D49" w:rsidR="008F6B2C">
        <w:rPr>
          <w:rFonts w:ascii="Verdana" w:hAnsi="Verdana"/>
          <w:kern w:val="2"/>
          <w:sz w:val="18"/>
          <w:szCs w:val="18"/>
          <w14:ligatures w14:val="standardContextual"/>
        </w:rPr>
        <w:t>er geen rechtsmiddel openstaat tegen</w:t>
      </w:r>
      <w:r w:rsidRPr="00595D49" w:rsidR="00BB5F15">
        <w:rPr>
          <w:rFonts w:ascii="Verdana" w:hAnsi="Verdana"/>
          <w:kern w:val="2"/>
          <w:sz w:val="18"/>
          <w:szCs w:val="18"/>
          <w14:ligatures w14:val="standardContextual"/>
        </w:rPr>
        <w:t xml:space="preserve"> zo’n besluit</w:t>
      </w:r>
      <w:r w:rsidR="00BB5F15">
        <w:rPr>
          <w:kern w:val="2"/>
          <w14:ligatures w14:val="standardContextual"/>
        </w:rPr>
        <w:t>.</w:t>
      </w:r>
      <w:r w:rsidRPr="00595D49" w:rsidR="00BB5F15">
        <w:rPr>
          <w:rFonts w:ascii="Verdana" w:hAnsi="Verdana"/>
          <w:kern w:val="2"/>
          <w:sz w:val="18"/>
          <w:szCs w:val="18"/>
          <w14:ligatures w14:val="standardContextual"/>
        </w:rPr>
        <w:t xml:space="preserve"> Verder verloopt</w:t>
      </w:r>
      <w:r w:rsidRPr="00595D49" w:rsidR="0047656F">
        <w:rPr>
          <w:rFonts w:ascii="Verdana" w:hAnsi="Verdana"/>
          <w:kern w:val="2"/>
          <w:sz w:val="18"/>
          <w:szCs w:val="18"/>
          <w14:ligatures w14:val="standardContextual"/>
        </w:rPr>
        <w:t xml:space="preserve"> de implementatie </w:t>
      </w:r>
      <w:r w:rsidRPr="00595D49" w:rsidR="006E4AF6">
        <w:rPr>
          <w:rFonts w:ascii="Verdana" w:hAnsi="Verdana"/>
          <w:kern w:val="2"/>
          <w:sz w:val="18"/>
          <w:szCs w:val="18"/>
          <w14:ligatures w14:val="standardContextual"/>
        </w:rPr>
        <w:t xml:space="preserve">van </w:t>
      </w:r>
      <w:r w:rsidRPr="00595D49" w:rsidR="003227D7">
        <w:rPr>
          <w:rFonts w:ascii="Verdana" w:hAnsi="Verdana"/>
          <w:kern w:val="2"/>
          <w:sz w:val="18"/>
          <w:szCs w:val="18"/>
          <w14:ligatures w14:val="standardContextual"/>
        </w:rPr>
        <w:t xml:space="preserve">de nationale anti-corruptiestrategie </w:t>
      </w:r>
      <w:r w:rsidRPr="00595D49" w:rsidR="00BB5F15">
        <w:rPr>
          <w:rFonts w:ascii="Verdana" w:hAnsi="Verdana"/>
          <w:kern w:val="2"/>
          <w:sz w:val="18"/>
          <w:szCs w:val="18"/>
          <w14:ligatures w14:val="standardContextual"/>
        </w:rPr>
        <w:t>volgens</w:t>
      </w:r>
      <w:r w:rsidRPr="00595D49" w:rsidR="003227D7">
        <w:rPr>
          <w:rFonts w:ascii="Verdana" w:hAnsi="Verdana"/>
          <w:kern w:val="2"/>
          <w:sz w:val="18"/>
          <w:szCs w:val="18"/>
          <w14:ligatures w14:val="standardContextual"/>
        </w:rPr>
        <w:t xml:space="preserve"> schema en </w:t>
      </w:r>
      <w:r w:rsidRPr="00595D49" w:rsidR="00BB5F15">
        <w:rPr>
          <w:rFonts w:ascii="Verdana" w:hAnsi="Verdana"/>
          <w:kern w:val="2"/>
          <w:sz w:val="18"/>
          <w:szCs w:val="18"/>
          <w14:ligatures w14:val="standardContextual"/>
        </w:rPr>
        <w:t xml:space="preserve">is </w:t>
      </w:r>
      <w:r w:rsidRPr="00595D49" w:rsidR="006C0391">
        <w:rPr>
          <w:rFonts w:ascii="Verdana" w:hAnsi="Verdana"/>
          <w:kern w:val="2"/>
          <w:sz w:val="18"/>
          <w:szCs w:val="18"/>
          <w14:ligatures w14:val="standardContextual"/>
        </w:rPr>
        <w:t xml:space="preserve">sinds eind 2022 </w:t>
      </w:r>
      <w:r w:rsidRPr="00595D49" w:rsidR="006E4AF6">
        <w:rPr>
          <w:rFonts w:ascii="Verdana" w:hAnsi="Verdana"/>
          <w:kern w:val="2"/>
          <w:sz w:val="18"/>
          <w:szCs w:val="18"/>
          <w14:ligatures w14:val="standardContextual"/>
        </w:rPr>
        <w:t xml:space="preserve">de onafhankelijke anti-corruptie autoriteit (IACA) </w:t>
      </w:r>
      <w:r w:rsidRPr="00595D49" w:rsidR="003227D7">
        <w:rPr>
          <w:rFonts w:ascii="Verdana" w:hAnsi="Verdana"/>
          <w:kern w:val="2"/>
          <w:sz w:val="18"/>
          <w:szCs w:val="18"/>
          <w14:ligatures w14:val="standardContextual"/>
        </w:rPr>
        <w:t xml:space="preserve">actief. De Commissie </w:t>
      </w:r>
      <w:r w:rsidRPr="00595D49" w:rsidR="00092D64">
        <w:rPr>
          <w:rFonts w:ascii="Verdana" w:hAnsi="Verdana"/>
          <w:kern w:val="2"/>
          <w:sz w:val="18"/>
          <w:szCs w:val="18"/>
          <w14:ligatures w14:val="standardContextual"/>
        </w:rPr>
        <w:t xml:space="preserve">beveelt </w:t>
      </w:r>
      <w:r w:rsidRPr="00595D49" w:rsidR="003227D7">
        <w:rPr>
          <w:rFonts w:ascii="Verdana" w:hAnsi="Verdana"/>
          <w:kern w:val="2"/>
          <w:sz w:val="18"/>
          <w:szCs w:val="18"/>
          <w14:ligatures w14:val="standardContextual"/>
        </w:rPr>
        <w:t>Cyprus</w:t>
      </w:r>
      <w:r w:rsidRPr="00595D49" w:rsidR="00BB5F15">
        <w:rPr>
          <w:rFonts w:ascii="Verdana" w:hAnsi="Verdana"/>
          <w:kern w:val="2"/>
          <w:sz w:val="18"/>
          <w:szCs w:val="18"/>
          <w14:ligatures w14:val="standardContextual"/>
        </w:rPr>
        <w:t xml:space="preserve"> onder meer</w:t>
      </w:r>
      <w:r w:rsidRPr="00595D49" w:rsidR="003227D7">
        <w:rPr>
          <w:rFonts w:ascii="Verdana" w:hAnsi="Verdana"/>
          <w:kern w:val="2"/>
          <w:sz w:val="18"/>
          <w:szCs w:val="18"/>
          <w14:ligatures w14:val="standardContextual"/>
        </w:rPr>
        <w:t xml:space="preserve"> aan om de IACA te voorzien van voldoende middelen</w:t>
      </w:r>
      <w:r w:rsidRPr="00595D49" w:rsidR="00BB5F15">
        <w:rPr>
          <w:rFonts w:ascii="Verdana" w:hAnsi="Verdana"/>
          <w:kern w:val="2"/>
          <w:sz w:val="18"/>
          <w:szCs w:val="18"/>
          <w14:ligatures w14:val="standardContextual"/>
        </w:rPr>
        <w:t xml:space="preserve">, </w:t>
      </w:r>
      <w:r w:rsidRPr="00595D49" w:rsidR="003227D7">
        <w:rPr>
          <w:rFonts w:ascii="Verdana" w:hAnsi="Verdana"/>
          <w:kern w:val="2"/>
          <w:sz w:val="18"/>
          <w:szCs w:val="18"/>
          <w14:ligatures w14:val="standardContextual"/>
        </w:rPr>
        <w:t xml:space="preserve">om </w:t>
      </w:r>
      <w:r w:rsidRPr="00595D49" w:rsidR="001A2559">
        <w:rPr>
          <w:rFonts w:ascii="Verdana" w:hAnsi="Verdana"/>
          <w:kern w:val="2"/>
          <w:sz w:val="18"/>
          <w:szCs w:val="18"/>
          <w14:ligatures w14:val="standardContextual"/>
        </w:rPr>
        <w:t xml:space="preserve">transparantie </w:t>
      </w:r>
      <w:r w:rsidRPr="00595D49" w:rsidR="006C0391">
        <w:rPr>
          <w:rFonts w:ascii="Verdana" w:hAnsi="Verdana"/>
          <w:kern w:val="2"/>
          <w:sz w:val="18"/>
          <w:szCs w:val="18"/>
          <w14:ligatures w14:val="standardContextual"/>
        </w:rPr>
        <w:t>over</w:t>
      </w:r>
      <w:r w:rsidRPr="00595D49" w:rsidR="00BB2C61">
        <w:rPr>
          <w:rFonts w:ascii="Verdana" w:hAnsi="Verdana"/>
          <w:kern w:val="2"/>
          <w:sz w:val="18"/>
          <w:szCs w:val="18"/>
          <w14:ligatures w14:val="standardContextual"/>
        </w:rPr>
        <w:t xml:space="preserve"> bezittingen van verkozen</w:t>
      </w:r>
      <w:r w:rsidRPr="00595D49" w:rsidR="006C0391">
        <w:rPr>
          <w:rFonts w:ascii="Verdana" w:hAnsi="Verdana"/>
          <w:kern w:val="2"/>
          <w:sz w:val="18"/>
          <w:szCs w:val="18"/>
          <w14:ligatures w14:val="standardContextual"/>
        </w:rPr>
        <w:t xml:space="preserve"> overheidsfunctionarissen</w:t>
      </w:r>
      <w:r w:rsidRPr="00595D49" w:rsidR="00BB2C61">
        <w:rPr>
          <w:rFonts w:ascii="Verdana" w:hAnsi="Verdana"/>
          <w:kern w:val="2"/>
          <w:sz w:val="18"/>
          <w:szCs w:val="18"/>
          <w14:ligatures w14:val="standardContextual"/>
        </w:rPr>
        <w:t xml:space="preserve"> </w:t>
      </w:r>
      <w:r w:rsidRPr="00595D49" w:rsidR="006C0391">
        <w:rPr>
          <w:rFonts w:ascii="Verdana" w:hAnsi="Verdana"/>
          <w:kern w:val="2"/>
          <w:sz w:val="18"/>
          <w:szCs w:val="18"/>
          <w14:ligatures w14:val="standardContextual"/>
        </w:rPr>
        <w:t xml:space="preserve">en de </w:t>
      </w:r>
      <w:r w:rsidRPr="00595D49" w:rsidR="001A2559">
        <w:rPr>
          <w:rFonts w:ascii="Verdana" w:hAnsi="Verdana"/>
          <w:kern w:val="2"/>
          <w:sz w:val="18"/>
          <w:szCs w:val="18"/>
          <w14:ligatures w14:val="standardContextual"/>
        </w:rPr>
        <w:t xml:space="preserve">besteding van publieke advertentiemiddelen </w:t>
      </w:r>
      <w:r w:rsidRPr="00595D49" w:rsidR="006C0391">
        <w:rPr>
          <w:rFonts w:ascii="Verdana" w:hAnsi="Verdana"/>
          <w:kern w:val="2"/>
          <w:sz w:val="18"/>
          <w:szCs w:val="18"/>
          <w14:ligatures w14:val="standardContextual"/>
        </w:rPr>
        <w:t>te verbeteren</w:t>
      </w:r>
      <w:r w:rsidRPr="00595D49" w:rsidR="00BB5F15">
        <w:rPr>
          <w:rFonts w:ascii="Verdana" w:hAnsi="Verdana"/>
          <w:kern w:val="2"/>
          <w:sz w:val="18"/>
          <w:szCs w:val="18"/>
          <w14:ligatures w14:val="standardContextual"/>
        </w:rPr>
        <w:t>,</w:t>
      </w:r>
      <w:r w:rsidRPr="00595D49" w:rsidR="006C0391">
        <w:rPr>
          <w:rFonts w:ascii="Verdana" w:hAnsi="Verdana"/>
          <w:kern w:val="2"/>
          <w:sz w:val="18"/>
          <w:szCs w:val="18"/>
          <w14:ligatures w14:val="standardContextual"/>
        </w:rPr>
        <w:t xml:space="preserve"> en</w:t>
      </w:r>
      <w:r w:rsidRPr="00595D49" w:rsidR="0047656F">
        <w:rPr>
          <w:rFonts w:ascii="Verdana" w:hAnsi="Verdana"/>
          <w:kern w:val="2"/>
          <w:sz w:val="18"/>
          <w:szCs w:val="18"/>
          <w14:ligatures w14:val="standardContextual"/>
        </w:rPr>
        <w:t xml:space="preserve"> de onafhankelijkheid van het bestuur van de publieke omroep </w:t>
      </w:r>
      <w:r w:rsidRPr="00595D49" w:rsidR="00E41526">
        <w:rPr>
          <w:rFonts w:ascii="Verdana" w:hAnsi="Verdana"/>
          <w:kern w:val="2"/>
          <w:sz w:val="18"/>
          <w:szCs w:val="18"/>
          <w14:ligatures w14:val="standardContextual"/>
        </w:rPr>
        <w:t>via</w:t>
      </w:r>
      <w:r w:rsidRPr="00595D49" w:rsidR="00BB5F15">
        <w:rPr>
          <w:rFonts w:ascii="Verdana" w:hAnsi="Verdana"/>
          <w:kern w:val="2"/>
          <w:sz w:val="18"/>
          <w:szCs w:val="18"/>
          <w14:ligatures w14:val="standardContextual"/>
        </w:rPr>
        <w:t xml:space="preserve"> wetgeving </w:t>
      </w:r>
      <w:r w:rsidRPr="00595D49" w:rsidR="006C0391">
        <w:rPr>
          <w:rFonts w:ascii="Verdana" w:hAnsi="Verdana"/>
          <w:kern w:val="2"/>
          <w:sz w:val="18"/>
          <w:szCs w:val="18"/>
          <w14:ligatures w14:val="standardContextual"/>
        </w:rPr>
        <w:t>te versterken</w:t>
      </w:r>
      <w:r w:rsidRPr="00595D49" w:rsidR="0008771E">
        <w:rPr>
          <w:rFonts w:ascii="Verdana" w:hAnsi="Verdana"/>
          <w:kern w:val="2"/>
          <w:sz w:val="18"/>
          <w:szCs w:val="18"/>
          <w14:ligatures w14:val="standardContextual"/>
        </w:rPr>
        <w:t xml:space="preserve">. </w:t>
      </w:r>
      <w:r w:rsidRPr="00595D49" w:rsidR="006C0391">
        <w:rPr>
          <w:rFonts w:ascii="Verdana" w:hAnsi="Verdana"/>
          <w:kern w:val="2"/>
          <w:sz w:val="18"/>
          <w:szCs w:val="18"/>
          <w14:ligatures w14:val="standardContextual"/>
        </w:rPr>
        <w:t xml:space="preserve"> </w:t>
      </w:r>
    </w:p>
    <w:p w:rsidRPr="00595D49" w:rsidR="0055383C" w:rsidP="0055383C" w:rsidRDefault="0055383C" w14:paraId="2E720932" w14:textId="77777777">
      <w:pPr>
        <w:rPr>
          <w:rFonts w:ascii="Verdana" w:hAnsi="Verdana"/>
          <w:i/>
          <w:iCs/>
          <w:kern w:val="2"/>
          <w:sz w:val="18"/>
          <w:szCs w:val="18"/>
          <w14:ligatures w14:val="standardContextual"/>
        </w:rPr>
      </w:pPr>
      <w:r w:rsidRPr="00595D49">
        <w:rPr>
          <w:rFonts w:ascii="Verdana" w:hAnsi="Verdana"/>
          <w:i/>
          <w:iCs/>
          <w:kern w:val="2"/>
          <w:sz w:val="18"/>
          <w:szCs w:val="18"/>
          <w14:ligatures w14:val="standardContextual"/>
        </w:rPr>
        <w:t>Litouwen</w:t>
      </w:r>
    </w:p>
    <w:p w:rsidRPr="00595D49" w:rsidR="0055383C" w:rsidP="002E0E00" w:rsidRDefault="00167DF7" w14:paraId="67D79BF4" w14:textId="1CF70E86">
      <w:pPr>
        <w:rPr>
          <w:rFonts w:ascii="Verdana" w:hAnsi="Verdana"/>
          <w:kern w:val="2"/>
          <w:sz w:val="18"/>
          <w:szCs w:val="18"/>
          <w14:ligatures w14:val="standardContextual"/>
        </w:rPr>
      </w:pPr>
      <w:r w:rsidRPr="00595D49">
        <w:rPr>
          <w:rFonts w:ascii="Verdana" w:hAnsi="Verdana"/>
          <w:kern w:val="2"/>
          <w:sz w:val="18"/>
          <w:szCs w:val="18"/>
          <w14:ligatures w14:val="standardContextual"/>
        </w:rPr>
        <w:t>Uit het rechtsstaatrapport van de Commissie blijkt dat Litouwen in 2023 vooruitgang heeft geboekt ten aanzien van de aanbevelingen uit het rapport</w:t>
      </w:r>
      <w:r w:rsidRPr="00595D49" w:rsidR="004723DA">
        <w:rPr>
          <w:rFonts w:ascii="Verdana" w:hAnsi="Verdana"/>
          <w:kern w:val="2"/>
          <w:sz w:val="18"/>
          <w:szCs w:val="18"/>
          <w14:ligatures w14:val="standardContextual"/>
        </w:rPr>
        <w:t xml:space="preserve"> van 2022</w:t>
      </w:r>
      <w:r w:rsidRPr="00595D49">
        <w:rPr>
          <w:rFonts w:ascii="Verdana" w:hAnsi="Verdana"/>
          <w:kern w:val="2"/>
          <w:sz w:val="18"/>
          <w:szCs w:val="18"/>
          <w14:ligatures w14:val="standardContextual"/>
        </w:rPr>
        <w:t xml:space="preserve">. Zo heeft Litouwen </w:t>
      </w:r>
      <w:r w:rsidRPr="00595D49" w:rsidR="000A7A3D">
        <w:rPr>
          <w:rFonts w:ascii="Verdana" w:hAnsi="Verdana"/>
          <w:kern w:val="2"/>
          <w:sz w:val="18"/>
          <w:szCs w:val="18"/>
          <w14:ligatures w14:val="standardContextual"/>
        </w:rPr>
        <w:t xml:space="preserve">het proces </w:t>
      </w:r>
      <w:r w:rsidRPr="00595D49" w:rsidR="00877F7D">
        <w:rPr>
          <w:rFonts w:ascii="Verdana" w:hAnsi="Verdana"/>
          <w:kern w:val="2"/>
          <w:sz w:val="18"/>
          <w:szCs w:val="18"/>
          <w14:ligatures w14:val="standardContextual"/>
        </w:rPr>
        <w:t>van benoeming en samenstelling</w:t>
      </w:r>
      <w:r w:rsidRPr="00595D49" w:rsidR="000A7A3D">
        <w:rPr>
          <w:rFonts w:ascii="Verdana" w:hAnsi="Verdana"/>
          <w:kern w:val="2"/>
          <w:sz w:val="18"/>
          <w:szCs w:val="18"/>
          <w14:ligatures w14:val="standardContextual"/>
        </w:rPr>
        <w:t xml:space="preserve"> van het </w:t>
      </w:r>
      <w:r w:rsidRPr="00595D49" w:rsidR="000B53CC">
        <w:rPr>
          <w:rFonts w:ascii="Verdana" w:hAnsi="Verdana"/>
          <w:kern w:val="2"/>
          <w:sz w:val="18"/>
          <w:szCs w:val="18"/>
          <w14:ligatures w14:val="standardContextual"/>
        </w:rPr>
        <w:t>Hooggerechtshof</w:t>
      </w:r>
      <w:r w:rsidRPr="00595D49" w:rsidR="000A7A3D">
        <w:rPr>
          <w:rFonts w:ascii="Verdana" w:hAnsi="Verdana"/>
          <w:kern w:val="2"/>
          <w:sz w:val="18"/>
          <w:szCs w:val="18"/>
          <w14:ligatures w14:val="standardContextual"/>
        </w:rPr>
        <w:t xml:space="preserve"> </w:t>
      </w:r>
      <w:r w:rsidRPr="00595D49" w:rsidR="00877F7D">
        <w:rPr>
          <w:rFonts w:ascii="Verdana" w:hAnsi="Verdana"/>
          <w:kern w:val="2"/>
          <w:sz w:val="18"/>
          <w:szCs w:val="18"/>
          <w14:ligatures w14:val="standardContextual"/>
        </w:rPr>
        <w:t xml:space="preserve">afgerond en is wetgeving om </w:t>
      </w:r>
      <w:r w:rsidRPr="00595D49" w:rsidR="000A7A3D">
        <w:rPr>
          <w:rFonts w:ascii="Verdana" w:hAnsi="Verdana"/>
          <w:kern w:val="2"/>
          <w:sz w:val="18"/>
          <w:szCs w:val="18"/>
          <w14:ligatures w14:val="standardContextual"/>
        </w:rPr>
        <w:t xml:space="preserve">transparantie </w:t>
      </w:r>
      <w:r w:rsidRPr="00595D49" w:rsidR="00877F7D">
        <w:rPr>
          <w:rFonts w:ascii="Verdana" w:hAnsi="Verdana"/>
          <w:kern w:val="2"/>
          <w:sz w:val="18"/>
          <w:szCs w:val="18"/>
          <w14:ligatures w14:val="standardContextual"/>
        </w:rPr>
        <w:t xml:space="preserve">van rechterlijke benoemingen </w:t>
      </w:r>
      <w:r w:rsidRPr="00595D49" w:rsidR="000A7A3D">
        <w:rPr>
          <w:rFonts w:ascii="Verdana" w:hAnsi="Verdana"/>
          <w:kern w:val="2"/>
          <w:sz w:val="18"/>
          <w:szCs w:val="18"/>
          <w14:ligatures w14:val="standardContextual"/>
        </w:rPr>
        <w:t>te verbeteren</w:t>
      </w:r>
      <w:r w:rsidRPr="00595D49" w:rsidR="00877F7D">
        <w:rPr>
          <w:rFonts w:ascii="Verdana" w:hAnsi="Verdana"/>
          <w:kern w:val="2"/>
          <w:sz w:val="18"/>
          <w:szCs w:val="18"/>
          <w14:ligatures w14:val="standardContextual"/>
        </w:rPr>
        <w:t xml:space="preserve"> aangenomen</w:t>
      </w:r>
      <w:r w:rsidRPr="00595D49" w:rsidR="000A7A3D">
        <w:rPr>
          <w:rFonts w:ascii="Verdana" w:hAnsi="Verdana"/>
          <w:kern w:val="2"/>
          <w:sz w:val="18"/>
          <w:szCs w:val="18"/>
          <w14:ligatures w14:val="standardContextual"/>
        </w:rPr>
        <w:t xml:space="preserve">. </w:t>
      </w:r>
      <w:r w:rsidRPr="00595D49" w:rsidR="00877F7D">
        <w:rPr>
          <w:rFonts w:ascii="Verdana" w:hAnsi="Verdana"/>
          <w:kern w:val="2"/>
          <w:sz w:val="18"/>
          <w:szCs w:val="18"/>
          <w14:ligatures w14:val="standardContextual"/>
        </w:rPr>
        <w:t xml:space="preserve">Ook is Litouwen begonnen met de implementatie van de anti-corruptieagenda voor 2022-2033. Daarnaast boekte Litouwen belangrijke voortgang </w:t>
      </w:r>
      <w:r w:rsidRPr="00595D49" w:rsidR="004723DA">
        <w:rPr>
          <w:rFonts w:ascii="Verdana" w:hAnsi="Verdana"/>
          <w:kern w:val="2"/>
          <w:sz w:val="18"/>
          <w:szCs w:val="18"/>
          <w14:ligatures w14:val="standardContextual"/>
        </w:rPr>
        <w:t>met</w:t>
      </w:r>
      <w:r w:rsidRPr="00595D49" w:rsidR="00877F7D">
        <w:rPr>
          <w:rFonts w:ascii="Verdana" w:hAnsi="Verdana"/>
          <w:kern w:val="2"/>
          <w:sz w:val="18"/>
          <w:szCs w:val="18"/>
          <w14:ligatures w14:val="standardContextual"/>
        </w:rPr>
        <w:t xml:space="preserve"> het verbeteren van </w:t>
      </w:r>
      <w:r w:rsidRPr="00595D49" w:rsidR="00F83FA0">
        <w:rPr>
          <w:rFonts w:ascii="Verdana" w:hAnsi="Verdana"/>
          <w:kern w:val="2"/>
          <w:sz w:val="18"/>
          <w:szCs w:val="18"/>
          <w14:ligatures w14:val="standardContextual"/>
        </w:rPr>
        <w:t xml:space="preserve">de </w:t>
      </w:r>
      <w:r w:rsidRPr="00595D49" w:rsidR="00877F7D">
        <w:rPr>
          <w:rFonts w:ascii="Verdana" w:hAnsi="Verdana"/>
          <w:kern w:val="2"/>
          <w:sz w:val="18"/>
          <w:szCs w:val="18"/>
          <w14:ligatures w14:val="standardContextual"/>
        </w:rPr>
        <w:t xml:space="preserve">toegang tot officiële documenten. </w:t>
      </w:r>
      <w:r w:rsidRPr="00595D49" w:rsidR="004723DA">
        <w:rPr>
          <w:rFonts w:ascii="Verdana" w:hAnsi="Verdana"/>
          <w:kern w:val="2"/>
          <w:sz w:val="18"/>
          <w:szCs w:val="18"/>
          <w14:ligatures w14:val="standardContextual"/>
        </w:rPr>
        <w:t>Wel zijn er</w:t>
      </w:r>
      <w:r w:rsidRPr="00595D49" w:rsidR="00F83FA0">
        <w:rPr>
          <w:rFonts w:ascii="Verdana" w:hAnsi="Verdana"/>
          <w:kern w:val="2"/>
          <w:sz w:val="18"/>
          <w:szCs w:val="18"/>
          <w14:ligatures w14:val="standardContextual"/>
        </w:rPr>
        <w:t xml:space="preserve"> </w:t>
      </w:r>
      <w:r w:rsidRPr="00595D49" w:rsidR="00877F7D">
        <w:rPr>
          <w:rFonts w:ascii="Verdana" w:hAnsi="Verdana"/>
          <w:kern w:val="2"/>
          <w:sz w:val="18"/>
          <w:szCs w:val="18"/>
          <w14:ligatures w14:val="standardContextual"/>
        </w:rPr>
        <w:t xml:space="preserve">zorgen over het salarisniveau van rechters, officieren van justitie, ondersteunend personeel en rechtsbijstandsverleners. De Commissie beveelt Litouwen aan voldoende middelen beschikbaar te stellen voor het justitiële systeem en daarbij rekening te houden met de Europese standaarden. Ook wordt Litouwen aanbevolen om voortgang te maken met de hervorming van het stelsel van rechtsbijstand zodat rechtsbijstandsverleners op adequate wijze kunnen deelnemen. </w:t>
      </w:r>
      <w:r w:rsidRPr="00595D49" w:rsidDel="00877F7D" w:rsidR="002E0E00">
        <w:rPr>
          <w:rFonts w:ascii="Verdana" w:hAnsi="Verdana"/>
          <w:kern w:val="2"/>
          <w:sz w:val="18"/>
          <w:szCs w:val="18"/>
          <w14:ligatures w14:val="standardContextual"/>
        </w:rPr>
        <w:t xml:space="preserve"> </w:t>
      </w:r>
    </w:p>
    <w:p w:rsidRPr="00595D49" w:rsidR="0055383C" w:rsidP="0055383C" w:rsidRDefault="0055383C" w14:paraId="5586C2D8" w14:textId="77777777">
      <w:pPr>
        <w:rPr>
          <w:rFonts w:ascii="Verdana" w:hAnsi="Verdana"/>
          <w:i/>
          <w:iCs/>
          <w:kern w:val="2"/>
          <w:sz w:val="18"/>
          <w:szCs w:val="18"/>
          <w14:ligatures w14:val="standardContextual"/>
        </w:rPr>
      </w:pPr>
      <w:r w:rsidRPr="00595D49">
        <w:rPr>
          <w:rFonts w:ascii="Verdana" w:hAnsi="Verdana"/>
          <w:i/>
          <w:iCs/>
          <w:kern w:val="2"/>
          <w:sz w:val="18"/>
          <w:szCs w:val="18"/>
          <w14:ligatures w14:val="standardContextual"/>
        </w:rPr>
        <w:lastRenderedPageBreak/>
        <w:t>Letland</w:t>
      </w:r>
    </w:p>
    <w:p w:rsidRPr="00595D49" w:rsidR="00877F7D" w:rsidP="00877F7D" w:rsidRDefault="00877F7D" w14:paraId="41F2427F" w14:textId="5016283D">
      <w:pPr>
        <w:rPr>
          <w:rFonts w:ascii="Verdana" w:hAnsi="Verdana"/>
          <w:kern w:val="2"/>
          <w:sz w:val="18"/>
          <w:szCs w:val="18"/>
          <w14:ligatures w14:val="standardContextual"/>
        </w:rPr>
      </w:pPr>
      <w:bookmarkStart w:name="_Hlk165631456" w:id="1"/>
      <w:r w:rsidRPr="00595D49">
        <w:rPr>
          <w:rFonts w:ascii="Verdana" w:hAnsi="Verdana"/>
          <w:kern w:val="2"/>
          <w:sz w:val="18"/>
          <w:szCs w:val="18"/>
          <w14:ligatures w14:val="standardContextual"/>
        </w:rPr>
        <w:t xml:space="preserve">Het justitiële system in Letland opereert op efficiënte wijze. Uit het rechtsstaatrapport van 2023 blijkt dat Letland initiatieven neemt om de toedeling van zaken te verbeteren en gerechtelijke middelen efficiënt te besteden. Een nieuw </w:t>
      </w:r>
      <w:proofErr w:type="spellStart"/>
      <w:r w:rsidRPr="00595D49">
        <w:rPr>
          <w:rFonts w:ascii="Verdana" w:hAnsi="Verdana"/>
          <w:kern w:val="2"/>
          <w:sz w:val="18"/>
          <w:szCs w:val="18"/>
          <w14:ligatures w14:val="standardContextual"/>
        </w:rPr>
        <w:t>anticorruptieplan</w:t>
      </w:r>
      <w:proofErr w:type="spellEnd"/>
      <w:r w:rsidRPr="00595D49">
        <w:rPr>
          <w:rFonts w:ascii="Verdana" w:hAnsi="Verdana"/>
          <w:kern w:val="2"/>
          <w:sz w:val="18"/>
          <w:szCs w:val="18"/>
          <w14:ligatures w14:val="standardContextual"/>
        </w:rPr>
        <w:t xml:space="preserve"> voor 2023-2025 is aangenomen en wordt geïmplementeerd. Op integriteitsvlak is vooruitgang geboekt met de komst van nieuwe lobbywetgeving. Verder bestaat een solide basis voor mediavrijheid en mediapluralisme. Journalisten kunnen onder veilige omstandigheden werken, maar de zorgen over online aanvallen van journalisten houden aan. De Commissie beveelt Letland aan voldoende waarborgen te bieden tegen oneigenlijke politieke beïnvloeding in de benoeming van rechters voor het Hooggerechtshof en de Europese standaarden als basis te gebruiken. Ook wordt Letland aanbevolen om de </w:t>
      </w:r>
      <w:r w:rsidR="005D3D86">
        <w:rPr>
          <w:rFonts w:ascii="Verdana" w:hAnsi="Verdana"/>
          <w:kern w:val="2"/>
          <w:sz w:val="18"/>
          <w:szCs w:val="18"/>
          <w14:ligatures w14:val="standardContextual"/>
        </w:rPr>
        <w:t>nationale</w:t>
      </w:r>
      <w:r w:rsidRPr="00595D49">
        <w:rPr>
          <w:rFonts w:ascii="Verdana" w:hAnsi="Verdana"/>
          <w:kern w:val="2"/>
          <w:sz w:val="18"/>
          <w:szCs w:val="18"/>
          <w14:ligatures w14:val="standardContextual"/>
        </w:rPr>
        <w:t xml:space="preserve"> lobbywetgeving, die voorziet in de oprichting van een lobbyregister, op effectieve wijze te implementeren. </w:t>
      </w:r>
    </w:p>
    <w:bookmarkEnd w:id="1"/>
    <w:p w:rsidRPr="00595D49" w:rsidR="0055383C" w:rsidP="0055383C" w:rsidRDefault="0055383C" w14:paraId="15B2B1C9" w14:textId="0AF3E1F1">
      <w:pPr>
        <w:rPr>
          <w:rFonts w:ascii="Verdana" w:hAnsi="Verdana"/>
          <w:i/>
          <w:iCs/>
          <w:kern w:val="2"/>
          <w:sz w:val="18"/>
          <w:szCs w:val="18"/>
          <w14:ligatures w14:val="standardContextual"/>
        </w:rPr>
      </w:pPr>
      <w:r w:rsidRPr="00595D49">
        <w:rPr>
          <w:rFonts w:ascii="Verdana" w:hAnsi="Verdana"/>
          <w:i/>
          <w:iCs/>
          <w:kern w:val="2"/>
          <w:sz w:val="18"/>
          <w:szCs w:val="18"/>
          <w14:ligatures w14:val="standardContextual"/>
        </w:rPr>
        <w:t xml:space="preserve">Luxemburg </w:t>
      </w:r>
    </w:p>
    <w:p w:rsidRPr="00595D49" w:rsidR="00B7131E" w:rsidP="00BB5F15" w:rsidRDefault="00BB5F15" w14:paraId="626D1298" w14:textId="2A69BC3D">
      <w:pPr>
        <w:rPr>
          <w:rFonts w:ascii="Verdana" w:hAnsi="Verdana"/>
          <w:kern w:val="2"/>
          <w:sz w:val="18"/>
          <w:szCs w:val="18"/>
          <w14:ligatures w14:val="standardContextual"/>
        </w:rPr>
      </w:pPr>
      <w:r w:rsidRPr="00595D49">
        <w:rPr>
          <w:rFonts w:ascii="Verdana" w:hAnsi="Verdana"/>
          <w:kern w:val="2"/>
          <w:sz w:val="18"/>
          <w:szCs w:val="18"/>
          <w14:ligatures w14:val="standardContextual"/>
        </w:rPr>
        <w:t xml:space="preserve">Uit het rechtsstaatrapport van de Commissie blijkt dat Luxemburg in 2023 de verschillende geplande constitutionele hervormingen rondom het justitiële systeem heeft doorgevoerd. Een nieuwe Nationale Raad voor Justitie is ingesteld en met de hervormingen wordt de onafhankelijkheid van het Openbaar Ministerie verder versterkt. </w:t>
      </w:r>
      <w:r w:rsidRPr="00595D49" w:rsidR="00C33FE4">
        <w:rPr>
          <w:rFonts w:ascii="Verdana" w:hAnsi="Verdana"/>
          <w:kern w:val="2"/>
          <w:sz w:val="18"/>
          <w:szCs w:val="18"/>
          <w14:ligatures w14:val="standardContextual"/>
        </w:rPr>
        <w:t xml:space="preserve">Daarnaast </w:t>
      </w:r>
      <w:r w:rsidRPr="00595D49">
        <w:rPr>
          <w:rFonts w:ascii="Verdana" w:hAnsi="Verdana"/>
          <w:kern w:val="2"/>
          <w:sz w:val="18"/>
          <w:szCs w:val="18"/>
          <w14:ligatures w14:val="standardContextual"/>
        </w:rPr>
        <w:t xml:space="preserve">heeft Luxemburg meer middelen beschikbaar gesteld voor </w:t>
      </w:r>
      <w:r w:rsidRPr="00595D49" w:rsidR="007238FA">
        <w:rPr>
          <w:rFonts w:ascii="Verdana" w:hAnsi="Verdana"/>
          <w:kern w:val="2"/>
          <w:sz w:val="18"/>
          <w:szCs w:val="18"/>
          <w14:ligatures w14:val="standardContextual"/>
        </w:rPr>
        <w:t xml:space="preserve">het </w:t>
      </w:r>
      <w:r w:rsidRPr="00595D49">
        <w:rPr>
          <w:rFonts w:ascii="Verdana" w:hAnsi="Verdana"/>
          <w:kern w:val="2"/>
          <w:sz w:val="18"/>
          <w:szCs w:val="18"/>
          <w14:ligatures w14:val="standardContextual"/>
        </w:rPr>
        <w:t xml:space="preserve">onderzoek en </w:t>
      </w:r>
      <w:r w:rsidRPr="00595D49" w:rsidR="007238FA">
        <w:rPr>
          <w:rFonts w:ascii="Verdana" w:hAnsi="Verdana"/>
          <w:kern w:val="2"/>
          <w:sz w:val="18"/>
          <w:szCs w:val="18"/>
          <w14:ligatures w14:val="standardContextual"/>
        </w:rPr>
        <w:t xml:space="preserve">de </w:t>
      </w:r>
      <w:r w:rsidRPr="00595D49">
        <w:rPr>
          <w:rFonts w:ascii="Verdana" w:hAnsi="Verdana"/>
          <w:kern w:val="2"/>
          <w:sz w:val="18"/>
          <w:szCs w:val="18"/>
          <w14:ligatures w14:val="standardContextual"/>
        </w:rPr>
        <w:t xml:space="preserve">vervolging van economische en financiële delicten en voor de rechtshandhaving. </w:t>
      </w:r>
      <w:r w:rsidRPr="00595D49" w:rsidR="007238FA">
        <w:rPr>
          <w:rFonts w:ascii="Verdana" w:hAnsi="Verdana"/>
          <w:kern w:val="2"/>
          <w:sz w:val="18"/>
          <w:szCs w:val="18"/>
          <w14:ligatures w14:val="standardContextual"/>
        </w:rPr>
        <w:t xml:space="preserve">In het rapport worden wel zorgen geuit over de toegang van kinderen tot bijstand door een advocaat in de praktijk. </w:t>
      </w:r>
      <w:r w:rsidRPr="00595D49">
        <w:rPr>
          <w:rFonts w:ascii="Verdana" w:hAnsi="Verdana"/>
          <w:kern w:val="2"/>
          <w:sz w:val="18"/>
          <w:szCs w:val="18"/>
          <w14:ligatures w14:val="standardContextual"/>
        </w:rPr>
        <w:t>De Commissie beveelt Luxemburg aan om voortgang te maken met het proces van hervorming van het rechtsbijstandsstelsel. Ook zou</w:t>
      </w:r>
      <w:r w:rsidRPr="00595D49" w:rsidR="007238FA">
        <w:rPr>
          <w:rFonts w:ascii="Verdana" w:hAnsi="Verdana"/>
          <w:kern w:val="2"/>
          <w:sz w:val="18"/>
          <w:szCs w:val="18"/>
          <w14:ligatures w14:val="standardContextual"/>
        </w:rPr>
        <w:t xml:space="preserve"> </w:t>
      </w:r>
      <w:r w:rsidRPr="00595D49">
        <w:rPr>
          <w:rFonts w:ascii="Verdana" w:hAnsi="Verdana"/>
          <w:kern w:val="2"/>
          <w:sz w:val="18"/>
          <w:szCs w:val="18"/>
          <w14:ligatures w14:val="standardContextual"/>
        </w:rPr>
        <w:t>nieuwe wetgeving over lobbyen bij het parlement en het functioneren van het transparantieregister geëvalueerd moeten worden, en zou</w:t>
      </w:r>
      <w:r w:rsidRPr="00595D49" w:rsidR="007238FA">
        <w:rPr>
          <w:rFonts w:ascii="Verdana" w:hAnsi="Verdana"/>
          <w:kern w:val="2"/>
          <w:sz w:val="18"/>
          <w:szCs w:val="18"/>
          <w14:ligatures w14:val="standardContextual"/>
        </w:rPr>
        <w:t xml:space="preserve">den er </w:t>
      </w:r>
      <w:r w:rsidRPr="00595D49">
        <w:rPr>
          <w:rFonts w:ascii="Verdana" w:hAnsi="Verdana"/>
          <w:kern w:val="2"/>
          <w:sz w:val="18"/>
          <w:szCs w:val="18"/>
          <w14:ligatures w14:val="standardContextual"/>
        </w:rPr>
        <w:t xml:space="preserve">meer mogelijkheden voor belanghebbenden moeten </w:t>
      </w:r>
      <w:r w:rsidRPr="00595D49" w:rsidR="007238FA">
        <w:rPr>
          <w:rFonts w:ascii="Verdana" w:hAnsi="Verdana"/>
          <w:kern w:val="2"/>
          <w:sz w:val="18"/>
          <w:szCs w:val="18"/>
          <w14:ligatures w14:val="standardContextual"/>
        </w:rPr>
        <w:t>zijn</w:t>
      </w:r>
      <w:r w:rsidRPr="00595D49">
        <w:rPr>
          <w:rFonts w:ascii="Verdana" w:hAnsi="Verdana"/>
          <w:kern w:val="2"/>
          <w:sz w:val="18"/>
          <w:szCs w:val="18"/>
          <w14:ligatures w14:val="standardContextual"/>
        </w:rPr>
        <w:t xml:space="preserve"> om deel </w:t>
      </w:r>
      <w:r w:rsidRPr="00595D49" w:rsidR="00C44182">
        <w:rPr>
          <w:rFonts w:ascii="Verdana" w:hAnsi="Verdana"/>
          <w:kern w:val="2"/>
          <w:sz w:val="18"/>
          <w:szCs w:val="18"/>
          <w14:ligatures w14:val="standardContextual"/>
        </w:rPr>
        <w:t xml:space="preserve">te </w:t>
      </w:r>
      <w:r w:rsidRPr="00595D49">
        <w:rPr>
          <w:rFonts w:ascii="Verdana" w:hAnsi="Verdana"/>
          <w:kern w:val="2"/>
          <w:sz w:val="18"/>
          <w:szCs w:val="18"/>
          <w14:ligatures w14:val="standardContextual"/>
        </w:rPr>
        <w:t xml:space="preserve">nemen aan publieke consultaties tijdens het wetgevingsproces. </w:t>
      </w:r>
    </w:p>
    <w:p w:rsidRPr="00595D49" w:rsidR="00BB2C61" w:rsidP="00722977" w:rsidRDefault="00B7131E" w14:paraId="0EC0F12E" w14:textId="12877554">
      <w:pPr>
        <w:rPr>
          <w:rFonts w:ascii="Verdana" w:hAnsi="Verdana"/>
          <w:kern w:val="2"/>
          <w:sz w:val="18"/>
          <w:szCs w:val="18"/>
          <w14:ligatures w14:val="standardContextual"/>
        </w:rPr>
      </w:pPr>
      <w:r w:rsidRPr="00595D49">
        <w:rPr>
          <w:rFonts w:ascii="Verdana" w:hAnsi="Verdana"/>
          <w:kern w:val="2"/>
          <w:sz w:val="18"/>
          <w:szCs w:val="18"/>
          <w14:ligatures w14:val="standardContextual"/>
        </w:rPr>
        <w:t xml:space="preserve">Nederland zal in de interventie positieve stappen benoemen maar </w:t>
      </w:r>
      <w:r w:rsidR="00C21584">
        <w:rPr>
          <w:rFonts w:ascii="Verdana" w:hAnsi="Verdana"/>
          <w:kern w:val="2"/>
          <w:sz w:val="18"/>
          <w:szCs w:val="18"/>
          <w14:ligatures w14:val="standardContextual"/>
        </w:rPr>
        <w:t>ook zorgen uiten over de onderwerpen waarop</w:t>
      </w:r>
      <w:r w:rsidRPr="00595D49">
        <w:rPr>
          <w:rFonts w:ascii="Verdana" w:hAnsi="Verdana"/>
          <w:kern w:val="2"/>
          <w:sz w:val="18"/>
          <w:szCs w:val="18"/>
          <w14:ligatures w14:val="standardContextual"/>
        </w:rPr>
        <w:t xml:space="preserve"> nog geen of beperkte vooruitgang is geboekt</w:t>
      </w:r>
      <w:r w:rsidRPr="00595D49" w:rsidR="0055383C">
        <w:rPr>
          <w:rFonts w:ascii="Verdana" w:hAnsi="Verdana"/>
          <w:kern w:val="2"/>
          <w:sz w:val="18"/>
          <w:szCs w:val="18"/>
          <w14:ligatures w14:val="standardContextual"/>
        </w:rPr>
        <w:t>.</w:t>
      </w:r>
      <w:r w:rsidR="00C21584">
        <w:rPr>
          <w:rFonts w:ascii="Verdana" w:hAnsi="Verdana"/>
          <w:kern w:val="2"/>
          <w:sz w:val="18"/>
          <w:szCs w:val="18"/>
          <w14:ligatures w14:val="standardContextual"/>
        </w:rPr>
        <w:t xml:space="preserve"> Hierop zullen betreffende lidstaten worden bevraagd. </w:t>
      </w:r>
      <w:r w:rsidR="007F6E0F">
        <w:rPr>
          <w:rFonts w:ascii="Verdana" w:hAnsi="Verdana"/>
          <w:kern w:val="2"/>
          <w:sz w:val="18"/>
          <w:szCs w:val="18"/>
          <w14:ligatures w14:val="standardContextual"/>
        </w:rPr>
        <w:t>Omdat Luxemburg zelf onderwerp is van deze dialoog zal Nederland op dit punt niet, zoals gebruikelijk, in Benelux-verband optreden.</w:t>
      </w:r>
    </w:p>
    <w:p w:rsidRPr="00FF7841" w:rsidR="00DC1983" w:rsidP="00DC1983" w:rsidRDefault="00DC1983" w14:paraId="216B181C" w14:textId="4457A806">
      <w:pPr>
        <w:spacing w:after="0" w:line="360" w:lineRule="auto"/>
        <w:rPr>
          <w:rFonts w:ascii="Verdana" w:hAnsi="Verdana" w:eastAsia="Times New Roman"/>
          <w:b/>
          <w:bCs/>
          <w:color w:val="FF0000"/>
          <w:sz w:val="18"/>
          <w:szCs w:val="18"/>
        </w:rPr>
      </w:pPr>
      <w:r w:rsidRPr="00FF7841">
        <w:rPr>
          <w:rFonts w:ascii="Verdana" w:hAnsi="Verdana" w:eastAsia="Times New Roman"/>
          <w:b/>
          <w:bCs/>
          <w:sz w:val="18"/>
          <w:szCs w:val="18"/>
        </w:rPr>
        <w:t xml:space="preserve">Rechtsstaat in Polen / Artikel 7 </w:t>
      </w:r>
    </w:p>
    <w:p w:rsidR="008113C7" w:rsidP="008D4B4B" w:rsidRDefault="00D75DB1" w14:paraId="20A51919" w14:textId="5914187E">
      <w:pPr>
        <w:rPr>
          <w:rFonts w:ascii="Verdana" w:hAnsi="Verdana"/>
          <w:sz w:val="18"/>
          <w:szCs w:val="18"/>
        </w:rPr>
      </w:pPr>
      <w:r w:rsidRPr="00595D49">
        <w:rPr>
          <w:rFonts w:ascii="Verdana" w:hAnsi="Verdana"/>
          <w:sz w:val="18"/>
          <w:szCs w:val="18"/>
        </w:rPr>
        <w:t>De Artikel 7</w:t>
      </w:r>
      <w:r w:rsidRPr="00595D49" w:rsidR="00293D3B">
        <w:rPr>
          <w:rFonts w:ascii="Verdana" w:hAnsi="Verdana"/>
          <w:sz w:val="18"/>
          <w:szCs w:val="18"/>
        </w:rPr>
        <w:t>-</w:t>
      </w:r>
      <w:r w:rsidRPr="00595D49">
        <w:rPr>
          <w:rFonts w:ascii="Verdana" w:hAnsi="Verdana"/>
          <w:sz w:val="18"/>
          <w:szCs w:val="18"/>
        </w:rPr>
        <w:t xml:space="preserve">procedure staat </w:t>
      </w:r>
      <w:r w:rsidRPr="00595D49" w:rsidR="009B3B96">
        <w:rPr>
          <w:rFonts w:ascii="Verdana" w:hAnsi="Verdana"/>
          <w:sz w:val="18"/>
          <w:szCs w:val="18"/>
        </w:rPr>
        <w:t xml:space="preserve">geagendeerd in de vorm van een </w:t>
      </w:r>
      <w:r w:rsidRPr="00595D49" w:rsidR="006D5315">
        <w:rPr>
          <w:rFonts w:ascii="Verdana" w:hAnsi="Verdana"/>
          <w:sz w:val="18"/>
          <w:szCs w:val="18"/>
        </w:rPr>
        <w:t>stand van zaken bespreking.</w:t>
      </w:r>
      <w:r w:rsidRPr="00595D49" w:rsidR="009B3B96">
        <w:rPr>
          <w:rFonts w:ascii="Verdana" w:hAnsi="Verdana"/>
          <w:sz w:val="18"/>
          <w:szCs w:val="18"/>
        </w:rPr>
        <w:t xml:space="preserve"> </w:t>
      </w:r>
      <w:r w:rsidR="00F664C0">
        <w:rPr>
          <w:rFonts w:ascii="Verdana" w:hAnsi="Verdana"/>
          <w:sz w:val="18"/>
          <w:szCs w:val="18"/>
        </w:rPr>
        <w:t>D</w:t>
      </w:r>
      <w:r w:rsidRPr="00595D49" w:rsidR="009B3B96">
        <w:rPr>
          <w:rFonts w:ascii="Verdana" w:hAnsi="Verdana"/>
          <w:sz w:val="18"/>
          <w:szCs w:val="18"/>
        </w:rPr>
        <w:t xml:space="preserve">e Raad </w:t>
      </w:r>
      <w:r w:rsidR="00F664C0">
        <w:rPr>
          <w:rFonts w:ascii="Verdana" w:hAnsi="Verdana"/>
          <w:sz w:val="18"/>
          <w:szCs w:val="18"/>
        </w:rPr>
        <w:t>is op</w:t>
      </w:r>
      <w:r w:rsidRPr="00595D49" w:rsidR="009B3B96">
        <w:rPr>
          <w:rFonts w:ascii="Verdana" w:hAnsi="Verdana"/>
          <w:sz w:val="18"/>
          <w:szCs w:val="18"/>
        </w:rPr>
        <w:t xml:space="preserve"> </w:t>
      </w:r>
      <w:r w:rsidRPr="00595D49" w:rsidR="00E04797">
        <w:rPr>
          <w:rFonts w:ascii="Verdana" w:hAnsi="Verdana"/>
          <w:sz w:val="18"/>
          <w:szCs w:val="18"/>
        </w:rPr>
        <w:t>20</w:t>
      </w:r>
      <w:r w:rsidRPr="00595D49" w:rsidR="00801DD2">
        <w:rPr>
          <w:rFonts w:ascii="Verdana" w:hAnsi="Verdana"/>
          <w:sz w:val="18"/>
          <w:szCs w:val="18"/>
        </w:rPr>
        <w:t xml:space="preserve"> februari </w:t>
      </w:r>
      <w:r w:rsidRPr="00595D49" w:rsidR="00E04797">
        <w:rPr>
          <w:rFonts w:ascii="Verdana" w:hAnsi="Verdana"/>
          <w:sz w:val="18"/>
          <w:szCs w:val="18"/>
        </w:rPr>
        <w:t>jl.</w:t>
      </w:r>
      <w:r w:rsidRPr="00595D49" w:rsidR="00E04797">
        <w:rPr>
          <w:rStyle w:val="FootnoteReference"/>
          <w:rFonts w:ascii="Verdana" w:hAnsi="Verdana"/>
          <w:sz w:val="18"/>
          <w:szCs w:val="18"/>
        </w:rPr>
        <w:footnoteReference w:id="5"/>
      </w:r>
      <w:r w:rsidRPr="00595D49" w:rsidR="00E04797">
        <w:rPr>
          <w:rFonts w:ascii="Verdana" w:hAnsi="Verdana"/>
          <w:sz w:val="18"/>
          <w:szCs w:val="18"/>
        </w:rPr>
        <w:t xml:space="preserve"> </w:t>
      </w:r>
      <w:r w:rsidRPr="00595D49" w:rsidR="00801DD2">
        <w:rPr>
          <w:rFonts w:ascii="Verdana" w:hAnsi="Verdana"/>
          <w:sz w:val="18"/>
          <w:szCs w:val="18"/>
        </w:rPr>
        <w:t>en 19 maart jl.</w:t>
      </w:r>
      <w:r w:rsidRPr="00595D49" w:rsidR="00E04797">
        <w:rPr>
          <w:rStyle w:val="FootnoteReference"/>
          <w:rFonts w:ascii="Verdana" w:hAnsi="Verdana"/>
          <w:sz w:val="18"/>
          <w:szCs w:val="18"/>
        </w:rPr>
        <w:footnoteReference w:id="6"/>
      </w:r>
      <w:r w:rsidRPr="00595D49" w:rsidR="00801DD2">
        <w:rPr>
          <w:rFonts w:ascii="Verdana" w:hAnsi="Verdana"/>
          <w:sz w:val="18"/>
          <w:szCs w:val="18"/>
        </w:rPr>
        <w:t xml:space="preserve"> door Polen geïnformeerd over </w:t>
      </w:r>
      <w:r w:rsidR="00F664C0">
        <w:rPr>
          <w:rFonts w:ascii="Verdana" w:hAnsi="Verdana"/>
          <w:sz w:val="18"/>
          <w:szCs w:val="18"/>
        </w:rPr>
        <w:t xml:space="preserve">diens </w:t>
      </w:r>
      <w:r w:rsidRPr="00595D49" w:rsidR="00801DD2">
        <w:rPr>
          <w:rFonts w:ascii="Verdana" w:hAnsi="Verdana"/>
          <w:sz w:val="18"/>
          <w:szCs w:val="18"/>
        </w:rPr>
        <w:t xml:space="preserve">op 19 februari jl. gepresenteerde actieplan voor het herstel van de rechtsstaat en de lopende acties om hier uitvoering aan te geven. </w:t>
      </w:r>
      <w:r w:rsidRPr="00595D49" w:rsidR="009635F6">
        <w:rPr>
          <w:rFonts w:ascii="Verdana" w:hAnsi="Verdana"/>
          <w:sz w:val="18"/>
          <w:szCs w:val="18"/>
        </w:rPr>
        <w:t>Het gaat om een reeks aan</w:t>
      </w:r>
      <w:r w:rsidRPr="00595D49" w:rsidR="00121698">
        <w:rPr>
          <w:rFonts w:ascii="Verdana" w:hAnsi="Verdana"/>
          <w:sz w:val="18"/>
          <w:szCs w:val="18"/>
        </w:rPr>
        <w:t xml:space="preserve"> wetgevende en niet-wetgevende</w:t>
      </w:r>
      <w:r w:rsidRPr="00595D49" w:rsidR="009635F6">
        <w:rPr>
          <w:rFonts w:ascii="Verdana" w:hAnsi="Verdana"/>
          <w:sz w:val="18"/>
          <w:szCs w:val="18"/>
        </w:rPr>
        <w:t xml:space="preserve"> maatregelen, waaronder </w:t>
      </w:r>
      <w:r w:rsidR="00D942D0">
        <w:rPr>
          <w:rFonts w:ascii="Verdana" w:hAnsi="Verdana"/>
          <w:sz w:val="18"/>
          <w:szCs w:val="18"/>
        </w:rPr>
        <w:t xml:space="preserve">een </w:t>
      </w:r>
      <w:r w:rsidRPr="00595D49" w:rsidR="004723DA">
        <w:rPr>
          <w:rFonts w:ascii="Verdana" w:hAnsi="Verdana"/>
          <w:sz w:val="18"/>
          <w:szCs w:val="18"/>
        </w:rPr>
        <w:t xml:space="preserve">inmiddels </w:t>
      </w:r>
      <w:r w:rsidRPr="00595D49" w:rsidR="00E2677F">
        <w:rPr>
          <w:rFonts w:ascii="Verdana" w:hAnsi="Verdana"/>
          <w:sz w:val="18"/>
          <w:szCs w:val="18"/>
        </w:rPr>
        <w:t xml:space="preserve">door </w:t>
      </w:r>
      <w:r w:rsidRPr="00595D49" w:rsidR="004723DA">
        <w:rPr>
          <w:rFonts w:ascii="Verdana" w:hAnsi="Verdana"/>
          <w:sz w:val="18"/>
          <w:szCs w:val="18"/>
        </w:rPr>
        <w:t xml:space="preserve">de </w:t>
      </w:r>
      <w:proofErr w:type="spellStart"/>
      <w:r w:rsidRPr="00595D49" w:rsidR="004723DA">
        <w:rPr>
          <w:rFonts w:ascii="Verdana" w:hAnsi="Verdana"/>
          <w:sz w:val="18"/>
          <w:szCs w:val="18"/>
        </w:rPr>
        <w:t>Sejm</w:t>
      </w:r>
      <w:proofErr w:type="spellEnd"/>
      <w:r w:rsidRPr="00595D49" w:rsidR="00E2677F">
        <w:rPr>
          <w:rFonts w:ascii="Verdana" w:hAnsi="Verdana"/>
          <w:sz w:val="18"/>
          <w:szCs w:val="18"/>
        </w:rPr>
        <w:t xml:space="preserve"> aangenomen</w:t>
      </w:r>
      <w:r w:rsidRPr="00595D49" w:rsidR="009635F6">
        <w:rPr>
          <w:rFonts w:ascii="Verdana" w:hAnsi="Verdana"/>
          <w:sz w:val="18"/>
          <w:szCs w:val="18"/>
        </w:rPr>
        <w:t xml:space="preserve"> wetsvoorstel</w:t>
      </w:r>
      <w:r w:rsidR="00D942D0">
        <w:rPr>
          <w:rFonts w:ascii="Verdana" w:hAnsi="Verdana"/>
          <w:sz w:val="18"/>
          <w:szCs w:val="18"/>
        </w:rPr>
        <w:t xml:space="preserve">. </w:t>
      </w:r>
      <w:r w:rsidR="00FF20F3">
        <w:rPr>
          <w:rFonts w:ascii="Verdana" w:hAnsi="Verdana"/>
          <w:sz w:val="18"/>
          <w:szCs w:val="18"/>
        </w:rPr>
        <w:t>Met dit wetsvoorstel</w:t>
      </w:r>
      <w:r w:rsidR="00D942D0">
        <w:rPr>
          <w:rFonts w:ascii="Verdana" w:hAnsi="Verdana"/>
          <w:sz w:val="18"/>
          <w:szCs w:val="18"/>
        </w:rPr>
        <w:t xml:space="preserve"> wordt </w:t>
      </w:r>
      <w:r w:rsidRPr="00595D49" w:rsidR="009635F6">
        <w:rPr>
          <w:rFonts w:ascii="Verdana" w:hAnsi="Verdana"/>
          <w:sz w:val="18"/>
          <w:szCs w:val="18"/>
        </w:rPr>
        <w:t>beoogd de problematiek rondom de Raad voor de Rechtspraak te adresseren</w:t>
      </w:r>
      <w:r w:rsidR="00CC569B">
        <w:rPr>
          <w:rFonts w:ascii="Verdana" w:hAnsi="Verdana"/>
          <w:sz w:val="18"/>
          <w:szCs w:val="18"/>
        </w:rPr>
        <w:t>. Daarnaast wordt onder meer ook gewerkt aan wetsvoorstellen die h</w:t>
      </w:r>
      <w:r w:rsidRPr="00595D49" w:rsidR="009635F6">
        <w:rPr>
          <w:rFonts w:ascii="Verdana" w:hAnsi="Verdana"/>
          <w:sz w:val="18"/>
          <w:szCs w:val="18"/>
        </w:rPr>
        <w:t xml:space="preserve">et Poolse Grondwettelijk Hof hervormen ten behoeve van het herstel van haar onafhankelijkheid. </w:t>
      </w:r>
      <w:r w:rsidRPr="00595D49" w:rsidR="00801DD2">
        <w:rPr>
          <w:rFonts w:ascii="Verdana" w:hAnsi="Verdana"/>
          <w:sz w:val="18"/>
          <w:szCs w:val="18"/>
        </w:rPr>
        <w:t xml:space="preserve">De </w:t>
      </w:r>
      <w:r w:rsidRPr="00595D49" w:rsidR="001B76AE">
        <w:rPr>
          <w:rFonts w:ascii="Verdana" w:hAnsi="Verdana"/>
          <w:sz w:val="18"/>
          <w:szCs w:val="18"/>
        </w:rPr>
        <w:t xml:space="preserve">Commissie </w:t>
      </w:r>
      <w:r w:rsidRPr="00595D49" w:rsidR="00801DD2">
        <w:rPr>
          <w:rFonts w:ascii="Verdana" w:hAnsi="Verdana"/>
          <w:sz w:val="18"/>
          <w:szCs w:val="18"/>
        </w:rPr>
        <w:t xml:space="preserve">kondigde </w:t>
      </w:r>
      <w:r w:rsidRPr="00595D49" w:rsidR="000872CA">
        <w:rPr>
          <w:rFonts w:ascii="Verdana" w:hAnsi="Verdana"/>
          <w:sz w:val="18"/>
          <w:szCs w:val="18"/>
        </w:rPr>
        <w:t xml:space="preserve">tijdens de Raad Algemene </w:t>
      </w:r>
      <w:r w:rsidRPr="00595D49" w:rsidR="00293D3B">
        <w:rPr>
          <w:rFonts w:ascii="Verdana" w:hAnsi="Verdana"/>
          <w:sz w:val="18"/>
          <w:szCs w:val="18"/>
        </w:rPr>
        <w:t>Z</w:t>
      </w:r>
      <w:r w:rsidRPr="00595D49" w:rsidR="000872CA">
        <w:rPr>
          <w:rFonts w:ascii="Verdana" w:hAnsi="Verdana"/>
          <w:sz w:val="18"/>
          <w:szCs w:val="18"/>
        </w:rPr>
        <w:t xml:space="preserve">aken van 19 maart jl. </w:t>
      </w:r>
      <w:r w:rsidRPr="00595D49" w:rsidR="00801DD2">
        <w:rPr>
          <w:rFonts w:ascii="Verdana" w:hAnsi="Verdana"/>
          <w:sz w:val="18"/>
          <w:szCs w:val="18"/>
        </w:rPr>
        <w:t xml:space="preserve">aan </w:t>
      </w:r>
      <w:r w:rsidRPr="00595D49" w:rsidR="001B76AE">
        <w:rPr>
          <w:rFonts w:ascii="Verdana" w:hAnsi="Verdana"/>
          <w:sz w:val="18"/>
          <w:szCs w:val="18"/>
        </w:rPr>
        <w:t>dat ze naar aanleiding van de positieve ontwikkelingen zal gaan bestuderen of de gronden voor een artikel 7(1) VEU procedure tegen Polen nog steeds aanwezig zijn</w:t>
      </w:r>
      <w:r w:rsidRPr="00595D49" w:rsidR="00801DD2">
        <w:rPr>
          <w:rFonts w:ascii="Verdana" w:hAnsi="Verdana"/>
          <w:sz w:val="18"/>
          <w:szCs w:val="18"/>
        </w:rPr>
        <w:t>.</w:t>
      </w:r>
      <w:r w:rsidRPr="00595D49" w:rsidR="008A7F98">
        <w:rPr>
          <w:rStyle w:val="FootnoteReference"/>
          <w:rFonts w:ascii="Verdana" w:hAnsi="Verdana"/>
          <w:sz w:val="18"/>
          <w:szCs w:val="18"/>
        </w:rPr>
        <w:footnoteReference w:id="7"/>
      </w:r>
      <w:r w:rsidRPr="00595D49" w:rsidR="00801DD2">
        <w:rPr>
          <w:rFonts w:ascii="Verdana" w:hAnsi="Verdana"/>
          <w:sz w:val="18"/>
          <w:szCs w:val="18"/>
        </w:rPr>
        <w:t xml:space="preserve"> </w:t>
      </w:r>
    </w:p>
    <w:p w:rsidRPr="00595D49" w:rsidR="00B72DED" w:rsidP="008D4B4B" w:rsidRDefault="00770C18" w14:paraId="5D921037" w14:textId="0E7AD857">
      <w:pPr>
        <w:rPr>
          <w:rFonts w:ascii="Verdana" w:hAnsi="Verdana"/>
          <w:sz w:val="18"/>
          <w:szCs w:val="18"/>
        </w:rPr>
      </w:pPr>
      <w:bookmarkStart w:name="_Hlk165893687" w:id="2"/>
      <w:r w:rsidRPr="00D61943">
        <w:rPr>
          <w:rFonts w:ascii="Verdana" w:hAnsi="Verdana"/>
          <w:sz w:val="18"/>
          <w:szCs w:val="18"/>
        </w:rPr>
        <w:t>Op 6 mei jl. heeft de Commissie</w:t>
      </w:r>
      <w:r w:rsidR="00306636">
        <w:rPr>
          <w:rFonts w:ascii="Verdana" w:hAnsi="Verdana"/>
          <w:sz w:val="18"/>
          <w:szCs w:val="18"/>
        </w:rPr>
        <w:t xml:space="preserve"> </w:t>
      </w:r>
      <w:r w:rsidRPr="00D61943">
        <w:rPr>
          <w:rFonts w:ascii="Verdana" w:hAnsi="Verdana"/>
          <w:sz w:val="18"/>
          <w:szCs w:val="18"/>
        </w:rPr>
        <w:t xml:space="preserve">bekend gemaakt dat </w:t>
      </w:r>
      <w:r w:rsidR="00EB1DF6">
        <w:rPr>
          <w:rFonts w:ascii="Verdana" w:hAnsi="Verdana"/>
          <w:sz w:val="18"/>
          <w:szCs w:val="18"/>
        </w:rPr>
        <w:t>ze</w:t>
      </w:r>
      <w:r w:rsidRPr="00D61943">
        <w:rPr>
          <w:rFonts w:ascii="Verdana" w:hAnsi="Verdana"/>
          <w:sz w:val="18"/>
          <w:szCs w:val="18"/>
        </w:rPr>
        <w:t xml:space="preserve"> </w:t>
      </w:r>
      <w:r w:rsidR="00EB1DF6">
        <w:rPr>
          <w:rFonts w:ascii="Verdana" w:hAnsi="Verdana"/>
          <w:sz w:val="18"/>
          <w:szCs w:val="18"/>
        </w:rPr>
        <w:t>haar beoordeling heeft afgerond en</w:t>
      </w:r>
      <w:r w:rsidRPr="00D61943">
        <w:rPr>
          <w:rFonts w:ascii="Verdana" w:hAnsi="Verdana"/>
          <w:sz w:val="18"/>
          <w:szCs w:val="18"/>
        </w:rPr>
        <w:t xml:space="preserve"> voornemens is de artikel 7 procedure te beëindigen door </w:t>
      </w:r>
      <w:r w:rsidR="00306636">
        <w:rPr>
          <w:rFonts w:ascii="Verdana" w:hAnsi="Verdana"/>
          <w:sz w:val="18"/>
          <w:szCs w:val="18"/>
        </w:rPr>
        <w:t xml:space="preserve">de </w:t>
      </w:r>
      <w:r w:rsidRPr="00D61943">
        <w:rPr>
          <w:rFonts w:ascii="Verdana" w:hAnsi="Verdana"/>
          <w:sz w:val="18"/>
          <w:szCs w:val="18"/>
        </w:rPr>
        <w:t xml:space="preserve">intrekking van het met redenen omkleed voorstel </w:t>
      </w:r>
      <w:r w:rsidRPr="00D61943" w:rsidR="007433E5">
        <w:rPr>
          <w:rFonts w:ascii="Verdana" w:hAnsi="Verdana"/>
          <w:sz w:val="18"/>
          <w:szCs w:val="18"/>
        </w:rPr>
        <w:t>waarmee de Commissie</w:t>
      </w:r>
      <w:r w:rsidRPr="00D61943">
        <w:rPr>
          <w:rFonts w:ascii="Verdana" w:hAnsi="Verdana"/>
          <w:sz w:val="18"/>
          <w:szCs w:val="18"/>
        </w:rPr>
        <w:t xml:space="preserve"> de procedure onder artikel 7, eerste lid</w:t>
      </w:r>
      <w:r w:rsidRPr="00D61943" w:rsidR="007433E5">
        <w:rPr>
          <w:rFonts w:ascii="Verdana" w:hAnsi="Verdana"/>
          <w:sz w:val="18"/>
          <w:szCs w:val="18"/>
        </w:rPr>
        <w:t>, VEU in 2017 startte</w:t>
      </w:r>
      <w:r w:rsidRPr="00D61943">
        <w:rPr>
          <w:rFonts w:ascii="Verdana" w:hAnsi="Verdana"/>
          <w:sz w:val="18"/>
          <w:szCs w:val="18"/>
        </w:rPr>
        <w:t>.</w:t>
      </w:r>
      <w:r w:rsidRPr="00D61943" w:rsidR="008113C7">
        <w:rPr>
          <w:rStyle w:val="FootnoteReference"/>
          <w:rFonts w:ascii="Verdana" w:hAnsi="Verdana"/>
          <w:sz w:val="18"/>
          <w:szCs w:val="18"/>
        </w:rPr>
        <w:footnoteReference w:id="8"/>
      </w:r>
      <w:r w:rsidRPr="00306636" w:rsidR="008113C7">
        <w:rPr>
          <w:rFonts w:ascii="Verdana" w:hAnsi="Verdana"/>
          <w:sz w:val="18"/>
          <w:szCs w:val="18"/>
        </w:rPr>
        <w:t xml:space="preserve"> </w:t>
      </w:r>
      <w:r w:rsidR="008113C7">
        <w:rPr>
          <w:rFonts w:ascii="Verdana" w:hAnsi="Verdana"/>
          <w:sz w:val="18"/>
          <w:szCs w:val="18"/>
        </w:rPr>
        <w:t xml:space="preserve">De </w:t>
      </w:r>
      <w:r w:rsidRPr="00D61943" w:rsidR="007433E5">
        <w:rPr>
          <w:rFonts w:ascii="Verdana" w:hAnsi="Verdana"/>
          <w:sz w:val="18"/>
          <w:szCs w:val="18"/>
        </w:rPr>
        <w:t xml:space="preserve">Commissie </w:t>
      </w:r>
      <w:r w:rsidR="008113C7">
        <w:rPr>
          <w:rFonts w:ascii="Verdana" w:hAnsi="Verdana"/>
          <w:sz w:val="18"/>
          <w:szCs w:val="18"/>
        </w:rPr>
        <w:t xml:space="preserve">geeft aan dat er </w:t>
      </w:r>
      <w:r w:rsidRPr="00D61943" w:rsidR="007433E5">
        <w:rPr>
          <w:rFonts w:ascii="Verdana" w:hAnsi="Verdana"/>
          <w:sz w:val="18"/>
          <w:szCs w:val="18"/>
        </w:rPr>
        <w:t xml:space="preserve">geen duidelijk gevaar meer </w:t>
      </w:r>
      <w:r w:rsidR="008113C7">
        <w:rPr>
          <w:rFonts w:ascii="Verdana" w:hAnsi="Verdana"/>
          <w:sz w:val="18"/>
          <w:szCs w:val="18"/>
        </w:rPr>
        <w:t xml:space="preserve">bestaat </w:t>
      </w:r>
      <w:r w:rsidRPr="00D61943" w:rsidR="007433E5">
        <w:rPr>
          <w:rFonts w:ascii="Verdana" w:hAnsi="Verdana"/>
          <w:sz w:val="18"/>
          <w:szCs w:val="18"/>
        </w:rPr>
        <w:t>voor een ernstige schending van de in artikel 2 VEU bedoelde waarden.</w:t>
      </w:r>
      <w:r w:rsidR="008113C7">
        <w:rPr>
          <w:rFonts w:ascii="Verdana" w:hAnsi="Verdana"/>
          <w:sz w:val="18"/>
          <w:szCs w:val="18"/>
        </w:rPr>
        <w:t xml:space="preserve"> </w:t>
      </w:r>
      <w:r w:rsidRPr="00D61943" w:rsidR="008113C7">
        <w:rPr>
          <w:rFonts w:ascii="Verdana" w:hAnsi="Verdana"/>
          <w:sz w:val="18"/>
          <w:szCs w:val="18"/>
        </w:rPr>
        <w:t xml:space="preserve">Polen </w:t>
      </w:r>
      <w:r w:rsidR="008113C7">
        <w:rPr>
          <w:rFonts w:ascii="Verdana" w:hAnsi="Verdana"/>
          <w:sz w:val="18"/>
          <w:szCs w:val="18"/>
        </w:rPr>
        <w:t xml:space="preserve">heeft volgens de Commissie </w:t>
      </w:r>
      <w:r w:rsidRPr="00D61943">
        <w:rPr>
          <w:rFonts w:ascii="Verdana" w:hAnsi="Verdana"/>
          <w:sz w:val="18"/>
          <w:szCs w:val="18"/>
        </w:rPr>
        <w:t>een duidelijk programma gepresenteerd om de rechtsstaat te herstellen, de implementatie daa</w:t>
      </w:r>
      <w:r w:rsidRPr="00D61943" w:rsidR="007433E5">
        <w:rPr>
          <w:rFonts w:ascii="Verdana" w:hAnsi="Verdana"/>
          <w:sz w:val="18"/>
          <w:szCs w:val="18"/>
        </w:rPr>
        <w:t xml:space="preserve">rvan </w:t>
      </w:r>
      <w:r w:rsidR="008113C7">
        <w:rPr>
          <w:rFonts w:ascii="Verdana" w:hAnsi="Verdana"/>
          <w:sz w:val="18"/>
          <w:szCs w:val="18"/>
        </w:rPr>
        <w:t xml:space="preserve">is </w:t>
      </w:r>
      <w:r w:rsidRPr="00D61943" w:rsidR="007433E5">
        <w:rPr>
          <w:rFonts w:ascii="Verdana" w:hAnsi="Verdana"/>
          <w:sz w:val="18"/>
          <w:szCs w:val="18"/>
        </w:rPr>
        <w:t xml:space="preserve">gaande </w:t>
      </w:r>
      <w:r w:rsidRPr="00D61943">
        <w:rPr>
          <w:rFonts w:ascii="Verdana" w:hAnsi="Verdana"/>
          <w:sz w:val="18"/>
          <w:szCs w:val="18"/>
        </w:rPr>
        <w:t xml:space="preserve">en Polen erkent dat </w:t>
      </w:r>
      <w:r w:rsidRPr="00D61943" w:rsidR="007433E5">
        <w:rPr>
          <w:rFonts w:ascii="Verdana" w:hAnsi="Verdana"/>
          <w:sz w:val="18"/>
          <w:szCs w:val="18"/>
        </w:rPr>
        <w:t>de rechtsstaat geadresseerd moet worden</w:t>
      </w:r>
      <w:r w:rsidR="008113C7">
        <w:rPr>
          <w:rFonts w:ascii="Verdana" w:hAnsi="Verdana"/>
          <w:sz w:val="18"/>
          <w:szCs w:val="18"/>
        </w:rPr>
        <w:t>.</w:t>
      </w:r>
      <w:r w:rsidRPr="00306636" w:rsidR="007433E5">
        <w:rPr>
          <w:rFonts w:ascii="Verdana" w:hAnsi="Verdana"/>
          <w:sz w:val="18"/>
          <w:szCs w:val="18"/>
        </w:rPr>
        <w:t xml:space="preserve"> </w:t>
      </w:r>
      <w:r w:rsidR="0080759C">
        <w:rPr>
          <w:rFonts w:ascii="Verdana" w:hAnsi="Verdana"/>
          <w:sz w:val="18"/>
          <w:szCs w:val="18"/>
        </w:rPr>
        <w:t xml:space="preserve">Tijdens de aankomende </w:t>
      </w:r>
      <w:r w:rsidR="0080759C">
        <w:rPr>
          <w:rFonts w:ascii="Verdana" w:hAnsi="Verdana"/>
          <w:sz w:val="18"/>
          <w:szCs w:val="18"/>
        </w:rPr>
        <w:lastRenderedPageBreak/>
        <w:t>Raad zal de Commissie, n</w:t>
      </w:r>
      <w:r w:rsidRPr="00595D49" w:rsidR="00306636">
        <w:rPr>
          <w:rFonts w:ascii="Verdana" w:hAnsi="Verdana"/>
          <w:sz w:val="18"/>
          <w:szCs w:val="18"/>
        </w:rPr>
        <w:t xml:space="preserve">a een introductie van Polen, haar beoordeling toelichten. Hierna krijgen de lidstaten de gelegenheid om </w:t>
      </w:r>
      <w:r w:rsidR="00306636">
        <w:rPr>
          <w:rFonts w:ascii="Verdana" w:hAnsi="Verdana"/>
          <w:sz w:val="18"/>
          <w:szCs w:val="18"/>
        </w:rPr>
        <w:t xml:space="preserve">daarop </w:t>
      </w:r>
      <w:r w:rsidRPr="00595D49" w:rsidR="00306636">
        <w:rPr>
          <w:rFonts w:ascii="Verdana" w:hAnsi="Verdana"/>
          <w:sz w:val="18"/>
          <w:szCs w:val="18"/>
        </w:rPr>
        <w:t>te reageren.</w:t>
      </w:r>
    </w:p>
    <w:bookmarkEnd w:id="2"/>
    <w:p w:rsidRPr="00595D49" w:rsidR="00290D5D" w:rsidP="00290D5D" w:rsidRDefault="008A7F98" w14:paraId="48F1EF9B" w14:textId="0863F408">
      <w:pPr>
        <w:rPr>
          <w:rFonts w:ascii="Verdana" w:hAnsi="Verdana"/>
          <w:sz w:val="18"/>
          <w:szCs w:val="18"/>
        </w:rPr>
      </w:pPr>
      <w:r w:rsidRPr="00595D49">
        <w:rPr>
          <w:rFonts w:ascii="Verdana" w:hAnsi="Verdana"/>
          <w:sz w:val="18"/>
          <w:szCs w:val="18"/>
        </w:rPr>
        <w:t xml:space="preserve">Het kabinet steunt de ambities en voornemens van Polen om de rechtsstaat te herstellen, en </w:t>
      </w:r>
      <w:r w:rsidR="00EB1DF6">
        <w:rPr>
          <w:rFonts w:ascii="Verdana" w:hAnsi="Verdana"/>
          <w:sz w:val="18"/>
          <w:szCs w:val="18"/>
        </w:rPr>
        <w:t>zal</w:t>
      </w:r>
      <w:r w:rsidRPr="00595D49">
        <w:rPr>
          <w:rFonts w:ascii="Verdana" w:hAnsi="Verdana"/>
          <w:sz w:val="18"/>
          <w:szCs w:val="18"/>
        </w:rPr>
        <w:t xml:space="preserve"> de Commissiebeoordeling</w:t>
      </w:r>
      <w:r w:rsidR="00EB1DF6">
        <w:rPr>
          <w:rFonts w:ascii="Verdana" w:hAnsi="Verdana"/>
          <w:sz w:val="18"/>
          <w:szCs w:val="18"/>
        </w:rPr>
        <w:t xml:space="preserve"> zorgvuldig gaan bestuderen</w:t>
      </w:r>
      <w:r w:rsidRPr="00595D49" w:rsidR="00907526">
        <w:rPr>
          <w:rFonts w:ascii="Verdana" w:hAnsi="Verdana"/>
          <w:sz w:val="18"/>
          <w:szCs w:val="18"/>
        </w:rPr>
        <w:t xml:space="preserve">. </w:t>
      </w:r>
      <w:r w:rsidRPr="00595D49" w:rsidR="00290D5D">
        <w:rPr>
          <w:rFonts w:ascii="Verdana" w:hAnsi="Verdana"/>
          <w:sz w:val="18"/>
          <w:szCs w:val="18"/>
        </w:rPr>
        <w:t xml:space="preserve">Als hieruit blijkt dat </w:t>
      </w:r>
      <w:r w:rsidRPr="00595D49" w:rsidR="007F1E18">
        <w:rPr>
          <w:rFonts w:ascii="Verdana" w:hAnsi="Verdana"/>
          <w:sz w:val="18"/>
          <w:szCs w:val="18"/>
        </w:rPr>
        <w:t xml:space="preserve">er in </w:t>
      </w:r>
      <w:r w:rsidRPr="00595D49" w:rsidR="00290D5D">
        <w:rPr>
          <w:rFonts w:ascii="Verdana" w:hAnsi="Verdana"/>
          <w:sz w:val="18"/>
          <w:szCs w:val="18"/>
        </w:rPr>
        <w:t xml:space="preserve">Polen niet langer een duidelijk gevaar bestaat voor een ernstige schending van de in artikel 2 VEU bedoelde waarden, dan </w:t>
      </w:r>
      <w:r w:rsidRPr="00595D49" w:rsidR="007F1E18">
        <w:rPr>
          <w:rFonts w:ascii="Verdana" w:hAnsi="Verdana"/>
          <w:sz w:val="18"/>
          <w:szCs w:val="18"/>
        </w:rPr>
        <w:t>kan het kabinet de beëindiging van de Artikel 7</w:t>
      </w:r>
      <w:r w:rsidRPr="00595D49" w:rsidR="00293D3B">
        <w:rPr>
          <w:rFonts w:ascii="Verdana" w:hAnsi="Verdana"/>
          <w:sz w:val="18"/>
          <w:szCs w:val="18"/>
        </w:rPr>
        <w:t>-</w:t>
      </w:r>
      <w:r w:rsidRPr="00595D49" w:rsidR="007F1E18">
        <w:rPr>
          <w:rFonts w:ascii="Verdana" w:hAnsi="Verdana"/>
          <w:sz w:val="18"/>
          <w:szCs w:val="18"/>
        </w:rPr>
        <w:t>procedure steunen.</w:t>
      </w:r>
      <w:r w:rsidRPr="00595D49" w:rsidR="00DF58DF">
        <w:rPr>
          <w:rStyle w:val="FootnoteReference"/>
          <w:rFonts w:ascii="Verdana" w:hAnsi="Verdana"/>
          <w:sz w:val="18"/>
          <w:szCs w:val="18"/>
        </w:rPr>
        <w:footnoteReference w:id="9"/>
      </w:r>
      <w:r w:rsidRPr="00595D49" w:rsidR="007F1E18">
        <w:rPr>
          <w:rFonts w:ascii="Verdana" w:hAnsi="Verdana"/>
          <w:sz w:val="18"/>
          <w:szCs w:val="18"/>
        </w:rPr>
        <w:t xml:space="preserve"> Het kabinet </w:t>
      </w:r>
      <w:r w:rsidR="00306636">
        <w:rPr>
          <w:rFonts w:ascii="Verdana" w:hAnsi="Verdana"/>
          <w:sz w:val="18"/>
          <w:szCs w:val="18"/>
        </w:rPr>
        <w:t>zal</w:t>
      </w:r>
      <w:r w:rsidRPr="00595D49" w:rsidR="00355282">
        <w:rPr>
          <w:rFonts w:ascii="Verdana" w:hAnsi="Verdana"/>
          <w:sz w:val="18"/>
          <w:szCs w:val="18"/>
        </w:rPr>
        <w:t xml:space="preserve"> de Commissie </w:t>
      </w:r>
      <w:r w:rsidR="00306636">
        <w:rPr>
          <w:rFonts w:ascii="Verdana" w:hAnsi="Verdana"/>
          <w:sz w:val="18"/>
          <w:szCs w:val="18"/>
        </w:rPr>
        <w:t xml:space="preserve">in ieder geval </w:t>
      </w:r>
      <w:r w:rsidRPr="00595D49" w:rsidR="00355282">
        <w:rPr>
          <w:rFonts w:ascii="Verdana" w:hAnsi="Verdana"/>
          <w:sz w:val="18"/>
          <w:szCs w:val="18"/>
        </w:rPr>
        <w:t>op</w:t>
      </w:r>
      <w:r w:rsidR="00306636">
        <w:rPr>
          <w:rFonts w:ascii="Verdana" w:hAnsi="Verdana"/>
          <w:sz w:val="18"/>
          <w:szCs w:val="18"/>
        </w:rPr>
        <w:t>roepen</w:t>
      </w:r>
      <w:r w:rsidRPr="00595D49" w:rsidR="00355282">
        <w:rPr>
          <w:rFonts w:ascii="Verdana" w:hAnsi="Verdana"/>
          <w:sz w:val="18"/>
          <w:szCs w:val="18"/>
        </w:rPr>
        <w:t xml:space="preserve"> om zorgvuldig te </w:t>
      </w:r>
      <w:r w:rsidRPr="00595D49" w:rsidR="001216AC">
        <w:rPr>
          <w:rFonts w:ascii="Verdana" w:hAnsi="Verdana"/>
          <w:sz w:val="18"/>
          <w:szCs w:val="18"/>
        </w:rPr>
        <w:t xml:space="preserve">blijven </w:t>
      </w:r>
      <w:r w:rsidRPr="00595D49" w:rsidR="00355282">
        <w:rPr>
          <w:rFonts w:ascii="Verdana" w:hAnsi="Verdana"/>
          <w:sz w:val="18"/>
          <w:szCs w:val="18"/>
        </w:rPr>
        <w:t>monitoren</w:t>
      </w:r>
      <w:r w:rsidRPr="00595D49" w:rsidR="007F1E18">
        <w:rPr>
          <w:rFonts w:ascii="Verdana" w:hAnsi="Verdana"/>
          <w:sz w:val="18"/>
          <w:szCs w:val="18"/>
        </w:rPr>
        <w:t xml:space="preserve"> of de zorgen die ten grondslag liggen </w:t>
      </w:r>
      <w:r w:rsidRPr="00595D49" w:rsidR="00293D3B">
        <w:rPr>
          <w:rFonts w:ascii="Verdana" w:hAnsi="Verdana"/>
          <w:sz w:val="18"/>
          <w:szCs w:val="18"/>
        </w:rPr>
        <w:t xml:space="preserve">aan </w:t>
      </w:r>
      <w:r w:rsidRPr="00595D49" w:rsidR="007F1E18">
        <w:rPr>
          <w:rFonts w:ascii="Verdana" w:hAnsi="Verdana"/>
          <w:sz w:val="18"/>
          <w:szCs w:val="18"/>
        </w:rPr>
        <w:t>de Artikel 7-procedure, effectief en duurzaam worden geadresseerd</w:t>
      </w:r>
      <w:r w:rsidRPr="00595D49" w:rsidR="007D3AA3">
        <w:rPr>
          <w:rFonts w:ascii="Verdana" w:hAnsi="Verdana"/>
          <w:sz w:val="18"/>
          <w:szCs w:val="18"/>
        </w:rPr>
        <w:t xml:space="preserve">. </w:t>
      </w:r>
      <w:r w:rsidRPr="00595D49" w:rsidR="001647D4">
        <w:rPr>
          <w:rFonts w:ascii="Verdana" w:hAnsi="Verdana"/>
          <w:sz w:val="18"/>
          <w:szCs w:val="18"/>
        </w:rPr>
        <w:t xml:space="preserve">Het kabinet benadrukt hierbij </w:t>
      </w:r>
      <w:r w:rsidRPr="00595D49" w:rsidR="008D09A5">
        <w:rPr>
          <w:rFonts w:ascii="Verdana" w:hAnsi="Verdana"/>
          <w:sz w:val="18"/>
          <w:szCs w:val="18"/>
        </w:rPr>
        <w:t>het belang van de effectieve inzet</w:t>
      </w:r>
      <w:r w:rsidRPr="00595D49" w:rsidR="007F1E18">
        <w:rPr>
          <w:rFonts w:ascii="Verdana" w:hAnsi="Verdana"/>
          <w:sz w:val="18"/>
          <w:szCs w:val="18"/>
        </w:rPr>
        <w:t xml:space="preserve"> van het reguliere rechtsstaatinstrumentarium, waaronder het jaarlijkse Commissie rechtsstaatrapport.</w:t>
      </w:r>
      <w:r w:rsidR="0024528F">
        <w:rPr>
          <w:rStyle w:val="FootnoteReference"/>
          <w:rFonts w:ascii="Verdana" w:hAnsi="Verdana"/>
          <w:sz w:val="18"/>
          <w:szCs w:val="18"/>
        </w:rPr>
        <w:footnoteReference w:id="10"/>
      </w:r>
    </w:p>
    <w:p w:rsidRPr="00595D49" w:rsidR="007F1E18" w:rsidP="008D4B4B" w:rsidRDefault="007F1E18" w14:paraId="4AC9C2FD" w14:textId="77777777">
      <w:pPr>
        <w:rPr>
          <w:rFonts w:ascii="Verdana" w:hAnsi="Verdana"/>
          <w:sz w:val="18"/>
          <w:szCs w:val="18"/>
        </w:rPr>
      </w:pPr>
    </w:p>
    <w:p w:rsidRPr="00770C18" w:rsidR="00DC1983" w:rsidP="00DC1983" w:rsidRDefault="00DC1983" w14:paraId="39298703" w14:textId="77777777">
      <w:pPr>
        <w:spacing w:after="0"/>
        <w:rPr>
          <w:rFonts w:ascii="Verdana" w:hAnsi="Verdana" w:cstheme="majorHAnsi"/>
          <w:b/>
        </w:rPr>
      </w:pPr>
    </w:p>
    <w:sectPr w:rsidRPr="00770C18" w:rsidR="00DC198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DCC6" w14:textId="77777777" w:rsidR="00722977" w:rsidRDefault="00722977" w:rsidP="00722977">
      <w:pPr>
        <w:spacing w:after="0" w:line="240" w:lineRule="auto"/>
      </w:pPr>
      <w:r>
        <w:separator/>
      </w:r>
    </w:p>
  </w:endnote>
  <w:endnote w:type="continuationSeparator" w:id="0">
    <w:p w14:paraId="005E6B6E" w14:textId="77777777" w:rsidR="00722977" w:rsidRDefault="00722977" w:rsidP="00722977">
      <w:pPr>
        <w:spacing w:after="0" w:line="240" w:lineRule="auto"/>
      </w:pPr>
      <w:r>
        <w:continuationSeparator/>
      </w:r>
    </w:p>
  </w:endnote>
  <w:endnote w:type="continuationNotice" w:id="1">
    <w:p w14:paraId="1B296F03" w14:textId="77777777" w:rsidR="00AA1AC9" w:rsidRDefault="00AA1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BA32" w14:textId="77777777" w:rsidR="00FF71E7" w:rsidRDefault="00FF7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155818"/>
      <w:docPartObj>
        <w:docPartGallery w:val="Page Numbers (Bottom of Page)"/>
        <w:docPartUnique/>
      </w:docPartObj>
    </w:sdtPr>
    <w:sdtEndPr/>
    <w:sdtContent>
      <w:p w14:paraId="7B632A76" w14:textId="10BDA87D" w:rsidR="00FF71E7" w:rsidRDefault="00FF71E7">
        <w:pPr>
          <w:pStyle w:val="Footer"/>
          <w:jc w:val="center"/>
        </w:pPr>
        <w:r>
          <w:fldChar w:fldCharType="begin"/>
        </w:r>
        <w:r>
          <w:instrText>PAGE   \* MERGEFORMAT</w:instrText>
        </w:r>
        <w:r>
          <w:fldChar w:fldCharType="separate"/>
        </w:r>
        <w:r>
          <w:t>2</w:t>
        </w:r>
        <w:r>
          <w:fldChar w:fldCharType="end"/>
        </w:r>
      </w:p>
    </w:sdtContent>
  </w:sdt>
  <w:p w14:paraId="75BE2201" w14:textId="77777777" w:rsidR="00FF71E7" w:rsidRDefault="00FF7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D6FB" w14:textId="77777777" w:rsidR="00FF71E7" w:rsidRDefault="00FF7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5D2C" w14:textId="77777777" w:rsidR="00722977" w:rsidRDefault="00722977" w:rsidP="00722977">
      <w:pPr>
        <w:spacing w:after="0" w:line="240" w:lineRule="auto"/>
      </w:pPr>
      <w:r>
        <w:separator/>
      </w:r>
    </w:p>
  </w:footnote>
  <w:footnote w:type="continuationSeparator" w:id="0">
    <w:p w14:paraId="731A70EC" w14:textId="77777777" w:rsidR="00722977" w:rsidRDefault="00722977" w:rsidP="00722977">
      <w:pPr>
        <w:spacing w:after="0" w:line="240" w:lineRule="auto"/>
      </w:pPr>
      <w:r>
        <w:continuationSeparator/>
      </w:r>
    </w:p>
  </w:footnote>
  <w:footnote w:type="continuationNotice" w:id="1">
    <w:p w14:paraId="1B1A035B" w14:textId="77777777" w:rsidR="00AA1AC9" w:rsidRDefault="00AA1AC9">
      <w:pPr>
        <w:spacing w:after="0" w:line="240" w:lineRule="auto"/>
      </w:pPr>
    </w:p>
  </w:footnote>
  <w:footnote w:id="2">
    <w:p w14:paraId="4F180BCF" w14:textId="330983E7" w:rsidR="00217694" w:rsidRPr="00CD3EAF" w:rsidRDefault="00217694">
      <w:pPr>
        <w:pStyle w:val="FootnoteText"/>
        <w:rPr>
          <w:rFonts w:ascii="Verdana" w:hAnsi="Verdana"/>
          <w:sz w:val="16"/>
          <w:szCs w:val="16"/>
        </w:rPr>
      </w:pPr>
      <w:r w:rsidRPr="00CD3EAF">
        <w:rPr>
          <w:rStyle w:val="FootnoteReference"/>
          <w:rFonts w:ascii="Verdana" w:hAnsi="Verdana"/>
          <w:sz w:val="16"/>
          <w:szCs w:val="16"/>
        </w:rPr>
        <w:footnoteRef/>
      </w:r>
      <w:r w:rsidRPr="00CD3EAF">
        <w:rPr>
          <w:rFonts w:ascii="Verdana" w:hAnsi="Verdana"/>
          <w:sz w:val="16"/>
          <w:szCs w:val="16"/>
        </w:rPr>
        <w:t xml:space="preserve"> Zie </w:t>
      </w:r>
      <w:hyperlink r:id="rId1" w:history="1">
        <w:r w:rsidRPr="00CD3EAF">
          <w:rPr>
            <w:rStyle w:val="Hyperlink"/>
            <w:rFonts w:ascii="Verdana" w:hAnsi="Verdana"/>
            <w:sz w:val="16"/>
            <w:szCs w:val="16"/>
          </w:rPr>
          <w:t>Verslag van de Buitengewone Europese Raad van 17 en 18 april 2024 | Publicatie | Rijksoverheid.nl</w:t>
        </w:r>
      </w:hyperlink>
    </w:p>
  </w:footnote>
  <w:footnote w:id="3">
    <w:p w14:paraId="2D0E4056" w14:textId="36E8A5A9" w:rsidR="00C21584" w:rsidRPr="00CD3EAF" w:rsidRDefault="00C21584">
      <w:pPr>
        <w:pStyle w:val="FootnoteText"/>
        <w:rPr>
          <w:rFonts w:ascii="Verdana" w:hAnsi="Verdana"/>
          <w:sz w:val="16"/>
          <w:szCs w:val="16"/>
          <w:lang w:val="en-US"/>
        </w:rPr>
      </w:pPr>
      <w:r w:rsidRPr="00CD3EAF">
        <w:rPr>
          <w:rStyle w:val="FootnoteReference"/>
          <w:rFonts w:ascii="Verdana" w:hAnsi="Verdana"/>
          <w:sz w:val="16"/>
          <w:szCs w:val="16"/>
        </w:rPr>
        <w:footnoteRef/>
      </w:r>
      <w:r w:rsidRPr="00CD3EAF">
        <w:rPr>
          <w:rFonts w:ascii="Verdana" w:hAnsi="Verdana"/>
          <w:sz w:val="16"/>
          <w:szCs w:val="16"/>
          <w:lang w:val="en-US"/>
        </w:rPr>
        <w:t xml:space="preserve"> </w:t>
      </w:r>
      <w:r w:rsidRPr="00243EDC">
        <w:rPr>
          <w:rFonts w:ascii="Verdana" w:hAnsi="Verdana"/>
          <w:sz w:val="16"/>
          <w:szCs w:val="16"/>
          <w:lang w:val="en-US"/>
        </w:rPr>
        <w:t>Kamerstukken II 2022/23, 21501-02, nr. 29279.</w:t>
      </w:r>
    </w:p>
  </w:footnote>
  <w:footnote w:id="4">
    <w:p w14:paraId="3A54CD18" w14:textId="77777777" w:rsidR="00722977" w:rsidRPr="00595D49" w:rsidRDefault="00722977" w:rsidP="00722977">
      <w:pPr>
        <w:pStyle w:val="FootnoteText"/>
        <w:rPr>
          <w:rFonts w:ascii="Verdana" w:hAnsi="Verdana"/>
          <w:sz w:val="16"/>
          <w:szCs w:val="16"/>
          <w:lang w:val="en-US"/>
        </w:rPr>
      </w:pPr>
      <w:r w:rsidRPr="00CD3EAF">
        <w:rPr>
          <w:rStyle w:val="FootnoteReference"/>
          <w:rFonts w:ascii="Verdana" w:hAnsi="Verdana"/>
          <w:sz w:val="16"/>
          <w:szCs w:val="16"/>
        </w:rPr>
        <w:footnoteRef/>
      </w:r>
      <w:r w:rsidRPr="00CD3EAF">
        <w:rPr>
          <w:rFonts w:ascii="Verdana" w:hAnsi="Verdana"/>
          <w:sz w:val="16"/>
          <w:szCs w:val="16"/>
          <w:lang w:val="en-US"/>
        </w:rPr>
        <w:t xml:space="preserve"> 2023 Rule of Law Report - Communication and country chapters - European Commission (europa.eu).</w:t>
      </w:r>
    </w:p>
  </w:footnote>
  <w:footnote w:id="5">
    <w:p w14:paraId="1131A802" w14:textId="77777777" w:rsidR="00E04797" w:rsidRPr="00E07DD3" w:rsidRDefault="00E04797">
      <w:pPr>
        <w:pStyle w:val="FootnoteText"/>
        <w:rPr>
          <w:rFonts w:ascii="Verdana" w:hAnsi="Verdana"/>
          <w:sz w:val="16"/>
          <w:szCs w:val="16"/>
        </w:rPr>
      </w:pPr>
      <w:r w:rsidRPr="00E07DD3">
        <w:rPr>
          <w:rStyle w:val="FootnoteReference"/>
          <w:rFonts w:ascii="Verdana" w:hAnsi="Verdana"/>
          <w:sz w:val="16"/>
          <w:szCs w:val="16"/>
        </w:rPr>
        <w:footnoteRef/>
      </w:r>
      <w:r w:rsidRPr="00E07DD3">
        <w:rPr>
          <w:rFonts w:ascii="Verdana" w:hAnsi="Verdana"/>
          <w:sz w:val="16"/>
          <w:szCs w:val="16"/>
        </w:rPr>
        <w:t xml:space="preserve"> Kamerstuk 21501-02-2839. </w:t>
      </w:r>
    </w:p>
  </w:footnote>
  <w:footnote w:id="6">
    <w:p w14:paraId="390708F4" w14:textId="77777777" w:rsidR="00E04797" w:rsidRPr="00E07DD3" w:rsidRDefault="00E04797">
      <w:pPr>
        <w:pStyle w:val="FootnoteText"/>
        <w:rPr>
          <w:rFonts w:ascii="Verdana" w:hAnsi="Verdana"/>
          <w:sz w:val="16"/>
          <w:szCs w:val="16"/>
        </w:rPr>
      </w:pPr>
      <w:r w:rsidRPr="00E07DD3">
        <w:rPr>
          <w:rStyle w:val="FootnoteReference"/>
          <w:rFonts w:ascii="Verdana" w:hAnsi="Verdana"/>
          <w:sz w:val="16"/>
          <w:szCs w:val="16"/>
        </w:rPr>
        <w:footnoteRef/>
      </w:r>
      <w:r w:rsidRPr="00E07DD3">
        <w:rPr>
          <w:rFonts w:ascii="Verdana" w:hAnsi="Verdana"/>
          <w:sz w:val="16"/>
          <w:szCs w:val="16"/>
        </w:rPr>
        <w:t xml:space="preserve"> Kamerstuk 21501-02-2865. </w:t>
      </w:r>
    </w:p>
  </w:footnote>
  <w:footnote w:id="7">
    <w:p w14:paraId="5DEF4EC5" w14:textId="77777777" w:rsidR="008A7F98" w:rsidRPr="00E07DD3" w:rsidRDefault="008A7F98">
      <w:pPr>
        <w:pStyle w:val="FootnoteText"/>
        <w:rPr>
          <w:rFonts w:ascii="Verdana" w:hAnsi="Verdana"/>
          <w:sz w:val="16"/>
          <w:szCs w:val="16"/>
        </w:rPr>
      </w:pPr>
      <w:r w:rsidRPr="00E07DD3">
        <w:rPr>
          <w:rStyle w:val="FootnoteReference"/>
          <w:rFonts w:ascii="Verdana" w:hAnsi="Verdana"/>
          <w:sz w:val="16"/>
          <w:szCs w:val="16"/>
        </w:rPr>
        <w:footnoteRef/>
      </w:r>
      <w:r w:rsidRPr="00E07DD3">
        <w:rPr>
          <w:rFonts w:ascii="Verdana" w:hAnsi="Verdana"/>
          <w:sz w:val="16"/>
          <w:szCs w:val="16"/>
        </w:rPr>
        <w:t xml:space="preserve"> </w:t>
      </w:r>
      <w:r w:rsidR="00E04797" w:rsidRPr="00E07DD3">
        <w:rPr>
          <w:rFonts w:ascii="Verdana" w:hAnsi="Verdana"/>
          <w:sz w:val="16"/>
          <w:szCs w:val="16"/>
        </w:rPr>
        <w:t xml:space="preserve">Idem. </w:t>
      </w:r>
      <w:r w:rsidRPr="00E07DD3">
        <w:rPr>
          <w:rFonts w:ascii="Verdana" w:hAnsi="Verdana"/>
          <w:sz w:val="16"/>
          <w:szCs w:val="16"/>
        </w:rPr>
        <w:t xml:space="preserve"> </w:t>
      </w:r>
    </w:p>
  </w:footnote>
  <w:footnote w:id="8">
    <w:p w14:paraId="2CFD4FAE" w14:textId="77777777" w:rsidR="008113C7" w:rsidRPr="005D3D86" w:rsidRDefault="008113C7" w:rsidP="008113C7">
      <w:pPr>
        <w:pStyle w:val="FootnoteText"/>
      </w:pPr>
      <w:r w:rsidRPr="00E07DD3">
        <w:rPr>
          <w:rStyle w:val="FootnoteReference"/>
          <w:rFonts w:ascii="Verdana" w:hAnsi="Verdana"/>
          <w:sz w:val="16"/>
          <w:szCs w:val="16"/>
        </w:rPr>
        <w:footnoteRef/>
      </w:r>
      <w:r w:rsidRPr="005D3D86">
        <w:rPr>
          <w:rFonts w:ascii="Verdana" w:hAnsi="Verdana"/>
          <w:sz w:val="16"/>
          <w:szCs w:val="16"/>
        </w:rPr>
        <w:t xml:space="preserve"> Persbericht 6 mei 2024, </w:t>
      </w:r>
      <w:hyperlink r:id="rId2" w:history="1">
        <w:proofErr w:type="spellStart"/>
        <w:r w:rsidRPr="005D3D86">
          <w:rPr>
            <w:rStyle w:val="Hyperlink"/>
            <w:rFonts w:ascii="Verdana" w:hAnsi="Verdana"/>
            <w:sz w:val="16"/>
            <w:szCs w:val="16"/>
          </w:rPr>
          <w:t>Commission</w:t>
        </w:r>
        <w:proofErr w:type="spellEnd"/>
        <w:r w:rsidRPr="005D3D86">
          <w:rPr>
            <w:rStyle w:val="Hyperlink"/>
            <w:rFonts w:ascii="Verdana" w:hAnsi="Verdana"/>
            <w:sz w:val="16"/>
            <w:szCs w:val="16"/>
          </w:rPr>
          <w:t xml:space="preserve"> </w:t>
        </w:r>
        <w:proofErr w:type="spellStart"/>
        <w:r w:rsidRPr="005D3D86">
          <w:rPr>
            <w:rStyle w:val="Hyperlink"/>
            <w:rFonts w:ascii="Verdana" w:hAnsi="Verdana"/>
            <w:sz w:val="16"/>
            <w:szCs w:val="16"/>
          </w:rPr>
          <w:t>intends</w:t>
        </w:r>
        <w:proofErr w:type="spellEnd"/>
        <w:r w:rsidRPr="005D3D86">
          <w:rPr>
            <w:rStyle w:val="Hyperlink"/>
            <w:rFonts w:ascii="Verdana" w:hAnsi="Verdana"/>
            <w:sz w:val="16"/>
            <w:szCs w:val="16"/>
          </w:rPr>
          <w:t xml:space="preserve"> </w:t>
        </w:r>
        <w:proofErr w:type="spellStart"/>
        <w:r w:rsidRPr="005D3D86">
          <w:rPr>
            <w:rStyle w:val="Hyperlink"/>
            <w:rFonts w:ascii="Verdana" w:hAnsi="Verdana"/>
            <w:sz w:val="16"/>
            <w:szCs w:val="16"/>
          </w:rPr>
          <w:t>to</w:t>
        </w:r>
        <w:proofErr w:type="spellEnd"/>
        <w:r w:rsidRPr="005D3D86">
          <w:rPr>
            <w:rStyle w:val="Hyperlink"/>
            <w:rFonts w:ascii="Verdana" w:hAnsi="Verdana"/>
            <w:sz w:val="16"/>
            <w:szCs w:val="16"/>
          </w:rPr>
          <w:t xml:space="preserve"> close </w:t>
        </w:r>
        <w:proofErr w:type="spellStart"/>
        <w:r w:rsidRPr="005D3D86">
          <w:rPr>
            <w:rStyle w:val="Hyperlink"/>
            <w:rFonts w:ascii="Verdana" w:hAnsi="Verdana"/>
            <w:sz w:val="16"/>
            <w:szCs w:val="16"/>
          </w:rPr>
          <w:t>Article</w:t>
        </w:r>
        <w:proofErr w:type="spellEnd"/>
        <w:r w:rsidRPr="005D3D86">
          <w:rPr>
            <w:rStyle w:val="Hyperlink"/>
            <w:rFonts w:ascii="Verdana" w:hAnsi="Verdana"/>
            <w:sz w:val="16"/>
            <w:szCs w:val="16"/>
          </w:rPr>
          <w:t xml:space="preserve"> 7(1) TEU procedure (europa.eu)</w:t>
        </w:r>
      </w:hyperlink>
      <w:r w:rsidRPr="005D3D86">
        <w:rPr>
          <w:rFonts w:ascii="Verdana" w:hAnsi="Verdana"/>
          <w:sz w:val="16"/>
          <w:szCs w:val="16"/>
        </w:rPr>
        <w:t>.</w:t>
      </w:r>
      <w:r w:rsidRPr="005D3D86">
        <w:t xml:space="preserve">  </w:t>
      </w:r>
    </w:p>
  </w:footnote>
  <w:footnote w:id="9">
    <w:p w14:paraId="4B48FD79" w14:textId="15BD3C81" w:rsidR="00DF58DF" w:rsidRPr="00550AC1" w:rsidRDefault="00DF58DF">
      <w:pPr>
        <w:pStyle w:val="FootnoteText"/>
        <w:rPr>
          <w:rFonts w:ascii="Verdana" w:hAnsi="Verdana"/>
          <w:sz w:val="16"/>
          <w:szCs w:val="16"/>
        </w:rPr>
      </w:pPr>
      <w:r w:rsidRPr="00550AC1">
        <w:rPr>
          <w:rStyle w:val="FootnoteReference"/>
          <w:rFonts w:ascii="Verdana" w:hAnsi="Verdana"/>
          <w:sz w:val="16"/>
          <w:szCs w:val="16"/>
        </w:rPr>
        <w:footnoteRef/>
      </w:r>
      <w:r w:rsidRPr="00550AC1">
        <w:rPr>
          <w:rFonts w:ascii="Verdana" w:hAnsi="Verdana"/>
          <w:sz w:val="16"/>
          <w:szCs w:val="16"/>
        </w:rPr>
        <w:t xml:space="preserve"> De procedure beschreven in Artikel 7(1) VEU kan formeel worden beëindigd als de Commissie haar met redenen omkleed voorstel, waarmee de Artikel 7-procedure tegen Polen in 2017 in gang is gezet, intrekt. </w:t>
      </w:r>
      <w:r w:rsidR="00121698" w:rsidRPr="00550AC1">
        <w:rPr>
          <w:rFonts w:ascii="Verdana" w:hAnsi="Verdana"/>
          <w:sz w:val="16"/>
          <w:szCs w:val="16"/>
        </w:rPr>
        <w:t>De Raad heeft geen formel</w:t>
      </w:r>
      <w:r w:rsidR="00EB33EE" w:rsidRPr="00550AC1">
        <w:rPr>
          <w:rFonts w:ascii="Verdana" w:hAnsi="Verdana"/>
          <w:sz w:val="16"/>
          <w:szCs w:val="16"/>
        </w:rPr>
        <w:t>e</w:t>
      </w:r>
      <w:r w:rsidR="00121698" w:rsidRPr="00550AC1">
        <w:rPr>
          <w:rFonts w:ascii="Verdana" w:hAnsi="Verdana"/>
          <w:sz w:val="16"/>
          <w:szCs w:val="16"/>
        </w:rPr>
        <w:t xml:space="preserve"> rol bij dit proces.</w:t>
      </w:r>
      <w:r w:rsidRPr="00550AC1">
        <w:rPr>
          <w:rFonts w:ascii="Verdana" w:hAnsi="Verdana"/>
          <w:sz w:val="16"/>
          <w:szCs w:val="16"/>
        </w:rPr>
        <w:t xml:space="preserve"> </w:t>
      </w:r>
    </w:p>
  </w:footnote>
  <w:footnote w:id="10">
    <w:p w14:paraId="6B7DE7CA" w14:textId="7B5428B3" w:rsidR="0024528F" w:rsidRPr="00F279EF" w:rsidRDefault="0024528F">
      <w:pPr>
        <w:pStyle w:val="FootnoteText"/>
      </w:pPr>
      <w:r w:rsidRPr="00550AC1">
        <w:rPr>
          <w:rStyle w:val="FootnoteReference"/>
          <w:rFonts w:ascii="Verdana" w:hAnsi="Verdana"/>
          <w:sz w:val="16"/>
          <w:szCs w:val="16"/>
        </w:rPr>
        <w:footnoteRef/>
      </w:r>
      <w:r w:rsidRPr="00550AC1">
        <w:rPr>
          <w:rFonts w:ascii="Verdana" w:hAnsi="Verdana"/>
          <w:sz w:val="16"/>
          <w:szCs w:val="16"/>
        </w:rPr>
        <w:t xml:space="preserve"> Zie</w:t>
      </w:r>
      <w:r w:rsidR="008B5624" w:rsidRPr="00550AC1">
        <w:rPr>
          <w:rFonts w:ascii="Verdana" w:hAnsi="Verdana"/>
          <w:sz w:val="16"/>
          <w:szCs w:val="16"/>
        </w:rPr>
        <w:t xml:space="preserve"> Kamerstukken II 2023/24, 21501-02, nr. 2860. Zie </w:t>
      </w:r>
      <w:r w:rsidRPr="00550AC1">
        <w:rPr>
          <w:rFonts w:ascii="Verdana" w:hAnsi="Verdana"/>
          <w:sz w:val="16"/>
          <w:szCs w:val="16"/>
        </w:rPr>
        <w:t xml:space="preserve">ook Kamerstukken II </w:t>
      </w:r>
      <w:r w:rsidR="00F279EF" w:rsidRPr="00550AC1">
        <w:rPr>
          <w:rFonts w:ascii="Verdana" w:hAnsi="Verdana"/>
          <w:sz w:val="16"/>
          <w:szCs w:val="16"/>
        </w:rPr>
        <w:t>2023/24, 21501-07, nr.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826A" w14:textId="77777777" w:rsidR="00FF71E7" w:rsidRDefault="00FF7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160B" w14:textId="77777777" w:rsidR="00FF71E7" w:rsidRDefault="00FF7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F900" w14:textId="77777777" w:rsidR="00FF71E7" w:rsidRDefault="00FF7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35004"/>
    <w:multiLevelType w:val="hybridMultilevel"/>
    <w:tmpl w:val="BEA8D9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8744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3"/>
    <w:rsid w:val="0000086B"/>
    <w:rsid w:val="00005372"/>
    <w:rsid w:val="00012FCE"/>
    <w:rsid w:val="00015168"/>
    <w:rsid w:val="00051A9D"/>
    <w:rsid w:val="000547DC"/>
    <w:rsid w:val="00054B73"/>
    <w:rsid w:val="000614E0"/>
    <w:rsid w:val="000872CA"/>
    <w:rsid w:val="0008771E"/>
    <w:rsid w:val="000921EE"/>
    <w:rsid w:val="00092D64"/>
    <w:rsid w:val="00094DA1"/>
    <w:rsid w:val="000A3433"/>
    <w:rsid w:val="000A6CA3"/>
    <w:rsid w:val="000A7A3D"/>
    <w:rsid w:val="000B2E62"/>
    <w:rsid w:val="000B53CC"/>
    <w:rsid w:val="000C4711"/>
    <w:rsid w:val="000E055C"/>
    <w:rsid w:val="000E27D0"/>
    <w:rsid w:val="000F0326"/>
    <w:rsid w:val="001101E2"/>
    <w:rsid w:val="00110B80"/>
    <w:rsid w:val="00113DB4"/>
    <w:rsid w:val="00121698"/>
    <w:rsid w:val="001216AC"/>
    <w:rsid w:val="00126D1D"/>
    <w:rsid w:val="00131553"/>
    <w:rsid w:val="0013210B"/>
    <w:rsid w:val="0014710F"/>
    <w:rsid w:val="00155846"/>
    <w:rsid w:val="001647D4"/>
    <w:rsid w:val="00167DF7"/>
    <w:rsid w:val="001714B1"/>
    <w:rsid w:val="001714E4"/>
    <w:rsid w:val="0017294A"/>
    <w:rsid w:val="00173771"/>
    <w:rsid w:val="001806D5"/>
    <w:rsid w:val="00182F1A"/>
    <w:rsid w:val="00194D98"/>
    <w:rsid w:val="001A2559"/>
    <w:rsid w:val="001A47DA"/>
    <w:rsid w:val="001B516D"/>
    <w:rsid w:val="001B76AE"/>
    <w:rsid w:val="001C1A29"/>
    <w:rsid w:val="001C1C38"/>
    <w:rsid w:val="001C2B53"/>
    <w:rsid w:val="001D2E3F"/>
    <w:rsid w:val="001E1B5A"/>
    <w:rsid w:val="001E6C16"/>
    <w:rsid w:val="002044BE"/>
    <w:rsid w:val="00215E1D"/>
    <w:rsid w:val="00217694"/>
    <w:rsid w:val="00222C49"/>
    <w:rsid w:val="00224EE2"/>
    <w:rsid w:val="00225C73"/>
    <w:rsid w:val="002276AB"/>
    <w:rsid w:val="00233BE9"/>
    <w:rsid w:val="002359FE"/>
    <w:rsid w:val="00243EDC"/>
    <w:rsid w:val="0024528F"/>
    <w:rsid w:val="00250DAD"/>
    <w:rsid w:val="00251646"/>
    <w:rsid w:val="00251D7F"/>
    <w:rsid w:val="002521B2"/>
    <w:rsid w:val="002564D0"/>
    <w:rsid w:val="00264F12"/>
    <w:rsid w:val="002660B2"/>
    <w:rsid w:val="00274A68"/>
    <w:rsid w:val="00276560"/>
    <w:rsid w:val="00290D5D"/>
    <w:rsid w:val="00291A53"/>
    <w:rsid w:val="00293D3B"/>
    <w:rsid w:val="002A1BF6"/>
    <w:rsid w:val="002C15F5"/>
    <w:rsid w:val="002E0E00"/>
    <w:rsid w:val="002E6A8B"/>
    <w:rsid w:val="002F5A90"/>
    <w:rsid w:val="00306636"/>
    <w:rsid w:val="00322295"/>
    <w:rsid w:val="003227D7"/>
    <w:rsid w:val="00324A24"/>
    <w:rsid w:val="003329B2"/>
    <w:rsid w:val="0034096C"/>
    <w:rsid w:val="00343583"/>
    <w:rsid w:val="0034749B"/>
    <w:rsid w:val="00347F68"/>
    <w:rsid w:val="00352C97"/>
    <w:rsid w:val="00355282"/>
    <w:rsid w:val="00367CC9"/>
    <w:rsid w:val="00396D9A"/>
    <w:rsid w:val="003A33A1"/>
    <w:rsid w:val="003C4F5F"/>
    <w:rsid w:val="003C6CE1"/>
    <w:rsid w:val="003D526B"/>
    <w:rsid w:val="003E4E6E"/>
    <w:rsid w:val="003E5E89"/>
    <w:rsid w:val="003F2047"/>
    <w:rsid w:val="003F2C3B"/>
    <w:rsid w:val="003F34FF"/>
    <w:rsid w:val="003F59F9"/>
    <w:rsid w:val="00401FAE"/>
    <w:rsid w:val="00403198"/>
    <w:rsid w:val="00406E9A"/>
    <w:rsid w:val="0040716E"/>
    <w:rsid w:val="00416D06"/>
    <w:rsid w:val="00420B9E"/>
    <w:rsid w:val="00421585"/>
    <w:rsid w:val="004222F2"/>
    <w:rsid w:val="0044555D"/>
    <w:rsid w:val="00470775"/>
    <w:rsid w:val="004723DA"/>
    <w:rsid w:val="0047656F"/>
    <w:rsid w:val="0047781F"/>
    <w:rsid w:val="00496733"/>
    <w:rsid w:val="004B16C8"/>
    <w:rsid w:val="004B3F30"/>
    <w:rsid w:val="004C6D7B"/>
    <w:rsid w:val="004E08C7"/>
    <w:rsid w:val="004E4DD4"/>
    <w:rsid w:val="004F15B6"/>
    <w:rsid w:val="0050591A"/>
    <w:rsid w:val="00512CFF"/>
    <w:rsid w:val="00524947"/>
    <w:rsid w:val="00531DD3"/>
    <w:rsid w:val="00540AF8"/>
    <w:rsid w:val="00541704"/>
    <w:rsid w:val="00542AD6"/>
    <w:rsid w:val="00550AC1"/>
    <w:rsid w:val="0055383C"/>
    <w:rsid w:val="00553ECF"/>
    <w:rsid w:val="00562E45"/>
    <w:rsid w:val="00595D49"/>
    <w:rsid w:val="005A1F6B"/>
    <w:rsid w:val="005D3D86"/>
    <w:rsid w:val="005F5667"/>
    <w:rsid w:val="0064580D"/>
    <w:rsid w:val="00645AF1"/>
    <w:rsid w:val="00651298"/>
    <w:rsid w:val="00652C48"/>
    <w:rsid w:val="00656FB9"/>
    <w:rsid w:val="0066129C"/>
    <w:rsid w:val="00661F19"/>
    <w:rsid w:val="00663836"/>
    <w:rsid w:val="00665FA8"/>
    <w:rsid w:val="006714DC"/>
    <w:rsid w:val="00693F9E"/>
    <w:rsid w:val="006B3E51"/>
    <w:rsid w:val="006C0391"/>
    <w:rsid w:val="006D4528"/>
    <w:rsid w:val="006D5315"/>
    <w:rsid w:val="006E1B17"/>
    <w:rsid w:val="006E4AF6"/>
    <w:rsid w:val="006F24C7"/>
    <w:rsid w:val="0071498D"/>
    <w:rsid w:val="00722977"/>
    <w:rsid w:val="007238FA"/>
    <w:rsid w:val="00730F12"/>
    <w:rsid w:val="007433E5"/>
    <w:rsid w:val="00745885"/>
    <w:rsid w:val="00757311"/>
    <w:rsid w:val="007665D5"/>
    <w:rsid w:val="00770C18"/>
    <w:rsid w:val="007842D6"/>
    <w:rsid w:val="00784F88"/>
    <w:rsid w:val="007B3070"/>
    <w:rsid w:val="007D3AA3"/>
    <w:rsid w:val="007D6455"/>
    <w:rsid w:val="007E1872"/>
    <w:rsid w:val="007F1E18"/>
    <w:rsid w:val="007F6E0F"/>
    <w:rsid w:val="00801DD2"/>
    <w:rsid w:val="00805360"/>
    <w:rsid w:val="0080759C"/>
    <w:rsid w:val="008113C7"/>
    <w:rsid w:val="00811611"/>
    <w:rsid w:val="00825D0C"/>
    <w:rsid w:val="00825E5E"/>
    <w:rsid w:val="008408B5"/>
    <w:rsid w:val="008505A4"/>
    <w:rsid w:val="00856A8F"/>
    <w:rsid w:val="00875542"/>
    <w:rsid w:val="00877F7D"/>
    <w:rsid w:val="00895B17"/>
    <w:rsid w:val="008A0149"/>
    <w:rsid w:val="008A2736"/>
    <w:rsid w:val="008A7F98"/>
    <w:rsid w:val="008B0326"/>
    <w:rsid w:val="008B5624"/>
    <w:rsid w:val="008C0A5D"/>
    <w:rsid w:val="008C35E8"/>
    <w:rsid w:val="008C5684"/>
    <w:rsid w:val="008C7002"/>
    <w:rsid w:val="008D09A5"/>
    <w:rsid w:val="008D4B4B"/>
    <w:rsid w:val="008E2F2A"/>
    <w:rsid w:val="008E5D1B"/>
    <w:rsid w:val="008E6CF0"/>
    <w:rsid w:val="008F14D0"/>
    <w:rsid w:val="008F6B2C"/>
    <w:rsid w:val="00900D11"/>
    <w:rsid w:val="00903857"/>
    <w:rsid w:val="00907526"/>
    <w:rsid w:val="00922A85"/>
    <w:rsid w:val="00933B99"/>
    <w:rsid w:val="0093546F"/>
    <w:rsid w:val="009454D9"/>
    <w:rsid w:val="00951704"/>
    <w:rsid w:val="009635F6"/>
    <w:rsid w:val="0096382A"/>
    <w:rsid w:val="00972ECF"/>
    <w:rsid w:val="00976102"/>
    <w:rsid w:val="0098061F"/>
    <w:rsid w:val="009A6EB4"/>
    <w:rsid w:val="009B03E4"/>
    <w:rsid w:val="009B3B96"/>
    <w:rsid w:val="009C659E"/>
    <w:rsid w:val="009D5930"/>
    <w:rsid w:val="009F29FA"/>
    <w:rsid w:val="009F48C1"/>
    <w:rsid w:val="00A00B04"/>
    <w:rsid w:val="00A05F97"/>
    <w:rsid w:val="00A06430"/>
    <w:rsid w:val="00A35FA6"/>
    <w:rsid w:val="00A44EDB"/>
    <w:rsid w:val="00A52940"/>
    <w:rsid w:val="00A62180"/>
    <w:rsid w:val="00A62E58"/>
    <w:rsid w:val="00A81CA3"/>
    <w:rsid w:val="00A9434E"/>
    <w:rsid w:val="00AA1AC9"/>
    <w:rsid w:val="00AA3278"/>
    <w:rsid w:val="00B145AC"/>
    <w:rsid w:val="00B33B8A"/>
    <w:rsid w:val="00B3400D"/>
    <w:rsid w:val="00B354F8"/>
    <w:rsid w:val="00B41840"/>
    <w:rsid w:val="00B479BD"/>
    <w:rsid w:val="00B532CD"/>
    <w:rsid w:val="00B6291E"/>
    <w:rsid w:val="00B7131E"/>
    <w:rsid w:val="00B72DED"/>
    <w:rsid w:val="00B84654"/>
    <w:rsid w:val="00BA43AC"/>
    <w:rsid w:val="00BB00D9"/>
    <w:rsid w:val="00BB2C61"/>
    <w:rsid w:val="00BB4030"/>
    <w:rsid w:val="00BB553A"/>
    <w:rsid w:val="00BB587D"/>
    <w:rsid w:val="00BB5F15"/>
    <w:rsid w:val="00BB6CA3"/>
    <w:rsid w:val="00BC5AF6"/>
    <w:rsid w:val="00BD09DB"/>
    <w:rsid w:val="00BF4ECB"/>
    <w:rsid w:val="00BF5B13"/>
    <w:rsid w:val="00BF77B9"/>
    <w:rsid w:val="00C01785"/>
    <w:rsid w:val="00C1535E"/>
    <w:rsid w:val="00C16698"/>
    <w:rsid w:val="00C21584"/>
    <w:rsid w:val="00C33FE4"/>
    <w:rsid w:val="00C44182"/>
    <w:rsid w:val="00C51E86"/>
    <w:rsid w:val="00C5272F"/>
    <w:rsid w:val="00C55B6F"/>
    <w:rsid w:val="00C56933"/>
    <w:rsid w:val="00C61982"/>
    <w:rsid w:val="00C6258F"/>
    <w:rsid w:val="00C6308B"/>
    <w:rsid w:val="00C63C28"/>
    <w:rsid w:val="00C63E14"/>
    <w:rsid w:val="00C86747"/>
    <w:rsid w:val="00CA4C67"/>
    <w:rsid w:val="00CB6CBF"/>
    <w:rsid w:val="00CB77B1"/>
    <w:rsid w:val="00CC4CA0"/>
    <w:rsid w:val="00CC569B"/>
    <w:rsid w:val="00CD3EAF"/>
    <w:rsid w:val="00D275ED"/>
    <w:rsid w:val="00D43021"/>
    <w:rsid w:val="00D479BC"/>
    <w:rsid w:val="00D61943"/>
    <w:rsid w:val="00D63EE2"/>
    <w:rsid w:val="00D64565"/>
    <w:rsid w:val="00D75DB1"/>
    <w:rsid w:val="00D8186B"/>
    <w:rsid w:val="00D942D0"/>
    <w:rsid w:val="00DA71DD"/>
    <w:rsid w:val="00DC1983"/>
    <w:rsid w:val="00DC4231"/>
    <w:rsid w:val="00DD08E9"/>
    <w:rsid w:val="00DE3CE5"/>
    <w:rsid w:val="00DF58DF"/>
    <w:rsid w:val="00E04797"/>
    <w:rsid w:val="00E05E6D"/>
    <w:rsid w:val="00E07DD3"/>
    <w:rsid w:val="00E2677F"/>
    <w:rsid w:val="00E41526"/>
    <w:rsid w:val="00E53331"/>
    <w:rsid w:val="00E5378C"/>
    <w:rsid w:val="00E701D1"/>
    <w:rsid w:val="00EB1DF6"/>
    <w:rsid w:val="00EB33EE"/>
    <w:rsid w:val="00EC1065"/>
    <w:rsid w:val="00EC41C1"/>
    <w:rsid w:val="00EC5F64"/>
    <w:rsid w:val="00EF1528"/>
    <w:rsid w:val="00EF4702"/>
    <w:rsid w:val="00F1416B"/>
    <w:rsid w:val="00F265C5"/>
    <w:rsid w:val="00F279EF"/>
    <w:rsid w:val="00F328DE"/>
    <w:rsid w:val="00F3653D"/>
    <w:rsid w:val="00F664C0"/>
    <w:rsid w:val="00F747D1"/>
    <w:rsid w:val="00F80EDA"/>
    <w:rsid w:val="00F81C00"/>
    <w:rsid w:val="00F83FA0"/>
    <w:rsid w:val="00F91ED0"/>
    <w:rsid w:val="00F942FC"/>
    <w:rsid w:val="00F957EF"/>
    <w:rsid w:val="00F96350"/>
    <w:rsid w:val="00F976B7"/>
    <w:rsid w:val="00FA2D5E"/>
    <w:rsid w:val="00FA358E"/>
    <w:rsid w:val="00FA63C9"/>
    <w:rsid w:val="00FB4F24"/>
    <w:rsid w:val="00FE4A53"/>
    <w:rsid w:val="00FE74E4"/>
    <w:rsid w:val="00FF039E"/>
    <w:rsid w:val="00FF169F"/>
    <w:rsid w:val="00FF20F3"/>
    <w:rsid w:val="00FF4C84"/>
    <w:rsid w:val="00FF57C5"/>
    <w:rsid w:val="00FF71E7"/>
    <w:rsid w:val="00FF78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8ED1"/>
  <w15:chartTrackingRefBased/>
  <w15:docId w15:val="{657F4D0F-7E5D-4205-B22D-A8C479AD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983"/>
    <w:pPr>
      <w:spacing w:line="252" w:lineRule="auto"/>
      <w:ind w:left="720"/>
      <w:contextualSpacing/>
    </w:pPr>
    <w:rPr>
      <w:rFonts w:ascii="Calibri" w:hAnsi="Calibri" w:cs="Calibri"/>
      <w14:ligatures w14:val="standardContextual"/>
    </w:rPr>
  </w:style>
  <w:style w:type="paragraph" w:styleId="FootnoteText">
    <w:name w:val="footnote text"/>
    <w:basedOn w:val="Normal"/>
    <w:link w:val="FootnoteTextChar"/>
    <w:uiPriority w:val="99"/>
    <w:semiHidden/>
    <w:unhideWhenUsed/>
    <w:rsid w:val="00722977"/>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722977"/>
    <w:rPr>
      <w:kern w:val="2"/>
      <w:sz w:val="20"/>
      <w:szCs w:val="20"/>
      <w14:ligatures w14:val="standardContextual"/>
    </w:rPr>
  </w:style>
  <w:style w:type="character" w:styleId="FootnoteReference">
    <w:name w:val="footnote reference"/>
    <w:basedOn w:val="DefaultParagraphFont"/>
    <w:uiPriority w:val="99"/>
    <w:semiHidden/>
    <w:unhideWhenUsed/>
    <w:rsid w:val="00722977"/>
    <w:rPr>
      <w:vertAlign w:val="superscript"/>
    </w:rPr>
  </w:style>
  <w:style w:type="paragraph" w:styleId="Header">
    <w:name w:val="header"/>
    <w:basedOn w:val="Normal"/>
    <w:link w:val="HeaderChar"/>
    <w:uiPriority w:val="99"/>
    <w:unhideWhenUsed/>
    <w:rsid w:val="007D6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AC9"/>
  </w:style>
  <w:style w:type="paragraph" w:styleId="Footer">
    <w:name w:val="footer"/>
    <w:basedOn w:val="Normal"/>
    <w:link w:val="FooterChar"/>
    <w:uiPriority w:val="99"/>
    <w:unhideWhenUsed/>
    <w:rsid w:val="007D6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AC9"/>
  </w:style>
  <w:style w:type="character" w:styleId="Hyperlink">
    <w:name w:val="Hyperlink"/>
    <w:basedOn w:val="DefaultParagraphFont"/>
    <w:uiPriority w:val="99"/>
    <w:unhideWhenUsed/>
    <w:rsid w:val="00745885"/>
    <w:rPr>
      <w:color w:val="0563C1" w:themeColor="hyperlink"/>
      <w:u w:val="single"/>
    </w:rPr>
  </w:style>
  <w:style w:type="character" w:styleId="UnresolvedMention">
    <w:name w:val="Unresolved Mention"/>
    <w:basedOn w:val="DefaultParagraphFont"/>
    <w:uiPriority w:val="99"/>
    <w:semiHidden/>
    <w:unhideWhenUsed/>
    <w:rsid w:val="00745885"/>
    <w:rPr>
      <w:color w:val="605E5C"/>
      <w:shd w:val="clear" w:color="auto" w:fill="E1DFDD"/>
    </w:rPr>
  </w:style>
  <w:style w:type="paragraph" w:styleId="Revision">
    <w:name w:val="Revision"/>
    <w:hidden/>
    <w:uiPriority w:val="99"/>
    <w:semiHidden/>
    <w:rsid w:val="00E5378C"/>
    <w:pPr>
      <w:spacing w:after="0" w:line="240" w:lineRule="auto"/>
    </w:pPr>
  </w:style>
  <w:style w:type="character" w:styleId="CommentReference">
    <w:name w:val="annotation reference"/>
    <w:basedOn w:val="DefaultParagraphFont"/>
    <w:uiPriority w:val="99"/>
    <w:semiHidden/>
    <w:unhideWhenUsed/>
    <w:rsid w:val="00155846"/>
    <w:rPr>
      <w:sz w:val="16"/>
      <w:szCs w:val="16"/>
    </w:rPr>
  </w:style>
  <w:style w:type="paragraph" w:styleId="CommentText">
    <w:name w:val="annotation text"/>
    <w:basedOn w:val="Normal"/>
    <w:link w:val="CommentTextChar"/>
    <w:uiPriority w:val="99"/>
    <w:unhideWhenUsed/>
    <w:rsid w:val="00155846"/>
    <w:pPr>
      <w:spacing w:line="240" w:lineRule="auto"/>
    </w:pPr>
    <w:rPr>
      <w:sz w:val="20"/>
      <w:szCs w:val="20"/>
    </w:rPr>
  </w:style>
  <w:style w:type="character" w:customStyle="1" w:styleId="CommentTextChar">
    <w:name w:val="Comment Text Char"/>
    <w:basedOn w:val="DefaultParagraphFont"/>
    <w:link w:val="CommentText"/>
    <w:uiPriority w:val="99"/>
    <w:rsid w:val="00155846"/>
    <w:rPr>
      <w:sz w:val="20"/>
      <w:szCs w:val="20"/>
    </w:rPr>
  </w:style>
  <w:style w:type="paragraph" w:styleId="CommentSubject">
    <w:name w:val="annotation subject"/>
    <w:basedOn w:val="CommentText"/>
    <w:next w:val="CommentText"/>
    <w:link w:val="CommentSubjectChar"/>
    <w:uiPriority w:val="99"/>
    <w:semiHidden/>
    <w:unhideWhenUsed/>
    <w:rsid w:val="00155846"/>
    <w:rPr>
      <w:b/>
      <w:bCs/>
    </w:rPr>
  </w:style>
  <w:style w:type="character" w:customStyle="1" w:styleId="CommentSubjectChar">
    <w:name w:val="Comment Subject Char"/>
    <w:basedOn w:val="CommentTextChar"/>
    <w:link w:val="CommentSubject"/>
    <w:uiPriority w:val="99"/>
    <w:semiHidden/>
    <w:rsid w:val="001558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5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en/ip_24_2461" TargetMode="External"/><Relationship Id="rId1" Type="http://schemas.openxmlformats.org/officeDocument/2006/relationships/hyperlink" Target="https://www.rijksoverheid.nl/documenten/publicaties/2024/04/26/verslag-van-de-buitengewone-europese-raad-van-17-en-18-april-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1339</ap:Words>
  <ap:Characters>7367</ap:Characters>
  <ap:DocSecurity>0</ap:DocSecurity>
  <ap:Lines>61</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2024-05-13T08:28:00.0000000Z</dcterms:created>
  <dcterms:modified xsi:type="dcterms:W3CDTF">2024-05-13T08:28:00.0000000Z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0x0101009FFE7A2FBA144D4699EC54818DF680F200B6E276F8BF2E2F4AA8CF82848DDB0E57</vt:lpwstr>
  </property>
  <property fmtid="{D5CDD505-2E9C-101B-9397-08002B2CF9AE}" pid="3" name="BZ_Forum">
    <vt:lpwstr>4;#EU|4d8f9873-61b3-4ee5-b6f7-0bb00c6df5e8</vt:lpwstr>
  </property>
  <property fmtid="{D5CDD505-2E9C-101B-9397-08002B2CF9AE}" pid="4" name="BZ_Country">
    <vt:lpwstr>3;#The Netherlands|7f69a7bb-478c-499d-a6cf-5869916dfee4</vt:lpwstr>
  </property>
  <property fmtid="{D5CDD505-2E9C-101B-9397-08002B2CF9AE}" pid="5" name="BZ_Theme">
    <vt:lpwstr>1;#Organization|d3f777fe-abca-43dd-b11c-a7496ad32ea5;#2;#Visits (logistic)|53e8069b-a40e-4a89-b4f3-9b7112716272</vt:lpwstr>
  </property>
  <property fmtid="{D5CDD505-2E9C-101B-9397-08002B2CF9AE}" pid="6" name="BZ_Classification">
    <vt:lpwstr>5;#UNCLASSIFIED|d92c6340-bc14-4cb2-a9a6-6deda93c493b;#155;#NO MARKING|879e64ec-6597-483b-94db-f5f70afd7299</vt:lpwstr>
  </property>
  <property fmtid="{D5CDD505-2E9C-101B-9397-08002B2CF9AE}" pid="7" name="_dlc_DocIdItemGuid">
    <vt:lpwstr>49f3ae36-7e7a-4af5-9d43-2d3989b88c72</vt:lpwstr>
  </property>
  <property fmtid="{D5CDD505-2E9C-101B-9397-08002B2CF9AE}" pid="8" name="_docset_NoMedatataSyncRequired">
    <vt:lpwstr>False</vt:lpwstr>
  </property>
</Properties>
</file>