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D3043" w:rsidR="00CB3578" w:rsidP="002D3043" w:rsidRDefault="002D3043">
            <w:pPr>
              <w:pStyle w:val="Amendement"/>
              <w:rPr>
                <w:rFonts w:ascii="Times New Roman" w:hAnsi="Times New Roman" w:cs="Times New Roman"/>
                <w:b w:val="0"/>
              </w:rPr>
            </w:pPr>
            <w:r>
              <w:rPr>
                <w:rFonts w:ascii="Times New Roman" w:hAnsi="Times New Roman" w:cs="Times New Roman"/>
                <w:b w:val="0"/>
              </w:rPr>
              <w:t>Bijgewerkt t/m nr. 4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44511" w:rsidRDefault="00144511">
            <w:pPr>
              <w:rPr>
                <w:rFonts w:ascii="Times New Roman" w:hAnsi="Times New Roman"/>
                <w:b/>
                <w:sz w:val="24"/>
              </w:rPr>
            </w:pPr>
            <w:r>
              <w:rPr>
                <w:rFonts w:ascii="Times New Roman" w:hAnsi="Times New Roman"/>
                <w:b/>
                <w:sz w:val="24"/>
              </w:rPr>
              <w:t>36 550</w:t>
            </w:r>
            <w:r w:rsidR="00F13442">
              <w:rPr>
                <w:rFonts w:ascii="Times New Roman" w:hAnsi="Times New Roman"/>
                <w:b/>
                <w:sz w:val="24"/>
              </w:rPr>
              <w:t xml:space="preserve"> </w:t>
            </w:r>
            <w:r>
              <w:rPr>
                <w:rFonts w:ascii="Times New Roman" w:hAnsi="Times New Roman"/>
                <w:b/>
                <w:sz w:val="24"/>
              </w:rPr>
              <w:t>VII</w:t>
            </w:r>
          </w:p>
        </w:tc>
        <w:tc>
          <w:tcPr>
            <w:tcW w:w="6590" w:type="dxa"/>
            <w:tcBorders>
              <w:top w:val="nil"/>
              <w:left w:val="nil"/>
              <w:bottom w:val="nil"/>
              <w:right w:val="nil"/>
            </w:tcBorders>
          </w:tcPr>
          <w:p w:rsidRPr="00144511" w:rsidR="002A727C" w:rsidP="000D5BC4" w:rsidRDefault="00144511">
            <w:pPr>
              <w:rPr>
                <w:rFonts w:ascii="Times New Roman" w:hAnsi="Times New Roman"/>
                <w:b/>
                <w:sz w:val="24"/>
              </w:rPr>
            </w:pPr>
            <w:r w:rsidRPr="00144511">
              <w:rPr>
                <w:rFonts w:ascii="Times New Roman" w:hAnsi="Times New Roman"/>
                <w:b/>
                <w:sz w:val="24"/>
              </w:rPr>
              <w:t>Wijziging van de begrotingsstaten van het Ministerie van Binnenlandse Zaken en Koninkrijksrelaties (VII) voor het jaar 2024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4451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Wij Willem-Alexander, bij de gratie Gods, Koning der Nederlanden, Prins van Oranje-Nassau, enz. enz. enz.</w:t>
      </w: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Allen, die deze zullen zien of horen lezen, saluut! doen te weten:</w:t>
      </w: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2024;</w:t>
      </w: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Zo is het, dat Wij, met gemeen overleg der Staten-Generaal, hebben goedgevonden en verstaan, gelijk Wij goedvinden en verstaan bij deze:</w:t>
      </w:r>
    </w:p>
    <w:p w:rsidR="00144511" w:rsidP="00144511" w:rsidRDefault="00144511">
      <w:pPr>
        <w:tabs>
          <w:tab w:val="left" w:pos="284"/>
          <w:tab w:val="left" w:pos="567"/>
          <w:tab w:val="left" w:pos="851"/>
        </w:tabs>
        <w:ind w:right="-2"/>
        <w:rPr>
          <w:rFonts w:ascii="Times New Roman" w:hAnsi="Times New Roman"/>
          <w:b/>
          <w:sz w:val="24"/>
          <w:szCs w:val="20"/>
        </w:rPr>
      </w:pPr>
    </w:p>
    <w:p w:rsidRPr="00144511" w:rsidR="00144511" w:rsidP="00144511" w:rsidRDefault="00144511">
      <w:pPr>
        <w:tabs>
          <w:tab w:val="left" w:pos="284"/>
          <w:tab w:val="left" w:pos="567"/>
          <w:tab w:val="left" w:pos="851"/>
        </w:tabs>
        <w:ind w:right="-2"/>
        <w:rPr>
          <w:rFonts w:ascii="Times New Roman" w:hAnsi="Times New Roman"/>
          <w:b/>
          <w:sz w:val="24"/>
          <w:szCs w:val="20"/>
        </w:rPr>
      </w:pPr>
      <w:r w:rsidRPr="00144511">
        <w:rPr>
          <w:rFonts w:ascii="Times New Roman" w:hAnsi="Times New Roman"/>
          <w:b/>
          <w:sz w:val="24"/>
          <w:szCs w:val="20"/>
        </w:rPr>
        <w:t>Artikel 1</w:t>
      </w: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De departementale begrotingsstaat van het Ministerie van Binnenlandse Zaken en Koninkrijksrelaties (VII) voor het jaar 2024 wordt gewijzigd, zoals blijkt uit de desbetreffende bij deze wet behorende staat.</w:t>
      </w:r>
    </w:p>
    <w:p w:rsidR="00144511" w:rsidP="00144511" w:rsidRDefault="00144511">
      <w:pPr>
        <w:tabs>
          <w:tab w:val="left" w:pos="284"/>
          <w:tab w:val="left" w:pos="567"/>
          <w:tab w:val="left" w:pos="851"/>
        </w:tabs>
        <w:ind w:right="-2"/>
        <w:rPr>
          <w:rFonts w:ascii="Times New Roman" w:hAnsi="Times New Roman"/>
          <w:b/>
          <w:sz w:val="24"/>
          <w:szCs w:val="20"/>
        </w:rPr>
      </w:pPr>
    </w:p>
    <w:p w:rsidRPr="00144511" w:rsidR="00144511" w:rsidP="00144511" w:rsidRDefault="00144511">
      <w:pPr>
        <w:tabs>
          <w:tab w:val="left" w:pos="284"/>
          <w:tab w:val="left" w:pos="567"/>
          <w:tab w:val="left" w:pos="851"/>
        </w:tabs>
        <w:ind w:right="-2"/>
        <w:rPr>
          <w:rFonts w:ascii="Times New Roman" w:hAnsi="Times New Roman"/>
          <w:b/>
          <w:sz w:val="24"/>
          <w:szCs w:val="20"/>
        </w:rPr>
      </w:pPr>
      <w:r w:rsidRPr="00144511">
        <w:rPr>
          <w:rFonts w:ascii="Times New Roman" w:hAnsi="Times New Roman"/>
          <w:b/>
          <w:sz w:val="24"/>
          <w:szCs w:val="20"/>
        </w:rPr>
        <w:t>Artikel 2</w:t>
      </w: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De vaststelling van de begrotingsstaat geschiedt in duizenden euro’s.</w:t>
      </w:r>
    </w:p>
    <w:p w:rsidR="00144511" w:rsidP="00144511" w:rsidRDefault="00144511">
      <w:pPr>
        <w:tabs>
          <w:tab w:val="left" w:pos="284"/>
          <w:tab w:val="left" w:pos="567"/>
          <w:tab w:val="left" w:pos="851"/>
        </w:tabs>
        <w:ind w:right="-2"/>
        <w:rPr>
          <w:rFonts w:ascii="Times New Roman" w:hAnsi="Times New Roman"/>
          <w:b/>
          <w:sz w:val="24"/>
          <w:szCs w:val="20"/>
        </w:rPr>
      </w:pPr>
    </w:p>
    <w:p w:rsidRPr="00144511" w:rsidR="00144511" w:rsidP="00144511" w:rsidRDefault="00144511">
      <w:pPr>
        <w:tabs>
          <w:tab w:val="left" w:pos="284"/>
          <w:tab w:val="left" w:pos="567"/>
          <w:tab w:val="left" w:pos="851"/>
        </w:tabs>
        <w:ind w:right="-2"/>
        <w:rPr>
          <w:rFonts w:ascii="Times New Roman" w:hAnsi="Times New Roman"/>
          <w:b/>
          <w:sz w:val="24"/>
          <w:szCs w:val="20"/>
        </w:rPr>
      </w:pPr>
      <w:r w:rsidRPr="00144511">
        <w:rPr>
          <w:rFonts w:ascii="Times New Roman" w:hAnsi="Times New Roman"/>
          <w:b/>
          <w:sz w:val="24"/>
          <w:szCs w:val="20"/>
        </w:rPr>
        <w:t>Artikel 3</w:t>
      </w: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Deze wet treedt in werking met ingang van de dag na de datum van uitgifte van het Staatsblad waarin zij wordt geplaatst en werkt terug tot en met 1 juni 2024.</w:t>
      </w: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451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r w:rsidRPr="00144511">
        <w:rPr>
          <w:rFonts w:ascii="Times New Roman" w:hAnsi="Times New Roman"/>
          <w:sz w:val="24"/>
          <w:szCs w:val="20"/>
        </w:rPr>
        <w:t>Gegeven</w:t>
      </w:r>
    </w:p>
    <w:p w:rsidRPr="00144511"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00144511" w:rsidP="00144511" w:rsidRDefault="00144511">
      <w:pPr>
        <w:tabs>
          <w:tab w:val="left" w:pos="284"/>
          <w:tab w:val="left" w:pos="567"/>
          <w:tab w:val="left" w:pos="851"/>
        </w:tabs>
        <w:ind w:right="-2"/>
        <w:rPr>
          <w:rFonts w:ascii="Times New Roman" w:hAnsi="Times New Roman"/>
          <w:sz w:val="24"/>
          <w:szCs w:val="20"/>
        </w:rPr>
      </w:pPr>
    </w:p>
    <w:p w:rsidRPr="00144511" w:rsidR="00144511" w:rsidP="00144511" w:rsidRDefault="00144511">
      <w:pPr>
        <w:tabs>
          <w:tab w:val="left" w:pos="284"/>
          <w:tab w:val="left" w:pos="567"/>
          <w:tab w:val="left" w:pos="851"/>
        </w:tabs>
        <w:ind w:right="-2"/>
        <w:rPr>
          <w:rFonts w:ascii="Times New Roman" w:hAnsi="Times New Roman"/>
          <w:sz w:val="24"/>
          <w:szCs w:val="20"/>
        </w:rPr>
      </w:pPr>
    </w:p>
    <w:p w:rsidR="00CB3578" w:rsidP="00144511" w:rsidRDefault="00144511">
      <w:pPr>
        <w:tabs>
          <w:tab w:val="left" w:pos="284"/>
          <w:tab w:val="left" w:pos="567"/>
          <w:tab w:val="left" w:pos="851"/>
        </w:tabs>
        <w:ind w:right="-2"/>
        <w:rPr>
          <w:rFonts w:ascii="Times New Roman" w:hAnsi="Times New Roman"/>
          <w:sz w:val="24"/>
          <w:szCs w:val="20"/>
        </w:rPr>
      </w:pPr>
      <w:r w:rsidRPr="00144511">
        <w:rPr>
          <w:rFonts w:ascii="Times New Roman" w:hAnsi="Times New Roman"/>
          <w:sz w:val="24"/>
          <w:szCs w:val="20"/>
        </w:rPr>
        <w:lastRenderedPageBreak/>
        <w:t>De Minister van Binnenlandse Zaken en Koninkrijksrelaties</w:t>
      </w:r>
      <w:r>
        <w:rPr>
          <w:rFonts w:ascii="Times New Roman" w:hAnsi="Times New Roman"/>
          <w:sz w:val="24"/>
          <w:szCs w:val="20"/>
        </w:rPr>
        <w:t>,</w:t>
      </w:r>
    </w:p>
    <w:p w:rsidR="000611A4" w:rsidP="00144511" w:rsidRDefault="000611A4">
      <w:pPr>
        <w:tabs>
          <w:tab w:val="left" w:pos="284"/>
          <w:tab w:val="left" w:pos="567"/>
          <w:tab w:val="left" w:pos="851"/>
        </w:tabs>
        <w:ind w:right="-2"/>
        <w:rPr>
          <w:rFonts w:ascii="Times New Roman" w:hAnsi="Times New Roman"/>
          <w:sz w:val="24"/>
          <w:szCs w:val="20"/>
        </w:rPr>
      </w:pPr>
    </w:p>
    <w:tbl>
      <w:tblPr>
        <w:tblW w:w="9694" w:type="dxa"/>
        <w:tblInd w:w="-307" w:type="dxa"/>
        <w:tblCellMar>
          <w:left w:w="10" w:type="dxa"/>
          <w:right w:w="10" w:type="dxa"/>
        </w:tblCellMar>
        <w:tblLook w:val="0000" w:firstRow="0" w:lastRow="0" w:firstColumn="0" w:lastColumn="0" w:noHBand="0" w:noVBand="0"/>
      </w:tblPr>
      <w:tblGrid>
        <w:gridCol w:w="355"/>
        <w:gridCol w:w="2573"/>
        <w:gridCol w:w="1234"/>
        <w:gridCol w:w="1069"/>
        <w:gridCol w:w="1098"/>
        <w:gridCol w:w="1234"/>
        <w:gridCol w:w="1033"/>
        <w:gridCol w:w="1098"/>
      </w:tblGrid>
      <w:tr w:rsidR="000611A4" w:rsidTr="00B27735">
        <w:trPr>
          <w:tblHeader/>
        </w:trPr>
        <w:tc>
          <w:tcPr>
            <w:tcW w:w="9694" w:type="dxa"/>
            <w:gridSpan w:val="8"/>
            <w:shd w:val="clear" w:color="auto" w:fill="auto"/>
            <w:tcMar>
              <w:top w:w="22" w:type="dxa"/>
              <w:left w:w="113" w:type="dxa"/>
              <w:bottom w:w="22" w:type="dxa"/>
              <w:right w:w="10" w:type="dxa"/>
            </w:tcMar>
          </w:tcPr>
          <w:p w:rsidRPr="006B502F" w:rsidR="000611A4" w:rsidP="00B27735" w:rsidRDefault="000611A4">
            <w:pPr>
              <w:pStyle w:val="kio2-table-title"/>
              <w:rPr>
                <w:rFonts w:ascii="Times New Roman" w:hAnsi="Times New Roman" w:cs="Times New Roman"/>
                <w:sz w:val="20"/>
              </w:rPr>
            </w:pPr>
            <w:r w:rsidRPr="006B502F">
              <w:rPr>
                <w:rFonts w:ascii="Times New Roman" w:hAnsi="Times New Roman" w:cs="Times New Roman"/>
                <w:sz w:val="20"/>
              </w:rPr>
              <w:t>Vastgestelde begrotingsstaat van het Ministerie van Binnenlandse Zaken (VII) voor het jaar 2024 (bedragen x € 1.000)</w:t>
            </w:r>
          </w:p>
        </w:tc>
      </w:tr>
      <w:tr w:rsidR="000611A4" w:rsidTr="00B27735">
        <w:trPr>
          <w:tblHeader/>
        </w:trPr>
        <w:tc>
          <w:tcPr>
            <w:tcW w:w="329" w:type="dxa"/>
            <w:tcBorders>
              <w:top w:val="single" w:color="000000" w:sz="2" w:space="0"/>
              <w:bottom w:val="single" w:color="009EE0" w:sz="2" w:space="0"/>
            </w:tcBorders>
            <w:shd w:val="clear" w:color="auto" w:fill="auto"/>
            <w:tcMar>
              <w:top w:w="28" w:type="dxa"/>
              <w:left w:w="10" w:type="dxa"/>
              <w:bottom w:w="28" w:type="dxa"/>
              <w:right w:w="28" w:type="dxa"/>
            </w:tcMar>
          </w:tcPr>
          <w:p w:rsidRPr="006B502F" w:rsidR="000611A4" w:rsidP="00B27735" w:rsidRDefault="000611A4">
            <w:pPr>
              <w:pStyle w:val="p-table"/>
              <w:rPr>
                <w:rFonts w:ascii="Times New Roman" w:hAnsi="Times New Roman" w:cs="Times New Roman"/>
                <w:color w:val="000000"/>
                <w:sz w:val="20"/>
              </w:rPr>
            </w:pPr>
          </w:p>
        </w:tc>
        <w:tc>
          <w:tcPr>
            <w:tcW w:w="2702" w:type="dxa"/>
            <w:tcBorders>
              <w:top w:val="single" w:color="000000" w:sz="2" w:space="0"/>
              <w:bottom w:val="single" w:color="009EE0" w:sz="2" w:space="0"/>
            </w:tcBorders>
            <w:shd w:val="clear" w:color="auto" w:fill="auto"/>
            <w:tcMar>
              <w:top w:w="28" w:type="dxa"/>
              <w:left w:w="28" w:type="dxa"/>
              <w:bottom w:w="28" w:type="dxa"/>
              <w:right w:w="28" w:type="dxa"/>
            </w:tcMar>
          </w:tcPr>
          <w:p w:rsidRPr="006B502F" w:rsidR="000611A4" w:rsidP="00B27735" w:rsidRDefault="000611A4">
            <w:pPr>
              <w:pStyle w:val="p-table"/>
              <w:rPr>
                <w:rFonts w:ascii="Times New Roman" w:hAnsi="Times New Roman" w:cs="Times New Roman"/>
                <w:color w:val="000000"/>
                <w:sz w:val="20"/>
              </w:rPr>
            </w:pPr>
          </w:p>
        </w:tc>
        <w:tc>
          <w:tcPr>
            <w:tcW w:w="333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6B502F" w:rsidR="000611A4" w:rsidP="00B27735" w:rsidRDefault="000611A4">
            <w:pPr>
              <w:pStyle w:val="p-table"/>
              <w:jc w:val="center"/>
              <w:rPr>
                <w:rFonts w:ascii="Times New Roman" w:hAnsi="Times New Roman" w:cs="Times New Roman"/>
                <w:color w:val="000000"/>
                <w:sz w:val="20"/>
              </w:rPr>
            </w:pPr>
            <w:r w:rsidRPr="006B502F">
              <w:rPr>
                <w:rFonts w:ascii="Times New Roman" w:hAnsi="Times New Roman" w:cs="Times New Roman"/>
                <w:color w:val="000000"/>
                <w:sz w:val="20"/>
              </w:rPr>
              <w:t>Vastgestelde begroting</w:t>
            </w:r>
          </w:p>
        </w:tc>
        <w:tc>
          <w:tcPr>
            <w:tcW w:w="333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6B502F" w:rsidR="000611A4" w:rsidP="00B27735" w:rsidRDefault="000611A4">
            <w:pPr>
              <w:pStyle w:val="p-table"/>
              <w:jc w:val="center"/>
              <w:rPr>
                <w:rFonts w:ascii="Times New Roman" w:hAnsi="Times New Roman" w:cs="Times New Roman"/>
                <w:color w:val="000000"/>
                <w:sz w:val="20"/>
              </w:rPr>
            </w:pPr>
            <w:r w:rsidRPr="006B502F">
              <w:rPr>
                <w:rFonts w:ascii="Times New Roman" w:hAnsi="Times New Roman" w:cs="Times New Roman"/>
                <w:color w:val="000000"/>
                <w:sz w:val="20"/>
              </w:rPr>
              <w:t>Mutaties 1e suppletoire begroting</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Art.</w:t>
            </w:r>
          </w:p>
        </w:tc>
        <w:tc>
          <w:tcPr>
            <w:tcW w:w="2702"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Omschrijving</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Verplichtingen</w:t>
            </w:r>
          </w:p>
        </w:tc>
        <w:tc>
          <w:tcPr>
            <w:tcW w:w="1103"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Uitgaven</w:t>
            </w:r>
          </w:p>
        </w:tc>
        <w:tc>
          <w:tcPr>
            <w:tcW w:w="1106"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Verplichtingen</w:t>
            </w:r>
          </w:p>
        </w:tc>
        <w:tc>
          <w:tcPr>
            <w:tcW w:w="1100"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Uitgaven</w:t>
            </w:r>
          </w:p>
        </w:tc>
        <w:tc>
          <w:tcPr>
            <w:tcW w:w="1106"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Ontvangsten</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b/>
                <w:sz w:val="20"/>
              </w:rPr>
              <w:t>Totaal</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b/>
                <w:sz w:val="20"/>
              </w:rPr>
              <w:t>11.734.451</w:t>
            </w:r>
          </w:p>
        </w:tc>
        <w:tc>
          <w:tcPr>
            <w:tcW w:w="1103"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b/>
                <w:sz w:val="20"/>
              </w:rPr>
              <w:t>11.395.030</w:t>
            </w:r>
          </w:p>
        </w:tc>
        <w:tc>
          <w:tcPr>
            <w:tcW w:w="1106"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b/>
                <w:sz w:val="20"/>
              </w:rPr>
              <w:t>630.989</w:t>
            </w:r>
          </w:p>
        </w:tc>
        <w:tc>
          <w:tcPr>
            <w:tcW w:w="1124"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b/>
                <w:sz w:val="20"/>
              </w:rPr>
              <w:t>517.470</w:t>
            </w:r>
          </w:p>
        </w:tc>
        <w:tc>
          <w:tcPr>
            <w:tcW w:w="1100"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b/>
                <w:sz w:val="20"/>
              </w:rPr>
              <w:t>540.523</w:t>
            </w:r>
          </w:p>
        </w:tc>
        <w:tc>
          <w:tcPr>
            <w:tcW w:w="1106" w:type="dxa"/>
            <w:tcBorders>
              <w:bottom w:val="single" w:color="009EE0" w:sz="2" w:space="0"/>
            </w:tcBorders>
            <w:shd w:val="clear" w:color="auto" w:fill="auto"/>
            <w:tcMar>
              <w:top w:w="22" w:type="dxa"/>
              <w:left w:w="28"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b/>
                <w:sz w:val="20"/>
              </w:rPr>
              <w:t>296.300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3"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6"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0"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6"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r>
      <w:tr w:rsidR="000611A4" w:rsidTr="00B27735">
        <w:tc>
          <w:tcPr>
            <w:tcW w:w="329" w:type="dxa"/>
            <w:tcBorders>
              <w:bottom w:val="single" w:color="009EE0" w:sz="2" w:space="0"/>
            </w:tcBorders>
            <w:shd w:val="clear" w:color="auto" w:fill="auto"/>
            <w:tcMar>
              <w:top w:w="22" w:type="dxa"/>
              <w:left w:w="10"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b/>
                <w:sz w:val="20"/>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3"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6"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0"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6"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Openbaar bestuur en democratie</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607.059</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559.217</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14.765</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8.298</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8.298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Nationale Veiligheid</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456.290</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456.290</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17.214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38.981</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38.981</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3</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Woningmarkt</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7.351.287</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6.991.365</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460.000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130.713</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255.895</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87.800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4</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Energietransitie gebouwde omgeving en bouwkwaliteit</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1.465.241</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1.532.059</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91</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212.529</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109.761</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5</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Ruimtelijke ordening en omgevingswet</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143.959</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143.959</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3.824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4.711</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4.711</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6</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Overheidsdienstverlening en informatiesamenleving</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536.087</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536.087</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10.927</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6.605</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2.005</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7</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 xml:space="preserve">Werkgevers- en </w:t>
            </w:r>
            <w:proofErr w:type="spellStart"/>
            <w:r w:rsidRPr="006B502F">
              <w:rPr>
                <w:rFonts w:ascii="Times New Roman" w:hAnsi="Times New Roman" w:cs="Times New Roman"/>
                <w:sz w:val="20"/>
              </w:rPr>
              <w:t>bedrijfsvoeringsbeleid</w:t>
            </w:r>
            <w:proofErr w:type="spellEnd"/>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85.588</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86.189</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64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177</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4.138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9</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Uitvoering Rijksvastgoedbeleid</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161.920</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161.920</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102.984</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25.288</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25.288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26.448</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14</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Slavernijverleden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106.000</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106.000</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39.662</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39.662</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b/>
                <w:sz w:val="20"/>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3"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6"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0"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c>
          <w:tcPr>
            <w:tcW w:w="1106"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11</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Centraal apparaat</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621.447</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622.121</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21.120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254.303</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254.303</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150.752</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12</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Algemeen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199.573</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199.823</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103.713</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 103.713</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31.300</w:t>
            </w:r>
          </w:p>
        </w:tc>
      </w:tr>
      <w:tr w:rsidR="000611A4" w:rsidTr="00B27735">
        <w:tc>
          <w:tcPr>
            <w:tcW w:w="329" w:type="dxa"/>
            <w:tcBorders>
              <w:bottom w:val="single" w:color="009EE0" w:sz="2" w:space="0"/>
            </w:tcBorders>
            <w:shd w:val="clear" w:color="auto" w:fill="auto"/>
            <w:tcMar>
              <w:top w:w="22" w:type="dxa"/>
              <w:left w:w="10" w:type="dxa"/>
              <w:bottom w:w="22" w:type="dxa"/>
              <w:right w:w="28" w:type="dxa"/>
            </w:tcMar>
            <w:vAlign w:val="center"/>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13</w:t>
            </w:r>
          </w:p>
        </w:tc>
        <w:tc>
          <w:tcPr>
            <w:tcW w:w="2702" w:type="dxa"/>
            <w:tcBorders>
              <w:bottom w:val="single" w:color="009EE0" w:sz="2" w:space="0"/>
            </w:tcBorders>
            <w:shd w:val="clear" w:color="auto" w:fill="auto"/>
            <w:tcMar>
              <w:top w:w="22" w:type="dxa"/>
              <w:left w:w="28" w:type="dxa"/>
              <w:bottom w:w="22" w:type="dxa"/>
              <w:right w:w="28" w:type="dxa"/>
            </w:tcMar>
          </w:tcPr>
          <w:p w:rsidRPr="006B502F" w:rsidR="000611A4" w:rsidP="00B27735" w:rsidRDefault="000611A4">
            <w:pPr>
              <w:pStyle w:val="p-table"/>
              <w:rPr>
                <w:rFonts w:ascii="Times New Roman" w:hAnsi="Times New Roman" w:cs="Times New Roman"/>
                <w:sz w:val="20"/>
              </w:rPr>
            </w:pPr>
            <w:r w:rsidRPr="006B502F">
              <w:rPr>
                <w:rFonts w:ascii="Times New Roman" w:hAnsi="Times New Roman" w:cs="Times New Roman"/>
                <w:sz w:val="20"/>
              </w:rPr>
              <w:t>Nog onverdeeld</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c>
          <w:tcPr>
            <w:tcW w:w="1103"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2.226</w:t>
            </w:r>
          </w:p>
        </w:tc>
        <w:tc>
          <w:tcPr>
            <w:tcW w:w="1100"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2.226</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6B502F" w:rsidR="000611A4" w:rsidP="00B27735" w:rsidRDefault="000611A4">
            <w:pPr>
              <w:pStyle w:val="p-table"/>
              <w:jc w:val="right"/>
              <w:rPr>
                <w:rFonts w:ascii="Times New Roman" w:hAnsi="Times New Roman" w:cs="Times New Roman"/>
                <w:sz w:val="20"/>
              </w:rPr>
            </w:pPr>
            <w:r w:rsidRPr="006B502F">
              <w:rPr>
                <w:rFonts w:ascii="Times New Roman" w:hAnsi="Times New Roman" w:cs="Times New Roman"/>
                <w:sz w:val="20"/>
              </w:rPr>
              <w:t>0</w:t>
            </w:r>
          </w:p>
        </w:tc>
      </w:tr>
    </w:tbl>
    <w:p w:rsidRPr="002168F4" w:rsidR="000611A4" w:rsidP="00144511" w:rsidRDefault="000611A4">
      <w:pPr>
        <w:tabs>
          <w:tab w:val="left" w:pos="284"/>
          <w:tab w:val="left" w:pos="567"/>
          <w:tab w:val="left" w:pos="851"/>
        </w:tabs>
        <w:ind w:right="-2"/>
        <w:rPr>
          <w:rFonts w:ascii="Times New Roman" w:hAnsi="Times New Roman"/>
          <w:sz w:val="24"/>
          <w:szCs w:val="20"/>
        </w:rPr>
      </w:pPr>
      <w:bookmarkStart w:name="_GoBack" w:id="0"/>
      <w:bookmarkEnd w:id="0"/>
    </w:p>
    <w:sectPr w:rsidRPr="002168F4" w:rsidR="000611A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11" w:rsidRDefault="00144511">
      <w:pPr>
        <w:spacing w:line="20" w:lineRule="exact"/>
      </w:pPr>
    </w:p>
  </w:endnote>
  <w:endnote w:type="continuationSeparator" w:id="0">
    <w:p w:rsidR="00144511" w:rsidRDefault="00144511">
      <w:pPr>
        <w:pStyle w:val="Amendement"/>
      </w:pPr>
      <w:r>
        <w:rPr>
          <w:b w:val="0"/>
          <w:bCs w:val="0"/>
        </w:rPr>
        <w:t xml:space="preserve"> </w:t>
      </w:r>
    </w:p>
  </w:endnote>
  <w:endnote w:type="continuationNotice" w:id="1">
    <w:p w:rsidR="00144511" w:rsidRDefault="001445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611A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11" w:rsidRDefault="00144511">
      <w:pPr>
        <w:pStyle w:val="Amendement"/>
      </w:pPr>
      <w:r>
        <w:rPr>
          <w:b w:val="0"/>
          <w:bCs w:val="0"/>
        </w:rPr>
        <w:separator/>
      </w:r>
    </w:p>
  </w:footnote>
  <w:footnote w:type="continuationSeparator" w:id="0">
    <w:p w:rsidR="00144511" w:rsidRDefault="00144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11"/>
    <w:rsid w:val="00012DBE"/>
    <w:rsid w:val="000611A4"/>
    <w:rsid w:val="000A1D81"/>
    <w:rsid w:val="00111ED3"/>
    <w:rsid w:val="00144511"/>
    <w:rsid w:val="001C190E"/>
    <w:rsid w:val="002168F4"/>
    <w:rsid w:val="002A727C"/>
    <w:rsid w:val="002D3043"/>
    <w:rsid w:val="005D2707"/>
    <w:rsid w:val="00606255"/>
    <w:rsid w:val="006B607A"/>
    <w:rsid w:val="007D451C"/>
    <w:rsid w:val="00826224"/>
    <w:rsid w:val="00930A23"/>
    <w:rsid w:val="009C7354"/>
    <w:rsid w:val="009E6D7F"/>
    <w:rsid w:val="00A11E73"/>
    <w:rsid w:val="00A2521E"/>
    <w:rsid w:val="00AE436A"/>
    <w:rsid w:val="00C135B1"/>
    <w:rsid w:val="00C92DF8"/>
    <w:rsid w:val="00C96543"/>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4E3B7"/>
  <w15:docId w15:val="{9269902C-E0FC-48D5-A5B0-0E2AE50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4451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4451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4451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44511"/>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394</ap:Words>
  <ap:Characters>2402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2024-04-29T10:13:00.0000000Z</dcterms:created>
  <dcterms:modified xsi:type="dcterms:W3CDTF">2024-04-29T10:14:00.0000000Z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