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49D3" w:rsidR="009F5B35" w:rsidRDefault="00FD090F" w14:paraId="1CF140BB" w14:textId="77777777">
      <w:pPr>
        <w:pStyle w:val="StandaardAanhef"/>
      </w:pPr>
      <w:r w:rsidRPr="00AD49D3">
        <w:t>Geachte voorzitter,</w:t>
      </w:r>
    </w:p>
    <w:p w:rsidR="00F16C38" w:rsidP="009B2C2D" w:rsidRDefault="00B50C4D" w14:paraId="6E4CFD74" w14:textId="1085EE14">
      <w:bookmarkStart w:name="_Hlk165023459" w:id="0"/>
      <w:r w:rsidRPr="00AD49D3">
        <w:t xml:space="preserve">Bij de behandeling van het Belastingplan 2024 </w:t>
      </w:r>
      <w:r w:rsidR="009B2C2D">
        <w:t xml:space="preserve">en de Algemene financiële beschouwingen 2024 </w:t>
      </w:r>
      <w:r w:rsidRPr="00AD49D3">
        <w:t xml:space="preserve">heeft </w:t>
      </w:r>
      <w:r w:rsidR="00D752FF">
        <w:t>u</w:t>
      </w:r>
      <w:r w:rsidRPr="00AD49D3" w:rsidR="007B45BC">
        <w:t xml:space="preserve">w Kamer </w:t>
      </w:r>
      <w:r w:rsidRPr="00AD49D3">
        <w:t xml:space="preserve">verschillende moties </w:t>
      </w:r>
      <w:r w:rsidR="009B2C2D">
        <w:t xml:space="preserve">aangenomen </w:t>
      </w:r>
      <w:r w:rsidRPr="00AD49D3" w:rsidR="007B45BC">
        <w:t>op het terrein van de verbruiksbelasting</w:t>
      </w:r>
      <w:r w:rsidRPr="00AD49D3" w:rsidR="002E7E84">
        <w:t xml:space="preserve"> van alcoholvrije dranken</w:t>
      </w:r>
      <w:bookmarkEnd w:id="0"/>
      <w:r w:rsidRPr="35FA1F3E" w:rsidR="007B45BC">
        <w:t>.</w:t>
      </w:r>
      <w:r w:rsidRPr="00AD49D3" w:rsidR="00FE1C25">
        <w:rPr>
          <w:rStyle w:val="Voetnootmarkering"/>
        </w:rPr>
        <w:footnoteReference w:id="2"/>
      </w:r>
      <w:r w:rsidRPr="00AD49D3" w:rsidR="007B45BC">
        <w:t xml:space="preserve"> </w:t>
      </w:r>
      <w:bookmarkStart w:name="_Hlk165023511" w:id="1"/>
      <w:r w:rsidRPr="00AD49D3" w:rsidR="007B45BC">
        <w:t xml:space="preserve">Naar aanleiding van die moties </w:t>
      </w:r>
      <w:r w:rsidR="00733196">
        <w:t xml:space="preserve">schetst </w:t>
      </w:r>
      <w:r w:rsidRPr="00AD49D3" w:rsidR="007B45BC">
        <w:t xml:space="preserve">het demissionaire kabinet </w:t>
      </w:r>
      <w:r w:rsidR="00733196">
        <w:t xml:space="preserve">hierbij de contouren voor een </w:t>
      </w:r>
      <w:r w:rsidRPr="00AD49D3">
        <w:t>nieuw systeem</w:t>
      </w:r>
      <w:r w:rsidRPr="35FA1F3E" w:rsidR="00E95AF4">
        <w:t>,</w:t>
      </w:r>
      <w:r w:rsidRPr="00AD49D3">
        <w:t xml:space="preserve"> waarbij </w:t>
      </w:r>
      <w:r w:rsidR="00E95AF4">
        <w:t xml:space="preserve">het tarief van </w:t>
      </w:r>
      <w:r w:rsidRPr="00AD49D3">
        <w:t xml:space="preserve">de verbruiksbelasting </w:t>
      </w:r>
      <w:r w:rsidR="003A34CD">
        <w:t>afhankelijk wordt</w:t>
      </w:r>
      <w:r w:rsidRPr="35FA1F3E" w:rsidR="0A2527D0">
        <w:t xml:space="preserve"> </w:t>
      </w:r>
      <w:r w:rsidR="003A34CD">
        <w:t>va</w:t>
      </w:r>
      <w:r w:rsidR="00E95AF4">
        <w:t xml:space="preserve">n het </w:t>
      </w:r>
      <w:r w:rsidRPr="00AD49D3">
        <w:t>suikergehalte van de drank</w:t>
      </w:r>
      <w:r w:rsidR="001A4F45">
        <w:t xml:space="preserve"> (hierna: gedifferentieerde verbruiksbelasting)</w:t>
      </w:r>
      <w:r w:rsidRPr="35FA1F3E">
        <w:t>.</w:t>
      </w:r>
      <w:bookmarkEnd w:id="1"/>
      <w:r w:rsidRPr="35FA1F3E">
        <w:t xml:space="preserve"> </w:t>
      </w:r>
      <w:r w:rsidR="00E95AF4">
        <w:t xml:space="preserve">Kort gezegd betekent dit dat dranken </w:t>
      </w:r>
      <w:r w:rsidR="00282FF4">
        <w:t xml:space="preserve">zonder suiker of </w:t>
      </w:r>
      <w:r w:rsidR="00E95AF4">
        <w:t xml:space="preserve">met </w:t>
      </w:r>
      <w:r w:rsidR="00282FF4">
        <w:t>w</w:t>
      </w:r>
      <w:r w:rsidR="00E95AF4">
        <w:t>einig suiker minder worden belast</w:t>
      </w:r>
      <w:r w:rsidRPr="35FA1F3E" w:rsidR="00BD3CB3">
        <w:t>,</w:t>
      </w:r>
      <w:r w:rsidR="00E95AF4">
        <w:t xml:space="preserve"> en dranken met veel suiker meer. </w:t>
      </w:r>
      <w:r w:rsidR="00733196">
        <w:t xml:space="preserve">Bij </w:t>
      </w:r>
      <w:r w:rsidR="00300B74">
        <w:t xml:space="preserve">de opzet van </w:t>
      </w:r>
      <w:r w:rsidR="00733196">
        <w:t>dit systeem is een groot aantal beleidskeuzes te maken. Het gaat hierbij om vrag</w:t>
      </w:r>
      <w:r w:rsidR="00785D2A">
        <w:t>en zoals</w:t>
      </w:r>
      <w:r w:rsidR="00733196">
        <w:t xml:space="preserve"> welke </w:t>
      </w:r>
      <w:r w:rsidR="00300B74">
        <w:t>categorieën</w:t>
      </w:r>
      <w:r w:rsidR="00733196">
        <w:t xml:space="preserve"> dranken onder de gedifferentieerde verbruiksbelasting </w:t>
      </w:r>
      <w:r w:rsidR="00300B74">
        <w:t>komen te vallen, of onderscheid kan worden gemaakt tussen toegevoegd suiker en natuurlijke suiker</w:t>
      </w:r>
      <w:r w:rsidR="009B2C2D">
        <w:t>s</w:t>
      </w:r>
      <w:r w:rsidR="00300B74">
        <w:t xml:space="preserve">, welke tarieven komen te gelden en hoe wordt omgegaan met </w:t>
      </w:r>
      <w:r w:rsidR="00D752FF">
        <w:t xml:space="preserve">het minimumbedrag </w:t>
      </w:r>
      <w:r w:rsidR="009B2C2D">
        <w:t xml:space="preserve">van de </w:t>
      </w:r>
      <w:r w:rsidRPr="007017AE" w:rsidR="00D752FF">
        <w:t>bieraccijns in relatie tot</w:t>
      </w:r>
      <w:r w:rsidRPr="007017AE" w:rsidR="00300B74">
        <w:t xml:space="preserve"> de verbruiksbelasting. </w:t>
      </w:r>
      <w:r w:rsidRPr="007017AE" w:rsidR="00733196">
        <w:t>In deze brief worden</w:t>
      </w:r>
      <w:r w:rsidRPr="007017AE" w:rsidR="007B45BC">
        <w:t xml:space="preserve"> </w:t>
      </w:r>
      <w:r w:rsidRPr="007017AE" w:rsidR="00300B74">
        <w:t>deze keuzes toegelicht.</w:t>
      </w:r>
      <w:r w:rsidRPr="007017AE" w:rsidR="00DE7CA2">
        <w:t xml:space="preserve"> Daarbij geldt dat het voor een eenvoudiger belastingstelsel nodig is dat het aantal fiscale regelingen – waaronder uitzonderingen of kortingen op te betalen belastingen wordt verstaan – zoveel mogelijk wordt beperkt. Ook voor deze verbruiksbelasting geldt: hoe meer fiscale uitzonderingen, hoe complexer de uitvoering, het toezicht en de handhaving van deze belasting.</w:t>
      </w:r>
      <w:r w:rsidRPr="007017AE" w:rsidR="00DE7CA2">
        <w:rPr>
          <w:rStyle w:val="Voetnootmarkering"/>
        </w:rPr>
        <w:footnoteReference w:id="3"/>
      </w:r>
      <w:r w:rsidRPr="007017AE" w:rsidR="00DE7CA2">
        <w:t xml:space="preserve"> Verder </w:t>
      </w:r>
      <w:r w:rsidRPr="007017AE" w:rsidR="00300B74">
        <w:t xml:space="preserve">bevat deze brief een overzicht van </w:t>
      </w:r>
      <w:r w:rsidRPr="007017AE" w:rsidR="00B87737">
        <w:t xml:space="preserve">mogelijke </w:t>
      </w:r>
      <w:r w:rsidRPr="007017AE" w:rsidR="00300B74">
        <w:t>tarieven</w:t>
      </w:r>
      <w:r w:rsidRPr="007017AE" w:rsidR="00B87737">
        <w:t>,</w:t>
      </w:r>
      <w:r w:rsidRPr="007017AE" w:rsidR="00300B74">
        <w:t xml:space="preserve"> die</w:t>
      </w:r>
      <w:r w:rsidRPr="007017AE" w:rsidR="00B87737">
        <w:t xml:space="preserve"> lineair oplopen en </w:t>
      </w:r>
      <w:r w:rsidRPr="007017AE" w:rsidR="00DE24AA">
        <w:t>uitgaan</w:t>
      </w:r>
      <w:r w:rsidR="00DE24AA">
        <w:t xml:space="preserve"> van budgetneutraliteit</w:t>
      </w:r>
      <w:r w:rsidR="00CC04AA">
        <w:t>. Deze tarieven</w:t>
      </w:r>
      <w:r w:rsidR="00B87737">
        <w:t xml:space="preserve"> komen voort uit het onderzoek van </w:t>
      </w:r>
      <w:r w:rsidR="00300B74">
        <w:t>het RIVM.</w:t>
      </w:r>
      <w:r w:rsidRPr="35FA1F3E" w:rsidR="009B2C2D">
        <w:t xml:space="preserve"> </w:t>
      </w:r>
      <w:bookmarkStart w:name="_Hlk163809901" w:id="2"/>
      <w:r w:rsidR="004725F5">
        <w:t xml:space="preserve">Vanwege de nog te maken keuzes en de </w:t>
      </w:r>
      <w:r w:rsidR="007B29BE">
        <w:t xml:space="preserve">verscheidenheid in politieke wensen </w:t>
      </w:r>
      <w:r w:rsidRPr="35FA1F3E" w:rsidR="009B2C2D">
        <w:t xml:space="preserve">- </w:t>
      </w:r>
      <w:r w:rsidR="007B29BE">
        <w:t xml:space="preserve">uitgaande van de </w:t>
      </w:r>
      <w:r w:rsidR="004725F5">
        <w:t>verschillende moties</w:t>
      </w:r>
      <w:r w:rsidRPr="35FA1F3E" w:rsidR="009B2C2D">
        <w:t xml:space="preserve"> -</w:t>
      </w:r>
      <w:r w:rsidR="004725F5">
        <w:t xml:space="preserve"> acht het demissionaire kabinet het op dit moment prematuur om gelijktijdig met deze brief een wetsvoorstel </w:t>
      </w:r>
      <w:r w:rsidR="00B17751">
        <w:t>in</w:t>
      </w:r>
      <w:r w:rsidR="004725F5">
        <w:t xml:space="preserve"> te </w:t>
      </w:r>
      <w:r w:rsidR="00B17751">
        <w:t xml:space="preserve">dienen. </w:t>
      </w:r>
      <w:bookmarkStart w:name="_Hlk165023604" w:id="3"/>
      <w:r w:rsidR="004725F5">
        <w:t xml:space="preserve">Afhankelijk </w:t>
      </w:r>
      <w:r w:rsidR="00300B74">
        <w:t xml:space="preserve">van </w:t>
      </w:r>
      <w:r w:rsidR="009B2C2D">
        <w:t xml:space="preserve">de </w:t>
      </w:r>
      <w:r w:rsidR="007B29BE">
        <w:t xml:space="preserve">voorkeur van uw Kamer voor </w:t>
      </w:r>
      <w:r w:rsidR="00A86EC0">
        <w:t>éé</w:t>
      </w:r>
      <w:r w:rsidR="007B29BE">
        <w:t xml:space="preserve">n van de in deze brief opgenomen </w:t>
      </w:r>
      <w:r w:rsidR="004C2385">
        <w:t xml:space="preserve">scenario’s </w:t>
      </w:r>
      <w:r w:rsidR="007B29BE">
        <w:t xml:space="preserve">kan het </w:t>
      </w:r>
      <w:r w:rsidR="009B6F1B">
        <w:t xml:space="preserve">kabinet </w:t>
      </w:r>
      <w:r w:rsidR="007B29BE">
        <w:t>deze</w:t>
      </w:r>
      <w:r w:rsidR="009B6F1B">
        <w:t xml:space="preserve"> desgewenst</w:t>
      </w:r>
      <w:r w:rsidR="004725F5">
        <w:t xml:space="preserve"> alsnog </w:t>
      </w:r>
      <w:r w:rsidR="007B29BE">
        <w:t>uitwerken</w:t>
      </w:r>
      <w:r w:rsidRPr="35FA1F3E" w:rsidR="004725F5">
        <w:t xml:space="preserve"> </w:t>
      </w:r>
      <w:r w:rsidR="007B29BE">
        <w:t>in een wetsvoorstel</w:t>
      </w:r>
      <w:r w:rsidRPr="35FA1F3E" w:rsidR="004725F5">
        <w:t>.</w:t>
      </w:r>
      <w:bookmarkEnd w:id="2"/>
      <w:bookmarkEnd w:id="3"/>
      <w:r w:rsidR="00B944F7">
        <w:t xml:space="preserve"> </w:t>
      </w:r>
      <w:r w:rsidR="006231F6">
        <w:t xml:space="preserve">Scenario I is het eenvoudigst uitvoerbaar voor de Douane. </w:t>
      </w:r>
      <w:r w:rsidR="00B944F7">
        <w:rPr>
          <w:rFonts w:eastAsia="Times New Roman"/>
        </w:rPr>
        <w:t xml:space="preserve">Vanuit het perspectief van volksgezondheid </w:t>
      </w:r>
      <w:r w:rsidR="006231F6">
        <w:rPr>
          <w:rFonts w:eastAsia="Times New Roman"/>
        </w:rPr>
        <w:t>is</w:t>
      </w:r>
      <w:r w:rsidR="005C4E37">
        <w:rPr>
          <w:rFonts w:eastAsia="Times New Roman"/>
        </w:rPr>
        <w:t xml:space="preserve"> </w:t>
      </w:r>
      <w:r w:rsidR="00B944F7">
        <w:rPr>
          <w:rFonts w:eastAsia="Times New Roman"/>
        </w:rPr>
        <w:t>scenario II</w:t>
      </w:r>
      <w:r w:rsidR="005C4E37">
        <w:rPr>
          <w:rFonts w:eastAsia="Times New Roman"/>
        </w:rPr>
        <w:t xml:space="preserve"> het meest </w:t>
      </w:r>
      <w:r w:rsidR="006231F6">
        <w:rPr>
          <w:rFonts w:eastAsia="Times New Roman"/>
        </w:rPr>
        <w:t>passend</w:t>
      </w:r>
      <w:r w:rsidR="00B944F7">
        <w:rPr>
          <w:rFonts w:eastAsia="Times New Roman"/>
        </w:rPr>
        <w:t xml:space="preserve">. </w:t>
      </w:r>
      <w:r w:rsidR="00D26B28">
        <w:t>De moties die uw Kamer heeft aangenomen duiden op verschillende scenario’s. De moties worden bij het passende scenario in deze brief aangehaald.</w:t>
      </w:r>
    </w:p>
    <w:p w:rsidR="00300B74" w:rsidP="007B45BC" w:rsidRDefault="00300B74" w14:paraId="1AA43BD6" w14:textId="77777777">
      <w:r>
        <w:lastRenderedPageBreak/>
        <w:t>In deze brief ga</w:t>
      </w:r>
      <w:r w:rsidR="00FB3FBF">
        <w:t>an</w:t>
      </w:r>
      <w:r>
        <w:t xml:space="preserve"> </w:t>
      </w:r>
      <w:r w:rsidR="00FB3FBF">
        <w:t>w</w:t>
      </w:r>
      <w:r w:rsidR="00CC04AA">
        <w:t xml:space="preserve">ij </w:t>
      </w:r>
      <w:r>
        <w:t xml:space="preserve">allereerst in op </w:t>
      </w:r>
      <w:r w:rsidR="00785D2A">
        <w:t xml:space="preserve">het </w:t>
      </w:r>
      <w:r>
        <w:t xml:space="preserve">nut en </w:t>
      </w:r>
      <w:r w:rsidR="00E85DF4">
        <w:t xml:space="preserve">de </w:t>
      </w:r>
      <w:r>
        <w:t xml:space="preserve">noodzaak van een gedifferentieerde verbruiksbelasting (paragraaf 1). Vervolgens </w:t>
      </w:r>
      <w:r w:rsidR="00CC04AA">
        <w:t>worden de vormgeving van d</w:t>
      </w:r>
      <w:r w:rsidR="001A4F45">
        <w:t>e belasting</w:t>
      </w:r>
      <w:r w:rsidR="00CC04AA">
        <w:t xml:space="preserve"> </w:t>
      </w:r>
      <w:r w:rsidR="001A4F45">
        <w:t>(paragraaf 2) en</w:t>
      </w:r>
      <w:r w:rsidR="00CC04AA">
        <w:t xml:space="preserve"> de</w:t>
      </w:r>
      <w:r w:rsidR="001A4F45">
        <w:t xml:space="preserve"> mogelijke </w:t>
      </w:r>
      <w:r w:rsidR="00DF593C">
        <w:t xml:space="preserve">behandeling van de verschillende categorieën dranken </w:t>
      </w:r>
      <w:r w:rsidR="001A4F45">
        <w:t>(paragraaf 3)</w:t>
      </w:r>
      <w:r w:rsidR="00A86EC0">
        <w:t xml:space="preserve"> besproken</w:t>
      </w:r>
      <w:r w:rsidR="001A4F45">
        <w:t xml:space="preserve">. </w:t>
      </w:r>
      <w:r w:rsidR="00A86EC0">
        <w:t>In paragraaf 4 gaan w</w:t>
      </w:r>
      <w:r w:rsidR="00243802">
        <w:t>ij</w:t>
      </w:r>
      <w:r w:rsidR="00A86EC0">
        <w:t xml:space="preserve"> in op</w:t>
      </w:r>
      <w:r w:rsidR="00910C15">
        <w:t xml:space="preserve"> de administratieve lasten voor burger en bedrijf. In paragraaf 5 worden de uitvoeringsaspecten voor de Douane besproken en in paragraaf 6 grenseffecten.</w:t>
      </w:r>
    </w:p>
    <w:p w:rsidRPr="00911A1E" w:rsidR="001A4F45" w:rsidP="007B45BC" w:rsidRDefault="001A4F45" w14:paraId="29983B6A" w14:textId="77777777">
      <w:pPr>
        <w:rPr>
          <w:b/>
        </w:rPr>
      </w:pPr>
    </w:p>
    <w:p w:rsidR="001A4F45" w:rsidRDefault="001A4F45" w14:paraId="502C0D9A" w14:textId="77777777">
      <w:pPr>
        <w:pStyle w:val="Lijstalinea"/>
        <w:numPr>
          <w:ilvl w:val="0"/>
          <w:numId w:val="13"/>
        </w:numPr>
        <w:rPr>
          <w:b/>
          <w:bCs/>
        </w:rPr>
      </w:pPr>
      <w:r w:rsidRPr="00BD157F">
        <w:rPr>
          <w:b/>
          <w:bCs/>
        </w:rPr>
        <w:t xml:space="preserve">Nut en noodzaak gedifferentieerde </w:t>
      </w:r>
      <w:r w:rsidRPr="001A4F45">
        <w:rPr>
          <w:b/>
          <w:bCs/>
        </w:rPr>
        <w:t>verbruiksbelasting</w:t>
      </w:r>
      <w:r w:rsidRPr="00BD157F">
        <w:rPr>
          <w:b/>
          <w:bCs/>
        </w:rPr>
        <w:t xml:space="preserve"> </w:t>
      </w:r>
    </w:p>
    <w:p w:rsidRPr="00911A1E" w:rsidR="009E1885" w:rsidP="00911A1E" w:rsidRDefault="009E1885" w14:paraId="45129A59" w14:textId="77777777">
      <w:pPr>
        <w:pStyle w:val="Lijstalinea"/>
        <w:rPr>
          <w:b/>
        </w:rPr>
      </w:pPr>
    </w:p>
    <w:p w:rsidRPr="00677993" w:rsidR="0095513A" w:rsidP="001A4F45" w:rsidRDefault="009E1885" w14:paraId="75B81428" w14:textId="77777777">
      <w:r w:rsidRPr="35FA1F3E">
        <w:rPr>
          <w:i/>
          <w:iCs/>
        </w:rPr>
        <w:t xml:space="preserve">1.1 </w:t>
      </w:r>
      <w:r w:rsidR="00785D2A">
        <w:rPr>
          <w:i/>
          <w:iCs/>
        </w:rPr>
        <w:t>Suikerhoudende dranken en g</w:t>
      </w:r>
      <w:r w:rsidRPr="35FA1F3E">
        <w:rPr>
          <w:i/>
          <w:iCs/>
        </w:rPr>
        <w:t>ezondheid</w:t>
      </w:r>
    </w:p>
    <w:p w:rsidRPr="00677993" w:rsidR="00FE1C25" w:rsidP="00C628BC" w:rsidRDefault="00FE1C25" w14:paraId="31EA3BD7" w14:textId="77777777">
      <w:pPr>
        <w:pStyle w:val="Default"/>
        <w:spacing w:line="240" w:lineRule="atLeast"/>
        <w:rPr>
          <w:sz w:val="18"/>
          <w:szCs w:val="18"/>
        </w:rPr>
      </w:pPr>
      <w:r w:rsidRPr="00677993">
        <w:rPr>
          <w:sz w:val="18"/>
          <w:szCs w:val="18"/>
        </w:rPr>
        <w:t>In Nederland heeft de helft van de volwassenen en 13% van de kinderen overgewicht.</w:t>
      </w:r>
      <w:r w:rsidR="00CC3A0C">
        <w:rPr>
          <w:rStyle w:val="Voetnootmarkering"/>
          <w:sz w:val="18"/>
          <w:szCs w:val="18"/>
        </w:rPr>
        <w:footnoteReference w:id="4"/>
      </w:r>
      <w:r w:rsidRPr="00677993">
        <w:rPr>
          <w:sz w:val="18"/>
          <w:szCs w:val="18"/>
        </w:rPr>
        <w:t xml:space="preserve"> Overgewicht en obesitas zijn geassocieerd met een verhoogd risico op diabetes mellitus type 2, hart- en vaatziekten, aandoeningen aan het bewegingsstelsel en verschillende soorten kanker.</w:t>
      </w:r>
      <w:r w:rsidR="00076D4D">
        <w:rPr>
          <w:rStyle w:val="Voetnootmarkering"/>
          <w:sz w:val="18"/>
          <w:szCs w:val="18"/>
        </w:rPr>
        <w:footnoteReference w:id="5"/>
      </w:r>
      <w:r w:rsidRPr="00677993">
        <w:rPr>
          <w:sz w:val="18"/>
          <w:szCs w:val="18"/>
        </w:rPr>
        <w:t xml:space="preserve"> Volgens het trendscenario in de Volksgezondheid Toekomst Verkenning 2018 zal het percentage volwassenen met overgewicht zonder extra maatregelen de komende jaren stijgen naar 62% in 2040.</w:t>
      </w:r>
      <w:r w:rsidR="00076D4D">
        <w:rPr>
          <w:rStyle w:val="Voetnootmarkering"/>
          <w:sz w:val="18"/>
          <w:szCs w:val="18"/>
        </w:rPr>
        <w:footnoteReference w:id="6"/>
      </w:r>
    </w:p>
    <w:p w:rsidRPr="00AD49D3" w:rsidR="00FE1C25" w:rsidP="00FE1C25" w:rsidRDefault="00FE1C25" w14:paraId="020683F2" w14:textId="77777777">
      <w:r w:rsidRPr="00677993">
        <w:t>Overgewicht en obesitas zijn complexe aandoeningen die het gevolg zijn van meerdere factoren.</w:t>
      </w:r>
      <w:r w:rsidR="00076D4D">
        <w:rPr>
          <w:rStyle w:val="Voetnootmarkering"/>
        </w:rPr>
        <w:footnoteReference w:id="7"/>
      </w:r>
      <w:r w:rsidRPr="00677993">
        <w:t xml:space="preserve"> Eén van de factoren die bijdra</w:t>
      </w:r>
      <w:r w:rsidR="00A86EC0">
        <w:t>a</w:t>
      </w:r>
      <w:r w:rsidRPr="00677993">
        <w:t>g</w:t>
      </w:r>
      <w:r w:rsidR="00A86EC0">
        <w:t>t</w:t>
      </w:r>
      <w:r w:rsidRPr="00677993">
        <w:t xml:space="preserve"> aan het ontstaan van overgewicht en obesitas is een ongezond voedingspatroon. In de huidige voedselomgeving worden consumenten vaak verleid om voor ongezond voedsel te kiezen</w:t>
      </w:r>
      <w:r w:rsidR="00076D4D">
        <w:t>.</w:t>
      </w:r>
      <w:r w:rsidR="00076D4D">
        <w:rPr>
          <w:rStyle w:val="Voetnootmarkering"/>
        </w:rPr>
        <w:footnoteReference w:id="8"/>
      </w:r>
      <w:r w:rsidRPr="007971BB" w:rsidR="007971BB">
        <w:rPr>
          <w:vertAlign w:val="superscript"/>
        </w:rPr>
        <w:t>,</w:t>
      </w:r>
      <w:r w:rsidR="007971BB">
        <w:rPr>
          <w:rStyle w:val="Voetnootmarkering"/>
        </w:rPr>
        <w:footnoteReference w:id="9"/>
      </w:r>
      <w:r w:rsidRPr="00677993">
        <w:t xml:space="preserve"> In het Nationaal Preventieakkoord (NPA) zijn daarom verschillende afspraken opgenomen om de voedselomgeving gezonder te maken, onder andere via inzet van supermarkten op verkoop van producten uit de Schijf van Vijf en de Nationale Aanpak Productverbetering (NAPV).</w:t>
      </w:r>
      <w:r w:rsidR="00076D4D">
        <w:rPr>
          <w:rStyle w:val="Voetnootmarkering"/>
        </w:rPr>
        <w:footnoteReference w:id="10"/>
      </w:r>
      <w:r w:rsidRPr="00677993">
        <w:t xml:space="preserve"> In aanvulling op deze afspraken zouden prijsmaatregelen een effectieve manier kunnen zijn om de voedselkeuzes van consumenten te beïnvloeden.</w:t>
      </w:r>
      <w:r w:rsidR="00076D4D">
        <w:rPr>
          <w:rStyle w:val="Voetnootmarkering"/>
        </w:rPr>
        <w:footnoteReference w:id="11"/>
      </w:r>
      <w:r w:rsidRPr="00677993">
        <w:t xml:space="preserve"> De Wereldgezondheidsorganisatie (WHO) beveelt overheden aan om een belasting op suikerhoudende dranken in te voeren als onderdeel van een integrale aanpak om overgewicht tegen te gaan.</w:t>
      </w:r>
      <w:r w:rsidR="00076D4D">
        <w:rPr>
          <w:rStyle w:val="Voetnootmarkering"/>
        </w:rPr>
        <w:footnoteReference w:id="12"/>
      </w:r>
      <w:r w:rsidRPr="00677993">
        <w:t xml:space="preserve"> Een belasting op suikerhoudende dranken kan consumenten stimuleren om minder suikerhoudende dranken te kopen als gevolg van de prijsverhoging.</w:t>
      </w:r>
      <w:r w:rsidR="00076D4D">
        <w:rPr>
          <w:rStyle w:val="Voetnootmarkering"/>
        </w:rPr>
        <w:footnoteReference w:id="13"/>
      </w:r>
      <w:r w:rsidRPr="00851F71" w:rsidR="00851F71">
        <w:t xml:space="preserve"> </w:t>
      </w:r>
      <w:r w:rsidR="00851F71">
        <w:t>De Gezondheidsraad geeft aan dat de consumptie van één à twee glazen suikerhoudende dranken per dag al leidt tot een verhoogd risico op diabetes type 2.</w:t>
      </w:r>
    </w:p>
    <w:p w:rsidR="004815B8" w:rsidP="0095513A" w:rsidRDefault="004815B8" w14:paraId="4F00906A" w14:textId="77777777"/>
    <w:p w:rsidR="00E618D5" w:rsidP="0095513A" w:rsidRDefault="00E618D5" w14:paraId="63B10082" w14:textId="77777777"/>
    <w:p w:rsidRPr="00AD49D3" w:rsidR="00E618D5" w:rsidP="0095513A" w:rsidRDefault="00E618D5" w14:paraId="186D6F71" w14:textId="77777777"/>
    <w:p w:rsidRPr="00873021" w:rsidR="009E1885" w:rsidRDefault="009E1885" w14:paraId="39591153" w14:textId="77777777">
      <w:pPr>
        <w:rPr>
          <w:i/>
          <w:iCs/>
        </w:rPr>
      </w:pPr>
      <w:r w:rsidRPr="00BD157F">
        <w:rPr>
          <w:i/>
          <w:iCs/>
        </w:rPr>
        <w:lastRenderedPageBreak/>
        <w:t>1.2 Onderzoek gedifferentieerde verbruiksbelasting</w:t>
      </w:r>
    </w:p>
    <w:p w:rsidRPr="00AD49D3" w:rsidR="0095513A" w:rsidP="009E1885" w:rsidRDefault="0095513A" w14:paraId="28FA7DBD" w14:textId="77777777">
      <w:r w:rsidRPr="00AD49D3">
        <w:t>In de brief van 6</w:t>
      </w:r>
      <w:r w:rsidR="00CB7E46">
        <w:t> </w:t>
      </w:r>
      <w:r w:rsidRPr="00AD49D3">
        <w:t>juli</w:t>
      </w:r>
      <w:r w:rsidR="00CB7E46">
        <w:t> </w:t>
      </w:r>
      <w:r w:rsidRPr="00AD49D3">
        <w:t>2023 heb</w:t>
      </w:r>
      <w:r w:rsidR="00CB7E46">
        <w:t xml:space="preserve">ben wij </w:t>
      </w:r>
      <w:r w:rsidRPr="00AD49D3">
        <w:t>uw Kamer geïnformeerd over het onderzoek van het ministerie van Financi</w:t>
      </w:r>
      <w:r w:rsidRPr="00AD49D3" w:rsidR="282E0F1E">
        <w:t>ë</w:t>
      </w:r>
      <w:r w:rsidRPr="00AD49D3">
        <w:t>n en het ministerie van Volksgezondheid, Welzijn en Sport</w:t>
      </w:r>
      <w:r w:rsidR="00FB3FBF">
        <w:t xml:space="preserve"> </w:t>
      </w:r>
      <w:r w:rsidRPr="00AD49D3">
        <w:t>naar de mogelijkheden voor een gedifferentieerde verbruiksbelasting op basis van suikergehalte</w:t>
      </w:r>
      <w:r w:rsidR="0052272A">
        <w:t xml:space="preserve"> (hierna: het onderzoek)</w:t>
      </w:r>
      <w:r w:rsidRPr="00AD49D3">
        <w:t>.</w:t>
      </w:r>
      <w:r w:rsidR="00785D2A">
        <w:rPr>
          <w:rStyle w:val="Voetnootmarkering"/>
        </w:rPr>
        <w:footnoteReference w:id="14"/>
      </w:r>
      <w:r w:rsidRPr="00AD49D3">
        <w:t xml:space="preserve"> </w:t>
      </w:r>
      <w:r w:rsidR="00A736FF">
        <w:t xml:space="preserve">Aan dit onderzoek hebben ook het RIVM en het CBS een bijdrage geleverd. </w:t>
      </w:r>
      <w:r w:rsidRPr="00AD49D3">
        <w:t xml:space="preserve">Uit </w:t>
      </w:r>
      <w:r w:rsidR="0052272A">
        <w:t>he</w:t>
      </w:r>
      <w:r w:rsidRPr="00AD49D3">
        <w:t xml:space="preserve">t onderzoek is gebleken dat een dergelijke belasting kan bijdragen aan het reduceren van suikerinname via alcoholvrije dranken. </w:t>
      </w:r>
      <w:r w:rsidRPr="00AD49D3" w:rsidR="00E32BDC">
        <w:t xml:space="preserve">Het RIVM geeft in het onderzoek aan dat – afhankelijk van de gekozen </w:t>
      </w:r>
      <w:r w:rsidR="008F55A6">
        <w:t>vormgeving</w:t>
      </w:r>
      <w:r w:rsidRPr="00AD49D3" w:rsidR="00E32BDC">
        <w:t>, waarover hieronder meer – een gedifferentieerde verbruiksbelasting zorgt voor een reductie van 15</w:t>
      </w:r>
      <w:r w:rsidR="008C4E1C">
        <w:t xml:space="preserve"> tot </w:t>
      </w:r>
      <w:r w:rsidRPr="00AD49D3" w:rsidR="00E32BDC">
        <w:t>18% in de verkoop van suiker via alcoholvrije dranken</w:t>
      </w:r>
      <w:r w:rsidR="008F55A6">
        <w:t xml:space="preserve"> ten opzichte van een verbruiksbelasting met vlak tarief</w:t>
      </w:r>
      <w:r w:rsidR="00A86EC0">
        <w:t>,</w:t>
      </w:r>
      <w:r w:rsidR="008F55A6">
        <w:t xml:space="preserve"> zoals w</w:t>
      </w:r>
      <w:r w:rsidR="00243802">
        <w:t>ij</w:t>
      </w:r>
      <w:r w:rsidR="008F55A6">
        <w:t xml:space="preserve"> die nu kennen</w:t>
      </w:r>
      <w:r w:rsidRPr="00AD49D3" w:rsidR="00E32BDC">
        <w:t>.</w:t>
      </w:r>
    </w:p>
    <w:p w:rsidRPr="00AD49D3" w:rsidR="007B45BC" w:rsidP="0095513A" w:rsidRDefault="007B45BC" w14:paraId="2CB6744F" w14:textId="77777777"/>
    <w:p w:rsidRPr="00873021" w:rsidR="00157C62" w:rsidP="18866C71" w:rsidRDefault="00866B13" w14:paraId="6E98BA76" w14:textId="77777777">
      <w:pPr>
        <w:rPr>
          <w:i/>
          <w:iCs/>
        </w:rPr>
      </w:pPr>
      <w:r w:rsidRPr="18866C71">
        <w:rPr>
          <w:i/>
          <w:iCs/>
        </w:rPr>
        <w:t xml:space="preserve">1.3 </w:t>
      </w:r>
      <w:r w:rsidRPr="18866C71" w:rsidR="00157C62">
        <w:rPr>
          <w:i/>
          <w:iCs/>
        </w:rPr>
        <w:t>Moties/politieke wensen</w:t>
      </w:r>
    </w:p>
    <w:p w:rsidR="00866B13" w:rsidP="00157C62" w:rsidRDefault="00BB2B35" w14:paraId="743630CF" w14:textId="77777777">
      <w:bookmarkStart w:name="_Hlk163811229" w:id="4"/>
      <w:r>
        <w:t xml:space="preserve">Met betrekking tot de vormgeving van de gedifferentieerde verbruiksbelasting zijn </w:t>
      </w:r>
      <w:r w:rsidR="00866B13">
        <w:t>in het najaar van 2024 de volgende moties</w:t>
      </w:r>
      <w:r>
        <w:t xml:space="preserve"> aangenomen: </w:t>
      </w:r>
    </w:p>
    <w:p w:rsidR="00157C62" w:rsidP="35FA1F3E" w:rsidRDefault="00BB2B35" w14:paraId="5DFB5D6C" w14:textId="77777777">
      <w:pPr>
        <w:pStyle w:val="Lijstalinea"/>
        <w:numPr>
          <w:ilvl w:val="0"/>
          <w:numId w:val="19"/>
        </w:numPr>
      </w:pPr>
      <w:proofErr w:type="gramStart"/>
      <w:r>
        <w:t>i</w:t>
      </w:r>
      <w:r w:rsidR="00866B13">
        <w:t>n</w:t>
      </w:r>
      <w:proofErr w:type="gramEnd"/>
      <w:r w:rsidR="00866B13">
        <w:t xml:space="preserve"> de motie Grinwis</w:t>
      </w:r>
      <w:r w:rsidR="009B6F1B">
        <w:rPr>
          <w:rStyle w:val="Voetnootmarkering"/>
        </w:rPr>
        <w:footnoteReference w:id="15"/>
      </w:r>
      <w:r w:rsidR="00866B13">
        <w:t xml:space="preserve"> wordt het kabinet opgeroepen </w:t>
      </w:r>
      <w:r w:rsidR="00157C62">
        <w:t>zo</w:t>
      </w:r>
      <w:r w:rsidR="00333C09">
        <w:t xml:space="preserve"> snel als mogelijk, </w:t>
      </w:r>
      <w:r w:rsidR="00BD157F">
        <w:t xml:space="preserve">maar </w:t>
      </w:r>
      <w:r w:rsidR="00333C09">
        <w:t xml:space="preserve">uiterlijk per 2026, een zo eenvoudig mogelijke, uitvoerbare vorm van een gedifferentieerde </w:t>
      </w:r>
      <w:r>
        <w:t>verbruiksbelasting</w:t>
      </w:r>
      <w:r w:rsidR="00333C09">
        <w:t xml:space="preserve"> in te voeren op basis van suikergehalte</w:t>
      </w:r>
      <w:r w:rsidRPr="35FA1F3E">
        <w:t>;</w:t>
      </w:r>
      <w:r w:rsidRPr="35FA1F3E" w:rsidR="00333C09">
        <w:t xml:space="preserve"> </w:t>
      </w:r>
    </w:p>
    <w:p w:rsidR="00866B13" w:rsidP="00866B13" w:rsidRDefault="00BB2B35" w14:paraId="0F3BEB8D" w14:textId="77777777">
      <w:pPr>
        <w:pStyle w:val="Lijstalinea"/>
        <w:numPr>
          <w:ilvl w:val="0"/>
          <w:numId w:val="19"/>
        </w:numPr>
      </w:pPr>
      <w:proofErr w:type="gramStart"/>
      <w:r>
        <w:t>d</w:t>
      </w:r>
      <w:r w:rsidR="00866B13">
        <w:t>e</w:t>
      </w:r>
      <w:proofErr w:type="gramEnd"/>
      <w:r w:rsidR="00866B13">
        <w:t xml:space="preserve"> motie E</w:t>
      </w:r>
      <w:r w:rsidR="009B6F1B">
        <w:t>rkens</w:t>
      </w:r>
      <w:r w:rsidR="009B6F1B">
        <w:rPr>
          <w:rStyle w:val="Voetnootmarkering"/>
        </w:rPr>
        <w:footnoteReference w:id="16"/>
      </w:r>
      <w:r>
        <w:t xml:space="preserve"> verzoekt het kabinet om in de verbruiksbelasting van alcoholvrije dranken differentiatie mogelijk te maken tussen vruchtensappen en andere dranken;</w:t>
      </w:r>
    </w:p>
    <w:p w:rsidR="00866B13" w:rsidP="35FA1F3E" w:rsidRDefault="00BB2B35" w14:paraId="08C8489B" w14:textId="77777777">
      <w:pPr>
        <w:pStyle w:val="Lijstalinea"/>
        <w:numPr>
          <w:ilvl w:val="0"/>
          <w:numId w:val="19"/>
        </w:numPr>
      </w:pPr>
      <w:proofErr w:type="gramStart"/>
      <w:r>
        <w:t>in</w:t>
      </w:r>
      <w:proofErr w:type="gramEnd"/>
      <w:r>
        <w:t xml:space="preserve"> d</w:t>
      </w:r>
      <w:r w:rsidR="00866B13">
        <w:t xml:space="preserve">e motie </w:t>
      </w:r>
      <w:proofErr w:type="spellStart"/>
      <w:r w:rsidR="00866B13">
        <w:t>Visseren</w:t>
      </w:r>
      <w:proofErr w:type="spellEnd"/>
      <w:r w:rsidR="00866B13">
        <w:t>-Hamakers</w:t>
      </w:r>
      <w:r w:rsidR="00866B13">
        <w:rPr>
          <w:rStyle w:val="Voetnootmarkering"/>
        </w:rPr>
        <w:footnoteReference w:id="17"/>
      </w:r>
      <w:r w:rsidR="009B6F1B">
        <w:t xml:space="preserve"> wordt het kabinet verzocht een nultarief in de verbruiksbelasting in te voeren voor dranken die geen toegevoegde suikers bevatten</w:t>
      </w:r>
      <w:r w:rsidRPr="35FA1F3E">
        <w:t>;</w:t>
      </w:r>
      <w:r w:rsidRPr="35FA1F3E" w:rsidR="00866B13">
        <w:t xml:space="preserve"> </w:t>
      </w:r>
    </w:p>
    <w:p w:rsidR="00866B13" w:rsidP="00C403CE" w:rsidRDefault="00BB2B35" w14:paraId="0696279F" w14:textId="77777777">
      <w:pPr>
        <w:pStyle w:val="Lijstalinea"/>
        <w:numPr>
          <w:ilvl w:val="0"/>
          <w:numId w:val="19"/>
        </w:numPr>
      </w:pPr>
      <w:proofErr w:type="gramStart"/>
      <w:r>
        <w:t>d</w:t>
      </w:r>
      <w:r w:rsidR="009B6F1B">
        <w:t>e</w:t>
      </w:r>
      <w:proofErr w:type="gramEnd"/>
      <w:r w:rsidR="009B6F1B">
        <w:t xml:space="preserve"> </w:t>
      </w:r>
      <w:r w:rsidR="00866B13">
        <w:t>motie Koffeman</w:t>
      </w:r>
      <w:r w:rsidR="00866B13">
        <w:rPr>
          <w:rStyle w:val="Voetnootmarkering"/>
        </w:rPr>
        <w:footnoteReference w:id="18"/>
      </w:r>
      <w:r w:rsidR="00866B13">
        <w:t xml:space="preserve"> roep</w:t>
      </w:r>
      <w:r w:rsidR="009B6F1B">
        <w:t>t</w:t>
      </w:r>
      <w:r w:rsidR="00866B13">
        <w:t xml:space="preserve"> op een onderscheid te maken tussen dranken met toegevoegde suikers en dranken met alleen natuurlijke suikers.</w:t>
      </w:r>
    </w:p>
    <w:bookmarkEnd w:id="4"/>
    <w:p w:rsidR="00157C62" w:rsidP="00157C62" w:rsidRDefault="00157C62" w14:paraId="497AB2E9" w14:textId="77777777"/>
    <w:p w:rsidRPr="000B1DB1" w:rsidR="00157C62" w:rsidP="35FA1F3E" w:rsidRDefault="00640920" w14:paraId="032E7EAC" w14:textId="77777777">
      <w:pPr>
        <w:rPr>
          <w:i/>
        </w:rPr>
      </w:pPr>
      <w:r>
        <w:t>Zoals aangegeven worden in d</w:t>
      </w:r>
      <w:r w:rsidR="00866B13">
        <w:t>eze b</w:t>
      </w:r>
      <w:r w:rsidR="00A23BE8">
        <w:t>r</w:t>
      </w:r>
      <w:r w:rsidR="00866B13">
        <w:t>ie</w:t>
      </w:r>
      <w:r w:rsidR="00A23BE8">
        <w:t>f</w:t>
      </w:r>
      <w:r w:rsidRPr="35FA1F3E" w:rsidR="00866B13">
        <w:t xml:space="preserve"> </w:t>
      </w:r>
      <w:r w:rsidR="00A23BE8">
        <w:t xml:space="preserve">verschillende </w:t>
      </w:r>
      <w:r w:rsidR="004C2385">
        <w:t xml:space="preserve">scenario’s </w:t>
      </w:r>
      <w:r>
        <w:t>v</w:t>
      </w:r>
      <w:r w:rsidR="004C2385">
        <w:t>oor</w:t>
      </w:r>
      <w:r>
        <w:t xml:space="preserve"> een gedifferentieerde verbruiksbelasting</w:t>
      </w:r>
      <w:r w:rsidR="00A23BE8">
        <w:t xml:space="preserve"> uitgewerkt. </w:t>
      </w:r>
      <w:r>
        <w:t>De aangenomen moties worden behandeld bij de daarop van toepassing zijnde optie.</w:t>
      </w:r>
      <w:r w:rsidRPr="35FA1F3E" w:rsidR="00B8225D">
        <w:t xml:space="preserve"> </w:t>
      </w:r>
      <w:r w:rsidR="00112E26">
        <w:t xml:space="preserve">De moties </w:t>
      </w:r>
      <w:proofErr w:type="spellStart"/>
      <w:r w:rsidR="00112E26">
        <w:t>Visseren</w:t>
      </w:r>
      <w:proofErr w:type="spellEnd"/>
      <w:r w:rsidR="00112E26">
        <w:t xml:space="preserve">-Hamakers en Koffeman worden behandeld in paragraaf 2.3. </w:t>
      </w:r>
    </w:p>
    <w:p w:rsidRPr="00AD49D3" w:rsidR="00157C62" w:rsidP="00157C62" w:rsidRDefault="00157C62" w14:paraId="29BE40C9" w14:textId="77777777">
      <w:pPr>
        <w:rPr>
          <w:i/>
          <w:iCs/>
        </w:rPr>
      </w:pPr>
    </w:p>
    <w:p w:rsidRPr="00AD49D3" w:rsidR="0095513A" w:rsidP="0035301F" w:rsidRDefault="0095513A" w14:paraId="02C8309F" w14:textId="77777777">
      <w:pPr>
        <w:pStyle w:val="Lijstalinea"/>
        <w:numPr>
          <w:ilvl w:val="0"/>
          <w:numId w:val="13"/>
        </w:numPr>
        <w:rPr>
          <w:b/>
          <w:bCs/>
        </w:rPr>
      </w:pPr>
      <w:r w:rsidRPr="00AD49D3">
        <w:rPr>
          <w:b/>
          <w:bCs/>
        </w:rPr>
        <w:t>Vormgeving van de belasting</w:t>
      </w:r>
    </w:p>
    <w:p w:rsidRPr="00AD49D3" w:rsidR="0095513A" w:rsidP="0095513A" w:rsidRDefault="0095513A" w14:paraId="54FE06D2" w14:textId="77777777">
      <w:pPr>
        <w:rPr>
          <w:i/>
          <w:iCs/>
        </w:rPr>
      </w:pPr>
    </w:p>
    <w:p w:rsidRPr="00873021" w:rsidR="0095513A" w:rsidP="18866C71" w:rsidRDefault="001A4F45" w14:paraId="305895F0" w14:textId="77777777">
      <w:pPr>
        <w:rPr>
          <w:i/>
          <w:iCs/>
        </w:rPr>
      </w:pPr>
      <w:r w:rsidRPr="18866C71">
        <w:rPr>
          <w:i/>
          <w:iCs/>
        </w:rPr>
        <w:t>2</w:t>
      </w:r>
      <w:r w:rsidRPr="18866C71" w:rsidR="00C373F9">
        <w:rPr>
          <w:i/>
          <w:iCs/>
        </w:rPr>
        <w:t xml:space="preserve">.1 </w:t>
      </w:r>
      <w:r w:rsidRPr="18866C71" w:rsidR="0095513A">
        <w:rPr>
          <w:i/>
          <w:iCs/>
        </w:rPr>
        <w:t>Huidige belasting</w:t>
      </w:r>
    </w:p>
    <w:p w:rsidRPr="00AD49D3" w:rsidR="0095513A" w:rsidDel="00F3571C" w:rsidP="00A26BBC" w:rsidRDefault="0095513A" w14:paraId="517CD507" w14:textId="77777777">
      <w:r w:rsidRPr="00AD49D3">
        <w:t>Nederland kent sinds 1993 een verbruiksbelasting van alcoholvrije dranken.</w:t>
      </w:r>
      <w:r w:rsidRPr="00AD49D3" w:rsidR="002E7E84">
        <w:rPr>
          <w:rStyle w:val="Voetnootmarkering"/>
        </w:rPr>
        <w:footnoteReference w:id="19"/>
      </w:r>
      <w:r w:rsidRPr="18866C71">
        <w:t xml:space="preserve"> </w:t>
      </w:r>
      <w:r w:rsidRPr="00AD49D3" w:rsidR="002E7E84">
        <w:t>Deze belasting heeft altijd een budgettair doel gehad.</w:t>
      </w:r>
      <w:r w:rsidRPr="00AD49D3" w:rsidR="002E7E84">
        <w:rPr>
          <w:rStyle w:val="Voetnootmarkering"/>
        </w:rPr>
        <w:footnoteReference w:id="20"/>
      </w:r>
      <w:r w:rsidRPr="00AD49D3" w:rsidR="002E7E84">
        <w:t xml:space="preserve"> Binnen de belasting is sprake van een vlak tarief: alle dranken die onder de belasting vallen, worden onder hetzelfde tarief belast. </w:t>
      </w:r>
      <w:r w:rsidR="00A26BBC">
        <w:t xml:space="preserve">Overeenkomstig het coalitieakkoord is dit </w:t>
      </w:r>
      <w:r w:rsidRPr="00AD49D3" w:rsidR="002E7E84">
        <w:t>tarief per 1</w:t>
      </w:r>
      <w:r w:rsidR="00101DC0">
        <w:t> </w:t>
      </w:r>
      <w:r w:rsidRPr="00AD49D3" w:rsidR="002E7E84">
        <w:t>januari</w:t>
      </w:r>
      <w:r w:rsidR="00101DC0">
        <w:t> </w:t>
      </w:r>
      <w:r w:rsidRPr="00AD49D3" w:rsidR="002E7E84">
        <w:t>2024 verhoogd van €</w:t>
      </w:r>
      <w:r w:rsidR="00101DC0">
        <w:t> </w:t>
      </w:r>
      <w:r w:rsidR="00B87CB1">
        <w:t>8,83</w:t>
      </w:r>
      <w:r w:rsidRPr="00AD49D3" w:rsidR="002E7E84">
        <w:t xml:space="preserve"> naar €</w:t>
      </w:r>
      <w:r w:rsidR="00101DC0">
        <w:t> </w:t>
      </w:r>
      <w:r w:rsidRPr="00AD49D3" w:rsidR="002E7E84">
        <w:t>26,13 per hectoliter (100</w:t>
      </w:r>
      <w:r w:rsidR="00101DC0">
        <w:t> </w:t>
      </w:r>
      <w:r w:rsidRPr="00AD49D3" w:rsidR="002E7E84">
        <w:t xml:space="preserve">liter). </w:t>
      </w:r>
      <w:r w:rsidR="00785D2A">
        <w:t xml:space="preserve">Ook deze verhoging heeft </w:t>
      </w:r>
      <w:r w:rsidR="00A26BBC">
        <w:t xml:space="preserve">hoofdzakelijk </w:t>
      </w:r>
      <w:r w:rsidR="00785D2A">
        <w:t xml:space="preserve">een budgettair doel. </w:t>
      </w:r>
      <w:r w:rsidR="00A26BBC">
        <w:t xml:space="preserve">Vanwege het vlakke </w:t>
      </w:r>
      <w:r w:rsidR="00A26BBC">
        <w:lastRenderedPageBreak/>
        <w:t>tarief, waarbij geen onderscheid wordt gemaakt in suikergehalte, is d</w:t>
      </w:r>
      <w:r w:rsidR="00D36728">
        <w:t>e verbruiksbelasting in huidige vorm geen</w:t>
      </w:r>
      <w:r w:rsidR="00A26BBC">
        <w:t>szins een</w:t>
      </w:r>
      <w:r w:rsidR="00D36728">
        <w:t xml:space="preserve"> suikerbelasting.</w:t>
      </w:r>
    </w:p>
    <w:p w:rsidRPr="00AD49D3" w:rsidR="0095513A" w:rsidP="0095513A" w:rsidRDefault="0095513A" w14:paraId="3D055A44" w14:textId="77777777">
      <w:r w:rsidRPr="00AD49D3">
        <w:t>Van oudsher zijn zuivel en sojadranken uitgezonderd van de belasting.</w:t>
      </w:r>
      <w:r w:rsidR="00BD157F">
        <w:t xml:space="preserve"> De huidige vormgeving van deze uitzondering</w:t>
      </w:r>
      <w:r w:rsidR="00A26BBC">
        <w:t xml:space="preserve"> sluit aan bij het melkvetgehalte van dranken.</w:t>
      </w:r>
      <w:r w:rsidR="004859FD">
        <w:rPr>
          <w:rStyle w:val="Voetnootmarkering"/>
        </w:rPr>
        <w:footnoteReference w:id="21"/>
      </w:r>
      <w:r w:rsidR="00A26BBC">
        <w:t xml:space="preserve"> Hierdoor kan deze uitzondering ook van toepassing zijn op</w:t>
      </w:r>
      <w:r w:rsidR="00BD157F">
        <w:t xml:space="preserve"> </w:t>
      </w:r>
      <w:r w:rsidR="00A26BBC">
        <w:t>zuivel</w:t>
      </w:r>
      <w:r w:rsidR="00BD157F">
        <w:t xml:space="preserve">dranken </w:t>
      </w:r>
      <w:r w:rsidDel="00A26BBC" w:rsidR="00BD157F">
        <w:t xml:space="preserve">die </w:t>
      </w:r>
      <w:r w:rsidR="00A26BBC">
        <w:t>veel suiker bevatten</w:t>
      </w:r>
      <w:r w:rsidR="00BD157F">
        <w:t>, zoals chocolademelk en frambozenmelk</w:t>
      </w:r>
      <w:r w:rsidR="00A26BBC">
        <w:t>, of dranken waaraan een kleine hoeveelheid melkvet is toegevoegd</w:t>
      </w:r>
      <w:r w:rsidR="00BD157F">
        <w:t>.</w:t>
      </w:r>
      <w:r w:rsidRPr="00AD49D3">
        <w:t xml:space="preserve"> Per 1</w:t>
      </w:r>
      <w:r w:rsidR="00101DC0">
        <w:t> </w:t>
      </w:r>
      <w:r w:rsidRPr="00AD49D3">
        <w:t>januari</w:t>
      </w:r>
      <w:r w:rsidR="00101DC0">
        <w:t> </w:t>
      </w:r>
      <w:r w:rsidRPr="00AD49D3">
        <w:t xml:space="preserve">2024 is </w:t>
      </w:r>
      <w:r w:rsidRPr="00AD49D3" w:rsidR="00846C6C">
        <w:t xml:space="preserve">ook </w:t>
      </w:r>
      <w:r w:rsidRPr="00AD49D3">
        <w:t>mineraalwater van de belasting uitgezonderd.</w:t>
      </w:r>
      <w:r w:rsidRPr="00AD49D3" w:rsidR="009B71FA">
        <w:t xml:space="preserve"> </w:t>
      </w:r>
      <w:r w:rsidR="002063CA">
        <w:t>Door de uitzondering va</w:t>
      </w:r>
      <w:r w:rsidR="0046631C">
        <w:t>n</w:t>
      </w:r>
      <w:r w:rsidR="002063CA">
        <w:t xml:space="preserve"> mineraalwater is de grondslag voor deze belasting smaller geworden, </w:t>
      </w:r>
      <w:r w:rsidR="003055AC">
        <w:t xml:space="preserve">wat tot </w:t>
      </w:r>
      <w:r w:rsidR="002063CA">
        <w:t>een extra verhoging van het tarief</w:t>
      </w:r>
      <w:r w:rsidR="003055AC">
        <w:t xml:space="preserve"> heeft</w:t>
      </w:r>
      <w:r w:rsidR="002063CA">
        <w:t xml:space="preserve"> geleid voor alle andere dranken.</w:t>
      </w:r>
    </w:p>
    <w:p w:rsidRPr="00AD49D3" w:rsidR="0095513A" w:rsidP="0095513A" w:rsidRDefault="0095513A" w14:paraId="1164ABB0" w14:textId="77777777">
      <w:pPr>
        <w:rPr>
          <w:i/>
          <w:iCs/>
        </w:rPr>
      </w:pPr>
    </w:p>
    <w:p w:rsidRPr="00873021" w:rsidR="0095513A" w:rsidP="18866C71" w:rsidRDefault="00DF593C" w14:paraId="5E1B2F44" w14:textId="77777777">
      <w:pPr>
        <w:rPr>
          <w:i/>
          <w:iCs/>
        </w:rPr>
      </w:pPr>
      <w:r w:rsidRPr="18866C71">
        <w:rPr>
          <w:i/>
          <w:iCs/>
        </w:rPr>
        <w:t>2</w:t>
      </w:r>
      <w:r w:rsidRPr="18866C71" w:rsidR="00C373F9">
        <w:rPr>
          <w:i/>
          <w:iCs/>
        </w:rPr>
        <w:t xml:space="preserve">.2 </w:t>
      </w:r>
      <w:r w:rsidRPr="18866C71" w:rsidR="0095513A">
        <w:rPr>
          <w:i/>
          <w:iCs/>
        </w:rPr>
        <w:t xml:space="preserve">Doelstelling </w:t>
      </w:r>
      <w:r w:rsidRPr="18866C71" w:rsidR="00C373F9">
        <w:rPr>
          <w:i/>
          <w:iCs/>
        </w:rPr>
        <w:t xml:space="preserve">gedifferentieerde </w:t>
      </w:r>
      <w:r w:rsidRPr="18866C71" w:rsidR="00911A1E">
        <w:rPr>
          <w:i/>
          <w:iCs/>
        </w:rPr>
        <w:t>verbruiks</w:t>
      </w:r>
      <w:r w:rsidRPr="18866C71" w:rsidR="00C373F9">
        <w:rPr>
          <w:i/>
          <w:iCs/>
        </w:rPr>
        <w:t>belasting</w:t>
      </w:r>
    </w:p>
    <w:p w:rsidR="00BA08B1" w:rsidP="00BA08B1" w:rsidRDefault="0095513A" w14:paraId="53F1239C" w14:textId="77777777">
      <w:r w:rsidRPr="00AD49D3">
        <w:t xml:space="preserve">Belastingen dienen primair om overheidsuitgaven te financieren, maar kunnen daarnaast worden ingezet om gedrag te sturen. Het is daarbij van groot belang dat de gedragssturing via prijsmaatregelen doeltreffend en doelmatig is. </w:t>
      </w:r>
    </w:p>
    <w:p w:rsidR="00BA08B1" w:rsidP="00BA08B1" w:rsidRDefault="00BA08B1" w14:paraId="64F004B1" w14:textId="77777777"/>
    <w:p w:rsidR="00BA08B1" w:rsidP="00BA08B1" w:rsidRDefault="00BA08B1" w14:paraId="66F0DF27" w14:textId="77777777">
      <w:r w:rsidRPr="00AD49D3">
        <w:t>Uit het onderzoek van 6</w:t>
      </w:r>
      <w:r w:rsidR="008A68A9">
        <w:t> </w:t>
      </w:r>
      <w:r w:rsidRPr="00AD49D3">
        <w:t>juli</w:t>
      </w:r>
      <w:r w:rsidR="008A68A9">
        <w:t> </w:t>
      </w:r>
      <w:r w:rsidRPr="00AD49D3">
        <w:t xml:space="preserve">2023 blijkt dat een gedifferentieerde verbruiksbelasting resulteert in een afname van </w:t>
      </w:r>
      <w:r w:rsidR="008A68A9">
        <w:t>15 tot 18%</w:t>
      </w:r>
      <w:r w:rsidRPr="00AD49D3">
        <w:t xml:space="preserve"> van de verkoop van suiker via alcoholvrije dranken. Een gedifferentieerde verbruiksbelasting op basis van </w:t>
      </w:r>
      <w:r w:rsidR="00DC3D69">
        <w:t xml:space="preserve">(toegevoegd) </w:t>
      </w:r>
      <w:r w:rsidRPr="00AD49D3">
        <w:t xml:space="preserve">suiker </w:t>
      </w:r>
      <w:r w:rsidR="001D73D6">
        <w:t xml:space="preserve">is </w:t>
      </w:r>
      <w:r w:rsidRPr="00AD49D3">
        <w:t>al in veel andere EU-landen ingevoerd.</w:t>
      </w:r>
      <w:r w:rsidRPr="00AD49D3">
        <w:rPr>
          <w:rStyle w:val="Voetnootmarkering"/>
        </w:rPr>
        <w:footnoteReference w:id="22"/>
      </w:r>
      <w:r w:rsidRPr="00AD49D3">
        <w:t xml:space="preserve"> </w:t>
      </w:r>
      <w:r>
        <w:t>E</w:t>
      </w:r>
      <w:r w:rsidRPr="00AD49D3">
        <w:t xml:space="preserve">rvaringen </w:t>
      </w:r>
      <w:r>
        <w:t xml:space="preserve">uit </w:t>
      </w:r>
      <w:r w:rsidR="00761CB8">
        <w:t xml:space="preserve">het Verenigd Koninkrijk </w:t>
      </w:r>
      <w:r>
        <w:t>leren</w:t>
      </w:r>
      <w:r w:rsidRPr="00AD49D3">
        <w:t xml:space="preserve"> </w:t>
      </w:r>
      <w:r>
        <w:t xml:space="preserve">dat een gedifferentieerde verbruiksbelasting al bij de aankondiging ertoe leidt dat producenten het suikergehalte in alcoholvrije dranken verlagen (zogenoemde herformulering). Een lager suikergehalte betekent immers een lagere belastingdruk. </w:t>
      </w:r>
      <w:r w:rsidRPr="00AD49D3">
        <w:t>Zo is van het Verenigd Koninkrijk bekend dat na aankondiging van de invoering van een gedifferentieerde belasting circa 50% van de producenten hun suikerhoudende dranken hebben geherformuleerd</w:t>
      </w:r>
      <w:r>
        <w:t>, al in</w:t>
      </w:r>
      <w:r w:rsidRPr="00BA08B1">
        <w:t xml:space="preserve"> </w:t>
      </w:r>
      <w:r w:rsidRPr="00AD49D3">
        <w:t>aanloop naar de inwerkingtreding.</w:t>
      </w:r>
      <w:r>
        <w:rPr>
          <w:rStyle w:val="Voetnootmarkering"/>
        </w:rPr>
        <w:footnoteReference w:id="23"/>
      </w:r>
      <w:r w:rsidRPr="00AD49D3">
        <w:t xml:space="preserve"> </w:t>
      </w:r>
      <w:r w:rsidR="008A68A9">
        <w:t>Verder blijkt u</w:t>
      </w:r>
      <w:r>
        <w:t>it een evaluatie van Public Health England</w:t>
      </w:r>
      <w:r>
        <w:rPr>
          <w:rStyle w:val="Voetnootmarkering"/>
        </w:rPr>
        <w:footnoteReference w:id="24"/>
      </w:r>
      <w:r>
        <w:t xml:space="preserve"> dat als gevolg van de invoering van een gedifferentieerde verbruiksbelasting in het Verenigd Koninkrijk: </w:t>
      </w:r>
      <w:r>
        <w:br/>
        <w:t xml:space="preserve">- er een vermindering van 43,7% in het totale suikergehalte van dranken per 100 milliliter tussen 2015 en 2019 was waar te nemen voor de dranken die vallen onder de belasting; </w:t>
      </w:r>
      <w:r>
        <w:br/>
        <w:t>- de totale verkoop (in liters) van dranken die vallen onder de belasting steeg met 14,9%, maar de totale suikerverkoop via deze dranken daalde met 35,4%; en</w:t>
      </w:r>
      <w:r>
        <w:br/>
        <w:t xml:space="preserve">- de totale aangekochte hoeveelheid suiker per huishouden uit dranken die onder de belasting vallen, daalde in alle sociaaleconomische groepen. </w:t>
      </w:r>
    </w:p>
    <w:p w:rsidR="00BA08B1" w:rsidP="0095513A" w:rsidRDefault="00BA08B1" w14:paraId="41ADC7BD" w14:textId="77777777"/>
    <w:p w:rsidR="00F805F8" w:rsidP="00DB361B" w:rsidRDefault="00D65CBD" w14:paraId="42D47F11" w14:textId="77777777">
      <w:pPr>
        <w:pStyle w:val="Default"/>
        <w:spacing w:line="240" w:lineRule="atLeast"/>
        <w:rPr>
          <w:sz w:val="18"/>
          <w:szCs w:val="18"/>
        </w:rPr>
      </w:pPr>
      <w:r>
        <w:rPr>
          <w:sz w:val="18"/>
          <w:szCs w:val="18"/>
        </w:rPr>
        <w:t>Naar aanleiding van bovengenoemde effecten verwacht het demissionaire kabinet dat een gedifferentieerde verbruiksbelasting zal bijdragen aan het verminderen van de suiker</w:t>
      </w:r>
      <w:r w:rsidR="00F805F8">
        <w:rPr>
          <w:sz w:val="18"/>
          <w:szCs w:val="18"/>
        </w:rPr>
        <w:t xml:space="preserve">inname </w:t>
      </w:r>
      <w:r>
        <w:rPr>
          <w:sz w:val="18"/>
          <w:szCs w:val="18"/>
        </w:rPr>
        <w:t>via alcoholvrije dranken.</w:t>
      </w:r>
      <w:r w:rsidR="00F805F8">
        <w:rPr>
          <w:sz w:val="18"/>
          <w:szCs w:val="18"/>
        </w:rPr>
        <w:t xml:space="preserve"> Dit doel kan</w:t>
      </w:r>
      <w:r>
        <w:rPr>
          <w:sz w:val="18"/>
          <w:szCs w:val="18"/>
        </w:rPr>
        <w:t xml:space="preserve"> op twee manieren worden bereikt. </w:t>
      </w:r>
      <w:r w:rsidRPr="00AD49D3">
        <w:rPr>
          <w:sz w:val="18"/>
          <w:szCs w:val="18"/>
        </w:rPr>
        <w:t xml:space="preserve">De eerste manier is via de consument, door het beïnvloeden van verkoopprijzen via belastingen. Een </w:t>
      </w:r>
      <w:r>
        <w:rPr>
          <w:sz w:val="18"/>
          <w:szCs w:val="18"/>
        </w:rPr>
        <w:t xml:space="preserve">gedifferentieerde verbruiksbelasting leidt tot </w:t>
      </w:r>
      <w:r w:rsidRPr="00AD49D3">
        <w:rPr>
          <w:sz w:val="18"/>
          <w:szCs w:val="18"/>
        </w:rPr>
        <w:t>hogere prijzen voor dranken met veel suiker en lagere prijzen voor dranken met minder suiker</w:t>
      </w:r>
      <w:r>
        <w:rPr>
          <w:sz w:val="18"/>
          <w:szCs w:val="18"/>
        </w:rPr>
        <w:t xml:space="preserve">. Dit kan eraan </w:t>
      </w:r>
      <w:r w:rsidRPr="00AD49D3">
        <w:rPr>
          <w:sz w:val="18"/>
          <w:szCs w:val="18"/>
        </w:rPr>
        <w:t>bijdragen dat consumenten minder suikerrijke dranken kopen. Ook kan een dergelijke maatregel het bewustzijn van consumenten rond suikerconsumptie vergroten.</w:t>
      </w:r>
      <w:r w:rsidR="00DB361B">
        <w:rPr>
          <w:sz w:val="18"/>
          <w:szCs w:val="18"/>
        </w:rPr>
        <w:t xml:space="preserve"> </w:t>
      </w:r>
      <w:r w:rsidRPr="00AD49D3">
        <w:rPr>
          <w:sz w:val="18"/>
          <w:szCs w:val="18"/>
        </w:rPr>
        <w:t xml:space="preserve">De tweede manier is via de producent, door het stimuleren van productherformulering. Een lager tarief bij </w:t>
      </w:r>
      <w:r w:rsidRPr="00AD49D3">
        <w:rPr>
          <w:sz w:val="18"/>
          <w:szCs w:val="18"/>
        </w:rPr>
        <w:lastRenderedPageBreak/>
        <w:t>minder suiker kan producenten prikkelen om de hoeveelheid suiker in hun dranken te verlagen.</w:t>
      </w:r>
      <w:r>
        <w:rPr>
          <w:sz w:val="18"/>
          <w:szCs w:val="18"/>
        </w:rPr>
        <w:t xml:space="preserve"> </w:t>
      </w:r>
    </w:p>
    <w:p w:rsidR="00F805F8" w:rsidP="00DB361B" w:rsidRDefault="00F805F8" w14:paraId="6D1B8E1C" w14:textId="77777777">
      <w:pPr>
        <w:pStyle w:val="Default"/>
        <w:spacing w:line="240" w:lineRule="atLeast"/>
        <w:rPr>
          <w:sz w:val="18"/>
          <w:szCs w:val="18"/>
        </w:rPr>
      </w:pPr>
    </w:p>
    <w:p w:rsidR="006F1392" w:rsidP="00DC777C" w:rsidRDefault="00D65CBD" w14:paraId="5527A754" w14:textId="77777777">
      <w:pPr>
        <w:pStyle w:val="Default"/>
        <w:spacing w:line="240" w:lineRule="atLeast"/>
        <w:rPr>
          <w:sz w:val="18"/>
          <w:szCs w:val="18"/>
        </w:rPr>
      </w:pPr>
      <w:r>
        <w:rPr>
          <w:sz w:val="18"/>
          <w:szCs w:val="18"/>
        </w:rPr>
        <w:t xml:space="preserve">Voor de vormgeving van een gedifferentieerde verbruiksbelasting is het van belang een keuze te maken in </w:t>
      </w:r>
      <w:r w:rsidR="00F805F8">
        <w:rPr>
          <w:sz w:val="18"/>
          <w:szCs w:val="18"/>
        </w:rPr>
        <w:t xml:space="preserve">het specifieke beleidsdoel dat met de belasting wordt nagestreefd. </w:t>
      </w:r>
      <w:r w:rsidR="00DB361B">
        <w:rPr>
          <w:sz w:val="18"/>
          <w:szCs w:val="18"/>
        </w:rPr>
        <w:t>E</w:t>
      </w:r>
      <w:r w:rsidR="00BA08B1">
        <w:rPr>
          <w:sz w:val="18"/>
          <w:szCs w:val="18"/>
        </w:rPr>
        <w:t xml:space="preserve">nerzijds kan als beleidsdoel worden gekozen voor </w:t>
      </w:r>
      <w:r w:rsidR="00BD157F">
        <w:rPr>
          <w:sz w:val="18"/>
          <w:szCs w:val="18"/>
        </w:rPr>
        <w:t xml:space="preserve">het verminderen van </w:t>
      </w:r>
      <w:r w:rsidRPr="00DC777C" w:rsidR="00BD157F">
        <w:rPr>
          <w:sz w:val="18"/>
          <w:szCs w:val="18"/>
        </w:rPr>
        <w:t>suikerinname via alcoholvrije dranken</w:t>
      </w:r>
      <w:r w:rsidRPr="00DC777C" w:rsidR="00F805F8">
        <w:rPr>
          <w:sz w:val="18"/>
          <w:szCs w:val="18"/>
        </w:rPr>
        <w:t xml:space="preserve"> in het algemeen</w:t>
      </w:r>
      <w:r w:rsidRPr="00DC777C" w:rsidR="00BD157F">
        <w:rPr>
          <w:sz w:val="18"/>
          <w:szCs w:val="18"/>
        </w:rPr>
        <w:t xml:space="preserve">. </w:t>
      </w:r>
      <w:r w:rsidRPr="00DC777C" w:rsidR="00BA08B1">
        <w:rPr>
          <w:sz w:val="18"/>
          <w:szCs w:val="18"/>
        </w:rPr>
        <w:t xml:space="preserve">Bij een dergelijk beleidsdoel past dat álle suikerhoudende dranken onder de gedifferentieerde belasting vallen, waarbij het niet ter zake doet of sprake is van natuurlijke of toegevoegde suikers. </w:t>
      </w:r>
      <w:r w:rsidRPr="00DC777C" w:rsidR="006F1392">
        <w:rPr>
          <w:sz w:val="18"/>
          <w:szCs w:val="18"/>
        </w:rPr>
        <w:t>Anderzijds kan het stimuleren van herformulering door producenten</w:t>
      </w:r>
      <w:r w:rsidRPr="00DC777C" w:rsidR="00F805F8">
        <w:rPr>
          <w:sz w:val="18"/>
          <w:szCs w:val="18"/>
        </w:rPr>
        <w:t xml:space="preserve"> als beleidsdoel worden gekozen</w:t>
      </w:r>
      <w:r w:rsidRPr="00DC777C" w:rsidR="006F1392">
        <w:rPr>
          <w:sz w:val="18"/>
          <w:szCs w:val="18"/>
        </w:rPr>
        <w:t xml:space="preserve">. </w:t>
      </w:r>
      <w:r w:rsidRPr="00DC777C" w:rsidR="00F805F8">
        <w:rPr>
          <w:sz w:val="18"/>
          <w:szCs w:val="18"/>
        </w:rPr>
        <w:t xml:space="preserve">In dat geval is het juist </w:t>
      </w:r>
      <w:r w:rsidRPr="00DC777C" w:rsidR="006F1392">
        <w:rPr>
          <w:sz w:val="18"/>
          <w:szCs w:val="18"/>
        </w:rPr>
        <w:t>onlogisch om dranken zonder toegevoegd</w:t>
      </w:r>
      <w:r w:rsidR="001434A2">
        <w:rPr>
          <w:sz w:val="18"/>
          <w:szCs w:val="18"/>
        </w:rPr>
        <w:t>e</w:t>
      </w:r>
      <w:r w:rsidRPr="00DC777C" w:rsidR="006F1392">
        <w:rPr>
          <w:sz w:val="18"/>
          <w:szCs w:val="18"/>
        </w:rPr>
        <w:t xml:space="preserve"> suiker</w:t>
      </w:r>
      <w:r w:rsidR="001434A2">
        <w:rPr>
          <w:sz w:val="18"/>
          <w:szCs w:val="18"/>
        </w:rPr>
        <w:t>s</w:t>
      </w:r>
      <w:r w:rsidRPr="00DC777C" w:rsidR="006F1392">
        <w:rPr>
          <w:sz w:val="18"/>
          <w:szCs w:val="18"/>
        </w:rPr>
        <w:t xml:space="preserve"> onder de belasting te laten vallen. </w:t>
      </w:r>
      <w:r w:rsidR="00DC777C">
        <w:rPr>
          <w:sz w:val="18"/>
          <w:szCs w:val="18"/>
        </w:rPr>
        <w:t>D</w:t>
      </w:r>
      <w:r w:rsidRPr="00DC777C" w:rsidR="006F1392">
        <w:rPr>
          <w:sz w:val="18"/>
          <w:szCs w:val="18"/>
        </w:rPr>
        <w:t>ranken</w:t>
      </w:r>
      <w:r w:rsidR="00DC777C">
        <w:rPr>
          <w:sz w:val="18"/>
          <w:szCs w:val="18"/>
        </w:rPr>
        <w:t xml:space="preserve"> als</w:t>
      </w:r>
      <w:r w:rsidRPr="00DC777C" w:rsidR="006F1392">
        <w:rPr>
          <w:sz w:val="18"/>
          <w:szCs w:val="18"/>
        </w:rPr>
        <w:t xml:space="preserve"> </w:t>
      </w:r>
      <w:r w:rsidR="00DC777C">
        <w:rPr>
          <w:sz w:val="18"/>
          <w:szCs w:val="18"/>
        </w:rPr>
        <w:t xml:space="preserve">melk, </w:t>
      </w:r>
      <w:r w:rsidRPr="00DC777C" w:rsidR="00DC777C">
        <w:rPr>
          <w:sz w:val="18"/>
          <w:szCs w:val="18"/>
        </w:rPr>
        <w:t xml:space="preserve">pure vruchten- en groentesappen </w:t>
      </w:r>
      <w:r w:rsidR="00DC777C">
        <w:rPr>
          <w:sz w:val="18"/>
          <w:szCs w:val="18"/>
        </w:rPr>
        <w:t xml:space="preserve">en </w:t>
      </w:r>
      <w:r w:rsidRPr="00DC777C" w:rsidR="00DC777C">
        <w:rPr>
          <w:sz w:val="18"/>
          <w:szCs w:val="18"/>
        </w:rPr>
        <w:t xml:space="preserve">zero-frisdranken </w:t>
      </w:r>
      <w:r w:rsidRPr="00DC777C" w:rsidR="006F1392">
        <w:rPr>
          <w:sz w:val="18"/>
          <w:szCs w:val="18"/>
        </w:rPr>
        <w:t>kunnen immers niet worden geherformuleerd: zij bevatten geen toegevoegd</w:t>
      </w:r>
      <w:r w:rsidR="001434A2">
        <w:rPr>
          <w:sz w:val="18"/>
          <w:szCs w:val="18"/>
        </w:rPr>
        <w:t>e</w:t>
      </w:r>
      <w:r w:rsidRPr="00DC777C" w:rsidR="006F1392">
        <w:rPr>
          <w:sz w:val="18"/>
          <w:szCs w:val="18"/>
        </w:rPr>
        <w:t xml:space="preserve"> suiker</w:t>
      </w:r>
      <w:r w:rsidR="001434A2">
        <w:rPr>
          <w:sz w:val="18"/>
          <w:szCs w:val="18"/>
        </w:rPr>
        <w:t>s</w:t>
      </w:r>
      <w:r w:rsidRPr="00DC777C" w:rsidR="00DB361B">
        <w:rPr>
          <w:sz w:val="18"/>
          <w:szCs w:val="18"/>
        </w:rPr>
        <w:t xml:space="preserve"> en producenten kunnen er niet voor kiezen </w:t>
      </w:r>
      <w:r w:rsidR="00DC777C">
        <w:rPr>
          <w:sz w:val="18"/>
          <w:szCs w:val="18"/>
        </w:rPr>
        <w:t xml:space="preserve">minder suiker toe te voegen. </w:t>
      </w:r>
      <w:r w:rsidRPr="00DC777C" w:rsidR="00DC777C">
        <w:rPr>
          <w:sz w:val="18"/>
          <w:szCs w:val="18"/>
        </w:rPr>
        <w:t>Een specifieke keuze in</w:t>
      </w:r>
      <w:r w:rsidRPr="00DC777C" w:rsidDel="00DC777C" w:rsidR="00DC777C">
        <w:rPr>
          <w:sz w:val="18"/>
          <w:szCs w:val="18"/>
        </w:rPr>
        <w:t xml:space="preserve"> </w:t>
      </w:r>
      <w:r w:rsidRPr="00DC777C" w:rsidR="00DC777C">
        <w:rPr>
          <w:sz w:val="18"/>
          <w:szCs w:val="18"/>
        </w:rPr>
        <w:t>het doel van de verbruiksbelasting is dus van groot belang voor het aantal dranken dat onder de belasting valt. De implicaties van deze keuzes zijn toegelicht onder paragraaf 2.3 (onderscheid natuurlijke en toegevoegde suikers).</w:t>
      </w:r>
    </w:p>
    <w:p w:rsidRPr="00DC777C" w:rsidR="00761CB8" w:rsidP="00DC777C" w:rsidRDefault="00761CB8" w14:paraId="6D4B35BA" w14:textId="77777777">
      <w:pPr>
        <w:pStyle w:val="Default"/>
        <w:spacing w:line="240" w:lineRule="atLeast"/>
        <w:rPr>
          <w:sz w:val="18"/>
          <w:szCs w:val="18"/>
        </w:rPr>
      </w:pPr>
    </w:p>
    <w:p w:rsidRPr="00873021" w:rsidR="00B8225D" w:rsidP="18866C71" w:rsidRDefault="00B8225D" w14:paraId="79591634" w14:textId="77777777">
      <w:pPr>
        <w:rPr>
          <w:i/>
          <w:iCs/>
        </w:rPr>
      </w:pPr>
      <w:r w:rsidRPr="18866C71">
        <w:rPr>
          <w:i/>
          <w:iCs/>
        </w:rPr>
        <w:t>2.3 Onderscheid natuurlijke en toegevoegde suikers</w:t>
      </w:r>
    </w:p>
    <w:p w:rsidRPr="00AD49D3" w:rsidR="00B8225D" w:rsidP="00B8225D" w:rsidRDefault="00B8225D" w14:paraId="69B5CFFC" w14:textId="77777777">
      <w:r>
        <w:t xml:space="preserve">De moties </w:t>
      </w:r>
      <w:proofErr w:type="spellStart"/>
      <w:r>
        <w:t>Visseren</w:t>
      </w:r>
      <w:proofErr w:type="spellEnd"/>
      <w:r>
        <w:t>-Hamakers</w:t>
      </w:r>
      <w:r>
        <w:rPr>
          <w:rStyle w:val="Voetnootmarkering"/>
        </w:rPr>
        <w:footnoteReference w:id="25"/>
      </w:r>
      <w:r>
        <w:t xml:space="preserve"> en Koffeman</w:t>
      </w:r>
      <w:r>
        <w:rPr>
          <w:rStyle w:val="Voetnootmarkering"/>
        </w:rPr>
        <w:footnoteReference w:id="26"/>
      </w:r>
      <w:r>
        <w:t xml:space="preserve"> roepen op een onderscheid te maken tussen dranken met toegevoegde suikers en dranken met alleen natuurlijke suikers. </w:t>
      </w:r>
      <w:r w:rsidRPr="00AD49D3">
        <w:t xml:space="preserve">Als wordt besloten om dranken zonder toegevoegd suiker niet te belasten, worden niet alleen zuivel- en sojadranken </w:t>
      </w:r>
      <w:r w:rsidRPr="67704C50">
        <w:t>(</w:t>
      </w:r>
      <w:r w:rsidRPr="00AD49D3">
        <w:t>zonder toegevoegd suiker</w:t>
      </w:r>
      <w:r w:rsidRPr="67704C50">
        <w:t>)</w:t>
      </w:r>
      <w:r w:rsidRPr="00AD49D3">
        <w:t xml:space="preserve"> en pure vruchten- en groentesappen van de belasting uitgezonderd, maar ook </w:t>
      </w:r>
      <w:r w:rsidR="004974C5">
        <w:t xml:space="preserve">bijvoorbeeld </w:t>
      </w:r>
      <w:r w:rsidRPr="00AD49D3">
        <w:t>dranken met alleen zoetstof</w:t>
      </w:r>
      <w:r w:rsidR="004974C5">
        <w:t xml:space="preserve"> (zero-frisdranken)</w:t>
      </w:r>
      <w:r w:rsidRPr="67704C50">
        <w:t xml:space="preserve">. </w:t>
      </w:r>
      <w:r w:rsidR="004974C5">
        <w:t xml:space="preserve">Het uitzonderen van deze dranken </w:t>
      </w:r>
      <w:r>
        <w:t xml:space="preserve">heeft een zeer grote budgettaire impact op het tarief voor de overige dranken. </w:t>
      </w:r>
      <w:r w:rsidRPr="00AD49D3">
        <w:t xml:space="preserve">Het aantal te belasten producten </w:t>
      </w:r>
      <w:r w:rsidR="00076D4D">
        <w:t xml:space="preserve">(de grondslag) </w:t>
      </w:r>
      <w:r w:rsidRPr="00AD49D3">
        <w:t>wordt da</w:t>
      </w:r>
      <w:r w:rsidR="004974C5">
        <w:t xml:space="preserve">armee namelijk </w:t>
      </w:r>
      <w:r>
        <w:t>dermate</w:t>
      </w:r>
      <w:r w:rsidRPr="67704C50">
        <w:t xml:space="preserve"> </w:t>
      </w:r>
      <w:r>
        <w:t>klein</w:t>
      </w:r>
      <w:r w:rsidRPr="00AD49D3">
        <w:t xml:space="preserve"> </w:t>
      </w:r>
      <w:r w:rsidR="005C3E52">
        <w:t xml:space="preserve">dat een </w:t>
      </w:r>
      <w:proofErr w:type="spellStart"/>
      <w:r w:rsidR="005C3E52">
        <w:t>budgetneutrale</w:t>
      </w:r>
      <w:proofErr w:type="spellEnd"/>
      <w:r w:rsidR="005C3E52">
        <w:t xml:space="preserve"> omzetting alleen mogelijk is als de tarieven voor die (nog overgebleven) dranken zeer </w:t>
      </w:r>
      <w:r w:rsidR="00573F24">
        <w:t>stijgen</w:t>
      </w:r>
      <w:r w:rsidR="005C3E52">
        <w:t>.</w:t>
      </w:r>
      <w:r w:rsidR="00A605F1">
        <w:rPr>
          <w:rStyle w:val="Voetnootmarkering"/>
        </w:rPr>
        <w:footnoteReference w:id="27"/>
      </w:r>
      <w:r w:rsidR="00B01F3A">
        <w:t xml:space="preserve"> Met andere woorden: dezelfde </w:t>
      </w:r>
      <w:r w:rsidRPr="00FF6C4B" w:rsidR="00B01F3A">
        <w:t xml:space="preserve">opbrengst moet worden opgebracht door veel minder dranken dan nu het geval is. </w:t>
      </w:r>
      <w:r w:rsidRPr="00FF6C4B" w:rsidR="00A77D5B">
        <w:t>Dat zou bovendien</w:t>
      </w:r>
      <w:r w:rsidRPr="00FF6C4B" w:rsidR="000C6DFA">
        <w:t xml:space="preserve"> voor bepaalde dranken</w:t>
      </w:r>
      <w:r w:rsidRPr="00FF6C4B" w:rsidR="00A77D5B">
        <w:t xml:space="preserve"> </w:t>
      </w:r>
      <w:r w:rsidRPr="00FF6C4B" w:rsidR="000C6DFA">
        <w:t xml:space="preserve">kunnen </w:t>
      </w:r>
      <w:r w:rsidRPr="00FF6C4B" w:rsidR="00A77D5B">
        <w:t>leiden tot grotere prijsverschillen met buurlanden</w:t>
      </w:r>
      <w:r w:rsidRPr="00FF6C4B" w:rsidR="000C6DFA">
        <w:t>,</w:t>
      </w:r>
      <w:r w:rsidRPr="00FF6C4B" w:rsidR="00A77D5B">
        <w:t xml:space="preserve"> met </w:t>
      </w:r>
      <w:r w:rsidRPr="00FF6C4B" w:rsidR="00AF4CC2">
        <w:t xml:space="preserve">substantiële grenseffecten </w:t>
      </w:r>
      <w:r w:rsidRPr="00FF6C4B" w:rsidR="00A77D5B">
        <w:t>als risico</w:t>
      </w:r>
      <w:r w:rsidRPr="00FF6C4B" w:rsidR="000C6DFA">
        <w:t xml:space="preserve">. </w:t>
      </w:r>
      <w:r w:rsidRPr="00FF6C4B">
        <w:t>Daar</w:t>
      </w:r>
      <w:r w:rsidRPr="00FF6C4B" w:rsidR="00D36728">
        <w:t>naast</w:t>
      </w:r>
      <w:r w:rsidRPr="00FF6C4B">
        <w:t xml:space="preserve"> is er geen gezondheidsargument om dranken </w:t>
      </w:r>
      <w:r w:rsidR="00C86E24">
        <w:t>met</w:t>
      </w:r>
      <w:r w:rsidRPr="00FF6C4B">
        <w:t xml:space="preserve"> toegevoegd suiker</w:t>
      </w:r>
      <w:r>
        <w:t xml:space="preserve"> anders te behandelen dan dranken met </w:t>
      </w:r>
      <w:r w:rsidR="6AAF8A82">
        <w:t>van nature aanwezige</w:t>
      </w:r>
      <w:r w:rsidRPr="67704C50">
        <w:t xml:space="preserve"> </w:t>
      </w:r>
      <w:r>
        <w:t>suiker</w:t>
      </w:r>
      <w:r w:rsidR="755B38BC">
        <w:t>s</w:t>
      </w:r>
      <w:r w:rsidRPr="67704C50">
        <w:t xml:space="preserve">. </w:t>
      </w:r>
      <w:r w:rsidR="275C2793">
        <w:t xml:space="preserve">De Gezondheidsraad adviseert zo min mogelijk suikers binnen te krijgen via dranken. Het maakt daarbij niet uit of deze suikers van nature aanwezig zijn in de drank, bijvoorbeeld </w:t>
      </w:r>
      <w:r w:rsidR="6AAF8A82">
        <w:t>via vruchten</w:t>
      </w:r>
      <w:r w:rsidR="0071411C">
        <w:t xml:space="preserve">, </w:t>
      </w:r>
      <w:r w:rsidR="755B38BC">
        <w:t>of dat de suikers aan de drank zijn toegevoegd</w:t>
      </w:r>
      <w:r w:rsidRPr="67704C50" w:rsidR="6AAF8A82">
        <w:t xml:space="preserve">. </w:t>
      </w:r>
      <w:r w:rsidRPr="00AD49D3">
        <w:t xml:space="preserve">Het lichaam maakt geen onderscheid tussen </w:t>
      </w:r>
      <w:r w:rsidRPr="00AD49D3" w:rsidR="1DF3B077">
        <w:t>van nature aanwezige</w:t>
      </w:r>
      <w:r w:rsidRPr="00AD49D3">
        <w:t xml:space="preserve"> of toegevoegde suikers. </w:t>
      </w:r>
      <w:r w:rsidR="00CC73F2">
        <w:t>Omdat d</w:t>
      </w:r>
      <w:r w:rsidRPr="00AD49D3" w:rsidR="1DF3B077">
        <w:t>ranken mi</w:t>
      </w:r>
      <w:r w:rsidRPr="00AD49D3" w:rsidR="63EFCF17">
        <w:t xml:space="preserve">nder snel een signaal naar de hersenen </w:t>
      </w:r>
      <w:r w:rsidR="00CC73F2">
        <w:t xml:space="preserve">afgeven </w:t>
      </w:r>
      <w:r w:rsidRPr="00AD49D3" w:rsidR="63EFCF17">
        <w:t xml:space="preserve">dat </w:t>
      </w:r>
      <w:r w:rsidR="00076D4D">
        <w:t>men</w:t>
      </w:r>
      <w:r w:rsidRPr="00AD49D3" w:rsidR="63EFCF17">
        <w:t xml:space="preserve"> verzadigd </w:t>
      </w:r>
      <w:r w:rsidR="00076D4D">
        <w:t>is</w:t>
      </w:r>
      <w:r w:rsidR="00CC73F2">
        <w:t xml:space="preserve">, kun </w:t>
      </w:r>
      <w:r w:rsidRPr="00AD49D3" w:rsidR="63EFCF17">
        <w:t>je snel ongemerkt veel calori</w:t>
      </w:r>
      <w:r w:rsidRPr="00AD49D3" w:rsidR="1A12A086">
        <w:t>e</w:t>
      </w:r>
      <w:r w:rsidRPr="00AD49D3" w:rsidR="63EFCF17">
        <w:t>ën binnenkrijgen via suikers in dranken</w:t>
      </w:r>
      <w:r w:rsidR="00903247">
        <w:t>, bijvoorbeeld via het drinken van sappen.</w:t>
      </w:r>
      <w:r w:rsidRPr="00AD49D3" w:rsidR="63EFCF17">
        <w:t xml:space="preserve"> </w:t>
      </w:r>
      <w:r w:rsidR="00CC73F2">
        <w:t xml:space="preserve">Bij het drinken </w:t>
      </w:r>
      <w:r w:rsidR="00903247">
        <w:t>van een glas puur sap</w:t>
      </w:r>
      <w:r w:rsidR="00CC73F2">
        <w:t xml:space="preserve"> consumeer je bijvoorbeeld wel</w:t>
      </w:r>
      <w:r w:rsidR="00903247">
        <w:t xml:space="preserve"> </w:t>
      </w:r>
      <w:r w:rsidRPr="00AD49D3" w:rsidR="63EFCF17">
        <w:t>vijf s</w:t>
      </w:r>
      <w:r w:rsidRPr="00AD49D3" w:rsidR="5B7AB54C">
        <w:t>inaasappels</w:t>
      </w:r>
      <w:r w:rsidR="00CC73F2">
        <w:t xml:space="preserve">, terwijl je </w:t>
      </w:r>
      <w:r w:rsidRPr="00AD49D3" w:rsidR="5B7AB54C">
        <w:t>die n</w:t>
      </w:r>
      <w:r w:rsidR="00CC73F2">
        <w:t xml:space="preserve">iet </w:t>
      </w:r>
      <w:r w:rsidRPr="00AD49D3" w:rsidR="5B7AB54C">
        <w:t xml:space="preserve">zo snel </w:t>
      </w:r>
      <w:r w:rsidRPr="00AD49D3" w:rsidR="3983F6B2">
        <w:t>achter elkaar</w:t>
      </w:r>
      <w:r w:rsidR="00CC73F2">
        <w:t xml:space="preserve"> z</w:t>
      </w:r>
      <w:r w:rsidR="00B275ED">
        <w:t>ult</w:t>
      </w:r>
      <w:r w:rsidR="00CC73F2">
        <w:t xml:space="preserve"> opeten. </w:t>
      </w:r>
      <w:r w:rsidRPr="3425CD68" w:rsidR="3425CD68">
        <w:t>Bovendien bevat</w:t>
      </w:r>
      <w:r w:rsidRPr="67704C50" w:rsidR="5B7AB54C">
        <w:t xml:space="preserve"> </w:t>
      </w:r>
      <w:r w:rsidRPr="3425CD68" w:rsidR="3425CD68">
        <w:t>d</w:t>
      </w:r>
      <w:r w:rsidRPr="7F8EBF78" w:rsidR="7F8EBF78">
        <w:t>e hele vrucht</w:t>
      </w:r>
      <w:r w:rsidRPr="7F8EBF78" w:rsidR="3425CD68">
        <w:t>, in tegenstelling tot sap,</w:t>
      </w:r>
      <w:r w:rsidRPr="7F8EBF78" w:rsidR="7F8EBF78">
        <w:t xml:space="preserve"> vezels die de opname van suiker in het </w:t>
      </w:r>
      <w:r w:rsidRPr="3E6BA1A1" w:rsidR="3E6BA1A1">
        <w:t>lichaam vertragen.</w:t>
      </w:r>
      <w:r w:rsidR="00CC73F2">
        <w:t xml:space="preserve"> </w:t>
      </w:r>
      <w:r w:rsidRPr="00AD49D3">
        <w:t xml:space="preserve">Tot slot geldt dat het gehalte aan toegevoegde suikers </w:t>
      </w:r>
      <w:r w:rsidR="00CC73F2">
        <w:t xml:space="preserve">door het laboratorium van </w:t>
      </w:r>
      <w:r w:rsidRPr="00AD49D3">
        <w:t xml:space="preserve">Douane (de </w:t>
      </w:r>
      <w:r w:rsidRPr="00AD49D3">
        <w:lastRenderedPageBreak/>
        <w:t xml:space="preserve">uitvoerder van de verbruiksbelasting van alcoholvrije dranken) achteraf niet te </w:t>
      </w:r>
      <w:r>
        <w:t xml:space="preserve">onderscheiden is van natuurlijke suikers. Daardoor is </w:t>
      </w:r>
      <w:r w:rsidR="00CC73F2">
        <w:t xml:space="preserve">ook </w:t>
      </w:r>
      <w:r>
        <w:t xml:space="preserve">het gehalte toegevoegde suiker </w:t>
      </w:r>
      <w:r w:rsidR="00623B88">
        <w:t xml:space="preserve">dat op het etiket is vermeld, achteraf </w:t>
      </w:r>
      <w:r>
        <w:t>niet te controleren en dat</w:t>
      </w:r>
      <w:r w:rsidRPr="67704C50">
        <w:t xml:space="preserve"> </w:t>
      </w:r>
      <w:r>
        <w:t xml:space="preserve">brengt </w:t>
      </w:r>
      <w:r w:rsidRPr="00AD49D3">
        <w:t xml:space="preserve">frauderisico’s voor het stelsel met zich </w:t>
      </w:r>
      <w:r>
        <w:t xml:space="preserve">mee. </w:t>
      </w:r>
      <w:r w:rsidR="004C2385">
        <w:t xml:space="preserve">In geen van de scenario’s die hieronder wordt besproken, wordt daarom voorgesteld onderscheid te maken op basis van toegevoegd suiker. Dat betekent dat de hiervoor geschetste frauderisico’s met betrekking tot de controle van het suikergehalte door het Douanelaboratorium zich bij geen van de scenario’s voordoen. </w:t>
      </w:r>
      <w:r w:rsidR="00903247">
        <w:t xml:space="preserve">In </w:t>
      </w:r>
      <w:r w:rsidR="00CC73F2">
        <w:t>paragra</w:t>
      </w:r>
      <w:r w:rsidR="00910C15">
        <w:t>a</w:t>
      </w:r>
      <w:r w:rsidR="00CC73F2">
        <w:t xml:space="preserve">f </w:t>
      </w:r>
      <w:r w:rsidR="00903247">
        <w:t>5 gaan we nader in</w:t>
      </w:r>
      <w:r w:rsidR="00CC73F2">
        <w:t xml:space="preserve"> op</w:t>
      </w:r>
      <w:r w:rsidR="00903247">
        <w:t xml:space="preserve"> d</w:t>
      </w:r>
      <w:r w:rsidR="00CC73F2">
        <w:t>e (</w:t>
      </w:r>
      <w:proofErr w:type="spellStart"/>
      <w:r w:rsidR="00CC73F2">
        <w:t>uitvoerings</w:t>
      </w:r>
      <w:proofErr w:type="spellEnd"/>
      <w:r w:rsidR="00CC73F2">
        <w:t>)</w:t>
      </w:r>
      <w:r w:rsidR="00903247">
        <w:t>gevolgen voor de Douane bij keuze voor het soort stelsel.</w:t>
      </w:r>
    </w:p>
    <w:p w:rsidRPr="00C403CE" w:rsidR="00E73A82" w:rsidP="00FD31EB" w:rsidRDefault="00E73A82" w14:paraId="7EF8E390" w14:textId="77777777"/>
    <w:p w:rsidRPr="000B1DB1" w:rsidR="006F2060" w:rsidRDefault="00DF593C" w14:paraId="2D3F1688" w14:textId="77777777">
      <w:pPr>
        <w:rPr>
          <w:i/>
        </w:rPr>
      </w:pPr>
      <w:r w:rsidRPr="35FA1F3E">
        <w:rPr>
          <w:i/>
          <w:iCs/>
        </w:rPr>
        <w:t>2</w:t>
      </w:r>
      <w:r w:rsidRPr="35FA1F3E" w:rsidR="00CF603A">
        <w:rPr>
          <w:i/>
          <w:iCs/>
        </w:rPr>
        <w:t>.</w:t>
      </w:r>
      <w:r w:rsidRPr="35FA1F3E" w:rsidR="00B8225D">
        <w:rPr>
          <w:i/>
          <w:iCs/>
        </w:rPr>
        <w:t>4</w:t>
      </w:r>
      <w:r w:rsidRPr="35FA1F3E" w:rsidR="00CF603A">
        <w:rPr>
          <w:i/>
          <w:iCs/>
        </w:rPr>
        <w:t xml:space="preserve"> </w:t>
      </w:r>
      <w:proofErr w:type="spellStart"/>
      <w:r w:rsidRPr="35FA1F3E" w:rsidR="00CF603A">
        <w:rPr>
          <w:i/>
          <w:iCs/>
        </w:rPr>
        <w:t>Budget</w:t>
      </w:r>
      <w:r w:rsidRPr="35FA1F3E" w:rsidR="007031FE">
        <w:rPr>
          <w:i/>
          <w:iCs/>
        </w:rPr>
        <w:t>neutrale</w:t>
      </w:r>
      <w:proofErr w:type="spellEnd"/>
      <w:r w:rsidRPr="35FA1F3E" w:rsidR="007031FE">
        <w:rPr>
          <w:i/>
          <w:iCs/>
        </w:rPr>
        <w:t xml:space="preserve"> omzetting</w:t>
      </w:r>
    </w:p>
    <w:p w:rsidRPr="00AD49D3" w:rsidR="006F2060" w:rsidP="0095513A" w:rsidRDefault="006F2060" w14:paraId="685025C3" w14:textId="77777777">
      <w:r w:rsidRPr="00AD49D3">
        <w:t>De budgettaire reeks voor de huidige verbruiksbelasting</w:t>
      </w:r>
      <w:r w:rsidRPr="00AD49D3" w:rsidR="00E700A8">
        <w:rPr>
          <w:rStyle w:val="Voetnootmarkering"/>
        </w:rPr>
        <w:footnoteReference w:id="28"/>
      </w:r>
      <w:r w:rsidRPr="00AD49D3">
        <w:t xml:space="preserve"> is opgenomen in tabel </w:t>
      </w:r>
      <w:r w:rsidR="00D00F2E">
        <w:t>1.</w:t>
      </w:r>
    </w:p>
    <w:p w:rsidRPr="00AD49D3" w:rsidR="006F2060" w:rsidP="0095513A" w:rsidRDefault="006F2060" w14:paraId="65C5992E" w14:textId="77777777"/>
    <w:tbl>
      <w:tblPr>
        <w:tblStyle w:val="Tabelraster"/>
        <w:tblW w:w="0" w:type="auto"/>
        <w:tblLook w:val="04A0" w:firstRow="1" w:lastRow="0" w:firstColumn="1" w:lastColumn="0" w:noHBand="0" w:noVBand="1"/>
      </w:tblPr>
      <w:tblGrid>
        <w:gridCol w:w="1158"/>
        <w:gridCol w:w="773"/>
        <w:gridCol w:w="773"/>
        <w:gridCol w:w="789"/>
        <w:gridCol w:w="789"/>
        <w:gridCol w:w="789"/>
      </w:tblGrid>
      <w:tr w:rsidRPr="00AD49D3" w:rsidR="00E700A8" w:rsidTr="35FA1F3E" w14:paraId="0259899D" w14:textId="77777777">
        <w:tc>
          <w:tcPr>
            <w:tcW w:w="1158" w:type="dxa"/>
          </w:tcPr>
          <w:p w:rsidRPr="00AD49D3" w:rsidR="00E700A8" w:rsidP="00214430" w:rsidRDefault="00E700A8" w14:paraId="689276C4" w14:textId="77777777">
            <w:pPr>
              <w:jc w:val="center"/>
            </w:pPr>
          </w:p>
        </w:tc>
        <w:tc>
          <w:tcPr>
            <w:tcW w:w="773" w:type="dxa"/>
          </w:tcPr>
          <w:p w:rsidRPr="00AD49D3" w:rsidR="00E700A8" w:rsidP="00214430" w:rsidRDefault="00E700A8" w14:paraId="55E31D1C" w14:textId="77777777">
            <w:pPr>
              <w:jc w:val="center"/>
              <w:rPr>
                <w:b/>
                <w:bCs/>
              </w:rPr>
            </w:pPr>
            <w:r w:rsidRPr="00AD49D3">
              <w:rPr>
                <w:b/>
                <w:bCs/>
              </w:rPr>
              <w:t>2024</w:t>
            </w:r>
          </w:p>
        </w:tc>
        <w:tc>
          <w:tcPr>
            <w:tcW w:w="773" w:type="dxa"/>
          </w:tcPr>
          <w:p w:rsidRPr="00AD49D3" w:rsidR="00E700A8" w:rsidP="0095513A" w:rsidRDefault="00E700A8" w14:paraId="04E0A832" w14:textId="77777777">
            <w:pPr>
              <w:rPr>
                <w:b/>
                <w:bCs/>
              </w:rPr>
            </w:pPr>
            <w:r w:rsidRPr="00AD49D3">
              <w:rPr>
                <w:b/>
                <w:bCs/>
              </w:rPr>
              <w:t>2025</w:t>
            </w:r>
          </w:p>
        </w:tc>
        <w:tc>
          <w:tcPr>
            <w:tcW w:w="789" w:type="dxa"/>
          </w:tcPr>
          <w:p w:rsidRPr="00AD49D3" w:rsidR="00E700A8" w:rsidP="0095513A" w:rsidRDefault="00E700A8" w14:paraId="39A144A8" w14:textId="77777777">
            <w:pPr>
              <w:rPr>
                <w:b/>
                <w:bCs/>
              </w:rPr>
            </w:pPr>
            <w:r w:rsidRPr="00AD49D3">
              <w:rPr>
                <w:b/>
                <w:bCs/>
              </w:rPr>
              <w:t>2026</w:t>
            </w:r>
          </w:p>
        </w:tc>
        <w:tc>
          <w:tcPr>
            <w:tcW w:w="789" w:type="dxa"/>
          </w:tcPr>
          <w:p w:rsidRPr="00AD49D3" w:rsidR="00E700A8" w:rsidP="0095513A" w:rsidRDefault="00E700A8" w14:paraId="7AD3A73C" w14:textId="77777777">
            <w:pPr>
              <w:rPr>
                <w:b/>
                <w:bCs/>
              </w:rPr>
            </w:pPr>
            <w:r w:rsidRPr="00AD49D3">
              <w:rPr>
                <w:b/>
                <w:bCs/>
              </w:rPr>
              <w:t>2027</w:t>
            </w:r>
          </w:p>
        </w:tc>
        <w:tc>
          <w:tcPr>
            <w:tcW w:w="789" w:type="dxa"/>
          </w:tcPr>
          <w:p w:rsidRPr="00AD49D3" w:rsidR="00E700A8" w:rsidP="0095513A" w:rsidRDefault="00E700A8" w14:paraId="24C3B092" w14:textId="77777777">
            <w:pPr>
              <w:rPr>
                <w:b/>
                <w:bCs/>
              </w:rPr>
            </w:pPr>
            <w:r w:rsidRPr="00AD49D3">
              <w:rPr>
                <w:b/>
                <w:bCs/>
              </w:rPr>
              <w:t>2028</w:t>
            </w:r>
          </w:p>
        </w:tc>
      </w:tr>
      <w:tr w:rsidRPr="00AD49D3" w:rsidR="00E700A8" w:rsidTr="35FA1F3E" w14:paraId="32A9F9B9" w14:textId="77777777">
        <w:tc>
          <w:tcPr>
            <w:tcW w:w="1158" w:type="dxa"/>
          </w:tcPr>
          <w:p w:rsidRPr="00AD49D3" w:rsidR="00E700A8" w:rsidP="0095513A" w:rsidRDefault="00E700A8" w14:paraId="400104D5" w14:textId="77777777">
            <w:r w:rsidRPr="00AD49D3">
              <w:t>Opbrengst in miljoen euro</w:t>
            </w:r>
          </w:p>
        </w:tc>
        <w:tc>
          <w:tcPr>
            <w:tcW w:w="773" w:type="dxa"/>
          </w:tcPr>
          <w:p w:rsidRPr="00AD49D3" w:rsidR="00E700A8" w:rsidP="0095513A" w:rsidRDefault="00E700A8" w14:paraId="02232D16" w14:textId="77777777">
            <w:r w:rsidRPr="00AD49D3">
              <w:t>690</w:t>
            </w:r>
          </w:p>
        </w:tc>
        <w:tc>
          <w:tcPr>
            <w:tcW w:w="773" w:type="dxa"/>
          </w:tcPr>
          <w:p w:rsidRPr="00AD49D3" w:rsidR="00E700A8" w:rsidP="0095513A" w:rsidRDefault="00E700A8" w14:paraId="1A8556F9" w14:textId="77777777">
            <w:r w:rsidRPr="00AD49D3">
              <w:t>711</w:t>
            </w:r>
          </w:p>
        </w:tc>
        <w:tc>
          <w:tcPr>
            <w:tcW w:w="789" w:type="dxa"/>
          </w:tcPr>
          <w:p w:rsidRPr="00AD49D3" w:rsidR="00E700A8" w:rsidP="0095513A" w:rsidRDefault="00E700A8" w14:paraId="086647DC" w14:textId="77777777">
            <w:r w:rsidRPr="00AD49D3">
              <w:t>718</w:t>
            </w:r>
          </w:p>
        </w:tc>
        <w:tc>
          <w:tcPr>
            <w:tcW w:w="789" w:type="dxa"/>
          </w:tcPr>
          <w:p w:rsidRPr="00AD49D3" w:rsidR="00E700A8" w:rsidP="0095513A" w:rsidRDefault="00E700A8" w14:paraId="56DF6C48" w14:textId="77777777">
            <w:r w:rsidRPr="00AD49D3">
              <w:t>725</w:t>
            </w:r>
          </w:p>
        </w:tc>
        <w:tc>
          <w:tcPr>
            <w:tcW w:w="789" w:type="dxa"/>
          </w:tcPr>
          <w:p w:rsidRPr="00AD49D3" w:rsidR="00E700A8" w:rsidP="0095513A" w:rsidRDefault="00E700A8" w14:paraId="5449EA2F" w14:textId="77777777">
            <w:r w:rsidRPr="00AD49D3">
              <w:t>733</w:t>
            </w:r>
          </w:p>
        </w:tc>
      </w:tr>
    </w:tbl>
    <w:p w:rsidRPr="00A605F1" w:rsidR="006F2060" w:rsidP="0095513A" w:rsidRDefault="00A605F1" w14:paraId="3DDDF038" w14:textId="77777777">
      <w:pPr>
        <w:rPr>
          <w:i/>
          <w:iCs/>
          <w:sz w:val="14"/>
          <w:szCs w:val="14"/>
        </w:rPr>
      </w:pPr>
      <w:r w:rsidRPr="00A605F1">
        <w:rPr>
          <w:i/>
          <w:iCs/>
          <w:sz w:val="14"/>
          <w:szCs w:val="14"/>
        </w:rPr>
        <w:t xml:space="preserve">Tabel </w:t>
      </w:r>
      <w:r w:rsidR="00D00F2E">
        <w:rPr>
          <w:i/>
          <w:iCs/>
          <w:sz w:val="14"/>
          <w:szCs w:val="14"/>
        </w:rPr>
        <w:t>1</w:t>
      </w:r>
      <w:r w:rsidRPr="00A605F1">
        <w:rPr>
          <w:i/>
          <w:iCs/>
          <w:sz w:val="14"/>
          <w:szCs w:val="14"/>
        </w:rPr>
        <w:t xml:space="preserve">: </w:t>
      </w:r>
      <w:r w:rsidR="00AF40B1">
        <w:rPr>
          <w:i/>
          <w:iCs/>
          <w:sz w:val="14"/>
          <w:szCs w:val="14"/>
        </w:rPr>
        <w:t>B</w:t>
      </w:r>
      <w:r w:rsidRPr="00A605F1">
        <w:rPr>
          <w:i/>
          <w:iCs/>
          <w:sz w:val="14"/>
          <w:szCs w:val="14"/>
        </w:rPr>
        <w:t>udgettaire opbrengst verbruiksbelasting met vlak tarief</w:t>
      </w:r>
      <w:r w:rsidR="00A70832">
        <w:rPr>
          <w:i/>
          <w:iCs/>
          <w:sz w:val="14"/>
          <w:szCs w:val="14"/>
        </w:rPr>
        <w:t>.</w:t>
      </w:r>
    </w:p>
    <w:p w:rsidRPr="00AD49D3" w:rsidR="00A605F1" w:rsidP="0095513A" w:rsidRDefault="00A605F1" w14:paraId="06556F29" w14:textId="77777777"/>
    <w:p w:rsidRPr="00AD49D3" w:rsidR="006F2060" w:rsidP="0095513A" w:rsidRDefault="008A3154" w14:paraId="16963111" w14:textId="77777777">
      <w:r>
        <w:t xml:space="preserve">Gegeven de ingediende moties en amendementen </w:t>
      </w:r>
      <w:r w:rsidR="00E53389">
        <w:t xml:space="preserve">is het uitgangspunt dat </w:t>
      </w:r>
      <w:r w:rsidR="00D36728">
        <w:t xml:space="preserve">onder een gedifferentieerde verbruiksbelasting hetzelfde bedrag </w:t>
      </w:r>
      <w:r w:rsidR="00E53389">
        <w:t xml:space="preserve">wordt </w:t>
      </w:r>
      <w:r w:rsidR="00D36728">
        <w:t>opgehaald als onder het huidige stelsel</w:t>
      </w:r>
      <w:r w:rsidR="00E53389">
        <w:t xml:space="preserve">. Dit betekent dat wordt uitgegaan van </w:t>
      </w:r>
      <w:r w:rsidR="00D36728">
        <w:t xml:space="preserve">een zogenoemde </w:t>
      </w:r>
      <w:proofErr w:type="spellStart"/>
      <w:r>
        <w:t>budgetneutrale</w:t>
      </w:r>
      <w:proofErr w:type="spellEnd"/>
      <w:r>
        <w:t xml:space="preserve"> omzetting</w:t>
      </w:r>
      <w:r w:rsidR="00D36728">
        <w:t>.</w:t>
      </w:r>
      <w:r>
        <w:t xml:space="preserve"> </w:t>
      </w:r>
      <w:r w:rsidR="00E53389">
        <w:t xml:space="preserve">Dit past bij het feit dat </w:t>
      </w:r>
      <w:r w:rsidR="00D36728">
        <w:t>een gedifferentieerd stelsel alleen een aanvullende gezondheidsdoelstelling</w:t>
      </w:r>
      <w:r w:rsidR="00E53389">
        <w:t xml:space="preserve"> heeft,</w:t>
      </w:r>
      <w:r w:rsidR="00D36728">
        <w:t xml:space="preserve"> en geen aanvullende budgettaire doelstelling. </w:t>
      </w:r>
      <w:r w:rsidRPr="00AD49D3" w:rsidR="00955BA7">
        <w:t xml:space="preserve">De omzetting heeft </w:t>
      </w:r>
      <w:r w:rsidR="000D5E24">
        <w:t xml:space="preserve">op microniveau </w:t>
      </w:r>
      <w:r w:rsidRPr="00AD49D3" w:rsidR="00955BA7">
        <w:t xml:space="preserve">tot gevolg dat dranken met veel suiker zwaarder zullen worden belast dan nu, en dranken </w:t>
      </w:r>
      <w:r w:rsidR="00DE24AA">
        <w:t xml:space="preserve">zonder suiker of </w:t>
      </w:r>
      <w:r w:rsidRPr="00AD49D3" w:rsidR="00955BA7">
        <w:t xml:space="preserve">met </w:t>
      </w:r>
      <w:r w:rsidR="00A605F1">
        <w:t>weinig</w:t>
      </w:r>
      <w:r w:rsidRPr="00AD49D3" w:rsidR="00955BA7">
        <w:t xml:space="preserve"> suiker minder zwaar</w:t>
      </w:r>
      <w:r w:rsidR="00A605F1">
        <w:t xml:space="preserve"> zullen worden belast dan nu</w:t>
      </w:r>
      <w:r w:rsidRPr="00AD49D3" w:rsidR="00955BA7">
        <w:t>.</w:t>
      </w:r>
      <w:r w:rsidRPr="35FA1F3E">
        <w:t xml:space="preserve"> </w:t>
      </w:r>
      <w:r w:rsidRPr="00AD49D3" w:rsidR="006F2060">
        <w:t xml:space="preserve">Voor de </w:t>
      </w:r>
      <w:proofErr w:type="spellStart"/>
      <w:r w:rsidRPr="00AD49D3" w:rsidR="006F2060">
        <w:t>budgetneutrale</w:t>
      </w:r>
      <w:proofErr w:type="spellEnd"/>
      <w:r w:rsidRPr="00AD49D3" w:rsidR="006F2060">
        <w:t xml:space="preserve"> omzetting wordt </w:t>
      </w:r>
      <w:r w:rsidR="00DF593C">
        <w:t xml:space="preserve">in deze brief </w:t>
      </w:r>
      <w:r w:rsidRPr="00AD49D3" w:rsidR="006F2060">
        <w:t xml:space="preserve">uitgegaan van de geraamde opbrengst </w:t>
      </w:r>
      <w:r w:rsidRPr="00AD49D3" w:rsidR="00FD6896">
        <w:t xml:space="preserve">van de huidige verbruiksbelasting </w:t>
      </w:r>
      <w:r w:rsidRPr="00AD49D3" w:rsidR="006F2060">
        <w:t>voor 2026 ui</w:t>
      </w:r>
      <w:r w:rsidR="00D36728">
        <w:t>t</w:t>
      </w:r>
      <w:r w:rsidRPr="00AD49D3" w:rsidR="006F2060">
        <w:t xml:space="preserve"> de Miljoenennota 2024</w:t>
      </w:r>
      <w:r w:rsidRPr="00AD49D3" w:rsidR="00C373F9">
        <w:t xml:space="preserve">, </w:t>
      </w:r>
      <w:r w:rsidR="009301CF">
        <w:t>namelijk</w:t>
      </w:r>
      <w:r w:rsidRPr="00AD49D3" w:rsidR="009301CF">
        <w:t xml:space="preserve"> </w:t>
      </w:r>
      <w:r w:rsidRPr="00AD49D3" w:rsidR="00C373F9">
        <w:t>€</w:t>
      </w:r>
      <w:r w:rsidR="00101DC0">
        <w:t> </w:t>
      </w:r>
      <w:r w:rsidRPr="00AD49D3" w:rsidR="00C373F9">
        <w:t>718</w:t>
      </w:r>
      <w:r w:rsidR="00101DC0">
        <w:t> </w:t>
      </w:r>
      <w:r w:rsidR="008325EB">
        <w:t>miljoen</w:t>
      </w:r>
      <w:r w:rsidRPr="35FA1F3E" w:rsidR="006F2060">
        <w:t>.</w:t>
      </w:r>
      <w:r w:rsidR="00A605F1">
        <w:t xml:space="preserve"> Er wordt aangesloten bij </w:t>
      </w:r>
      <w:r w:rsidR="1A57C002">
        <w:t>2026</w:t>
      </w:r>
      <w:r w:rsidR="00A605F1">
        <w:t xml:space="preserve"> omdat dat </w:t>
      </w:r>
      <w:r w:rsidR="00910C15">
        <w:t xml:space="preserve">onder voorwaarden </w:t>
      </w:r>
      <w:r w:rsidR="00A605F1">
        <w:t>het eerst mogelijk</w:t>
      </w:r>
      <w:r w:rsidR="002D55EF">
        <w:t>e</w:t>
      </w:r>
      <w:r w:rsidR="00A605F1">
        <w:t xml:space="preserve"> jaar van invoering is</w:t>
      </w:r>
      <w:r w:rsidR="00910C15">
        <w:t xml:space="preserve"> (zie verder paragraaf 5)</w:t>
      </w:r>
      <w:r w:rsidR="00A605F1">
        <w:t>.</w:t>
      </w:r>
    </w:p>
    <w:p w:rsidRPr="00AD49D3" w:rsidR="006F2060" w:rsidP="0095513A" w:rsidRDefault="006F2060" w14:paraId="1AE5235B" w14:textId="77777777"/>
    <w:p w:rsidRPr="00AD49D3" w:rsidR="006F2060" w:rsidP="0095513A" w:rsidRDefault="007031FE" w14:paraId="638A2D27" w14:textId="77777777">
      <w:r>
        <w:t>Net zoals dat gold voor de eerdere uitzondering v</w:t>
      </w:r>
      <w:r w:rsidR="00120635">
        <w:t xml:space="preserve">an </w:t>
      </w:r>
      <w:r>
        <w:t>mineraalwater</w:t>
      </w:r>
      <w:r w:rsidR="009301CF">
        <w:t>,</w:t>
      </w:r>
      <w:r>
        <w:t xml:space="preserve"> zal iedere</w:t>
      </w:r>
      <w:r w:rsidR="00120635">
        <w:t xml:space="preserve"> extra</w:t>
      </w:r>
      <w:r>
        <w:t xml:space="preserve"> uitzondering van </w:t>
      </w:r>
      <w:r w:rsidRPr="00AD49D3" w:rsidR="00C373F9">
        <w:t xml:space="preserve">dranken </w:t>
      </w:r>
      <w:r>
        <w:t xml:space="preserve">ervoor zorgen dat </w:t>
      </w:r>
      <w:r w:rsidRPr="00AD49D3" w:rsidR="00C373F9">
        <w:t xml:space="preserve">het tarief voor de overgebleven dranken omhoog </w:t>
      </w:r>
      <w:r>
        <w:t xml:space="preserve">moet </w:t>
      </w:r>
      <w:r w:rsidRPr="00AD49D3" w:rsidR="00C373F9">
        <w:t>om tot dezelfde opbrengst te komen.</w:t>
      </w:r>
      <w:r w:rsidR="005C0172">
        <w:t xml:space="preserve"> Met andere woorden: hoe meer uitzonderingen, h</w:t>
      </w:r>
      <w:r w:rsidRPr="00AD49D3" w:rsidR="005C0172">
        <w:t>oe hoger de tarieven</w:t>
      </w:r>
      <w:r w:rsidR="00040A83">
        <w:t xml:space="preserve"> worden</w:t>
      </w:r>
      <w:r w:rsidR="005C0172">
        <w:t xml:space="preserve"> voor de dranken die nog wél </w:t>
      </w:r>
      <w:r w:rsidR="00040A83">
        <w:t xml:space="preserve">worden </w:t>
      </w:r>
      <w:r w:rsidR="005C0172">
        <w:t>belast.</w:t>
      </w:r>
    </w:p>
    <w:p w:rsidRPr="00AD49D3" w:rsidR="0052484C" w:rsidP="0095513A" w:rsidRDefault="0052484C" w14:paraId="46F31BDE" w14:textId="77777777">
      <w:pPr>
        <w:rPr>
          <w:i/>
          <w:iCs/>
        </w:rPr>
      </w:pPr>
    </w:p>
    <w:p w:rsidRPr="00873021" w:rsidR="00C373F9" w:rsidP="18866C71" w:rsidRDefault="00DF593C" w14:paraId="7780E04C" w14:textId="77777777">
      <w:pPr>
        <w:rPr>
          <w:i/>
          <w:iCs/>
        </w:rPr>
      </w:pPr>
      <w:r w:rsidRPr="18866C71">
        <w:rPr>
          <w:i/>
          <w:iCs/>
        </w:rPr>
        <w:t>2</w:t>
      </w:r>
      <w:r w:rsidRPr="18866C71" w:rsidR="00C373F9">
        <w:rPr>
          <w:i/>
          <w:iCs/>
        </w:rPr>
        <w:t>.</w:t>
      </w:r>
      <w:r w:rsidRPr="18866C71" w:rsidR="00B8225D">
        <w:rPr>
          <w:i/>
          <w:iCs/>
        </w:rPr>
        <w:t>5</w:t>
      </w:r>
      <w:r w:rsidRPr="18866C71" w:rsidR="00C373F9">
        <w:rPr>
          <w:i/>
          <w:iCs/>
        </w:rPr>
        <w:t xml:space="preserve"> Staffels</w:t>
      </w:r>
    </w:p>
    <w:p w:rsidR="00C373F9" w:rsidP="001C0460" w:rsidRDefault="001C0460" w14:paraId="2629BCD8" w14:textId="77777777">
      <w:r>
        <w:t xml:space="preserve">Onderstaande staffel volgt het uitgangspunt van het onderzoek dat </w:t>
      </w:r>
      <w:r w:rsidR="00974C2E">
        <w:t xml:space="preserve">de suikerinname via alcoholvrije dranken wordt beperkt en dat </w:t>
      </w:r>
      <w:r w:rsidRPr="00AD49D3">
        <w:t>zoveel mogelijk prikkel tot herformulering plaatsvindt waardoor producenten van alcoholvrije dranken het suikergehalte in dranken verlagen</w:t>
      </w:r>
      <w:r w:rsidR="00974C2E">
        <w:t>.</w:t>
      </w:r>
    </w:p>
    <w:p w:rsidR="004815B8" w:rsidP="001C0460" w:rsidRDefault="004815B8" w14:paraId="2A3E806A" w14:textId="77777777"/>
    <w:p w:rsidR="004815B8" w:rsidP="001C0460" w:rsidRDefault="004815B8" w14:paraId="3AD12319" w14:textId="77777777"/>
    <w:p w:rsidR="004815B8" w:rsidP="001C0460" w:rsidRDefault="004815B8" w14:paraId="043C3F97" w14:textId="77777777"/>
    <w:p w:rsidR="004815B8" w:rsidP="001C0460" w:rsidRDefault="004815B8" w14:paraId="16603E9A" w14:textId="77777777"/>
    <w:p w:rsidRPr="00AD49D3" w:rsidR="004815B8" w:rsidP="001C0460" w:rsidRDefault="004815B8" w14:paraId="054E5D03" w14:textId="77777777"/>
    <w:p w:rsidRPr="00AD49D3" w:rsidR="00C373F9" w:rsidP="00C373F9" w:rsidRDefault="00C373F9" w14:paraId="2A52DF02" w14:textId="77777777"/>
    <w:tbl>
      <w:tblPr>
        <w:tblStyle w:val="Tabelraster"/>
        <w:tblW w:w="0" w:type="auto"/>
        <w:tblLook w:val="04A0" w:firstRow="1" w:lastRow="0" w:firstColumn="1" w:lastColumn="0" w:noHBand="0" w:noVBand="1"/>
      </w:tblPr>
      <w:tblGrid>
        <w:gridCol w:w="3964"/>
      </w:tblGrid>
      <w:tr w:rsidRPr="00AD49D3" w:rsidR="009E2BF4" w:rsidTr="18866C71" w14:paraId="2B3648E3" w14:textId="77777777">
        <w:tc>
          <w:tcPr>
            <w:tcW w:w="3964" w:type="dxa"/>
          </w:tcPr>
          <w:p w:rsidRPr="00AD49D3" w:rsidR="009E2BF4" w:rsidP="000B1B67" w:rsidRDefault="009E2BF4" w14:paraId="48421BEE" w14:textId="77777777">
            <w:pPr>
              <w:rPr>
                <w:b/>
                <w:bCs/>
              </w:rPr>
            </w:pPr>
            <w:r w:rsidRPr="00AD49D3">
              <w:rPr>
                <w:b/>
                <w:bCs/>
              </w:rPr>
              <w:lastRenderedPageBreak/>
              <w:t>Aantal gram suiker per 100 milliliter</w:t>
            </w:r>
          </w:p>
        </w:tc>
      </w:tr>
      <w:tr w:rsidRPr="00AD49D3" w:rsidR="009E2BF4" w:rsidTr="18866C71" w14:paraId="26334E88" w14:textId="77777777">
        <w:tc>
          <w:tcPr>
            <w:tcW w:w="3964" w:type="dxa"/>
          </w:tcPr>
          <w:p w:rsidRPr="00AD49D3" w:rsidR="009E2BF4" w:rsidP="000B1B67" w:rsidRDefault="009E2BF4" w14:paraId="5C96F49F" w14:textId="77777777">
            <w:r w:rsidRPr="00AD49D3">
              <w:t xml:space="preserve">0 tot en met </w:t>
            </w:r>
            <w:r>
              <w:t>1</w:t>
            </w:r>
          </w:p>
        </w:tc>
      </w:tr>
      <w:tr w:rsidRPr="00AD49D3" w:rsidR="009E2BF4" w:rsidTr="18866C71" w14:paraId="71FD5B45" w14:textId="77777777">
        <w:tc>
          <w:tcPr>
            <w:tcW w:w="3964" w:type="dxa"/>
          </w:tcPr>
          <w:p w:rsidRPr="00AD49D3" w:rsidR="009E2BF4" w:rsidP="000B1B67" w:rsidRDefault="009E2BF4" w14:paraId="195877EC" w14:textId="77777777">
            <w:r>
              <w:t>1,1</w:t>
            </w:r>
            <w:r w:rsidRPr="00AD49D3">
              <w:t xml:space="preserve"> tot en met </w:t>
            </w:r>
            <w:r>
              <w:t>4</w:t>
            </w:r>
          </w:p>
        </w:tc>
      </w:tr>
      <w:tr w:rsidRPr="00AD49D3" w:rsidR="009E2BF4" w:rsidTr="18866C71" w14:paraId="568C655F" w14:textId="77777777">
        <w:tc>
          <w:tcPr>
            <w:tcW w:w="3964" w:type="dxa"/>
          </w:tcPr>
          <w:p w:rsidRPr="00AD49D3" w:rsidR="009E2BF4" w:rsidP="000B1B67" w:rsidRDefault="009E2BF4" w14:paraId="1FA34B4C" w14:textId="77777777">
            <w:r>
              <w:t>4,1</w:t>
            </w:r>
            <w:r w:rsidRPr="00AD49D3">
              <w:t xml:space="preserve"> tot en met </w:t>
            </w:r>
            <w:r w:rsidR="00D36728">
              <w:t>7,5</w:t>
            </w:r>
          </w:p>
        </w:tc>
      </w:tr>
      <w:tr w:rsidRPr="00AD49D3" w:rsidR="009E2BF4" w:rsidTr="18866C71" w14:paraId="6E18C3D7" w14:textId="77777777">
        <w:tc>
          <w:tcPr>
            <w:tcW w:w="3964" w:type="dxa"/>
          </w:tcPr>
          <w:p w:rsidRPr="00AD49D3" w:rsidR="009E2BF4" w:rsidP="000B1B67" w:rsidRDefault="009E2BF4" w14:paraId="6319C148" w14:textId="77777777">
            <w:r>
              <w:t>7,6</w:t>
            </w:r>
            <w:r w:rsidRPr="00AD49D3">
              <w:t xml:space="preserve"> tot en met </w:t>
            </w:r>
            <w:r>
              <w:t>10</w:t>
            </w:r>
          </w:p>
        </w:tc>
      </w:tr>
      <w:tr w:rsidRPr="00AD49D3" w:rsidR="009E2BF4" w:rsidTr="18866C71" w14:paraId="65750FEF" w14:textId="77777777">
        <w:tc>
          <w:tcPr>
            <w:tcW w:w="3964" w:type="dxa"/>
          </w:tcPr>
          <w:p w:rsidRPr="00AD49D3" w:rsidR="009E2BF4" w:rsidP="000B1B67" w:rsidRDefault="009E2BF4" w14:paraId="471E0365" w14:textId="77777777">
            <w:r w:rsidRPr="00AD49D3">
              <w:t>Meer dan 10</w:t>
            </w:r>
          </w:p>
        </w:tc>
      </w:tr>
    </w:tbl>
    <w:p w:rsidRPr="00761CB8" w:rsidR="00C373F9" w:rsidP="007F5C46" w:rsidRDefault="00D00F2E" w14:paraId="56F12049" w14:textId="77777777">
      <w:pPr>
        <w:rPr>
          <w:i/>
          <w:iCs/>
          <w:sz w:val="14"/>
          <w:szCs w:val="14"/>
        </w:rPr>
      </w:pPr>
      <w:r w:rsidRPr="00761CB8">
        <w:rPr>
          <w:i/>
          <w:iCs/>
          <w:sz w:val="14"/>
          <w:szCs w:val="14"/>
        </w:rPr>
        <w:t>Tabel 2: Uitgangspunt staffels gedifferentieerde verbruiksbelasting op basis van suikergehalte</w:t>
      </w:r>
      <w:r w:rsidR="00C33C7B">
        <w:rPr>
          <w:i/>
          <w:iCs/>
          <w:sz w:val="14"/>
          <w:szCs w:val="14"/>
        </w:rPr>
        <w:t>.</w:t>
      </w:r>
    </w:p>
    <w:p w:rsidRPr="00AD49D3" w:rsidR="00D00F2E" w:rsidP="007F5C46" w:rsidRDefault="00D00F2E" w14:paraId="7B706FE6" w14:textId="77777777"/>
    <w:p w:rsidR="00C373F9" w:rsidP="007F5C46" w:rsidRDefault="0000709F" w14:paraId="2381D387" w14:textId="77777777">
      <w:r>
        <w:t xml:space="preserve">Voor iedere staffel komt een (oplopend) tarief te gelden, zie paragraaf 3.1. </w:t>
      </w:r>
      <w:r w:rsidRPr="00AD49D3" w:rsidR="002D05DC">
        <w:t xml:space="preserve">Hoe minder suiker de drank bevat, hoe minder verbruiksbelasting </w:t>
      </w:r>
      <w:r>
        <w:t xml:space="preserve">dus </w:t>
      </w:r>
      <w:r w:rsidRPr="00AD49D3" w:rsidR="002D05DC">
        <w:t xml:space="preserve">is verschuldigd. </w:t>
      </w:r>
      <w:r w:rsidRPr="00AD49D3" w:rsidR="00C373F9">
        <w:t>Voor dranken</w:t>
      </w:r>
      <w:r w:rsidRPr="00AD49D3" w:rsidR="007F5C46">
        <w:t xml:space="preserve"> tot </w:t>
      </w:r>
      <w:r w:rsidR="000D5E24">
        <w:t>en met</w:t>
      </w:r>
      <w:r w:rsidRPr="35FA1F3E" w:rsidR="007F5C46">
        <w:t xml:space="preserve"> </w:t>
      </w:r>
      <w:r w:rsidR="0016385C">
        <w:t>1</w:t>
      </w:r>
      <w:r w:rsidRPr="00AD49D3" w:rsidR="007F5C46">
        <w:t xml:space="preserve"> gram suiker per 100 </w:t>
      </w:r>
      <w:r w:rsidR="008325EB">
        <w:t>milliliter</w:t>
      </w:r>
      <w:r w:rsidRPr="00AD49D3" w:rsidR="00C373F9">
        <w:t xml:space="preserve"> wordt</w:t>
      </w:r>
      <w:r w:rsidRPr="35FA1F3E" w:rsidR="007F5C46">
        <w:t xml:space="preserve"> </w:t>
      </w:r>
      <w:r w:rsidR="004C246A">
        <w:t>het laa</w:t>
      </w:r>
      <w:r w:rsidR="009301CF">
        <w:t>g</w:t>
      </w:r>
      <w:r w:rsidR="004C246A">
        <w:t xml:space="preserve">ste tarief gehanteerd, maar </w:t>
      </w:r>
      <w:r w:rsidRPr="00AD49D3" w:rsidR="007F5C46">
        <w:t xml:space="preserve">geen nultarief. </w:t>
      </w:r>
      <w:r w:rsidRPr="00AD49D3" w:rsidR="00C373F9">
        <w:t>Een nultarief</w:t>
      </w:r>
      <w:r w:rsidR="009A1B5F">
        <w:t xml:space="preserve"> voor bijvoorbeeld zero-frisdranken</w:t>
      </w:r>
      <w:r w:rsidRPr="00AD49D3" w:rsidR="00C373F9">
        <w:t xml:space="preserve"> zou</w:t>
      </w:r>
      <w:r w:rsidRPr="35FA1F3E" w:rsidDel="007F5C46" w:rsidR="00C373F9">
        <w:t xml:space="preserve"> </w:t>
      </w:r>
      <w:r w:rsidRPr="00AD49D3" w:rsidR="00C373F9">
        <w:t>leiden tot een significant grotere budgettaire derving</w:t>
      </w:r>
      <w:r w:rsidRPr="00AD49D3" w:rsidR="007F5C46">
        <w:t xml:space="preserve">, wat </w:t>
      </w:r>
      <w:r w:rsidRPr="00AD49D3" w:rsidR="008E3DD3">
        <w:t xml:space="preserve">vanwege het uitgangspunt van een </w:t>
      </w:r>
      <w:proofErr w:type="spellStart"/>
      <w:r w:rsidRPr="00AD49D3" w:rsidR="008E3DD3">
        <w:t>budgetneutrale</w:t>
      </w:r>
      <w:proofErr w:type="spellEnd"/>
      <w:r w:rsidRPr="00AD49D3" w:rsidR="008E3DD3">
        <w:t xml:space="preserve"> omzetting </w:t>
      </w:r>
      <w:r w:rsidRPr="00AD49D3" w:rsidR="007F5C46">
        <w:t xml:space="preserve">zou resulteren in een sterkere stijging van de tarieven voor </w:t>
      </w:r>
      <w:r w:rsidR="00974C2E">
        <w:t xml:space="preserve">de overige </w:t>
      </w:r>
      <w:r w:rsidRPr="00AD49D3" w:rsidR="007F5C46">
        <w:t>dranken</w:t>
      </w:r>
      <w:r w:rsidRPr="35FA1F3E" w:rsidR="00C373F9">
        <w:t>.</w:t>
      </w:r>
      <w:r w:rsidRPr="35FA1F3E" w:rsidR="007F5C46">
        <w:t xml:space="preserve"> </w:t>
      </w:r>
      <w:r w:rsidR="00974C2E">
        <w:t xml:space="preserve">Hierbij is wel van belang te realiseren dat onder het huidige stelsel </w:t>
      </w:r>
      <w:r w:rsidRPr="00AD49D3" w:rsidR="007F5C46">
        <w:t xml:space="preserve">dranken tot </w:t>
      </w:r>
      <w:r w:rsidR="0016385C">
        <w:t>en met 1</w:t>
      </w:r>
      <w:r w:rsidRPr="00AD49D3" w:rsidR="007F5C46">
        <w:t xml:space="preserve"> gram suiker per 100 </w:t>
      </w:r>
      <w:r w:rsidR="0016385C">
        <w:t>m</w:t>
      </w:r>
      <w:r w:rsidR="008325EB">
        <w:t>illiliter</w:t>
      </w:r>
      <w:r w:rsidR="00974C2E">
        <w:t xml:space="preserve"> worden </w:t>
      </w:r>
      <w:r w:rsidRPr="00AD49D3" w:rsidR="007F5C46">
        <w:t>belast met een tarief van €</w:t>
      </w:r>
      <w:r w:rsidR="00101DC0">
        <w:t> </w:t>
      </w:r>
      <w:r w:rsidRPr="00AD49D3" w:rsidR="007F5C46">
        <w:t>26,13 per 100</w:t>
      </w:r>
      <w:r w:rsidR="00101DC0">
        <w:t> </w:t>
      </w:r>
      <w:r w:rsidRPr="00AD49D3" w:rsidR="007F5C46">
        <w:t>liter. Een gedifferentieerde verbruiksbelasting heeft voor dranken</w:t>
      </w:r>
      <w:r w:rsidR="00974C2E">
        <w:t xml:space="preserve"> met geen of weinig suiker</w:t>
      </w:r>
      <w:r w:rsidR="00FF1EA3">
        <w:t xml:space="preserve"> dus</w:t>
      </w:r>
      <w:r w:rsidRPr="35FA1F3E" w:rsidR="007F5C46">
        <w:t xml:space="preserve"> </w:t>
      </w:r>
      <w:r w:rsidRPr="00AD49D3" w:rsidR="008E3DD3">
        <w:t>hoe dan ook e</w:t>
      </w:r>
      <w:r w:rsidRPr="00AD49D3" w:rsidR="007F5C46">
        <w:t xml:space="preserve">en </w:t>
      </w:r>
      <w:r w:rsidR="00FF1EA3">
        <w:t xml:space="preserve">(flinke) </w:t>
      </w:r>
      <w:r w:rsidRPr="00AD49D3" w:rsidR="007F5C46">
        <w:t xml:space="preserve">tariefsverlaging als resultaat. Door het laagste </w:t>
      </w:r>
      <w:r w:rsidRPr="00AD49D3" w:rsidR="00C373F9">
        <w:t xml:space="preserve">tarief te hanteren voor alcoholvrije dranken met 0 tot en met </w:t>
      </w:r>
      <w:r w:rsidR="00FF1EA3">
        <w:t>1 g</w:t>
      </w:r>
      <w:r w:rsidRPr="00AD49D3" w:rsidR="00C373F9">
        <w:t>ram suiker per 100 milliliter</w:t>
      </w:r>
      <w:r w:rsidRPr="35FA1F3E" w:rsidR="007F5C46">
        <w:t xml:space="preserve"> </w:t>
      </w:r>
      <w:r w:rsidRPr="00AD49D3" w:rsidR="00C373F9">
        <w:t>is</w:t>
      </w:r>
      <w:r w:rsidRPr="35FA1F3E" w:rsidDel="007F5C46" w:rsidR="00C373F9">
        <w:t xml:space="preserve"> </w:t>
      </w:r>
      <w:r w:rsidRPr="00AD49D3" w:rsidR="00C373F9">
        <w:t>deze staffel controleerbaar voor de Douane.</w:t>
      </w:r>
      <w:r w:rsidR="0016385C">
        <w:rPr>
          <w:rStyle w:val="Voetnootmarkering"/>
        </w:rPr>
        <w:footnoteReference w:id="29"/>
      </w:r>
    </w:p>
    <w:p w:rsidR="004C246A" w:rsidP="00C373F9" w:rsidRDefault="004C246A" w14:paraId="469C9704" w14:textId="77777777"/>
    <w:p w:rsidR="00C373F9" w:rsidP="004F283E" w:rsidRDefault="00C60781" w14:paraId="005A5E68" w14:textId="77777777">
      <w:r>
        <w:t>D</w:t>
      </w:r>
      <w:r w:rsidRPr="00AD49D3" w:rsidR="00A1601B">
        <w:t>e indeling van de staffels</w:t>
      </w:r>
      <w:r>
        <w:t xml:space="preserve"> is</w:t>
      </w:r>
      <w:r w:rsidRPr="00AD49D3" w:rsidR="00A1601B">
        <w:t xml:space="preserve"> gebaseerd op gegevens van het CBS die zijn opgevraagd voor het onderzoek.</w:t>
      </w:r>
      <w:r w:rsidRPr="00AD49D3" w:rsidR="00A1601B">
        <w:rPr>
          <w:rStyle w:val="Voetnootmarkering"/>
        </w:rPr>
        <w:footnoteReference w:id="30"/>
      </w:r>
      <w:r w:rsidRPr="00AD49D3" w:rsidR="00A1601B">
        <w:t xml:space="preserve"> Uit die data blijkt dat </w:t>
      </w:r>
      <w:proofErr w:type="gramStart"/>
      <w:r w:rsidRPr="00AD49D3" w:rsidR="00A1601B">
        <w:t>circa</w:t>
      </w:r>
      <w:proofErr w:type="gramEnd"/>
      <w:r w:rsidRPr="00AD49D3" w:rsidR="00A1601B">
        <w:t xml:space="preserve"> 50% van de verkochte alcoholvrije dranken in supermarkten een suikergehalte heeft dat valt tussen de 0 en 5 gram suiker per 100</w:t>
      </w:r>
      <w:r w:rsidR="00101DC0">
        <w:t> </w:t>
      </w:r>
      <w:r w:rsidRPr="00AD49D3" w:rsidR="00A1601B">
        <w:t xml:space="preserve">milliliter, waarbij een relatief grote afzet dranken </w:t>
      </w:r>
      <w:r w:rsidR="009301CF">
        <w:t>(</w:t>
      </w:r>
      <w:r w:rsidR="00A80FCE">
        <w:t>25</w:t>
      </w:r>
      <w:r w:rsidR="009301CF">
        <w:t xml:space="preserve">%) </w:t>
      </w:r>
      <w:r w:rsidRPr="00AD49D3" w:rsidR="00A1601B">
        <w:t xml:space="preserve">zich centreert rond de 4 </w:t>
      </w:r>
      <w:r w:rsidRPr="00AD49D3" w:rsidR="004F283E">
        <w:t>à</w:t>
      </w:r>
      <w:r w:rsidRPr="00AD49D3" w:rsidR="00A1601B">
        <w:t xml:space="preserve"> 5 gram suiker per 100</w:t>
      </w:r>
      <w:r w:rsidR="00101DC0">
        <w:t> </w:t>
      </w:r>
      <w:r w:rsidRPr="00AD49D3" w:rsidR="00A1601B">
        <w:t xml:space="preserve">milliliter. Dit heeft </w:t>
      </w:r>
      <w:r w:rsidR="00B55CA1">
        <w:t>naar verwachting</w:t>
      </w:r>
      <w:r w:rsidRPr="00AD49D3" w:rsidR="00A1601B">
        <w:t xml:space="preserve"> te maken met herformulering </w:t>
      </w:r>
      <w:r w:rsidR="004F283E">
        <w:t xml:space="preserve">die al plaatsvindt in andere landen, </w:t>
      </w:r>
      <w:r w:rsidRPr="00AD49D3" w:rsidR="00A1601B">
        <w:t xml:space="preserve">op basis van </w:t>
      </w:r>
      <w:proofErr w:type="spellStart"/>
      <w:r w:rsidRPr="00AD49D3" w:rsidR="00A1601B">
        <w:t>suikergerelateerde</w:t>
      </w:r>
      <w:proofErr w:type="spellEnd"/>
      <w:r w:rsidRPr="00AD49D3" w:rsidR="00A1601B">
        <w:t xml:space="preserve"> belastingen op alcoholvrije dranken</w:t>
      </w:r>
      <w:r w:rsidR="004F283E">
        <w:t xml:space="preserve"> aldaar</w:t>
      </w:r>
      <w:r w:rsidRPr="00AD49D3" w:rsidR="00A1601B">
        <w:t>. Om producenten van alcoholvrije dranken zoveel mogelijk te stimuleren te herformuleren</w:t>
      </w:r>
      <w:r w:rsidR="004F283E">
        <w:t>,</w:t>
      </w:r>
      <w:r w:rsidRPr="00AD49D3" w:rsidR="00A1601B">
        <w:t xml:space="preserve"> stelt het kabinet voor om de staffelgrenzen te stellen op 4 gram, 7,5 gram en 10 gram suiker per 100 milliliter.</w:t>
      </w:r>
    </w:p>
    <w:p w:rsidR="004F283E" w:rsidP="00D00F2E" w:rsidRDefault="004F283E" w14:paraId="25E4691D" w14:textId="77777777"/>
    <w:p w:rsidR="004F283E" w:rsidP="004F283E" w:rsidRDefault="004F283E" w14:paraId="46A15341" w14:textId="77777777">
      <w:r>
        <w:t xml:space="preserve">De tarieven die bij de staffels horen, hangen af van het te kiezen scenario en de daarbij behorende grondslag. Hierbij geldt: hoe breder de grondslag (dus hoe meer dranken onder de belasting vallen), hoe lager het tarief </w:t>
      </w:r>
      <w:r w:rsidR="008266CF">
        <w:t xml:space="preserve">van </w:t>
      </w:r>
      <w:r>
        <w:t>alle dranken is. Op de tarieven wordt verder ingegaan bij de beschrijving van de scenario’s in paragraaf 3 en verder. Voor de</w:t>
      </w:r>
      <w:r w:rsidRPr="00AD49D3">
        <w:t xml:space="preserve"> budgettaire opbrengst</w:t>
      </w:r>
      <w:r>
        <w:t xml:space="preserve"> </w:t>
      </w:r>
      <w:r w:rsidRPr="00AD49D3">
        <w:t>op basis van de voorgestelde staffels en</w:t>
      </w:r>
      <w:r>
        <w:t xml:space="preserve"> de bijbehorende </w:t>
      </w:r>
      <w:r w:rsidRPr="00AD49D3">
        <w:t>tarieven</w:t>
      </w:r>
      <w:r>
        <w:t xml:space="preserve"> geldt dat deze steeds vergelijkbaar is met de opbrengst van de huidige verbruiksbelasting zoals weergegeven in tabel 1</w:t>
      </w:r>
      <w:r w:rsidRPr="00AD49D3">
        <w:t>.</w:t>
      </w:r>
      <w:r>
        <w:t xml:space="preserve"> Dit volgt uit het feit dat sprake is van </w:t>
      </w:r>
      <w:proofErr w:type="spellStart"/>
      <w:r>
        <w:t>budgetneutrale</w:t>
      </w:r>
      <w:proofErr w:type="spellEnd"/>
      <w:r>
        <w:t xml:space="preserve"> omzetting. </w:t>
      </w:r>
    </w:p>
    <w:p w:rsidR="004F283E" w:rsidP="004F283E" w:rsidRDefault="004F283E" w14:paraId="3603C50C" w14:textId="77777777"/>
    <w:p w:rsidRPr="00AD49D3" w:rsidR="003E69A9" w:rsidP="006B5651" w:rsidRDefault="008505F9" w14:paraId="49AB2E6E" w14:textId="77777777">
      <w:pPr>
        <w:pStyle w:val="Lijstalinea"/>
        <w:numPr>
          <w:ilvl w:val="0"/>
          <w:numId w:val="13"/>
        </w:numPr>
        <w:rPr>
          <w:b/>
          <w:bCs/>
        </w:rPr>
      </w:pPr>
      <w:r w:rsidRPr="00AD49D3">
        <w:rPr>
          <w:b/>
          <w:bCs/>
        </w:rPr>
        <w:t xml:space="preserve">Behandeling verschillende categorieën van dranken </w:t>
      </w:r>
    </w:p>
    <w:p w:rsidR="00DE2A83" w:rsidP="00DE2A83" w:rsidRDefault="00DE2A83" w14:paraId="47212055" w14:textId="77777777">
      <w:pPr>
        <w:rPr>
          <w:b/>
          <w:bCs/>
        </w:rPr>
      </w:pPr>
    </w:p>
    <w:p w:rsidRPr="00873021" w:rsidR="00C14768" w:rsidP="18866C71" w:rsidRDefault="00C14768" w14:paraId="5CE225B5" w14:textId="77777777">
      <w:pPr>
        <w:rPr>
          <w:i/>
          <w:iCs/>
        </w:rPr>
      </w:pPr>
      <w:r w:rsidRPr="18866C71">
        <w:rPr>
          <w:i/>
          <w:iCs/>
        </w:rPr>
        <w:t xml:space="preserve">3.1 Scenario’s </w:t>
      </w:r>
    </w:p>
    <w:p w:rsidR="0093676D" w:rsidP="00DE2A83" w:rsidRDefault="009301CF" w14:paraId="6ACD7FDF" w14:textId="77777777">
      <w:r>
        <w:t xml:space="preserve">Hierna </w:t>
      </w:r>
      <w:r w:rsidR="00DF593C">
        <w:t xml:space="preserve">worden mogelijke scenario’s wat betreft de behandeling van categorieën van dranken uiteengezet, waarbij </w:t>
      </w:r>
      <w:proofErr w:type="gramStart"/>
      <w:r w:rsidR="00DF593C">
        <w:t>tevens</w:t>
      </w:r>
      <w:proofErr w:type="gramEnd"/>
      <w:r w:rsidR="00DF593C">
        <w:t xml:space="preserve"> wordt aangegeven wat het effect van </w:t>
      </w:r>
      <w:r w:rsidR="008F3346">
        <w:lastRenderedPageBreak/>
        <w:t xml:space="preserve">het betreffende scenario </w:t>
      </w:r>
      <w:r w:rsidR="00DF593C">
        <w:t>is op het tarief van de verbruiksbelasting.</w:t>
      </w:r>
      <w:r w:rsidR="00D13D16">
        <w:t xml:space="preserve"> Het gaat </w:t>
      </w:r>
      <w:r w:rsidR="00E90275">
        <w:t>na</w:t>
      </w:r>
      <w:r w:rsidR="00D13D16">
        <w:t xml:space="preserve">drukkelijk om voorbeelden van vormgeving. </w:t>
      </w:r>
      <w:r w:rsidR="006B5651">
        <w:t xml:space="preserve">Voor de uiteenzetting </w:t>
      </w:r>
      <w:r w:rsidR="00D13D16">
        <w:t xml:space="preserve">van de scenario’s </w:t>
      </w:r>
      <w:r w:rsidR="006B5651">
        <w:t>geldt s</w:t>
      </w:r>
      <w:r w:rsidR="00B55CA1">
        <w:t xml:space="preserve">cenario I </w:t>
      </w:r>
      <w:r w:rsidR="006B5651">
        <w:t>als vertrekpunt</w:t>
      </w:r>
      <w:r w:rsidR="008266CF">
        <w:t>,</w:t>
      </w:r>
      <w:r w:rsidR="00D00F2E">
        <w:t xml:space="preserve"> omdat in dit scenario alle dranken zijn belast</w:t>
      </w:r>
      <w:r w:rsidR="006B5651">
        <w:t xml:space="preserve">. In dit scenario is </w:t>
      </w:r>
      <w:r w:rsidR="00D00F2E">
        <w:t xml:space="preserve">dus </w:t>
      </w:r>
      <w:r w:rsidR="00B55CA1">
        <w:t>geen enkele (soort) alcoholvrije drank uitgezonderd.</w:t>
      </w:r>
      <w:r w:rsidRPr="7F820D90" w:rsidR="00F62C91">
        <w:t xml:space="preserve"> </w:t>
      </w:r>
      <w:r w:rsidR="00B55CA1">
        <w:t>Vervolgens worden in de navolgende scenario</w:t>
      </w:r>
      <w:r w:rsidR="0093676D">
        <w:t>’</w:t>
      </w:r>
      <w:r w:rsidR="00B55CA1">
        <w:t xml:space="preserve">s </w:t>
      </w:r>
      <w:r w:rsidR="0093676D">
        <w:t xml:space="preserve">steeds </w:t>
      </w:r>
      <w:r w:rsidR="00B55CA1">
        <w:t>uitzonderingen toegevoegd.</w:t>
      </w:r>
      <w:r w:rsidR="00D00F2E">
        <w:t xml:space="preserve"> De navolgende scenario’s hebben dus een steeds smallere grondslag ten opzichte van scenario I.</w:t>
      </w:r>
      <w:r w:rsidR="00B55CA1">
        <w:t xml:space="preserve"> Op die manier is inzichtelijk welke beleidsmatige en budgettaire gevolgen </w:t>
      </w:r>
      <w:r w:rsidR="00BF7AD5">
        <w:t>die scenario’s met</w:t>
      </w:r>
      <w:r w:rsidR="00B55CA1">
        <w:t xml:space="preserve"> uitzonderingen hebben. </w:t>
      </w:r>
      <w:r w:rsidR="00D13D16">
        <w:t xml:space="preserve">Elk van de uitgewerkte scenario’s gaat uit van een </w:t>
      </w:r>
      <w:proofErr w:type="spellStart"/>
      <w:r w:rsidR="00D13D16">
        <w:t>budgetneutrale</w:t>
      </w:r>
      <w:proofErr w:type="spellEnd"/>
      <w:r w:rsidR="00D13D16">
        <w:t xml:space="preserve"> omzetting</w:t>
      </w:r>
      <w:r w:rsidR="004C2385">
        <w:t xml:space="preserve"> ten opzichte van de huidige verbruiksbelasting</w:t>
      </w:r>
      <w:r w:rsidR="00D13D16">
        <w:t xml:space="preserve">. </w:t>
      </w:r>
      <w:r w:rsidR="00E90275">
        <w:t>De opbrengst is in elk van de scenario</w:t>
      </w:r>
      <w:r w:rsidR="004C2385">
        <w:t>’s</w:t>
      </w:r>
      <w:r w:rsidR="00E90275">
        <w:t xml:space="preserve"> gelijk aan de huidige opbrengst uit tabel 1. </w:t>
      </w:r>
      <w:r w:rsidR="005533A4">
        <w:t>Zoals eerder genoemd</w:t>
      </w:r>
      <w:r w:rsidR="00B55CA1">
        <w:t xml:space="preserve"> kan</w:t>
      </w:r>
      <w:r w:rsidRPr="7F820D90" w:rsidR="00262E4E">
        <w:t>,</w:t>
      </w:r>
      <w:r w:rsidR="005533A4">
        <w:t xml:space="preserve"> afhankelijk van de voorkeursrichting die uw Kamer</w:t>
      </w:r>
      <w:r w:rsidR="0093676D">
        <w:t xml:space="preserve"> </w:t>
      </w:r>
      <w:r w:rsidR="005533A4">
        <w:t>uitspreekt, een wetsvoorstel worden opgesteld waarmee het nieuwe systeem wordt geïntroduceerd.</w:t>
      </w:r>
    </w:p>
    <w:p w:rsidR="0093676D" w:rsidP="00DE2A83" w:rsidRDefault="0093676D" w14:paraId="68AF7629" w14:textId="77777777"/>
    <w:p w:rsidR="00DF593C" w:rsidP="00DE2A83" w:rsidRDefault="0093676D" w14:paraId="2E54EF51" w14:textId="77777777">
      <w:r>
        <w:t xml:space="preserve">Om de inzichtelijkheid te vergroten, zijn in </w:t>
      </w:r>
      <w:r w:rsidR="008138BE">
        <w:t>tabel</w:t>
      </w:r>
      <w:r>
        <w:t xml:space="preserve"> </w:t>
      </w:r>
      <w:r w:rsidR="00526B5E">
        <w:t>3</w:t>
      </w:r>
      <w:r>
        <w:t xml:space="preserve"> hieronder </w:t>
      </w:r>
      <w:r w:rsidR="008138BE">
        <w:t>de te behandelen scenario’s weergegeven met daarbij behorende grondslag. In de rechterkolom zijn de</w:t>
      </w:r>
      <w:r>
        <w:t xml:space="preserve"> daarbij </w:t>
      </w:r>
      <w:r w:rsidR="004406B5">
        <w:t>behorende tarieven opgenomen.</w:t>
      </w:r>
    </w:p>
    <w:p w:rsidR="008138BE" w:rsidP="00DE2A83" w:rsidRDefault="008138BE" w14:paraId="0B6DC9E6" w14:textId="77777777"/>
    <w:tbl>
      <w:tblPr>
        <w:tblStyle w:val="Tabelraster"/>
        <w:tblW w:w="8217" w:type="dxa"/>
        <w:tblLayout w:type="fixed"/>
        <w:tblLook w:val="04A0" w:firstRow="1" w:lastRow="0" w:firstColumn="1" w:lastColumn="0" w:noHBand="0" w:noVBand="1"/>
      </w:tblPr>
      <w:tblGrid>
        <w:gridCol w:w="704"/>
        <w:gridCol w:w="1843"/>
        <w:gridCol w:w="1984"/>
        <w:gridCol w:w="997"/>
        <w:gridCol w:w="2689"/>
      </w:tblGrid>
      <w:tr w:rsidRPr="00BD3070" w:rsidR="00A77D5B" w:rsidTr="00E07FBF" w14:paraId="4A54E477" w14:textId="77777777">
        <w:trPr>
          <w:trHeight w:val="315"/>
        </w:trPr>
        <w:tc>
          <w:tcPr>
            <w:tcW w:w="704" w:type="dxa"/>
            <w:noWrap/>
            <w:hideMark/>
          </w:tcPr>
          <w:p w:rsidR="006A1032" w:rsidP="00EC3CFC" w:rsidRDefault="00A77D5B" w14:paraId="0DE73D5F" w14:textId="77777777">
            <w:pPr>
              <w:rPr>
                <w:b/>
                <w:bCs/>
                <w:sz w:val="16"/>
                <w:szCs w:val="16"/>
              </w:rPr>
            </w:pPr>
            <w:proofErr w:type="spellStart"/>
            <w:r w:rsidRPr="00BD3070">
              <w:rPr>
                <w:b/>
                <w:bCs/>
                <w:sz w:val="16"/>
                <w:szCs w:val="16"/>
              </w:rPr>
              <w:t>Sce</w:t>
            </w:r>
            <w:proofErr w:type="spellEnd"/>
            <w:r w:rsidR="006A1032">
              <w:rPr>
                <w:b/>
                <w:bCs/>
                <w:sz w:val="16"/>
                <w:szCs w:val="16"/>
              </w:rPr>
              <w:t>-</w:t>
            </w:r>
          </w:p>
          <w:p w:rsidRPr="00BD3070" w:rsidR="00A77D5B" w:rsidP="00EC3CFC" w:rsidRDefault="00A77D5B" w14:paraId="7B2A1D8E" w14:textId="77777777">
            <w:pPr>
              <w:rPr>
                <w:b/>
                <w:bCs/>
                <w:sz w:val="16"/>
                <w:szCs w:val="16"/>
              </w:rPr>
            </w:pPr>
            <w:proofErr w:type="spellStart"/>
            <w:proofErr w:type="gramStart"/>
            <w:r w:rsidRPr="00BD3070">
              <w:rPr>
                <w:b/>
                <w:bCs/>
                <w:sz w:val="16"/>
                <w:szCs w:val="16"/>
              </w:rPr>
              <w:t>nario</w:t>
            </w:r>
            <w:proofErr w:type="spellEnd"/>
            <w:proofErr w:type="gramEnd"/>
          </w:p>
        </w:tc>
        <w:tc>
          <w:tcPr>
            <w:tcW w:w="1843" w:type="dxa"/>
            <w:noWrap/>
            <w:hideMark/>
          </w:tcPr>
          <w:p w:rsidRPr="00BD3070" w:rsidR="00A77D5B" w:rsidP="00EC3CFC" w:rsidRDefault="00A77D5B" w14:paraId="19BCCBB2" w14:textId="77777777">
            <w:pPr>
              <w:rPr>
                <w:b/>
                <w:bCs/>
                <w:sz w:val="16"/>
                <w:szCs w:val="16"/>
              </w:rPr>
            </w:pPr>
            <w:r w:rsidRPr="00BD3070">
              <w:rPr>
                <w:b/>
                <w:bCs/>
                <w:sz w:val="16"/>
                <w:szCs w:val="16"/>
              </w:rPr>
              <w:t>Grondslag</w:t>
            </w:r>
          </w:p>
        </w:tc>
        <w:tc>
          <w:tcPr>
            <w:tcW w:w="1984" w:type="dxa"/>
            <w:noWrap/>
          </w:tcPr>
          <w:p w:rsidRPr="00BD3070" w:rsidR="00A77D5B" w:rsidP="00EC3CFC" w:rsidRDefault="00A77D5B" w14:paraId="7ADF2FEC" w14:textId="77777777">
            <w:pPr>
              <w:rPr>
                <w:b/>
                <w:bCs/>
                <w:sz w:val="16"/>
                <w:szCs w:val="16"/>
              </w:rPr>
            </w:pPr>
            <w:r w:rsidRPr="00BD3070">
              <w:rPr>
                <w:b/>
                <w:bCs/>
                <w:sz w:val="16"/>
                <w:szCs w:val="16"/>
              </w:rPr>
              <w:t>Staffels (op basis van het aantal gram suiker per 100 milliliter)</w:t>
            </w:r>
          </w:p>
        </w:tc>
        <w:tc>
          <w:tcPr>
            <w:tcW w:w="997" w:type="dxa"/>
          </w:tcPr>
          <w:p w:rsidRPr="00BD3070" w:rsidR="00A77D5B" w:rsidP="00EC3CFC" w:rsidRDefault="00A77D5B" w14:paraId="5F3E5CC8" w14:textId="77777777">
            <w:pPr>
              <w:rPr>
                <w:b/>
                <w:bCs/>
                <w:sz w:val="16"/>
                <w:szCs w:val="16"/>
                <w:vertAlign w:val="superscript"/>
              </w:rPr>
            </w:pPr>
            <w:r w:rsidRPr="00BD3070">
              <w:rPr>
                <w:b/>
                <w:bCs/>
                <w:sz w:val="16"/>
                <w:szCs w:val="16"/>
              </w:rPr>
              <w:t>Tarieven per 100 liter</w:t>
            </w:r>
            <w:r w:rsidRPr="00BD3070">
              <w:rPr>
                <w:rStyle w:val="Voetnootmarkering"/>
                <w:b/>
                <w:bCs/>
                <w:sz w:val="16"/>
                <w:szCs w:val="16"/>
              </w:rPr>
              <w:footnoteReference w:id="31"/>
            </w:r>
            <w:r w:rsidRPr="00BD3070">
              <w:rPr>
                <w:b/>
                <w:bCs/>
                <w:sz w:val="16"/>
                <w:szCs w:val="16"/>
                <w:vertAlign w:val="superscript"/>
              </w:rPr>
              <w:t>,</w:t>
            </w:r>
            <w:r w:rsidRPr="00BD3070">
              <w:rPr>
                <w:rStyle w:val="Voetnootmarkering"/>
                <w:b/>
                <w:bCs/>
                <w:sz w:val="16"/>
                <w:szCs w:val="16"/>
              </w:rPr>
              <w:footnoteReference w:id="32"/>
            </w:r>
          </w:p>
        </w:tc>
        <w:tc>
          <w:tcPr>
            <w:tcW w:w="2689" w:type="dxa"/>
          </w:tcPr>
          <w:p w:rsidRPr="00BD3070" w:rsidR="00A77D5B" w:rsidP="00EC3CFC" w:rsidRDefault="00A069BF" w14:paraId="767A3BCB" w14:textId="77777777">
            <w:pPr>
              <w:rPr>
                <w:b/>
                <w:bCs/>
                <w:sz w:val="16"/>
                <w:szCs w:val="16"/>
              </w:rPr>
            </w:pPr>
            <w:r w:rsidRPr="00BD3070">
              <w:rPr>
                <w:b/>
                <w:bCs/>
                <w:sz w:val="16"/>
                <w:szCs w:val="16"/>
              </w:rPr>
              <w:t>Verschil belastingdruk</w:t>
            </w:r>
            <w:r w:rsidRPr="00BD3070" w:rsidR="000F7251">
              <w:rPr>
                <w:b/>
                <w:bCs/>
                <w:sz w:val="16"/>
                <w:szCs w:val="16"/>
              </w:rPr>
              <w:t xml:space="preserve"> per liter</w:t>
            </w:r>
            <w:r w:rsidRPr="00BD3070">
              <w:rPr>
                <w:rStyle w:val="Voetnootmarkering"/>
                <w:b/>
                <w:bCs/>
                <w:sz w:val="16"/>
                <w:szCs w:val="16"/>
              </w:rPr>
              <w:footnoteReference w:id="33"/>
            </w:r>
          </w:p>
        </w:tc>
      </w:tr>
      <w:tr w:rsidRPr="00BA0399" w:rsidR="00A77D5B" w:rsidTr="00E07FBF" w14:paraId="15ABA5F1" w14:textId="77777777">
        <w:trPr>
          <w:trHeight w:val="1275"/>
        </w:trPr>
        <w:tc>
          <w:tcPr>
            <w:tcW w:w="704" w:type="dxa"/>
            <w:noWrap/>
            <w:hideMark/>
          </w:tcPr>
          <w:p w:rsidRPr="00BD3070" w:rsidR="00A77D5B" w:rsidP="00EC3CFC" w:rsidRDefault="00A77D5B" w14:paraId="35CD7DAD" w14:textId="77777777">
            <w:pPr>
              <w:rPr>
                <w:sz w:val="16"/>
                <w:szCs w:val="16"/>
              </w:rPr>
            </w:pPr>
            <w:r w:rsidRPr="00BD3070">
              <w:rPr>
                <w:sz w:val="16"/>
                <w:szCs w:val="16"/>
              </w:rPr>
              <w:t>I</w:t>
            </w:r>
          </w:p>
        </w:tc>
        <w:tc>
          <w:tcPr>
            <w:tcW w:w="1843" w:type="dxa"/>
            <w:hideMark/>
          </w:tcPr>
          <w:p w:rsidRPr="00BD3070" w:rsidR="00A77D5B" w:rsidP="00EC3CFC" w:rsidRDefault="00A77D5B" w14:paraId="275B2486" w14:textId="77777777">
            <w:pPr>
              <w:rPr>
                <w:sz w:val="16"/>
                <w:szCs w:val="16"/>
              </w:rPr>
            </w:pPr>
            <w:r w:rsidRPr="00BD3070">
              <w:rPr>
                <w:sz w:val="16"/>
                <w:szCs w:val="16"/>
              </w:rPr>
              <w:t>- Geen dranken uitgezonderd</w:t>
            </w:r>
          </w:p>
        </w:tc>
        <w:tc>
          <w:tcPr>
            <w:tcW w:w="1984" w:type="dxa"/>
            <w:hideMark/>
          </w:tcPr>
          <w:p w:rsidRPr="00BD3070" w:rsidR="00A77D5B" w:rsidP="00EC3CFC" w:rsidRDefault="00A77D5B" w14:paraId="6E94F7E0" w14:textId="77777777">
            <w:pPr>
              <w:rPr>
                <w:sz w:val="16"/>
                <w:szCs w:val="16"/>
              </w:rPr>
            </w:pPr>
            <w:r w:rsidRPr="00BD3070">
              <w:rPr>
                <w:sz w:val="16"/>
                <w:szCs w:val="16"/>
              </w:rPr>
              <w:t>0 t/m 1</w:t>
            </w:r>
            <w:r w:rsidRPr="00BD3070">
              <w:rPr>
                <w:sz w:val="16"/>
                <w:szCs w:val="16"/>
              </w:rPr>
              <w:br/>
              <w:t>1,1 t/m 4</w:t>
            </w:r>
            <w:r w:rsidRPr="00BD3070">
              <w:rPr>
                <w:sz w:val="16"/>
                <w:szCs w:val="16"/>
              </w:rPr>
              <w:br/>
              <w:t>4,1 t/m 7,5</w:t>
            </w:r>
            <w:r w:rsidRPr="00BD3070">
              <w:rPr>
                <w:sz w:val="16"/>
                <w:szCs w:val="16"/>
              </w:rPr>
              <w:br/>
              <w:t>7,6 t/m 10</w:t>
            </w:r>
            <w:r w:rsidRPr="00BD3070">
              <w:rPr>
                <w:sz w:val="16"/>
                <w:szCs w:val="16"/>
              </w:rPr>
              <w:br/>
              <w:t>Meer dan 10</w:t>
            </w:r>
          </w:p>
        </w:tc>
        <w:tc>
          <w:tcPr>
            <w:tcW w:w="997" w:type="dxa"/>
          </w:tcPr>
          <w:p w:rsidRPr="00BD3070" w:rsidR="00A77D5B" w:rsidP="00EC3CFC" w:rsidRDefault="00A77D5B" w14:paraId="63F64C5A" w14:textId="77777777">
            <w:pPr>
              <w:rPr>
                <w:sz w:val="16"/>
                <w:szCs w:val="16"/>
              </w:rPr>
            </w:pPr>
            <w:r w:rsidRPr="00BD3070">
              <w:rPr>
                <w:sz w:val="16"/>
                <w:szCs w:val="16"/>
              </w:rPr>
              <w:t>€</w:t>
            </w:r>
            <w:r w:rsidR="000E0494">
              <w:rPr>
                <w:sz w:val="16"/>
                <w:szCs w:val="16"/>
              </w:rPr>
              <w:t> 4,00</w:t>
            </w:r>
          </w:p>
          <w:p w:rsidRPr="00BD3070" w:rsidR="00A77D5B" w:rsidP="00EC3CFC" w:rsidRDefault="00A77D5B" w14:paraId="7ADBFBD2" w14:textId="77777777">
            <w:pPr>
              <w:rPr>
                <w:sz w:val="16"/>
                <w:szCs w:val="16"/>
              </w:rPr>
            </w:pPr>
            <w:r w:rsidRPr="00BD3070">
              <w:rPr>
                <w:sz w:val="16"/>
                <w:szCs w:val="16"/>
              </w:rPr>
              <w:t>€</w:t>
            </w:r>
            <w:r w:rsidR="000E0494">
              <w:rPr>
                <w:sz w:val="16"/>
                <w:szCs w:val="16"/>
              </w:rPr>
              <w:t> 10,00</w:t>
            </w:r>
          </w:p>
          <w:p w:rsidRPr="00BD3070" w:rsidR="00A77D5B" w:rsidP="00EC3CFC" w:rsidRDefault="00A77D5B" w14:paraId="6458B367" w14:textId="77777777">
            <w:pPr>
              <w:rPr>
                <w:sz w:val="16"/>
                <w:szCs w:val="16"/>
              </w:rPr>
            </w:pPr>
            <w:r w:rsidRPr="00BD3070">
              <w:rPr>
                <w:sz w:val="16"/>
                <w:szCs w:val="16"/>
              </w:rPr>
              <w:t>€</w:t>
            </w:r>
            <w:r w:rsidR="000E0494">
              <w:rPr>
                <w:sz w:val="16"/>
                <w:szCs w:val="16"/>
              </w:rPr>
              <w:t> 19,75</w:t>
            </w:r>
          </w:p>
          <w:p w:rsidRPr="00BD3070" w:rsidR="00A77D5B" w:rsidP="00EC3CFC" w:rsidRDefault="00A77D5B" w14:paraId="39E76A08" w14:textId="77777777">
            <w:pPr>
              <w:rPr>
                <w:sz w:val="16"/>
                <w:szCs w:val="16"/>
              </w:rPr>
            </w:pPr>
            <w:r w:rsidRPr="00BD3070">
              <w:rPr>
                <w:sz w:val="16"/>
                <w:szCs w:val="16"/>
              </w:rPr>
              <w:t>€</w:t>
            </w:r>
            <w:r w:rsidR="000E0494">
              <w:rPr>
                <w:sz w:val="16"/>
                <w:szCs w:val="16"/>
              </w:rPr>
              <w:t> 28,75</w:t>
            </w:r>
          </w:p>
          <w:p w:rsidRPr="00BD3070" w:rsidR="00A77D5B" w:rsidP="00EC3CFC" w:rsidRDefault="00A77D5B" w14:paraId="7DDB9928" w14:textId="77777777">
            <w:pPr>
              <w:rPr>
                <w:sz w:val="16"/>
                <w:szCs w:val="16"/>
              </w:rPr>
            </w:pPr>
            <w:r w:rsidRPr="00BD3070">
              <w:rPr>
                <w:sz w:val="16"/>
                <w:szCs w:val="16"/>
              </w:rPr>
              <w:t>€</w:t>
            </w:r>
            <w:r w:rsidR="000E0494">
              <w:rPr>
                <w:sz w:val="16"/>
                <w:szCs w:val="16"/>
              </w:rPr>
              <w:t> 40,00</w:t>
            </w:r>
          </w:p>
        </w:tc>
        <w:tc>
          <w:tcPr>
            <w:tcW w:w="2689" w:type="dxa"/>
          </w:tcPr>
          <w:p w:rsidRPr="00BD3070" w:rsidR="00A77D5B" w:rsidP="00EC3CFC" w:rsidRDefault="00A069BF" w14:paraId="6C8F9514" w14:textId="77777777">
            <w:pPr>
              <w:rPr>
                <w:sz w:val="16"/>
                <w:szCs w:val="16"/>
                <w:lang w:val="es-ES"/>
              </w:rPr>
            </w:pPr>
            <w:r w:rsidRPr="00BD3070">
              <w:rPr>
                <w:sz w:val="16"/>
                <w:szCs w:val="16"/>
                <w:lang w:val="es-ES"/>
              </w:rPr>
              <w:t xml:space="preserve">Coca-Cola Zero </w:t>
            </w:r>
            <w:proofErr w:type="spellStart"/>
            <w:r w:rsidRPr="00BD3070">
              <w:rPr>
                <w:sz w:val="16"/>
                <w:szCs w:val="16"/>
                <w:lang w:val="es-ES"/>
              </w:rPr>
              <w:t>sugar</w:t>
            </w:r>
            <w:proofErr w:type="spellEnd"/>
            <w:r w:rsidRPr="00BD3070">
              <w:rPr>
                <w:sz w:val="16"/>
                <w:szCs w:val="16"/>
                <w:lang w:val="es-ES"/>
              </w:rPr>
              <w:t>:</w:t>
            </w:r>
            <w:r w:rsidR="001350DF">
              <w:rPr>
                <w:sz w:val="16"/>
                <w:szCs w:val="16"/>
                <w:lang w:val="es-ES"/>
              </w:rPr>
              <w:t xml:space="preserve"> </w:t>
            </w:r>
            <w:r w:rsidR="000E0494">
              <w:rPr>
                <w:sz w:val="16"/>
                <w:szCs w:val="16"/>
                <w:lang w:val="es-ES"/>
              </w:rPr>
              <w:t>-€ 0,22</w:t>
            </w:r>
          </w:p>
          <w:p w:rsidRPr="00E75DF4" w:rsidR="00A069BF" w:rsidP="00EC3CFC" w:rsidRDefault="00A069BF" w14:paraId="5B5722B7" w14:textId="77777777">
            <w:pPr>
              <w:rPr>
                <w:sz w:val="16"/>
                <w:szCs w:val="16"/>
                <w:lang w:val="es-ES"/>
              </w:rPr>
            </w:pPr>
            <w:proofErr w:type="spellStart"/>
            <w:r w:rsidRPr="00E75DF4">
              <w:rPr>
                <w:sz w:val="16"/>
                <w:szCs w:val="16"/>
                <w:lang w:val="es-ES"/>
              </w:rPr>
              <w:t>Lipton</w:t>
            </w:r>
            <w:proofErr w:type="spellEnd"/>
            <w:r w:rsidRPr="00E75DF4">
              <w:rPr>
                <w:sz w:val="16"/>
                <w:szCs w:val="16"/>
                <w:lang w:val="es-ES"/>
              </w:rPr>
              <w:t xml:space="preserve"> Ice Tea</w:t>
            </w:r>
            <w:r w:rsidRPr="00E75DF4" w:rsidR="000F7251">
              <w:rPr>
                <w:sz w:val="16"/>
                <w:szCs w:val="16"/>
                <w:lang w:val="es-ES"/>
              </w:rPr>
              <w:t xml:space="preserve"> </w:t>
            </w:r>
            <w:proofErr w:type="spellStart"/>
            <w:r w:rsidRPr="00E75DF4" w:rsidR="000F7251">
              <w:rPr>
                <w:sz w:val="16"/>
                <w:szCs w:val="16"/>
                <w:lang w:val="es-ES"/>
              </w:rPr>
              <w:t>green</w:t>
            </w:r>
            <w:proofErr w:type="spellEnd"/>
            <w:r w:rsidRPr="00E75DF4" w:rsidR="000F7251">
              <w:rPr>
                <w:sz w:val="16"/>
                <w:szCs w:val="16"/>
                <w:lang w:val="es-ES"/>
              </w:rPr>
              <w:t>:</w:t>
            </w:r>
            <w:r w:rsidRPr="00E75DF4" w:rsidR="00C208FB">
              <w:rPr>
                <w:sz w:val="16"/>
                <w:szCs w:val="16"/>
                <w:lang w:val="es-ES"/>
              </w:rPr>
              <w:t xml:space="preserve"> -€ 0,16</w:t>
            </w:r>
          </w:p>
          <w:p w:rsidRPr="00BD3070" w:rsidR="00A069BF" w:rsidP="00EC3CFC" w:rsidRDefault="00A069BF" w14:paraId="38DBA976" w14:textId="77777777">
            <w:pPr>
              <w:rPr>
                <w:sz w:val="16"/>
                <w:szCs w:val="16"/>
                <w:lang w:val="en-US"/>
              </w:rPr>
            </w:pPr>
            <w:r w:rsidRPr="00BD3070">
              <w:rPr>
                <w:sz w:val="16"/>
                <w:szCs w:val="16"/>
                <w:lang w:val="en-US"/>
              </w:rPr>
              <w:t>7UP</w:t>
            </w:r>
            <w:r w:rsidRPr="00BD3070" w:rsidR="00EB70EA">
              <w:rPr>
                <w:sz w:val="16"/>
                <w:szCs w:val="16"/>
                <w:lang w:val="en-US"/>
              </w:rPr>
              <w:t>:</w:t>
            </w:r>
            <w:r w:rsidR="00C208FB">
              <w:rPr>
                <w:sz w:val="16"/>
                <w:szCs w:val="16"/>
                <w:lang w:val="en-US"/>
              </w:rPr>
              <w:t xml:space="preserve"> -€ 0,06</w:t>
            </w:r>
          </w:p>
          <w:p w:rsidRPr="00BD3070" w:rsidR="00A069BF" w:rsidP="00EC3CFC" w:rsidRDefault="00A069BF" w14:paraId="5E00EBAE" w14:textId="77777777">
            <w:pPr>
              <w:rPr>
                <w:sz w:val="16"/>
                <w:szCs w:val="16"/>
                <w:lang w:val="en-US"/>
              </w:rPr>
            </w:pPr>
            <w:r w:rsidRPr="00BD3070">
              <w:rPr>
                <w:sz w:val="16"/>
                <w:szCs w:val="16"/>
                <w:lang w:val="en-US"/>
              </w:rPr>
              <w:t xml:space="preserve">AA Drink: </w:t>
            </w:r>
            <w:r w:rsidR="00C208FB">
              <w:rPr>
                <w:sz w:val="16"/>
                <w:szCs w:val="16"/>
                <w:lang w:val="en-US"/>
              </w:rPr>
              <w:t>+€ 0,03</w:t>
            </w:r>
          </w:p>
          <w:p w:rsidRPr="00FF1C4B" w:rsidR="00A069BF" w:rsidP="00EC3CFC" w:rsidRDefault="00A069BF" w14:paraId="645E6DEA" w14:textId="77777777">
            <w:pPr>
              <w:rPr>
                <w:sz w:val="16"/>
                <w:szCs w:val="16"/>
                <w:lang w:val="en-US"/>
              </w:rPr>
            </w:pPr>
            <w:r w:rsidRPr="00BD3070">
              <w:rPr>
                <w:sz w:val="16"/>
                <w:szCs w:val="16"/>
                <w:lang w:val="en-US"/>
              </w:rPr>
              <w:t>Red Bull</w:t>
            </w:r>
            <w:r w:rsidRPr="00BD3070" w:rsidR="00AF30E5">
              <w:rPr>
                <w:sz w:val="16"/>
                <w:szCs w:val="16"/>
                <w:lang w:val="en-US"/>
              </w:rPr>
              <w:t>:</w:t>
            </w:r>
            <w:r w:rsidR="00C208FB">
              <w:rPr>
                <w:sz w:val="16"/>
                <w:szCs w:val="16"/>
                <w:lang w:val="en-US"/>
              </w:rPr>
              <w:t xml:space="preserve"> +€ 0,14</w:t>
            </w:r>
          </w:p>
        </w:tc>
      </w:tr>
      <w:tr w:rsidRPr="00BA0399" w:rsidR="00A77D5B" w:rsidTr="00E07FBF" w14:paraId="5B3E299E" w14:textId="77777777">
        <w:trPr>
          <w:trHeight w:val="1275"/>
        </w:trPr>
        <w:tc>
          <w:tcPr>
            <w:tcW w:w="704" w:type="dxa"/>
            <w:noWrap/>
            <w:hideMark/>
          </w:tcPr>
          <w:p w:rsidRPr="00BD3070" w:rsidR="00A77D5B" w:rsidP="00EC3CFC" w:rsidRDefault="00A77D5B" w14:paraId="7509D2A8" w14:textId="77777777">
            <w:pPr>
              <w:rPr>
                <w:sz w:val="16"/>
                <w:szCs w:val="16"/>
              </w:rPr>
            </w:pPr>
            <w:r w:rsidRPr="00BD3070">
              <w:rPr>
                <w:sz w:val="16"/>
                <w:szCs w:val="16"/>
              </w:rPr>
              <w:t>II</w:t>
            </w:r>
          </w:p>
        </w:tc>
        <w:tc>
          <w:tcPr>
            <w:tcW w:w="1843" w:type="dxa"/>
            <w:noWrap/>
            <w:hideMark/>
          </w:tcPr>
          <w:p w:rsidRPr="00BD3070" w:rsidR="00A77D5B" w:rsidP="00EC3CFC" w:rsidRDefault="00A77D5B" w14:paraId="14E37B82" w14:textId="77777777">
            <w:pPr>
              <w:rPr>
                <w:sz w:val="16"/>
                <w:szCs w:val="16"/>
              </w:rPr>
            </w:pPr>
            <w:r w:rsidRPr="00BD3070">
              <w:rPr>
                <w:sz w:val="16"/>
                <w:szCs w:val="16"/>
              </w:rPr>
              <w:t>- Alleen mineraalwater uitgezonderd</w:t>
            </w:r>
          </w:p>
        </w:tc>
        <w:tc>
          <w:tcPr>
            <w:tcW w:w="1984" w:type="dxa"/>
            <w:hideMark/>
          </w:tcPr>
          <w:p w:rsidRPr="00BD3070" w:rsidR="00A77D5B" w:rsidP="00EC3CFC" w:rsidRDefault="00A77D5B" w14:paraId="7605E318" w14:textId="77777777">
            <w:pPr>
              <w:rPr>
                <w:sz w:val="16"/>
                <w:szCs w:val="16"/>
                <w:lang w:val="de-DE"/>
              </w:rPr>
            </w:pPr>
            <w:r w:rsidRPr="00BD3070">
              <w:rPr>
                <w:sz w:val="16"/>
                <w:szCs w:val="16"/>
                <w:lang w:val="de-DE"/>
              </w:rPr>
              <w:t>0 t/m 1</w:t>
            </w:r>
            <w:r w:rsidRPr="00BD3070">
              <w:rPr>
                <w:sz w:val="16"/>
                <w:szCs w:val="16"/>
              </w:rPr>
              <w:br/>
            </w:r>
            <w:r w:rsidRPr="00BD3070">
              <w:rPr>
                <w:sz w:val="16"/>
                <w:szCs w:val="16"/>
                <w:lang w:val="de-DE"/>
              </w:rPr>
              <w:t>1,1 t/m 4</w:t>
            </w:r>
            <w:r w:rsidRPr="00BD3070">
              <w:rPr>
                <w:sz w:val="16"/>
                <w:szCs w:val="16"/>
              </w:rPr>
              <w:br/>
            </w:r>
            <w:r w:rsidRPr="00BD3070">
              <w:rPr>
                <w:sz w:val="16"/>
                <w:szCs w:val="16"/>
                <w:lang w:val="de-DE"/>
              </w:rPr>
              <w:t>4,1 t/m 7,5</w:t>
            </w:r>
            <w:r w:rsidRPr="00BD3070">
              <w:rPr>
                <w:sz w:val="16"/>
                <w:szCs w:val="16"/>
              </w:rPr>
              <w:br/>
            </w:r>
            <w:r w:rsidRPr="00BD3070">
              <w:rPr>
                <w:sz w:val="16"/>
                <w:szCs w:val="16"/>
                <w:lang w:val="de-DE"/>
              </w:rPr>
              <w:t>7,6 t/m 10</w:t>
            </w:r>
            <w:r w:rsidRPr="00BD3070">
              <w:rPr>
                <w:sz w:val="16"/>
                <w:szCs w:val="16"/>
              </w:rPr>
              <w:br/>
            </w:r>
            <w:r w:rsidRPr="00BD3070">
              <w:rPr>
                <w:sz w:val="16"/>
                <w:szCs w:val="16"/>
                <w:lang w:val="de-DE"/>
              </w:rPr>
              <w:t xml:space="preserve">Meer </w:t>
            </w:r>
            <w:proofErr w:type="spellStart"/>
            <w:r w:rsidRPr="00BD3070">
              <w:rPr>
                <w:sz w:val="16"/>
                <w:szCs w:val="16"/>
                <w:lang w:val="de-DE"/>
              </w:rPr>
              <w:t>dan</w:t>
            </w:r>
            <w:proofErr w:type="spellEnd"/>
            <w:r w:rsidRPr="00BD3070">
              <w:rPr>
                <w:sz w:val="16"/>
                <w:szCs w:val="16"/>
                <w:lang w:val="de-DE"/>
              </w:rPr>
              <w:t xml:space="preserve"> 10</w:t>
            </w:r>
          </w:p>
        </w:tc>
        <w:tc>
          <w:tcPr>
            <w:tcW w:w="997" w:type="dxa"/>
          </w:tcPr>
          <w:p w:rsidRPr="00BD3070" w:rsidR="00A77D5B" w:rsidP="00EC3CFC" w:rsidRDefault="00A77D5B" w14:paraId="5AE60AC0" w14:textId="77777777">
            <w:pPr>
              <w:rPr>
                <w:sz w:val="16"/>
                <w:szCs w:val="16"/>
                <w:lang w:val="de-DE"/>
              </w:rPr>
            </w:pPr>
            <w:r w:rsidRPr="00BD3070">
              <w:rPr>
                <w:sz w:val="16"/>
                <w:szCs w:val="16"/>
                <w:lang w:val="de-DE"/>
              </w:rPr>
              <w:t>€ 5,25</w:t>
            </w:r>
          </w:p>
          <w:p w:rsidRPr="00BD3070" w:rsidR="00A77D5B" w:rsidP="00EC3CFC" w:rsidRDefault="00A77D5B" w14:paraId="46374B7B" w14:textId="77777777">
            <w:pPr>
              <w:rPr>
                <w:sz w:val="16"/>
                <w:szCs w:val="16"/>
                <w:lang w:val="de-DE"/>
              </w:rPr>
            </w:pPr>
            <w:r w:rsidRPr="00BD3070">
              <w:rPr>
                <w:sz w:val="16"/>
                <w:szCs w:val="16"/>
                <w:lang w:val="de-DE"/>
              </w:rPr>
              <w:t>€ 11,25</w:t>
            </w:r>
          </w:p>
          <w:p w:rsidRPr="00BD3070" w:rsidR="00A77D5B" w:rsidP="00EC3CFC" w:rsidRDefault="00A77D5B" w14:paraId="52577E75" w14:textId="77777777">
            <w:pPr>
              <w:rPr>
                <w:sz w:val="16"/>
                <w:szCs w:val="16"/>
                <w:lang w:val="de-DE"/>
              </w:rPr>
            </w:pPr>
            <w:r w:rsidRPr="00BD3070">
              <w:rPr>
                <w:sz w:val="16"/>
                <w:szCs w:val="16"/>
                <w:lang w:val="de-DE"/>
              </w:rPr>
              <w:t>€ 21,00</w:t>
            </w:r>
          </w:p>
          <w:p w:rsidRPr="00BD3070" w:rsidR="00A77D5B" w:rsidP="00EC3CFC" w:rsidRDefault="00A77D5B" w14:paraId="019B2101" w14:textId="77777777">
            <w:pPr>
              <w:rPr>
                <w:sz w:val="16"/>
                <w:szCs w:val="16"/>
                <w:lang w:val="de-DE"/>
              </w:rPr>
            </w:pPr>
            <w:r w:rsidRPr="00BD3070">
              <w:rPr>
                <w:sz w:val="16"/>
                <w:szCs w:val="16"/>
                <w:lang w:val="de-DE"/>
              </w:rPr>
              <w:t>€ 30,00</w:t>
            </w:r>
          </w:p>
          <w:p w:rsidRPr="00BD3070" w:rsidR="00A77D5B" w:rsidP="00EC3CFC" w:rsidRDefault="00A77D5B" w14:paraId="374DD651" w14:textId="77777777">
            <w:pPr>
              <w:rPr>
                <w:sz w:val="16"/>
                <w:szCs w:val="16"/>
                <w:lang w:val="de-DE"/>
              </w:rPr>
            </w:pPr>
            <w:r w:rsidRPr="00BD3070">
              <w:rPr>
                <w:sz w:val="16"/>
                <w:szCs w:val="16"/>
                <w:lang w:val="de-DE"/>
              </w:rPr>
              <w:t>€ 41,25</w:t>
            </w:r>
          </w:p>
        </w:tc>
        <w:tc>
          <w:tcPr>
            <w:tcW w:w="2689" w:type="dxa"/>
          </w:tcPr>
          <w:p w:rsidRPr="00BD3070" w:rsidR="000F7251" w:rsidP="000F7251" w:rsidRDefault="000F7251" w14:paraId="4023A8AF" w14:textId="77777777">
            <w:pPr>
              <w:rPr>
                <w:sz w:val="16"/>
                <w:szCs w:val="16"/>
                <w:lang w:val="es-ES"/>
              </w:rPr>
            </w:pPr>
            <w:r w:rsidRPr="00BD3070">
              <w:rPr>
                <w:sz w:val="16"/>
                <w:szCs w:val="16"/>
                <w:lang w:val="es-ES"/>
              </w:rPr>
              <w:t xml:space="preserve">Coca-Cola Zero </w:t>
            </w:r>
            <w:proofErr w:type="spellStart"/>
            <w:r w:rsidRPr="00BD3070">
              <w:rPr>
                <w:sz w:val="16"/>
                <w:szCs w:val="16"/>
                <w:lang w:val="es-ES"/>
              </w:rPr>
              <w:t>sugar</w:t>
            </w:r>
            <w:proofErr w:type="spellEnd"/>
            <w:r w:rsidRPr="00BD3070">
              <w:rPr>
                <w:sz w:val="16"/>
                <w:szCs w:val="16"/>
                <w:lang w:val="es-ES"/>
              </w:rPr>
              <w:t>: -€ 0,21</w:t>
            </w:r>
          </w:p>
          <w:p w:rsidRPr="00BD3070" w:rsidR="000F7251" w:rsidP="000F7251" w:rsidRDefault="000F7251" w14:paraId="330B1CEA" w14:textId="77777777">
            <w:pPr>
              <w:rPr>
                <w:sz w:val="16"/>
                <w:szCs w:val="16"/>
                <w:lang w:val="es-ES"/>
              </w:rPr>
            </w:pPr>
            <w:proofErr w:type="spellStart"/>
            <w:r w:rsidRPr="00BD3070">
              <w:rPr>
                <w:sz w:val="16"/>
                <w:szCs w:val="16"/>
                <w:lang w:val="es-ES"/>
              </w:rPr>
              <w:t>Lipton</w:t>
            </w:r>
            <w:proofErr w:type="spellEnd"/>
            <w:r w:rsidRPr="00BD3070">
              <w:rPr>
                <w:sz w:val="16"/>
                <w:szCs w:val="16"/>
                <w:lang w:val="es-ES"/>
              </w:rPr>
              <w:t xml:space="preserve"> Ice Tea </w:t>
            </w:r>
            <w:proofErr w:type="spellStart"/>
            <w:r w:rsidRPr="00BD3070">
              <w:rPr>
                <w:sz w:val="16"/>
                <w:szCs w:val="16"/>
                <w:lang w:val="es-ES"/>
              </w:rPr>
              <w:t>green</w:t>
            </w:r>
            <w:proofErr w:type="spellEnd"/>
            <w:r w:rsidRPr="00BD3070">
              <w:rPr>
                <w:sz w:val="16"/>
                <w:szCs w:val="16"/>
                <w:lang w:val="es-ES"/>
              </w:rPr>
              <w:t>: -€ 0,15</w:t>
            </w:r>
          </w:p>
          <w:p w:rsidRPr="00BD3070" w:rsidR="000F7251" w:rsidP="000F7251" w:rsidRDefault="000F7251" w14:paraId="4C610098" w14:textId="77777777">
            <w:pPr>
              <w:rPr>
                <w:sz w:val="16"/>
                <w:szCs w:val="16"/>
                <w:lang w:val="en-US"/>
              </w:rPr>
            </w:pPr>
            <w:r w:rsidRPr="00BD3070">
              <w:rPr>
                <w:sz w:val="16"/>
                <w:szCs w:val="16"/>
                <w:lang w:val="en-US"/>
              </w:rPr>
              <w:t>7UP: -€ 0,05</w:t>
            </w:r>
          </w:p>
          <w:p w:rsidRPr="00BD3070" w:rsidR="000F7251" w:rsidP="000F7251" w:rsidRDefault="000F7251" w14:paraId="40609AEA" w14:textId="77777777">
            <w:pPr>
              <w:rPr>
                <w:sz w:val="16"/>
                <w:szCs w:val="16"/>
                <w:lang w:val="en-US"/>
              </w:rPr>
            </w:pPr>
            <w:r w:rsidRPr="00BD3070">
              <w:rPr>
                <w:sz w:val="16"/>
                <w:szCs w:val="16"/>
                <w:lang w:val="en-US"/>
              </w:rPr>
              <w:t>AA Drink: +€ 0,04</w:t>
            </w:r>
          </w:p>
          <w:p w:rsidRPr="00BD3070" w:rsidR="00A77D5B" w:rsidP="000F7251" w:rsidRDefault="000F7251" w14:paraId="5523D8BA" w14:textId="77777777">
            <w:pPr>
              <w:rPr>
                <w:sz w:val="16"/>
                <w:szCs w:val="16"/>
                <w:lang w:val="en-US"/>
              </w:rPr>
            </w:pPr>
            <w:r w:rsidRPr="00BD3070">
              <w:rPr>
                <w:sz w:val="16"/>
                <w:szCs w:val="16"/>
                <w:lang w:val="en-US"/>
              </w:rPr>
              <w:t>Red Bull: +€ 0,15</w:t>
            </w:r>
          </w:p>
        </w:tc>
      </w:tr>
      <w:tr w:rsidRPr="00BA0399" w:rsidR="00A77D5B" w:rsidTr="00E07FBF" w14:paraId="7E44C79F" w14:textId="77777777">
        <w:trPr>
          <w:trHeight w:val="1275"/>
        </w:trPr>
        <w:tc>
          <w:tcPr>
            <w:tcW w:w="704" w:type="dxa"/>
            <w:noWrap/>
            <w:hideMark/>
          </w:tcPr>
          <w:p w:rsidRPr="00BD3070" w:rsidR="00A77D5B" w:rsidP="00EC3CFC" w:rsidRDefault="00A77D5B" w14:paraId="7ACF6843" w14:textId="77777777">
            <w:pPr>
              <w:rPr>
                <w:sz w:val="16"/>
                <w:szCs w:val="16"/>
              </w:rPr>
            </w:pPr>
            <w:r w:rsidRPr="00BD3070">
              <w:rPr>
                <w:sz w:val="16"/>
                <w:szCs w:val="16"/>
              </w:rPr>
              <w:t>III</w:t>
            </w:r>
          </w:p>
        </w:tc>
        <w:tc>
          <w:tcPr>
            <w:tcW w:w="1843" w:type="dxa"/>
            <w:hideMark/>
          </w:tcPr>
          <w:p w:rsidRPr="00BD3070" w:rsidR="00A77D5B" w:rsidP="00EC3CFC" w:rsidRDefault="00A77D5B" w14:paraId="01DFD8B1" w14:textId="77777777">
            <w:pPr>
              <w:rPr>
                <w:sz w:val="16"/>
                <w:szCs w:val="16"/>
              </w:rPr>
            </w:pPr>
            <w:r w:rsidRPr="00BD3070">
              <w:rPr>
                <w:sz w:val="16"/>
                <w:szCs w:val="16"/>
              </w:rPr>
              <w:t>- Mineraalwater uitgezonderd</w:t>
            </w:r>
            <w:r w:rsidRPr="00BD3070">
              <w:rPr>
                <w:sz w:val="16"/>
                <w:szCs w:val="16"/>
              </w:rPr>
              <w:br/>
              <w:t xml:space="preserve">- Zuivel en sojadranken </w:t>
            </w:r>
            <w:r w:rsidR="00FB0063">
              <w:rPr>
                <w:sz w:val="16"/>
                <w:szCs w:val="16"/>
              </w:rPr>
              <w:t>met een laag suikergehalte uitgezonderd</w:t>
            </w:r>
            <w:r w:rsidRPr="00BD3070" w:rsidR="00FB0063">
              <w:rPr>
                <w:sz w:val="16"/>
                <w:szCs w:val="16"/>
              </w:rPr>
              <w:t xml:space="preserve"> </w:t>
            </w:r>
          </w:p>
        </w:tc>
        <w:tc>
          <w:tcPr>
            <w:tcW w:w="1984" w:type="dxa"/>
            <w:hideMark/>
          </w:tcPr>
          <w:p w:rsidRPr="00BD3070" w:rsidR="00A77D5B" w:rsidP="00EC3CFC" w:rsidRDefault="00A77D5B" w14:paraId="0388A5A4" w14:textId="77777777">
            <w:pPr>
              <w:rPr>
                <w:sz w:val="16"/>
                <w:szCs w:val="16"/>
                <w:lang w:val="de-DE"/>
              </w:rPr>
            </w:pPr>
            <w:r w:rsidRPr="00BD3070">
              <w:rPr>
                <w:sz w:val="16"/>
                <w:szCs w:val="16"/>
                <w:lang w:val="de-DE"/>
              </w:rPr>
              <w:t>0 t/m 1</w:t>
            </w:r>
            <w:r w:rsidRPr="00BD3070">
              <w:rPr>
                <w:sz w:val="16"/>
                <w:szCs w:val="16"/>
              </w:rPr>
              <w:br/>
            </w:r>
            <w:r w:rsidRPr="00BD3070">
              <w:rPr>
                <w:sz w:val="16"/>
                <w:szCs w:val="16"/>
                <w:lang w:val="de-DE"/>
              </w:rPr>
              <w:t>1,1 t/m 4</w:t>
            </w:r>
            <w:r w:rsidRPr="00BD3070">
              <w:rPr>
                <w:sz w:val="16"/>
                <w:szCs w:val="16"/>
              </w:rPr>
              <w:br/>
            </w:r>
            <w:r w:rsidRPr="00BD3070">
              <w:rPr>
                <w:sz w:val="16"/>
                <w:szCs w:val="16"/>
                <w:lang w:val="de-DE"/>
              </w:rPr>
              <w:t>4,1 t/m 7,5</w:t>
            </w:r>
            <w:r w:rsidRPr="00BD3070">
              <w:rPr>
                <w:sz w:val="16"/>
                <w:szCs w:val="16"/>
              </w:rPr>
              <w:br/>
            </w:r>
            <w:r w:rsidRPr="00BD3070">
              <w:rPr>
                <w:sz w:val="16"/>
                <w:szCs w:val="16"/>
                <w:lang w:val="de-DE"/>
              </w:rPr>
              <w:t>7,6 t/m 10</w:t>
            </w:r>
            <w:r w:rsidRPr="00BD3070">
              <w:rPr>
                <w:sz w:val="16"/>
                <w:szCs w:val="16"/>
              </w:rPr>
              <w:br/>
            </w:r>
            <w:r w:rsidRPr="00BD3070">
              <w:rPr>
                <w:sz w:val="16"/>
                <w:szCs w:val="16"/>
                <w:lang w:val="de-DE"/>
              </w:rPr>
              <w:t xml:space="preserve">Meer </w:t>
            </w:r>
            <w:proofErr w:type="spellStart"/>
            <w:r w:rsidRPr="00BD3070">
              <w:rPr>
                <w:sz w:val="16"/>
                <w:szCs w:val="16"/>
                <w:lang w:val="de-DE"/>
              </w:rPr>
              <w:t>dan</w:t>
            </w:r>
            <w:proofErr w:type="spellEnd"/>
            <w:r w:rsidRPr="00BD3070">
              <w:rPr>
                <w:sz w:val="16"/>
                <w:szCs w:val="16"/>
                <w:lang w:val="de-DE"/>
              </w:rPr>
              <w:t xml:space="preserve"> 10</w:t>
            </w:r>
          </w:p>
        </w:tc>
        <w:tc>
          <w:tcPr>
            <w:tcW w:w="997" w:type="dxa"/>
          </w:tcPr>
          <w:p w:rsidRPr="00BD3070" w:rsidR="00A77D5B" w:rsidP="00EC3CFC" w:rsidRDefault="00A77D5B" w14:paraId="2C4745EB" w14:textId="77777777">
            <w:pPr>
              <w:rPr>
                <w:sz w:val="16"/>
                <w:szCs w:val="16"/>
                <w:lang w:val="de-DE"/>
              </w:rPr>
            </w:pPr>
            <w:r w:rsidRPr="00BD3070">
              <w:rPr>
                <w:sz w:val="16"/>
                <w:szCs w:val="16"/>
                <w:lang w:val="de-DE"/>
              </w:rPr>
              <w:t>€ 10,75</w:t>
            </w:r>
          </w:p>
          <w:p w:rsidRPr="00BD3070" w:rsidR="00A77D5B" w:rsidP="00EC3CFC" w:rsidRDefault="00A77D5B" w14:paraId="455221D3" w14:textId="77777777">
            <w:pPr>
              <w:rPr>
                <w:sz w:val="16"/>
                <w:szCs w:val="16"/>
                <w:lang w:val="de-DE"/>
              </w:rPr>
            </w:pPr>
            <w:r w:rsidRPr="00BD3070">
              <w:rPr>
                <w:sz w:val="16"/>
                <w:szCs w:val="16"/>
                <w:lang w:val="de-DE"/>
              </w:rPr>
              <w:t>€ 16,75</w:t>
            </w:r>
          </w:p>
          <w:p w:rsidRPr="00BD3070" w:rsidR="00A77D5B" w:rsidP="00EC3CFC" w:rsidRDefault="00A77D5B" w14:paraId="7AE887F5" w14:textId="77777777">
            <w:pPr>
              <w:rPr>
                <w:sz w:val="16"/>
                <w:szCs w:val="16"/>
                <w:lang w:val="de-DE"/>
              </w:rPr>
            </w:pPr>
            <w:r w:rsidRPr="00BD3070">
              <w:rPr>
                <w:sz w:val="16"/>
                <w:szCs w:val="16"/>
                <w:lang w:val="de-DE"/>
              </w:rPr>
              <w:t>€ 26,50</w:t>
            </w:r>
          </w:p>
          <w:p w:rsidRPr="00BD3070" w:rsidR="00A77D5B" w:rsidP="00EC3CFC" w:rsidRDefault="00A77D5B" w14:paraId="45B4C487" w14:textId="77777777">
            <w:pPr>
              <w:rPr>
                <w:sz w:val="16"/>
                <w:szCs w:val="16"/>
                <w:lang w:val="de-DE"/>
              </w:rPr>
            </w:pPr>
            <w:r w:rsidRPr="00BD3070">
              <w:rPr>
                <w:sz w:val="16"/>
                <w:szCs w:val="16"/>
                <w:lang w:val="de-DE"/>
              </w:rPr>
              <w:t>€ 35,50</w:t>
            </w:r>
          </w:p>
          <w:p w:rsidRPr="00BD3070" w:rsidR="00A77D5B" w:rsidP="00EC3CFC" w:rsidRDefault="00A77D5B" w14:paraId="42E45911" w14:textId="77777777">
            <w:pPr>
              <w:rPr>
                <w:sz w:val="16"/>
                <w:szCs w:val="16"/>
                <w:lang w:val="de-DE"/>
              </w:rPr>
            </w:pPr>
            <w:r w:rsidRPr="00BD3070">
              <w:rPr>
                <w:sz w:val="16"/>
                <w:szCs w:val="16"/>
                <w:lang w:val="de-DE"/>
              </w:rPr>
              <w:t>€ 46,75</w:t>
            </w:r>
          </w:p>
        </w:tc>
        <w:tc>
          <w:tcPr>
            <w:tcW w:w="2689" w:type="dxa"/>
          </w:tcPr>
          <w:p w:rsidRPr="00BD3070" w:rsidR="000F7251" w:rsidP="000F7251" w:rsidRDefault="000F7251" w14:paraId="4D39BBD7" w14:textId="77777777">
            <w:pPr>
              <w:rPr>
                <w:sz w:val="16"/>
                <w:szCs w:val="16"/>
                <w:lang w:val="es-ES"/>
              </w:rPr>
            </w:pPr>
            <w:r w:rsidRPr="00BD3070">
              <w:rPr>
                <w:sz w:val="16"/>
                <w:szCs w:val="16"/>
                <w:lang w:val="es-ES"/>
              </w:rPr>
              <w:t xml:space="preserve">Coca-Cola Zero </w:t>
            </w:r>
            <w:proofErr w:type="spellStart"/>
            <w:r w:rsidRPr="00BD3070">
              <w:rPr>
                <w:sz w:val="16"/>
                <w:szCs w:val="16"/>
                <w:lang w:val="es-ES"/>
              </w:rPr>
              <w:t>sugar</w:t>
            </w:r>
            <w:proofErr w:type="spellEnd"/>
            <w:r w:rsidRPr="00BD3070">
              <w:rPr>
                <w:sz w:val="16"/>
                <w:szCs w:val="16"/>
                <w:lang w:val="es-ES"/>
              </w:rPr>
              <w:t>: -€ 0,</w:t>
            </w:r>
            <w:r w:rsidRPr="00BD3070" w:rsidR="00797BFA">
              <w:rPr>
                <w:sz w:val="16"/>
                <w:szCs w:val="16"/>
                <w:lang w:val="es-ES"/>
              </w:rPr>
              <w:t>15</w:t>
            </w:r>
          </w:p>
          <w:p w:rsidRPr="00FF1C4B" w:rsidR="000F7251" w:rsidP="000F7251" w:rsidRDefault="000F7251" w14:paraId="3AE7F8B4" w14:textId="77777777">
            <w:pPr>
              <w:rPr>
                <w:sz w:val="16"/>
                <w:szCs w:val="16"/>
                <w:lang w:val="es-ES"/>
              </w:rPr>
            </w:pPr>
            <w:proofErr w:type="spellStart"/>
            <w:r w:rsidRPr="00FF1C4B">
              <w:rPr>
                <w:sz w:val="16"/>
                <w:szCs w:val="16"/>
                <w:lang w:val="es-ES"/>
              </w:rPr>
              <w:t>Lipton</w:t>
            </w:r>
            <w:proofErr w:type="spellEnd"/>
            <w:r w:rsidRPr="00FF1C4B">
              <w:rPr>
                <w:sz w:val="16"/>
                <w:szCs w:val="16"/>
                <w:lang w:val="es-ES"/>
              </w:rPr>
              <w:t xml:space="preserve"> Ice Tea </w:t>
            </w:r>
            <w:proofErr w:type="spellStart"/>
            <w:r w:rsidRPr="00FF1C4B">
              <w:rPr>
                <w:sz w:val="16"/>
                <w:szCs w:val="16"/>
                <w:lang w:val="es-ES"/>
              </w:rPr>
              <w:t>green</w:t>
            </w:r>
            <w:proofErr w:type="spellEnd"/>
            <w:r w:rsidRPr="00FF1C4B">
              <w:rPr>
                <w:sz w:val="16"/>
                <w:szCs w:val="16"/>
                <w:lang w:val="es-ES"/>
              </w:rPr>
              <w:t>: -€ 0,</w:t>
            </w:r>
            <w:r w:rsidRPr="00FF1C4B" w:rsidR="00797BFA">
              <w:rPr>
                <w:sz w:val="16"/>
                <w:szCs w:val="16"/>
                <w:lang w:val="es-ES"/>
              </w:rPr>
              <w:t>09</w:t>
            </w:r>
          </w:p>
          <w:p w:rsidRPr="00BD3070" w:rsidR="000F7251" w:rsidP="000F7251" w:rsidRDefault="000F7251" w14:paraId="703CE3CF" w14:textId="77777777">
            <w:pPr>
              <w:rPr>
                <w:sz w:val="16"/>
                <w:szCs w:val="16"/>
                <w:lang w:val="en-US"/>
              </w:rPr>
            </w:pPr>
            <w:r w:rsidRPr="00BD3070">
              <w:rPr>
                <w:sz w:val="16"/>
                <w:szCs w:val="16"/>
                <w:lang w:val="en-US"/>
              </w:rPr>
              <w:t>7UP: € 0,0</w:t>
            </w:r>
            <w:r w:rsidRPr="00BD3070" w:rsidR="001A7871">
              <w:rPr>
                <w:sz w:val="16"/>
                <w:szCs w:val="16"/>
                <w:lang w:val="en-US"/>
              </w:rPr>
              <w:t>0</w:t>
            </w:r>
          </w:p>
          <w:p w:rsidRPr="00BD3070" w:rsidR="000F7251" w:rsidP="000F7251" w:rsidRDefault="000F7251" w14:paraId="6AFC74E8" w14:textId="77777777">
            <w:pPr>
              <w:rPr>
                <w:sz w:val="16"/>
                <w:szCs w:val="16"/>
                <w:lang w:val="en-US"/>
              </w:rPr>
            </w:pPr>
            <w:r w:rsidRPr="00BD3070">
              <w:rPr>
                <w:sz w:val="16"/>
                <w:szCs w:val="16"/>
                <w:lang w:val="en-US"/>
              </w:rPr>
              <w:t>AA Drink: +€ 0,0</w:t>
            </w:r>
            <w:r w:rsidRPr="00BD3070" w:rsidR="001A7871">
              <w:rPr>
                <w:sz w:val="16"/>
                <w:szCs w:val="16"/>
                <w:lang w:val="en-US"/>
              </w:rPr>
              <w:t>9</w:t>
            </w:r>
          </w:p>
          <w:p w:rsidRPr="00BD3070" w:rsidR="00A77D5B" w:rsidP="000F7251" w:rsidRDefault="000F7251" w14:paraId="721DDA18" w14:textId="77777777">
            <w:pPr>
              <w:rPr>
                <w:sz w:val="16"/>
                <w:szCs w:val="16"/>
                <w:lang w:val="en-US"/>
              </w:rPr>
            </w:pPr>
            <w:r w:rsidRPr="00BD3070">
              <w:rPr>
                <w:sz w:val="16"/>
                <w:szCs w:val="16"/>
                <w:lang w:val="en-US"/>
              </w:rPr>
              <w:t>Red Bull: +€ 0,</w:t>
            </w:r>
            <w:r w:rsidRPr="00BD3070" w:rsidR="001A7871">
              <w:rPr>
                <w:sz w:val="16"/>
                <w:szCs w:val="16"/>
                <w:lang w:val="en-US"/>
              </w:rPr>
              <w:t>21</w:t>
            </w:r>
          </w:p>
        </w:tc>
      </w:tr>
      <w:tr w:rsidRPr="00BA0399" w:rsidR="00A77D5B" w:rsidTr="00E07FBF" w14:paraId="4B34EC90" w14:textId="77777777">
        <w:trPr>
          <w:trHeight w:val="1785"/>
        </w:trPr>
        <w:tc>
          <w:tcPr>
            <w:tcW w:w="704" w:type="dxa"/>
            <w:noWrap/>
            <w:hideMark/>
          </w:tcPr>
          <w:p w:rsidRPr="00BD3070" w:rsidR="00A77D5B" w:rsidP="00EC3CFC" w:rsidRDefault="00A77D5B" w14:paraId="2FAB172C" w14:textId="77777777">
            <w:pPr>
              <w:rPr>
                <w:sz w:val="16"/>
                <w:szCs w:val="16"/>
              </w:rPr>
            </w:pPr>
            <w:proofErr w:type="spellStart"/>
            <w:r w:rsidRPr="00BD3070">
              <w:rPr>
                <w:sz w:val="16"/>
                <w:szCs w:val="16"/>
              </w:rPr>
              <w:lastRenderedPageBreak/>
              <w:t>IVa</w:t>
            </w:r>
            <w:proofErr w:type="spellEnd"/>
          </w:p>
        </w:tc>
        <w:tc>
          <w:tcPr>
            <w:tcW w:w="1843" w:type="dxa"/>
            <w:hideMark/>
          </w:tcPr>
          <w:p w:rsidRPr="00BD3070" w:rsidR="00A77D5B" w:rsidP="00EC3CFC" w:rsidRDefault="00A77D5B" w14:paraId="51A4C8ED" w14:textId="77777777">
            <w:pPr>
              <w:rPr>
                <w:sz w:val="16"/>
                <w:szCs w:val="16"/>
              </w:rPr>
            </w:pPr>
            <w:r w:rsidRPr="00BD3070">
              <w:rPr>
                <w:sz w:val="16"/>
                <w:szCs w:val="16"/>
              </w:rPr>
              <w:t>- Mineraalwater uitgezonderd</w:t>
            </w:r>
            <w:r w:rsidRPr="00BD3070">
              <w:rPr>
                <w:sz w:val="16"/>
                <w:szCs w:val="16"/>
              </w:rPr>
              <w:br/>
              <w:t>- Zuivel en sojadranken</w:t>
            </w:r>
            <w:r w:rsidR="00AB3DF1">
              <w:rPr>
                <w:sz w:val="16"/>
                <w:szCs w:val="16"/>
              </w:rPr>
              <w:t xml:space="preserve"> </w:t>
            </w:r>
            <w:r w:rsidRPr="00BD3070">
              <w:rPr>
                <w:sz w:val="16"/>
                <w:szCs w:val="16"/>
              </w:rPr>
              <w:t>uitgezonderd</w:t>
            </w:r>
            <w:r w:rsidR="00AB3DF1">
              <w:rPr>
                <w:sz w:val="16"/>
                <w:szCs w:val="16"/>
              </w:rPr>
              <w:t xml:space="preserve"> </w:t>
            </w:r>
            <w:r w:rsidR="004C2385">
              <w:rPr>
                <w:sz w:val="16"/>
                <w:szCs w:val="16"/>
              </w:rPr>
              <w:t>(</w:t>
            </w:r>
            <w:r w:rsidR="00AB3DF1">
              <w:rPr>
                <w:sz w:val="16"/>
                <w:szCs w:val="16"/>
              </w:rPr>
              <w:t>ongeacht suikergehalte</w:t>
            </w:r>
            <w:r w:rsidR="004C2385">
              <w:rPr>
                <w:sz w:val="16"/>
                <w:szCs w:val="16"/>
              </w:rPr>
              <w:t>)</w:t>
            </w:r>
            <w:r w:rsidRPr="00BD3070">
              <w:rPr>
                <w:sz w:val="16"/>
                <w:szCs w:val="16"/>
              </w:rPr>
              <w:br/>
              <w:t>- Pure vruchten- en groentesappen belast met het laagste tarief (dat is het tarief dat geldt voor dranken van 0 tot en met 1 gram suiker per 100 milliliter; namelijk € 14,25 per 100 liter)</w:t>
            </w:r>
          </w:p>
        </w:tc>
        <w:tc>
          <w:tcPr>
            <w:tcW w:w="1984" w:type="dxa"/>
            <w:hideMark/>
          </w:tcPr>
          <w:p w:rsidRPr="00BD3070" w:rsidR="00A77D5B" w:rsidP="00EC3CFC" w:rsidRDefault="00A77D5B" w14:paraId="39BD130D" w14:textId="77777777">
            <w:pPr>
              <w:rPr>
                <w:sz w:val="16"/>
                <w:szCs w:val="16"/>
                <w:lang w:val="de-DE"/>
              </w:rPr>
            </w:pPr>
            <w:r w:rsidRPr="00BD3070">
              <w:rPr>
                <w:sz w:val="16"/>
                <w:szCs w:val="16"/>
                <w:lang w:val="de-DE"/>
              </w:rPr>
              <w:t>0 t/m 1</w:t>
            </w:r>
            <w:r w:rsidRPr="00BD3070">
              <w:rPr>
                <w:sz w:val="16"/>
                <w:szCs w:val="16"/>
              </w:rPr>
              <w:br/>
            </w:r>
            <w:r w:rsidRPr="00BD3070">
              <w:rPr>
                <w:sz w:val="16"/>
                <w:szCs w:val="16"/>
                <w:lang w:val="de-DE"/>
              </w:rPr>
              <w:t>1,1 t/m 4</w:t>
            </w:r>
            <w:r w:rsidRPr="00BD3070">
              <w:rPr>
                <w:sz w:val="16"/>
                <w:szCs w:val="16"/>
              </w:rPr>
              <w:br/>
            </w:r>
            <w:r w:rsidRPr="00BD3070">
              <w:rPr>
                <w:sz w:val="16"/>
                <w:szCs w:val="16"/>
                <w:lang w:val="de-DE"/>
              </w:rPr>
              <w:t>4,1 t/m 7,5</w:t>
            </w:r>
            <w:r w:rsidRPr="00BD3070">
              <w:rPr>
                <w:sz w:val="16"/>
                <w:szCs w:val="16"/>
              </w:rPr>
              <w:br/>
            </w:r>
            <w:r w:rsidRPr="00BD3070">
              <w:rPr>
                <w:sz w:val="16"/>
                <w:szCs w:val="16"/>
                <w:lang w:val="de-DE"/>
              </w:rPr>
              <w:t>7,6 t/m 10</w:t>
            </w:r>
            <w:r w:rsidRPr="00BD3070">
              <w:rPr>
                <w:sz w:val="16"/>
                <w:szCs w:val="16"/>
              </w:rPr>
              <w:br/>
            </w:r>
            <w:r w:rsidRPr="00BD3070">
              <w:rPr>
                <w:sz w:val="16"/>
                <w:szCs w:val="16"/>
                <w:lang w:val="de-DE"/>
              </w:rPr>
              <w:t xml:space="preserve">Meer </w:t>
            </w:r>
            <w:proofErr w:type="spellStart"/>
            <w:r w:rsidRPr="00BD3070">
              <w:rPr>
                <w:sz w:val="16"/>
                <w:szCs w:val="16"/>
                <w:lang w:val="de-DE"/>
              </w:rPr>
              <w:t>dan</w:t>
            </w:r>
            <w:proofErr w:type="spellEnd"/>
            <w:r w:rsidRPr="00BD3070">
              <w:rPr>
                <w:sz w:val="16"/>
                <w:szCs w:val="16"/>
                <w:lang w:val="de-DE"/>
              </w:rPr>
              <w:t xml:space="preserve"> 10</w:t>
            </w:r>
          </w:p>
        </w:tc>
        <w:tc>
          <w:tcPr>
            <w:tcW w:w="997" w:type="dxa"/>
          </w:tcPr>
          <w:p w:rsidRPr="00BD3070" w:rsidR="00A77D5B" w:rsidP="00EC3CFC" w:rsidRDefault="00A77D5B" w14:paraId="2590A33B" w14:textId="77777777">
            <w:pPr>
              <w:rPr>
                <w:sz w:val="16"/>
                <w:szCs w:val="16"/>
                <w:lang w:val="de-DE"/>
              </w:rPr>
            </w:pPr>
            <w:r w:rsidRPr="00BD3070">
              <w:rPr>
                <w:sz w:val="16"/>
                <w:szCs w:val="16"/>
                <w:lang w:val="de-DE"/>
              </w:rPr>
              <w:t>€ 14,25</w:t>
            </w:r>
          </w:p>
          <w:p w:rsidRPr="00BD3070" w:rsidR="00A77D5B" w:rsidP="00EC3CFC" w:rsidRDefault="00A77D5B" w14:paraId="38D2C92E" w14:textId="77777777">
            <w:pPr>
              <w:rPr>
                <w:sz w:val="16"/>
                <w:szCs w:val="16"/>
                <w:lang w:val="de-DE"/>
              </w:rPr>
            </w:pPr>
            <w:r w:rsidRPr="00BD3070">
              <w:rPr>
                <w:sz w:val="16"/>
                <w:szCs w:val="16"/>
                <w:lang w:val="de-DE"/>
              </w:rPr>
              <w:t>€ 20,25</w:t>
            </w:r>
          </w:p>
          <w:p w:rsidRPr="00BD3070" w:rsidR="00A77D5B" w:rsidP="00EC3CFC" w:rsidRDefault="00A77D5B" w14:paraId="097CACC7" w14:textId="77777777">
            <w:pPr>
              <w:rPr>
                <w:sz w:val="16"/>
                <w:szCs w:val="16"/>
                <w:lang w:val="de-DE"/>
              </w:rPr>
            </w:pPr>
            <w:r w:rsidRPr="00BD3070">
              <w:rPr>
                <w:sz w:val="16"/>
                <w:szCs w:val="16"/>
                <w:lang w:val="de-DE"/>
              </w:rPr>
              <w:t>€ 30,00</w:t>
            </w:r>
          </w:p>
          <w:p w:rsidRPr="00BD3070" w:rsidR="00A77D5B" w:rsidP="00EC3CFC" w:rsidRDefault="00A77D5B" w14:paraId="0EFCF136" w14:textId="77777777">
            <w:pPr>
              <w:rPr>
                <w:sz w:val="16"/>
                <w:szCs w:val="16"/>
                <w:lang w:val="de-DE"/>
              </w:rPr>
            </w:pPr>
            <w:r w:rsidRPr="00BD3070">
              <w:rPr>
                <w:sz w:val="16"/>
                <w:szCs w:val="16"/>
                <w:lang w:val="de-DE"/>
              </w:rPr>
              <w:t>€ 39,00</w:t>
            </w:r>
          </w:p>
          <w:p w:rsidRPr="00BD3070" w:rsidR="00A77D5B" w:rsidP="00EC3CFC" w:rsidRDefault="00A77D5B" w14:paraId="18BE70D2" w14:textId="77777777">
            <w:pPr>
              <w:rPr>
                <w:sz w:val="16"/>
                <w:szCs w:val="16"/>
                <w:lang w:val="de-DE"/>
              </w:rPr>
            </w:pPr>
            <w:r w:rsidRPr="00BD3070">
              <w:rPr>
                <w:sz w:val="16"/>
                <w:szCs w:val="16"/>
                <w:lang w:val="de-DE"/>
              </w:rPr>
              <w:t>€ 50,25</w:t>
            </w:r>
          </w:p>
        </w:tc>
        <w:tc>
          <w:tcPr>
            <w:tcW w:w="2689" w:type="dxa"/>
          </w:tcPr>
          <w:p w:rsidRPr="00BD3070" w:rsidR="000F7251" w:rsidP="000F7251" w:rsidRDefault="000F7251" w14:paraId="5CFAF7B6" w14:textId="77777777">
            <w:pPr>
              <w:rPr>
                <w:sz w:val="16"/>
                <w:szCs w:val="16"/>
                <w:lang w:val="es-ES"/>
              </w:rPr>
            </w:pPr>
            <w:r w:rsidRPr="00BD3070">
              <w:rPr>
                <w:sz w:val="16"/>
                <w:szCs w:val="16"/>
                <w:lang w:val="es-ES"/>
              </w:rPr>
              <w:t xml:space="preserve">Coca-Cola Zero </w:t>
            </w:r>
            <w:proofErr w:type="spellStart"/>
            <w:r w:rsidRPr="00BD3070">
              <w:rPr>
                <w:sz w:val="16"/>
                <w:szCs w:val="16"/>
                <w:lang w:val="es-ES"/>
              </w:rPr>
              <w:t>sugar</w:t>
            </w:r>
            <w:proofErr w:type="spellEnd"/>
            <w:r w:rsidRPr="00BD3070">
              <w:rPr>
                <w:sz w:val="16"/>
                <w:szCs w:val="16"/>
                <w:lang w:val="es-ES"/>
              </w:rPr>
              <w:t>: -€ 0,1</w:t>
            </w:r>
            <w:r w:rsidRPr="00BD3070" w:rsidR="001A7871">
              <w:rPr>
                <w:sz w:val="16"/>
                <w:szCs w:val="16"/>
                <w:lang w:val="es-ES"/>
              </w:rPr>
              <w:t>2</w:t>
            </w:r>
          </w:p>
          <w:p w:rsidRPr="00BA5B38" w:rsidR="000F7251" w:rsidP="000F7251" w:rsidRDefault="000F7251" w14:paraId="22FDEFA3" w14:textId="77777777">
            <w:pPr>
              <w:rPr>
                <w:sz w:val="16"/>
                <w:szCs w:val="16"/>
                <w:lang w:val="es-ES"/>
              </w:rPr>
            </w:pPr>
            <w:proofErr w:type="spellStart"/>
            <w:r w:rsidRPr="00BA5B38">
              <w:rPr>
                <w:sz w:val="16"/>
                <w:szCs w:val="16"/>
                <w:lang w:val="es-ES"/>
              </w:rPr>
              <w:t>Lipton</w:t>
            </w:r>
            <w:proofErr w:type="spellEnd"/>
            <w:r w:rsidRPr="00BA5B38">
              <w:rPr>
                <w:sz w:val="16"/>
                <w:szCs w:val="16"/>
                <w:lang w:val="es-ES"/>
              </w:rPr>
              <w:t xml:space="preserve"> Ice Tea </w:t>
            </w:r>
            <w:proofErr w:type="spellStart"/>
            <w:r w:rsidRPr="00BA5B38">
              <w:rPr>
                <w:sz w:val="16"/>
                <w:szCs w:val="16"/>
                <w:lang w:val="es-ES"/>
              </w:rPr>
              <w:t>green</w:t>
            </w:r>
            <w:proofErr w:type="spellEnd"/>
            <w:r w:rsidRPr="00BA5B38">
              <w:rPr>
                <w:sz w:val="16"/>
                <w:szCs w:val="16"/>
                <w:lang w:val="es-ES"/>
              </w:rPr>
              <w:t>: -€ 0,</w:t>
            </w:r>
            <w:r w:rsidRPr="00BA5B38" w:rsidR="001A7871">
              <w:rPr>
                <w:sz w:val="16"/>
                <w:szCs w:val="16"/>
                <w:lang w:val="es-ES"/>
              </w:rPr>
              <w:t>06</w:t>
            </w:r>
          </w:p>
          <w:p w:rsidRPr="00BD3070" w:rsidR="000F7251" w:rsidP="000F7251" w:rsidRDefault="000F7251" w14:paraId="02DF16FC" w14:textId="77777777">
            <w:pPr>
              <w:rPr>
                <w:sz w:val="16"/>
                <w:szCs w:val="16"/>
                <w:lang w:val="en-US"/>
              </w:rPr>
            </w:pPr>
            <w:r w:rsidRPr="00BD3070">
              <w:rPr>
                <w:sz w:val="16"/>
                <w:szCs w:val="16"/>
                <w:lang w:val="en-US"/>
              </w:rPr>
              <w:t xml:space="preserve">7UP: </w:t>
            </w:r>
            <w:r w:rsidRPr="00BD3070" w:rsidR="001A7871">
              <w:rPr>
                <w:sz w:val="16"/>
                <w:szCs w:val="16"/>
                <w:lang w:val="en-US"/>
              </w:rPr>
              <w:t>+</w:t>
            </w:r>
            <w:r w:rsidRPr="00BD3070">
              <w:rPr>
                <w:sz w:val="16"/>
                <w:szCs w:val="16"/>
                <w:lang w:val="en-US"/>
              </w:rPr>
              <w:t>€ 0,0</w:t>
            </w:r>
            <w:r w:rsidRPr="00BD3070" w:rsidR="001A7871">
              <w:rPr>
                <w:sz w:val="16"/>
                <w:szCs w:val="16"/>
                <w:lang w:val="en-US"/>
              </w:rPr>
              <w:t>4</w:t>
            </w:r>
          </w:p>
          <w:p w:rsidRPr="00BD3070" w:rsidR="000F7251" w:rsidP="000F7251" w:rsidRDefault="000F7251" w14:paraId="4381820F" w14:textId="77777777">
            <w:pPr>
              <w:rPr>
                <w:sz w:val="16"/>
                <w:szCs w:val="16"/>
                <w:lang w:val="en-US"/>
              </w:rPr>
            </w:pPr>
            <w:r w:rsidRPr="00BD3070">
              <w:rPr>
                <w:sz w:val="16"/>
                <w:szCs w:val="16"/>
                <w:lang w:val="en-US"/>
              </w:rPr>
              <w:t>AA Drink: +€ 0,</w:t>
            </w:r>
            <w:r w:rsidRPr="00BD3070" w:rsidR="001A7871">
              <w:rPr>
                <w:sz w:val="16"/>
                <w:szCs w:val="16"/>
                <w:lang w:val="en-US"/>
              </w:rPr>
              <w:t>13</w:t>
            </w:r>
          </w:p>
          <w:p w:rsidRPr="00BD3070" w:rsidR="00A77D5B" w:rsidP="000F7251" w:rsidRDefault="000F7251" w14:paraId="5A67625A" w14:textId="77777777">
            <w:pPr>
              <w:rPr>
                <w:sz w:val="16"/>
                <w:szCs w:val="16"/>
                <w:lang w:val="en-US"/>
              </w:rPr>
            </w:pPr>
            <w:r w:rsidRPr="00BD3070">
              <w:rPr>
                <w:sz w:val="16"/>
                <w:szCs w:val="16"/>
                <w:lang w:val="en-US"/>
              </w:rPr>
              <w:t>Red Bull: +€ 0,</w:t>
            </w:r>
            <w:r w:rsidRPr="00BD3070" w:rsidR="001A7871">
              <w:rPr>
                <w:sz w:val="16"/>
                <w:szCs w:val="16"/>
                <w:lang w:val="en-US"/>
              </w:rPr>
              <w:t>24</w:t>
            </w:r>
          </w:p>
        </w:tc>
      </w:tr>
      <w:tr w:rsidRPr="00BA0399" w:rsidR="00A77D5B" w:rsidTr="00E07FBF" w14:paraId="39963119" w14:textId="77777777">
        <w:trPr>
          <w:trHeight w:val="1290"/>
        </w:trPr>
        <w:tc>
          <w:tcPr>
            <w:tcW w:w="704" w:type="dxa"/>
            <w:noWrap/>
            <w:hideMark/>
          </w:tcPr>
          <w:p w:rsidRPr="00BD3070" w:rsidR="00A77D5B" w:rsidP="00EC3CFC" w:rsidRDefault="00A77D5B" w14:paraId="4864304C" w14:textId="77777777">
            <w:pPr>
              <w:rPr>
                <w:sz w:val="16"/>
                <w:szCs w:val="16"/>
              </w:rPr>
            </w:pPr>
            <w:proofErr w:type="spellStart"/>
            <w:r w:rsidRPr="00BD3070">
              <w:rPr>
                <w:sz w:val="16"/>
                <w:szCs w:val="16"/>
              </w:rPr>
              <w:t>IVb</w:t>
            </w:r>
            <w:proofErr w:type="spellEnd"/>
          </w:p>
        </w:tc>
        <w:tc>
          <w:tcPr>
            <w:tcW w:w="1843" w:type="dxa"/>
            <w:hideMark/>
          </w:tcPr>
          <w:p w:rsidRPr="00BD3070" w:rsidR="00A77D5B" w:rsidP="00EC3CFC" w:rsidRDefault="00A77D5B" w14:paraId="469DA13C" w14:textId="77777777">
            <w:pPr>
              <w:rPr>
                <w:sz w:val="16"/>
                <w:szCs w:val="16"/>
              </w:rPr>
            </w:pPr>
            <w:r w:rsidRPr="00BD3070">
              <w:rPr>
                <w:sz w:val="16"/>
                <w:szCs w:val="16"/>
              </w:rPr>
              <w:t>- Mineraalwater uitgezonderd</w:t>
            </w:r>
            <w:r w:rsidRPr="00BD3070">
              <w:rPr>
                <w:sz w:val="16"/>
                <w:szCs w:val="16"/>
              </w:rPr>
              <w:br/>
              <w:t>- Zuivel en sojadranken</w:t>
            </w:r>
            <w:r w:rsidR="00AB3DF1">
              <w:rPr>
                <w:sz w:val="16"/>
                <w:szCs w:val="16"/>
              </w:rPr>
              <w:t xml:space="preserve"> </w:t>
            </w:r>
            <w:r w:rsidRPr="00BD3070">
              <w:rPr>
                <w:sz w:val="16"/>
                <w:szCs w:val="16"/>
              </w:rPr>
              <w:t>uitgezonderd</w:t>
            </w:r>
            <w:r w:rsidR="00AB3DF1">
              <w:rPr>
                <w:sz w:val="16"/>
                <w:szCs w:val="16"/>
              </w:rPr>
              <w:t xml:space="preserve"> </w:t>
            </w:r>
            <w:r w:rsidR="004C2385">
              <w:rPr>
                <w:sz w:val="16"/>
                <w:szCs w:val="16"/>
              </w:rPr>
              <w:t>(</w:t>
            </w:r>
            <w:r w:rsidR="00AB3DF1">
              <w:rPr>
                <w:sz w:val="16"/>
                <w:szCs w:val="16"/>
              </w:rPr>
              <w:t>ongeacht suikergehalte</w:t>
            </w:r>
            <w:r w:rsidR="004C2385">
              <w:rPr>
                <w:sz w:val="16"/>
                <w:szCs w:val="16"/>
              </w:rPr>
              <w:t>)</w:t>
            </w:r>
            <w:r w:rsidRPr="00BD3070">
              <w:rPr>
                <w:sz w:val="16"/>
                <w:szCs w:val="16"/>
              </w:rPr>
              <w:br/>
              <w:t>- Pure vruchten- en groentesappen uitgezonderd</w:t>
            </w:r>
          </w:p>
        </w:tc>
        <w:tc>
          <w:tcPr>
            <w:tcW w:w="1984" w:type="dxa"/>
            <w:hideMark/>
          </w:tcPr>
          <w:p w:rsidRPr="00BD3070" w:rsidR="00A77D5B" w:rsidP="00EC3CFC" w:rsidRDefault="00A77D5B" w14:paraId="283F5B88" w14:textId="77777777">
            <w:pPr>
              <w:rPr>
                <w:sz w:val="16"/>
                <w:szCs w:val="16"/>
                <w:lang w:val="de-DE"/>
              </w:rPr>
            </w:pPr>
            <w:r w:rsidRPr="00BD3070">
              <w:rPr>
                <w:sz w:val="16"/>
                <w:szCs w:val="16"/>
                <w:lang w:val="de-DE"/>
              </w:rPr>
              <w:t>0 t/m 1</w:t>
            </w:r>
            <w:r w:rsidRPr="00BD3070">
              <w:rPr>
                <w:sz w:val="16"/>
                <w:szCs w:val="16"/>
              </w:rPr>
              <w:br/>
            </w:r>
            <w:r w:rsidRPr="00BD3070">
              <w:rPr>
                <w:sz w:val="16"/>
                <w:szCs w:val="16"/>
                <w:lang w:val="de-DE"/>
              </w:rPr>
              <w:t>1,1 t/m 4</w:t>
            </w:r>
            <w:r w:rsidRPr="00BD3070">
              <w:rPr>
                <w:sz w:val="16"/>
                <w:szCs w:val="16"/>
              </w:rPr>
              <w:br/>
            </w:r>
            <w:r w:rsidRPr="00BD3070">
              <w:rPr>
                <w:sz w:val="16"/>
                <w:szCs w:val="16"/>
                <w:lang w:val="de-DE"/>
              </w:rPr>
              <w:t>4,1 t/m 7,5</w:t>
            </w:r>
            <w:r w:rsidRPr="00BD3070">
              <w:rPr>
                <w:sz w:val="16"/>
                <w:szCs w:val="16"/>
              </w:rPr>
              <w:br/>
            </w:r>
            <w:r w:rsidRPr="00BD3070">
              <w:rPr>
                <w:sz w:val="16"/>
                <w:szCs w:val="16"/>
                <w:lang w:val="de-DE"/>
              </w:rPr>
              <w:t>7,6 t/m 10</w:t>
            </w:r>
            <w:r w:rsidRPr="00BD3070">
              <w:rPr>
                <w:sz w:val="16"/>
                <w:szCs w:val="16"/>
              </w:rPr>
              <w:br/>
            </w:r>
            <w:r w:rsidRPr="00BD3070">
              <w:rPr>
                <w:sz w:val="16"/>
                <w:szCs w:val="16"/>
                <w:lang w:val="de-DE"/>
              </w:rPr>
              <w:t xml:space="preserve">Meer </w:t>
            </w:r>
            <w:proofErr w:type="spellStart"/>
            <w:r w:rsidRPr="00BD3070">
              <w:rPr>
                <w:sz w:val="16"/>
                <w:szCs w:val="16"/>
                <w:lang w:val="de-DE"/>
              </w:rPr>
              <w:t>dan</w:t>
            </w:r>
            <w:proofErr w:type="spellEnd"/>
            <w:r w:rsidRPr="00BD3070">
              <w:rPr>
                <w:sz w:val="16"/>
                <w:szCs w:val="16"/>
                <w:lang w:val="de-DE"/>
              </w:rPr>
              <w:t xml:space="preserve"> 10</w:t>
            </w:r>
          </w:p>
        </w:tc>
        <w:tc>
          <w:tcPr>
            <w:tcW w:w="997" w:type="dxa"/>
          </w:tcPr>
          <w:p w:rsidRPr="00BD3070" w:rsidR="00A77D5B" w:rsidP="00EC3CFC" w:rsidRDefault="00A77D5B" w14:paraId="21A736FE" w14:textId="77777777">
            <w:pPr>
              <w:rPr>
                <w:sz w:val="16"/>
                <w:szCs w:val="16"/>
                <w:lang w:val="de-DE"/>
              </w:rPr>
            </w:pPr>
            <w:r w:rsidRPr="00BD3070">
              <w:rPr>
                <w:sz w:val="16"/>
                <w:szCs w:val="16"/>
                <w:lang w:val="de-DE"/>
              </w:rPr>
              <w:t>€ 16,75</w:t>
            </w:r>
          </w:p>
          <w:p w:rsidRPr="00BD3070" w:rsidR="00A77D5B" w:rsidP="00EC3CFC" w:rsidRDefault="00A77D5B" w14:paraId="26F565CC" w14:textId="77777777">
            <w:pPr>
              <w:rPr>
                <w:sz w:val="16"/>
                <w:szCs w:val="16"/>
                <w:lang w:val="de-DE"/>
              </w:rPr>
            </w:pPr>
            <w:r w:rsidRPr="00BD3070">
              <w:rPr>
                <w:sz w:val="16"/>
                <w:szCs w:val="16"/>
                <w:lang w:val="de-DE"/>
              </w:rPr>
              <w:t>€ 22,75</w:t>
            </w:r>
          </w:p>
          <w:p w:rsidRPr="00BD3070" w:rsidR="00A77D5B" w:rsidP="00EC3CFC" w:rsidRDefault="00A77D5B" w14:paraId="2F4F0D71" w14:textId="77777777">
            <w:pPr>
              <w:rPr>
                <w:sz w:val="16"/>
                <w:szCs w:val="16"/>
                <w:lang w:val="de-DE"/>
              </w:rPr>
            </w:pPr>
            <w:r w:rsidRPr="00BD3070">
              <w:rPr>
                <w:sz w:val="16"/>
                <w:szCs w:val="16"/>
                <w:lang w:val="de-DE"/>
              </w:rPr>
              <w:t>€ 32,50</w:t>
            </w:r>
          </w:p>
          <w:p w:rsidRPr="00BD3070" w:rsidR="00A77D5B" w:rsidP="00EC3CFC" w:rsidRDefault="00A77D5B" w14:paraId="06C362B9" w14:textId="77777777">
            <w:pPr>
              <w:rPr>
                <w:sz w:val="16"/>
                <w:szCs w:val="16"/>
                <w:lang w:val="de-DE"/>
              </w:rPr>
            </w:pPr>
            <w:r w:rsidRPr="00BD3070">
              <w:rPr>
                <w:sz w:val="16"/>
                <w:szCs w:val="16"/>
                <w:lang w:val="de-DE"/>
              </w:rPr>
              <w:t>€ 41,50</w:t>
            </w:r>
          </w:p>
          <w:p w:rsidRPr="00BD3070" w:rsidR="00A77D5B" w:rsidP="00EC3CFC" w:rsidRDefault="00A77D5B" w14:paraId="10AF0F4E" w14:textId="77777777">
            <w:pPr>
              <w:rPr>
                <w:sz w:val="16"/>
                <w:szCs w:val="16"/>
                <w:lang w:val="de-DE"/>
              </w:rPr>
            </w:pPr>
            <w:r w:rsidRPr="00BD3070">
              <w:rPr>
                <w:sz w:val="16"/>
                <w:szCs w:val="16"/>
                <w:lang w:val="de-DE"/>
              </w:rPr>
              <w:t>€ 52,75</w:t>
            </w:r>
          </w:p>
        </w:tc>
        <w:tc>
          <w:tcPr>
            <w:tcW w:w="2689" w:type="dxa"/>
          </w:tcPr>
          <w:p w:rsidRPr="00BD3070" w:rsidR="000F7251" w:rsidP="000F7251" w:rsidRDefault="000F7251" w14:paraId="26EACA60" w14:textId="77777777">
            <w:pPr>
              <w:rPr>
                <w:sz w:val="16"/>
                <w:szCs w:val="16"/>
                <w:lang w:val="es-ES"/>
              </w:rPr>
            </w:pPr>
            <w:r w:rsidRPr="00BD3070">
              <w:rPr>
                <w:sz w:val="16"/>
                <w:szCs w:val="16"/>
                <w:lang w:val="es-ES"/>
              </w:rPr>
              <w:t xml:space="preserve">Coca-Cola Zero </w:t>
            </w:r>
            <w:proofErr w:type="spellStart"/>
            <w:r w:rsidRPr="00BD3070">
              <w:rPr>
                <w:sz w:val="16"/>
                <w:szCs w:val="16"/>
                <w:lang w:val="es-ES"/>
              </w:rPr>
              <w:t>sugar</w:t>
            </w:r>
            <w:proofErr w:type="spellEnd"/>
            <w:r w:rsidRPr="00BD3070">
              <w:rPr>
                <w:sz w:val="16"/>
                <w:szCs w:val="16"/>
                <w:lang w:val="es-ES"/>
              </w:rPr>
              <w:t>: -€ 0,</w:t>
            </w:r>
            <w:r w:rsidRPr="00BD3070" w:rsidR="00BD3070">
              <w:rPr>
                <w:sz w:val="16"/>
                <w:szCs w:val="16"/>
                <w:lang w:val="es-ES"/>
              </w:rPr>
              <w:t>09</w:t>
            </w:r>
          </w:p>
          <w:p w:rsidRPr="00BD3070" w:rsidR="000F7251" w:rsidP="000F7251" w:rsidRDefault="000F7251" w14:paraId="186290B5" w14:textId="77777777">
            <w:pPr>
              <w:rPr>
                <w:sz w:val="16"/>
                <w:szCs w:val="16"/>
                <w:lang w:val="es-ES"/>
              </w:rPr>
            </w:pPr>
            <w:proofErr w:type="spellStart"/>
            <w:r w:rsidRPr="00BD3070">
              <w:rPr>
                <w:sz w:val="16"/>
                <w:szCs w:val="16"/>
                <w:lang w:val="es-ES"/>
              </w:rPr>
              <w:t>Lipton</w:t>
            </w:r>
            <w:proofErr w:type="spellEnd"/>
            <w:r w:rsidRPr="00BD3070">
              <w:rPr>
                <w:sz w:val="16"/>
                <w:szCs w:val="16"/>
                <w:lang w:val="es-ES"/>
              </w:rPr>
              <w:t xml:space="preserve"> Ice Tea </w:t>
            </w:r>
            <w:proofErr w:type="spellStart"/>
            <w:r w:rsidRPr="00BD3070">
              <w:rPr>
                <w:sz w:val="16"/>
                <w:szCs w:val="16"/>
                <w:lang w:val="es-ES"/>
              </w:rPr>
              <w:t>green</w:t>
            </w:r>
            <w:proofErr w:type="spellEnd"/>
            <w:r w:rsidRPr="00BD3070">
              <w:rPr>
                <w:sz w:val="16"/>
                <w:szCs w:val="16"/>
                <w:lang w:val="es-ES"/>
              </w:rPr>
              <w:t>: -€ 0,</w:t>
            </w:r>
            <w:r w:rsidRPr="00BD3070" w:rsidR="00BD3070">
              <w:rPr>
                <w:sz w:val="16"/>
                <w:szCs w:val="16"/>
                <w:lang w:val="es-ES"/>
              </w:rPr>
              <w:t>03</w:t>
            </w:r>
          </w:p>
          <w:p w:rsidRPr="00BD3070" w:rsidR="000F7251" w:rsidP="000F7251" w:rsidRDefault="000F7251" w14:paraId="18561C57" w14:textId="77777777">
            <w:pPr>
              <w:rPr>
                <w:sz w:val="16"/>
                <w:szCs w:val="16"/>
                <w:lang w:val="en-US"/>
              </w:rPr>
            </w:pPr>
            <w:r w:rsidRPr="00BD3070">
              <w:rPr>
                <w:sz w:val="16"/>
                <w:szCs w:val="16"/>
                <w:lang w:val="en-US"/>
              </w:rPr>
              <w:t xml:space="preserve">7UP: </w:t>
            </w:r>
            <w:r w:rsidRPr="00BD3070" w:rsidR="00BD3070">
              <w:rPr>
                <w:sz w:val="16"/>
                <w:szCs w:val="16"/>
                <w:lang w:val="en-US"/>
              </w:rPr>
              <w:t>+</w:t>
            </w:r>
            <w:r w:rsidRPr="00BD3070">
              <w:rPr>
                <w:sz w:val="16"/>
                <w:szCs w:val="16"/>
                <w:lang w:val="en-US"/>
              </w:rPr>
              <w:t>€ 0,0</w:t>
            </w:r>
            <w:r w:rsidRPr="00BD3070" w:rsidR="00BD3070">
              <w:rPr>
                <w:sz w:val="16"/>
                <w:szCs w:val="16"/>
                <w:lang w:val="en-US"/>
              </w:rPr>
              <w:t>6</w:t>
            </w:r>
          </w:p>
          <w:p w:rsidRPr="00BD3070" w:rsidR="000F7251" w:rsidP="000F7251" w:rsidRDefault="000F7251" w14:paraId="3A89EC01" w14:textId="77777777">
            <w:pPr>
              <w:rPr>
                <w:sz w:val="16"/>
                <w:szCs w:val="16"/>
                <w:lang w:val="en-US"/>
              </w:rPr>
            </w:pPr>
            <w:r w:rsidRPr="00BD3070">
              <w:rPr>
                <w:sz w:val="16"/>
                <w:szCs w:val="16"/>
                <w:lang w:val="en-US"/>
              </w:rPr>
              <w:t>AA Drink: +€ 0,</w:t>
            </w:r>
            <w:r w:rsidRPr="00BD3070" w:rsidR="00BD3070">
              <w:rPr>
                <w:sz w:val="16"/>
                <w:szCs w:val="16"/>
                <w:lang w:val="en-US"/>
              </w:rPr>
              <w:t>15</w:t>
            </w:r>
          </w:p>
          <w:p w:rsidRPr="00BD3070" w:rsidR="00A77D5B" w:rsidP="000F7251" w:rsidRDefault="000F7251" w14:paraId="582FB742" w14:textId="77777777">
            <w:pPr>
              <w:rPr>
                <w:sz w:val="16"/>
                <w:szCs w:val="16"/>
                <w:lang w:val="en-US"/>
              </w:rPr>
            </w:pPr>
            <w:r w:rsidRPr="00BD3070">
              <w:rPr>
                <w:sz w:val="16"/>
                <w:szCs w:val="16"/>
                <w:lang w:val="en-US"/>
              </w:rPr>
              <w:t>Red Bull: +€ 0,</w:t>
            </w:r>
            <w:r w:rsidRPr="00BD3070" w:rsidR="00BD3070">
              <w:rPr>
                <w:sz w:val="16"/>
                <w:szCs w:val="16"/>
                <w:lang w:val="en-US"/>
              </w:rPr>
              <w:t>27</w:t>
            </w:r>
          </w:p>
        </w:tc>
      </w:tr>
    </w:tbl>
    <w:p w:rsidR="00EC3CFC" w:rsidP="00DE2A83" w:rsidRDefault="004406B5" w14:paraId="51E668EB" w14:textId="77777777">
      <w:pPr>
        <w:rPr>
          <w:i/>
          <w:iCs/>
          <w:sz w:val="14"/>
          <w:szCs w:val="14"/>
        </w:rPr>
      </w:pPr>
      <w:r w:rsidRPr="003C2193">
        <w:rPr>
          <w:i/>
          <w:iCs/>
          <w:sz w:val="14"/>
          <w:szCs w:val="14"/>
        </w:rPr>
        <w:t xml:space="preserve">Tabel </w:t>
      </w:r>
      <w:r w:rsidR="00526B5E">
        <w:rPr>
          <w:i/>
          <w:iCs/>
          <w:sz w:val="14"/>
          <w:szCs w:val="14"/>
        </w:rPr>
        <w:t>3</w:t>
      </w:r>
      <w:r w:rsidRPr="003C2193">
        <w:rPr>
          <w:i/>
          <w:iCs/>
          <w:sz w:val="14"/>
          <w:szCs w:val="14"/>
        </w:rPr>
        <w:t>: te behandelen scenario’s met de daarbij behorende grondslagen en tarieven.</w:t>
      </w:r>
    </w:p>
    <w:p w:rsidR="00C208FB" w:rsidP="00DE2A83" w:rsidRDefault="00C208FB" w14:paraId="0F53DB3D" w14:textId="77777777">
      <w:pPr>
        <w:rPr>
          <w:i/>
          <w:iCs/>
          <w:sz w:val="14"/>
          <w:szCs w:val="14"/>
        </w:rPr>
      </w:pPr>
    </w:p>
    <w:p w:rsidR="00C208FB" w:rsidP="00DE2A83" w:rsidRDefault="00C208FB" w14:paraId="1F0E5ACD" w14:textId="77777777">
      <w:pPr>
        <w:rPr>
          <w:i/>
          <w:iCs/>
          <w:sz w:val="14"/>
          <w:szCs w:val="14"/>
        </w:rPr>
      </w:pPr>
      <w:r>
        <w:rPr>
          <w:noProof/>
        </w:rPr>
        <w:lastRenderedPageBreak/>
        <w:drawing>
          <wp:inline distT="0" distB="0" distL="0" distR="0" wp14:anchorId="34F0867D" wp14:editId="0A644C2B">
            <wp:extent cx="5040000" cy="4320000"/>
            <wp:effectExtent l="0" t="0" r="8255" b="4445"/>
            <wp:docPr id="15" name="Grafiek 15">
              <a:extLst xmlns:a="http://schemas.openxmlformats.org/drawingml/2006/main">
                <a:ext uri="{FF2B5EF4-FFF2-40B4-BE49-F238E27FC236}">
                  <a16:creationId xmlns:a16="http://schemas.microsoft.com/office/drawing/2014/main" id="{E832674D-E92F-92CA-6C2E-CE7B2BD144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Pr="00A00BFF" w:rsidR="00EC3CFC" w:rsidP="00DE2A83" w:rsidRDefault="00EC3CFC" w14:paraId="04BE2153" w14:textId="77777777">
      <w:pPr>
        <w:rPr>
          <w:i/>
          <w:iCs/>
          <w:sz w:val="14"/>
          <w:szCs w:val="14"/>
        </w:rPr>
      </w:pPr>
      <w:r w:rsidRPr="00A00BFF">
        <w:rPr>
          <w:i/>
          <w:iCs/>
          <w:sz w:val="14"/>
          <w:szCs w:val="14"/>
        </w:rPr>
        <w:t xml:space="preserve">Grafiek 1: </w:t>
      </w:r>
      <w:r w:rsidR="00AF40B1">
        <w:rPr>
          <w:i/>
          <w:iCs/>
          <w:sz w:val="14"/>
          <w:szCs w:val="14"/>
        </w:rPr>
        <w:t>T</w:t>
      </w:r>
      <w:r w:rsidRPr="00A00BFF">
        <w:rPr>
          <w:i/>
          <w:iCs/>
          <w:sz w:val="14"/>
          <w:szCs w:val="14"/>
        </w:rPr>
        <w:t>arieven scenario’s ten opzichte van huidige belasting met vlak tarief</w:t>
      </w:r>
      <w:r w:rsidR="003D4109">
        <w:rPr>
          <w:i/>
          <w:iCs/>
          <w:sz w:val="14"/>
          <w:szCs w:val="14"/>
        </w:rPr>
        <w:t>.</w:t>
      </w:r>
    </w:p>
    <w:p w:rsidR="005A6C7D" w:rsidP="00DE2A83" w:rsidRDefault="005A6C7D" w14:paraId="0D111F22" w14:textId="77777777">
      <w:pPr>
        <w:rPr>
          <w:b/>
          <w:bCs/>
        </w:rPr>
      </w:pPr>
    </w:p>
    <w:p w:rsidRPr="00BB73C6" w:rsidR="00E77721" w:rsidP="00E77721" w:rsidRDefault="00E77721" w14:paraId="64E414BF" w14:textId="77777777">
      <w:pPr>
        <w:rPr>
          <w:i/>
          <w:iCs/>
        </w:rPr>
      </w:pPr>
      <w:r w:rsidRPr="18866C71">
        <w:rPr>
          <w:i/>
          <w:iCs/>
        </w:rPr>
        <w:t>3.</w:t>
      </w:r>
      <w:r>
        <w:rPr>
          <w:i/>
          <w:iCs/>
        </w:rPr>
        <w:t>2</w:t>
      </w:r>
      <w:r w:rsidRPr="18866C71">
        <w:rPr>
          <w:i/>
          <w:iCs/>
        </w:rPr>
        <w:t xml:space="preserve"> </w:t>
      </w:r>
      <w:r w:rsidRPr="00BD157F">
        <w:rPr>
          <w:i/>
          <w:iCs/>
        </w:rPr>
        <w:t>Staatssteun</w:t>
      </w:r>
    </w:p>
    <w:p w:rsidR="00350844" w:rsidP="00FE692E" w:rsidRDefault="00E77721" w14:paraId="1CFCC279" w14:textId="77777777">
      <w:pPr>
        <w:spacing w:line="240" w:lineRule="exact"/>
      </w:pPr>
      <w:r>
        <w:t>Voordat de scenario’s inhoudelijke worden besproken</w:t>
      </w:r>
      <w:r w:rsidR="007259CA">
        <w:t>,</w:t>
      </w:r>
      <w:r>
        <w:t xml:space="preserve"> </w:t>
      </w:r>
      <w:r w:rsidR="007259CA">
        <w:t xml:space="preserve">wordt opgemerkt </w:t>
      </w:r>
      <w:r>
        <w:t xml:space="preserve">dat </w:t>
      </w:r>
      <w:r w:rsidRPr="00AD49D3">
        <w:t xml:space="preserve">het bevoordelen </w:t>
      </w:r>
      <w:r w:rsidR="00350844">
        <w:t xml:space="preserve">of uitzonderen </w:t>
      </w:r>
      <w:r w:rsidRPr="00AD49D3">
        <w:t xml:space="preserve">van bepaalde </w:t>
      </w:r>
      <w:r>
        <w:t xml:space="preserve">(categorieën) </w:t>
      </w:r>
      <w:r w:rsidRPr="00AD49D3">
        <w:t xml:space="preserve">dranken </w:t>
      </w:r>
      <w:r w:rsidR="00350844">
        <w:t xml:space="preserve">staatssteunrisico’s met zich mee kunnen brengen. </w:t>
      </w:r>
      <w:r>
        <w:t xml:space="preserve">Er is sprake van staatssteun </w:t>
      </w:r>
      <w:r w:rsidR="00350844">
        <w:t xml:space="preserve">wanneer aan de volgende voorwaarden is voldaan: </w:t>
      </w:r>
    </w:p>
    <w:p w:rsidR="00350844" w:rsidP="00350844" w:rsidRDefault="00350844" w14:paraId="27BD62B1" w14:textId="77777777">
      <w:pPr>
        <w:spacing w:line="240" w:lineRule="exact"/>
      </w:pPr>
    </w:p>
    <w:p w:rsidR="00350844" w:rsidP="00350844" w:rsidRDefault="00350844" w14:paraId="277FE5C3" w14:textId="77777777">
      <w:pPr>
        <w:pStyle w:val="Lijstalinea"/>
        <w:numPr>
          <w:ilvl w:val="0"/>
          <w:numId w:val="21"/>
        </w:numPr>
        <w:spacing w:line="240" w:lineRule="exact"/>
      </w:pPr>
      <w:proofErr w:type="gramStart"/>
      <w:r>
        <w:t>de</w:t>
      </w:r>
      <w:proofErr w:type="gramEnd"/>
      <w:r>
        <w:t xml:space="preserve"> begunstigde van de maatregel is een onderneming; </w:t>
      </w:r>
    </w:p>
    <w:p w:rsidR="00350844" w:rsidP="00350844" w:rsidRDefault="00350844" w14:paraId="709E2BED" w14:textId="77777777">
      <w:pPr>
        <w:pStyle w:val="Lijstalinea"/>
        <w:numPr>
          <w:ilvl w:val="0"/>
          <w:numId w:val="21"/>
        </w:numPr>
        <w:spacing w:line="240" w:lineRule="exact"/>
      </w:pPr>
      <w:proofErr w:type="gramStart"/>
      <w:r>
        <w:t>die</w:t>
      </w:r>
      <w:proofErr w:type="gramEnd"/>
      <w:r>
        <w:t xml:space="preserve"> een economisch voordeel verkrijgt; </w:t>
      </w:r>
    </w:p>
    <w:p w:rsidR="00350844" w:rsidP="00350844" w:rsidRDefault="00350844" w14:paraId="7F0804E0" w14:textId="77777777">
      <w:pPr>
        <w:pStyle w:val="Lijstalinea"/>
        <w:numPr>
          <w:ilvl w:val="0"/>
          <w:numId w:val="21"/>
        </w:numPr>
        <w:spacing w:line="240" w:lineRule="exact"/>
      </w:pPr>
      <w:proofErr w:type="gramStart"/>
      <w:r>
        <w:t>door</w:t>
      </w:r>
      <w:proofErr w:type="gramEnd"/>
      <w:r>
        <w:t xml:space="preserve"> een maatregel van de staat of een met staatsmiddelen bekostigde maatregel; </w:t>
      </w:r>
    </w:p>
    <w:p w:rsidR="00350844" w:rsidP="00350844" w:rsidRDefault="00350844" w14:paraId="71B00739" w14:textId="77777777">
      <w:pPr>
        <w:pStyle w:val="Lijstalinea"/>
        <w:numPr>
          <w:ilvl w:val="0"/>
          <w:numId w:val="21"/>
        </w:numPr>
        <w:spacing w:line="240" w:lineRule="exact"/>
      </w:pPr>
      <w:proofErr w:type="gramStart"/>
      <w:r>
        <w:t>waarbij</w:t>
      </w:r>
      <w:proofErr w:type="gramEnd"/>
      <w:r>
        <w:t xml:space="preserve"> het economische voordeel selectief is; en </w:t>
      </w:r>
    </w:p>
    <w:p w:rsidR="00350844" w:rsidP="001E38ED" w:rsidRDefault="00350844" w14:paraId="09120DAC" w14:textId="77777777">
      <w:pPr>
        <w:pStyle w:val="Lijstalinea"/>
        <w:numPr>
          <w:ilvl w:val="0"/>
          <w:numId w:val="21"/>
        </w:numPr>
        <w:spacing w:line="240" w:lineRule="exact"/>
      </w:pPr>
      <w:proofErr w:type="gramStart"/>
      <w:r>
        <w:t>waardoor</w:t>
      </w:r>
      <w:proofErr w:type="gramEnd"/>
      <w:r>
        <w:t xml:space="preserve"> de mededinging (mogelijk) wordt vervalst en het handelsverkeer tussen de lidstaten ongunstig wordt beïnvloed. </w:t>
      </w:r>
    </w:p>
    <w:p w:rsidR="00350844" w:rsidP="00350844" w:rsidRDefault="00350844" w14:paraId="14A32B9F" w14:textId="77777777">
      <w:pPr>
        <w:spacing w:line="240" w:lineRule="exact"/>
      </w:pPr>
    </w:p>
    <w:p w:rsidR="00350844" w:rsidP="00350844" w:rsidRDefault="00350844" w14:paraId="52CD25B6" w14:textId="77777777">
      <w:pPr>
        <w:spacing w:line="240" w:lineRule="exact"/>
      </w:pPr>
      <w:bookmarkStart w:name="_Hlk163726190" w:id="5"/>
      <w:r>
        <w:t>Dit zijn cumulatieve voorwaarden; als niet is voldaan aan één van de voorwaarden, is geen sprake van staatssteun.</w:t>
      </w:r>
    </w:p>
    <w:p w:rsidR="0071642F" w:rsidP="00350844" w:rsidRDefault="0071642F" w14:paraId="232CA4BD" w14:textId="77777777">
      <w:pPr>
        <w:spacing w:line="240" w:lineRule="exact"/>
      </w:pPr>
    </w:p>
    <w:p w:rsidR="0071642F" w:rsidP="0071642F" w:rsidRDefault="0071642F" w14:paraId="02B8B68A" w14:textId="77777777">
      <w:pPr>
        <w:spacing w:line="240" w:lineRule="exact"/>
      </w:pPr>
      <w:r>
        <w:t xml:space="preserve">Als alcoholvrije dranken op basis van het suikergehalte worden belast, kunnen uitzonderingen hierop mogelijk leiden tot risico’s op staatssteun. In de gevallen waarin toch wordt gekozen voor uitzonderingen, is het belangrijk dat deze goed </w:t>
      </w:r>
      <w:r w:rsidR="00020A2A">
        <w:t xml:space="preserve">worden </w:t>
      </w:r>
      <w:r>
        <w:t xml:space="preserve">onderbouwd om te beargumenteren dat deze passen in de aard en opzet van het </w:t>
      </w:r>
      <w:r w:rsidR="008D6B5E">
        <w:t xml:space="preserve">toekomstige </w:t>
      </w:r>
      <w:r>
        <w:t xml:space="preserve">stelsel. Hierbij kan worden gedacht aan onderbouwing op basis van </w:t>
      </w:r>
      <w:r w:rsidR="00020A2A">
        <w:t>de</w:t>
      </w:r>
      <w:r>
        <w:t xml:space="preserve"> administratieve beheersbaarheid van </w:t>
      </w:r>
      <w:r w:rsidR="00020A2A">
        <w:t xml:space="preserve">het stelsel, </w:t>
      </w:r>
      <w:r>
        <w:t xml:space="preserve">of </w:t>
      </w:r>
      <w:r>
        <w:lastRenderedPageBreak/>
        <w:t xml:space="preserve">gezondheidsaspecten van een bepaald type drank waardoor het uitzonderen hiervan in lijn is met het doel van het stelsel. Als uitzonderingen passen binnen de aard en opzet van het stelsel, is geen sprake van selectiviteit en dus geen sprake van staatssteun in de zin van artikel 107, lid 1, Verdrag </w:t>
      </w:r>
      <w:proofErr w:type="gramStart"/>
      <w:r>
        <w:t>betreffende</w:t>
      </w:r>
      <w:proofErr w:type="gramEnd"/>
      <w:r>
        <w:t xml:space="preserve"> de Werking van de Europese Unie (VWEU).</w:t>
      </w:r>
    </w:p>
    <w:p w:rsidRPr="00C208FB" w:rsidR="00C208FB" w:rsidP="00C208FB" w:rsidRDefault="00C208FB" w14:paraId="033F7160" w14:textId="77777777">
      <w:pPr>
        <w:rPr>
          <w:rFonts w:ascii="Calibri" w:hAnsi="Calibri"/>
          <w:color w:val="auto"/>
          <w:sz w:val="22"/>
          <w:szCs w:val="22"/>
        </w:rPr>
      </w:pPr>
      <w:r>
        <w:t xml:space="preserve">Ook de vormgeving van het toekomstige stelsel moet niet een selectiviteit karakter hebben, omdat ook dit een risico op staatssteun kan inhouden. </w:t>
      </w:r>
      <w:r w:rsidRPr="00C34BD1" w:rsidR="00C34BD1">
        <w:t>Het stelsel moet generiek worden vormgegeven zonder bepaalde ondernemingen te begunstigen.</w:t>
      </w:r>
    </w:p>
    <w:p w:rsidR="0071642F" w:rsidP="001E38ED" w:rsidRDefault="0071642F" w14:paraId="33ED2DEB" w14:textId="77777777">
      <w:pPr>
        <w:spacing w:line="240" w:lineRule="exact"/>
      </w:pPr>
      <w:r>
        <w:t>Bij elk scenario zullen de staatssteunaspecten nader beoordeeld moeten worden</w:t>
      </w:r>
      <w:r w:rsidR="00FF1C4B">
        <w:t>.</w:t>
      </w:r>
    </w:p>
    <w:bookmarkEnd w:id="5"/>
    <w:p w:rsidR="00FE692E" w:rsidP="00FE692E" w:rsidRDefault="00FE692E" w14:paraId="2D076A22" w14:textId="77777777">
      <w:pPr>
        <w:spacing w:line="240" w:lineRule="exact"/>
      </w:pPr>
    </w:p>
    <w:p w:rsidRPr="00BB73C6" w:rsidR="00E77721" w:rsidP="00FE692E" w:rsidRDefault="00E77721" w14:paraId="107F5D6A" w14:textId="77777777">
      <w:pPr>
        <w:spacing w:line="240" w:lineRule="exact"/>
        <w:rPr>
          <w:i/>
          <w:iCs/>
        </w:rPr>
      </w:pPr>
      <w:bookmarkStart w:name="_Hlk163808701" w:id="6"/>
      <w:r w:rsidRPr="18866C71">
        <w:rPr>
          <w:i/>
          <w:iCs/>
        </w:rPr>
        <w:t>3.</w:t>
      </w:r>
      <w:r w:rsidR="002C2639">
        <w:rPr>
          <w:i/>
          <w:iCs/>
        </w:rPr>
        <w:t>3</w:t>
      </w:r>
      <w:r w:rsidRPr="18866C71">
        <w:rPr>
          <w:i/>
          <w:iCs/>
        </w:rPr>
        <w:t xml:space="preserve"> Relatie met alcoholhoudende dranken</w:t>
      </w:r>
      <w:r w:rsidR="006D7A99">
        <w:rPr>
          <w:i/>
          <w:iCs/>
        </w:rPr>
        <w:t>/bieraccijns</w:t>
      </w:r>
    </w:p>
    <w:p w:rsidR="00E73A82" w:rsidP="00E73A82" w:rsidRDefault="006D7A99" w14:paraId="012F74CB" w14:textId="77777777">
      <w:r>
        <w:t xml:space="preserve">De hierna beschreven scenario’s hebben </w:t>
      </w:r>
      <w:r w:rsidR="00E77721">
        <w:t xml:space="preserve">ook </w:t>
      </w:r>
      <w:r>
        <w:t xml:space="preserve">impact </w:t>
      </w:r>
      <w:r w:rsidR="00E77721">
        <w:t>op de accijns op bier</w:t>
      </w:r>
      <w:r w:rsidR="00D33AEF">
        <w:t xml:space="preserve">. </w:t>
      </w:r>
      <w:r>
        <w:t>Voor b</w:t>
      </w:r>
      <w:r w:rsidR="00050657">
        <w:t xml:space="preserve">ier met meer dan 0,5% alcohol </w:t>
      </w:r>
      <w:r>
        <w:t xml:space="preserve">geldt dat deze </w:t>
      </w:r>
      <w:r w:rsidR="00925E22">
        <w:t xml:space="preserve">is </w:t>
      </w:r>
      <w:r w:rsidR="00050657">
        <w:t>belast met accijns.</w:t>
      </w:r>
      <w:r>
        <w:rPr>
          <w:rStyle w:val="Voetnootmarkering"/>
        </w:rPr>
        <w:footnoteReference w:id="34"/>
      </w:r>
      <w:r w:rsidR="00925E22">
        <w:t xml:space="preserve"> </w:t>
      </w:r>
      <w:r w:rsidR="00E77721">
        <w:t xml:space="preserve">Per 1 januari 2024 </w:t>
      </w:r>
      <w:r w:rsidR="00925E22">
        <w:t xml:space="preserve">bedraagt </w:t>
      </w:r>
      <w:r w:rsidR="00E77721">
        <w:t>de bieraccijns € 8,12 per 100 liter per procent alcohol</w:t>
      </w:r>
      <w:r w:rsidR="00925E22">
        <w:t>,</w:t>
      </w:r>
      <w:r w:rsidR="00E77721">
        <w:t xml:space="preserve"> met een minimumbedrag aan bieraccijns van € 26,13. Dit minimumbedrag is gelijk aan het</w:t>
      </w:r>
      <w:r w:rsidRPr="00AD49D3" w:rsidR="00E77721">
        <w:t xml:space="preserve"> tarief van de verbruiksbelasting</w:t>
      </w:r>
      <w:r w:rsidR="00E77721">
        <w:t xml:space="preserve"> per 100 liter. </w:t>
      </w:r>
      <w:r w:rsidRPr="00AD49D3" w:rsidR="00E77721">
        <w:t xml:space="preserve">De beleidsmatige ratio hiervoor is dat het vanuit alcoholpreventie onwenselijk is om alcoholhoudend bier lager te belasten dan </w:t>
      </w:r>
      <w:r w:rsidR="00363688">
        <w:t xml:space="preserve">frisdrank of </w:t>
      </w:r>
      <w:r w:rsidRPr="00AD49D3" w:rsidR="00E77721">
        <w:t>alcoholarm of alcoholvrij bier.</w:t>
      </w:r>
      <w:r w:rsidR="0093498B">
        <w:t xml:space="preserve"> </w:t>
      </w:r>
      <w:r w:rsidR="00925E22">
        <w:t xml:space="preserve">Als </w:t>
      </w:r>
      <w:r w:rsidR="00E77721">
        <w:t>uw Kamer de wens he</w:t>
      </w:r>
      <w:r w:rsidR="00925E22">
        <w:t xml:space="preserve">eft </w:t>
      </w:r>
      <w:r w:rsidR="00E77721">
        <w:t xml:space="preserve">deze ratio </w:t>
      </w:r>
      <w:r w:rsidR="00925E22">
        <w:t xml:space="preserve">ook </w:t>
      </w:r>
      <w:r w:rsidR="00E77721">
        <w:t xml:space="preserve">bij een </w:t>
      </w:r>
      <w:r w:rsidRPr="00AD49D3" w:rsidR="00E77721">
        <w:t>gedifferentieerde verbruiksbelasting</w:t>
      </w:r>
      <w:r w:rsidR="00925E22">
        <w:t xml:space="preserve"> te behouden</w:t>
      </w:r>
      <w:r w:rsidR="00E77721">
        <w:t xml:space="preserve">, </w:t>
      </w:r>
      <w:r w:rsidR="00925E22">
        <w:t xml:space="preserve">moet </w:t>
      </w:r>
      <w:r w:rsidRPr="00AD49D3" w:rsidR="00E77721">
        <w:t>het minimum</w:t>
      </w:r>
      <w:r w:rsidR="00E77721">
        <w:t>bedrag aan bier</w:t>
      </w:r>
      <w:r w:rsidRPr="00AD49D3" w:rsidR="00E77721">
        <w:t>accijns gelijk worden gesteld met het hoogste tarief van de gedifferentieerde verbruiksbelasting</w:t>
      </w:r>
      <w:r w:rsidR="00E77721">
        <w:t xml:space="preserve">. </w:t>
      </w:r>
      <w:r w:rsidR="00363688">
        <w:t xml:space="preserve">Onder een gedifferentieerde verbruiksbelasting is </w:t>
      </w:r>
      <w:r w:rsidR="00FF1C4B">
        <w:t xml:space="preserve">het </w:t>
      </w:r>
      <w:r w:rsidR="00363688">
        <w:t>hoogste tarief (voor dranken met meer dan 10 gram suiker</w:t>
      </w:r>
      <w:r w:rsidR="00487589">
        <w:t xml:space="preserve"> per </w:t>
      </w:r>
      <w:r w:rsidR="00363688">
        <w:t>100 m</w:t>
      </w:r>
      <w:r w:rsidR="00487589">
        <w:t>illiliter</w:t>
      </w:r>
      <w:r w:rsidR="00363688">
        <w:t>), afhankelijk van het gekozen scenario, een bedrag tussen de €</w:t>
      </w:r>
      <w:r w:rsidR="000E0494">
        <w:t> 40</w:t>
      </w:r>
      <w:r w:rsidR="00363688">
        <w:t>,</w:t>
      </w:r>
      <w:r w:rsidR="000E0494">
        <w:t xml:space="preserve">00 </w:t>
      </w:r>
      <w:r w:rsidR="00363688">
        <w:t xml:space="preserve">(scenario </w:t>
      </w:r>
      <w:r w:rsidR="000E0494">
        <w:t>I</w:t>
      </w:r>
      <w:r w:rsidR="00363688">
        <w:t>) en €</w:t>
      </w:r>
      <w:r w:rsidR="000E0494">
        <w:t> </w:t>
      </w:r>
      <w:r w:rsidR="00363688">
        <w:t xml:space="preserve">52,75 (scenario </w:t>
      </w:r>
      <w:proofErr w:type="spellStart"/>
      <w:r w:rsidR="00363688">
        <w:t>IVb</w:t>
      </w:r>
      <w:proofErr w:type="spellEnd"/>
      <w:r w:rsidR="00363688">
        <w:t>) per 100</w:t>
      </w:r>
      <w:r w:rsidR="000E0494">
        <w:t> </w:t>
      </w:r>
      <w:r w:rsidR="00363688">
        <w:t>liter.</w:t>
      </w:r>
      <w:r w:rsidR="00363688">
        <w:rPr>
          <w:rStyle w:val="Voetnootmarkering"/>
        </w:rPr>
        <w:footnoteReference w:id="35"/>
      </w:r>
      <w:r w:rsidR="00363688">
        <w:t xml:space="preserve"> Als het onwenselijk is om bier lager te belasten dan frisdrank of alcoholarm of alcoholvrij bier, zou het minimumbedrag aan bieraccijns ook op dit bedrag moeten worden vastgesteld. Dat betekent dat het minimumbedrag aan bieraccijns stijgt van €</w:t>
      </w:r>
      <w:r w:rsidR="000E0494">
        <w:t> </w:t>
      </w:r>
      <w:r w:rsidR="00363688">
        <w:t>26,13 per 100</w:t>
      </w:r>
      <w:r w:rsidR="000E0494">
        <w:t> </w:t>
      </w:r>
      <w:r w:rsidR="00363688">
        <w:t>liter naar een bedrag tussen de €</w:t>
      </w:r>
      <w:r w:rsidR="00E167AE">
        <w:t> </w:t>
      </w:r>
      <w:r w:rsidR="00363688">
        <w:t>4</w:t>
      </w:r>
      <w:r w:rsidR="000E0494">
        <w:t>0</w:t>
      </w:r>
      <w:r w:rsidR="00363688">
        <w:t>,</w:t>
      </w:r>
      <w:r w:rsidR="000E0494">
        <w:t>00</w:t>
      </w:r>
      <w:r w:rsidR="00363688">
        <w:t xml:space="preserve"> en </w:t>
      </w:r>
      <w:r w:rsidR="00E167AE">
        <w:t>€ </w:t>
      </w:r>
      <w:r w:rsidR="00363688">
        <w:t>52,75 per 100</w:t>
      </w:r>
      <w:r w:rsidR="000E0494">
        <w:t> </w:t>
      </w:r>
      <w:r w:rsidR="00363688">
        <w:t>liter.</w:t>
      </w:r>
      <w:r w:rsidR="00054818">
        <w:t xml:space="preserve"> </w:t>
      </w:r>
      <w:r w:rsidR="00E73A82">
        <w:t xml:space="preserve">In tabel 4 zijn de effecten </w:t>
      </w:r>
      <w:r w:rsidR="000E0494">
        <w:t xml:space="preserve">van deze keuze op de bieraccijns </w:t>
      </w:r>
      <w:r w:rsidR="00E73A82">
        <w:t>per scenario nader toegelicht</w:t>
      </w:r>
      <w:r w:rsidR="000E0494">
        <w:t xml:space="preserve">. </w:t>
      </w:r>
      <w:r w:rsidR="00E73A82">
        <w:t xml:space="preserve">Het </w:t>
      </w:r>
      <w:r w:rsidR="000E0494">
        <w:t>eerstgenoemde</w:t>
      </w:r>
      <w:r w:rsidR="00E73A82">
        <w:t xml:space="preserve"> bedrag is de verandering in accijns in het scenario ten opzichte van de huidige accijns per 1</w:t>
      </w:r>
      <w:r w:rsidR="000E0494">
        <w:t> </w:t>
      </w:r>
      <w:r w:rsidR="00E73A82">
        <w:t>januari</w:t>
      </w:r>
      <w:r w:rsidR="000E0494">
        <w:t> </w:t>
      </w:r>
      <w:r w:rsidR="00E73A82">
        <w:t xml:space="preserve">2024. </w:t>
      </w:r>
      <w:r w:rsidR="0066125A">
        <w:t>Het bedrag t</w:t>
      </w:r>
      <w:r w:rsidR="00E73A82">
        <w:t xml:space="preserve">ussen haken is het totale accijnsbedrag in </w:t>
      </w:r>
      <w:r w:rsidR="000A4579">
        <w:t>het</w:t>
      </w:r>
      <w:r w:rsidR="00E73A82">
        <w:t xml:space="preserve"> </w:t>
      </w:r>
      <w:r w:rsidR="003B352C">
        <w:t xml:space="preserve">gegeven </w:t>
      </w:r>
      <w:r w:rsidR="00E73A82">
        <w:t>scenario.</w:t>
      </w:r>
    </w:p>
    <w:p w:rsidR="000E0494" w:rsidP="00E73A82" w:rsidRDefault="000E0494" w14:paraId="14A03596" w14:textId="77777777"/>
    <w:tbl>
      <w:tblPr>
        <w:tblStyle w:val="Tabelraster"/>
        <w:tblW w:w="7933" w:type="dxa"/>
        <w:tblLook w:val="04A0" w:firstRow="1" w:lastRow="0" w:firstColumn="1" w:lastColumn="0" w:noHBand="0" w:noVBand="1"/>
      </w:tblPr>
      <w:tblGrid>
        <w:gridCol w:w="1980"/>
        <w:gridCol w:w="3118"/>
        <w:gridCol w:w="2835"/>
      </w:tblGrid>
      <w:tr w:rsidR="000E0494" w:rsidTr="000E0494" w14:paraId="36B7F03B" w14:textId="77777777">
        <w:tc>
          <w:tcPr>
            <w:tcW w:w="1980" w:type="dxa"/>
            <w:tcBorders>
              <w:top w:val="single" w:color="auto" w:sz="4" w:space="0"/>
              <w:left w:val="single" w:color="auto" w:sz="4" w:space="0"/>
              <w:bottom w:val="single" w:color="auto" w:sz="4" w:space="0"/>
              <w:right w:val="single" w:color="auto" w:sz="4" w:space="0"/>
            </w:tcBorders>
            <w:hideMark/>
          </w:tcPr>
          <w:p w:rsidR="000E0494" w:rsidRDefault="000E0494" w14:paraId="61348AEA" w14:textId="77777777">
            <w:pPr>
              <w:rPr>
                <w:b/>
                <w:bCs/>
              </w:rPr>
            </w:pPr>
            <w:r>
              <w:rPr>
                <w:b/>
                <w:bCs/>
              </w:rPr>
              <w:t>Scenario</w:t>
            </w:r>
          </w:p>
        </w:tc>
        <w:tc>
          <w:tcPr>
            <w:tcW w:w="3118" w:type="dxa"/>
            <w:tcBorders>
              <w:top w:val="single" w:color="auto" w:sz="4" w:space="0"/>
              <w:left w:val="single" w:color="auto" w:sz="4" w:space="0"/>
              <w:bottom w:val="single" w:color="auto" w:sz="4" w:space="0"/>
              <w:right w:val="single" w:color="auto" w:sz="4" w:space="0"/>
            </w:tcBorders>
            <w:hideMark/>
          </w:tcPr>
          <w:p w:rsidR="000E0494" w:rsidRDefault="000E0494" w14:paraId="37C22D08" w14:textId="77777777">
            <w:pPr>
              <w:rPr>
                <w:b/>
                <w:bCs/>
              </w:rPr>
            </w:pPr>
            <w:r>
              <w:rPr>
                <w:b/>
                <w:bCs/>
              </w:rPr>
              <w:t xml:space="preserve">Blik </w:t>
            </w:r>
            <w:proofErr w:type="spellStart"/>
            <w:r>
              <w:rPr>
                <w:b/>
                <w:bCs/>
              </w:rPr>
              <w:t>Radler</w:t>
            </w:r>
            <w:proofErr w:type="spellEnd"/>
            <w:r>
              <w:rPr>
                <w:b/>
                <w:bCs/>
              </w:rPr>
              <w:t xml:space="preserve"> van 33 centiliter met 2% alcohol</w:t>
            </w:r>
          </w:p>
        </w:tc>
        <w:tc>
          <w:tcPr>
            <w:tcW w:w="2835" w:type="dxa"/>
            <w:tcBorders>
              <w:top w:val="single" w:color="auto" w:sz="4" w:space="0"/>
              <w:left w:val="single" w:color="auto" w:sz="4" w:space="0"/>
              <w:bottom w:val="single" w:color="auto" w:sz="4" w:space="0"/>
              <w:right w:val="single" w:color="auto" w:sz="4" w:space="0"/>
            </w:tcBorders>
            <w:hideMark/>
          </w:tcPr>
          <w:p w:rsidR="000E0494" w:rsidRDefault="000E0494" w14:paraId="2F464AFF" w14:textId="77777777">
            <w:pPr>
              <w:rPr>
                <w:b/>
                <w:bCs/>
              </w:rPr>
            </w:pPr>
            <w:r>
              <w:rPr>
                <w:b/>
                <w:bCs/>
              </w:rPr>
              <w:t>Fles pils van 33 centiliter met 5% alcohol</w:t>
            </w:r>
          </w:p>
        </w:tc>
      </w:tr>
      <w:tr w:rsidR="000E0494" w:rsidTr="000E0494" w14:paraId="04771D62" w14:textId="77777777">
        <w:tc>
          <w:tcPr>
            <w:tcW w:w="1980" w:type="dxa"/>
            <w:tcBorders>
              <w:top w:val="single" w:color="auto" w:sz="4" w:space="0"/>
              <w:left w:val="single" w:color="auto" w:sz="4" w:space="0"/>
              <w:bottom w:val="single" w:color="auto" w:sz="4" w:space="0"/>
              <w:right w:val="single" w:color="auto" w:sz="4" w:space="0"/>
            </w:tcBorders>
            <w:hideMark/>
          </w:tcPr>
          <w:p w:rsidR="000E0494" w:rsidRDefault="000E0494" w14:paraId="4987C7DF" w14:textId="77777777">
            <w:r>
              <w:t>Huidige accijns per 1 januari 2024</w:t>
            </w:r>
          </w:p>
        </w:tc>
        <w:tc>
          <w:tcPr>
            <w:tcW w:w="3118" w:type="dxa"/>
            <w:tcBorders>
              <w:top w:val="single" w:color="auto" w:sz="4" w:space="0"/>
              <w:left w:val="single" w:color="auto" w:sz="4" w:space="0"/>
              <w:bottom w:val="single" w:color="auto" w:sz="4" w:space="0"/>
              <w:right w:val="single" w:color="auto" w:sz="4" w:space="0"/>
            </w:tcBorders>
            <w:hideMark/>
          </w:tcPr>
          <w:p w:rsidR="000E0494" w:rsidRDefault="000E0494" w14:paraId="790B97F1" w14:textId="77777777">
            <w:pPr>
              <w:rPr>
                <w:bCs/>
              </w:rPr>
            </w:pPr>
            <w:r>
              <w:rPr>
                <w:bCs/>
              </w:rPr>
              <w:t>€ 0,09</w:t>
            </w:r>
          </w:p>
        </w:tc>
        <w:tc>
          <w:tcPr>
            <w:tcW w:w="2835" w:type="dxa"/>
            <w:tcBorders>
              <w:top w:val="single" w:color="auto" w:sz="4" w:space="0"/>
              <w:left w:val="single" w:color="auto" w:sz="4" w:space="0"/>
              <w:bottom w:val="single" w:color="auto" w:sz="4" w:space="0"/>
              <w:right w:val="single" w:color="auto" w:sz="4" w:space="0"/>
            </w:tcBorders>
            <w:hideMark/>
          </w:tcPr>
          <w:p w:rsidR="000E0494" w:rsidRDefault="000E0494" w14:paraId="4CD0E1E6" w14:textId="77777777">
            <w:r>
              <w:t>€ 0,14</w:t>
            </w:r>
          </w:p>
        </w:tc>
      </w:tr>
      <w:tr w:rsidR="000E0494" w:rsidTr="000E0494" w14:paraId="5119F3F4" w14:textId="77777777">
        <w:tc>
          <w:tcPr>
            <w:tcW w:w="1980" w:type="dxa"/>
            <w:tcBorders>
              <w:top w:val="single" w:color="auto" w:sz="4" w:space="0"/>
              <w:left w:val="single" w:color="auto" w:sz="4" w:space="0"/>
              <w:bottom w:val="single" w:color="auto" w:sz="4" w:space="0"/>
              <w:right w:val="single" w:color="auto" w:sz="4" w:space="0"/>
            </w:tcBorders>
            <w:hideMark/>
          </w:tcPr>
          <w:p w:rsidR="000E0494" w:rsidRDefault="000E0494" w14:paraId="68AEF07F" w14:textId="77777777">
            <w:r>
              <w:t>I</w:t>
            </w:r>
          </w:p>
        </w:tc>
        <w:tc>
          <w:tcPr>
            <w:tcW w:w="3118" w:type="dxa"/>
            <w:tcBorders>
              <w:top w:val="single" w:color="auto" w:sz="4" w:space="0"/>
              <w:left w:val="single" w:color="auto" w:sz="4" w:space="0"/>
              <w:bottom w:val="single" w:color="auto" w:sz="4" w:space="0"/>
              <w:right w:val="single" w:color="auto" w:sz="4" w:space="0"/>
            </w:tcBorders>
            <w:hideMark/>
          </w:tcPr>
          <w:p w:rsidR="000E0494" w:rsidRDefault="000E0494" w14:paraId="1A4D254F" w14:textId="77777777">
            <w:r w:rsidRPr="000E0494">
              <w:t>+ € 0,04 (€ 0,13)</w:t>
            </w:r>
          </w:p>
        </w:tc>
        <w:tc>
          <w:tcPr>
            <w:tcW w:w="2835" w:type="dxa"/>
            <w:tcBorders>
              <w:top w:val="single" w:color="auto" w:sz="4" w:space="0"/>
              <w:left w:val="single" w:color="auto" w:sz="4" w:space="0"/>
              <w:bottom w:val="single" w:color="auto" w:sz="4" w:space="0"/>
              <w:right w:val="single" w:color="auto" w:sz="4" w:space="0"/>
            </w:tcBorders>
            <w:hideMark/>
          </w:tcPr>
          <w:p w:rsidR="000E0494" w:rsidRDefault="000E0494" w14:paraId="1C9D1421" w14:textId="77777777">
            <w:r>
              <w:t>= € 0,00 (€ 0,14)</w:t>
            </w:r>
          </w:p>
        </w:tc>
      </w:tr>
      <w:tr w:rsidR="000E0494" w:rsidTr="000E0494" w14:paraId="75C37174" w14:textId="77777777">
        <w:tc>
          <w:tcPr>
            <w:tcW w:w="1980" w:type="dxa"/>
            <w:tcBorders>
              <w:top w:val="single" w:color="auto" w:sz="4" w:space="0"/>
              <w:left w:val="single" w:color="auto" w:sz="4" w:space="0"/>
              <w:bottom w:val="single" w:color="auto" w:sz="4" w:space="0"/>
              <w:right w:val="single" w:color="auto" w:sz="4" w:space="0"/>
            </w:tcBorders>
            <w:hideMark/>
          </w:tcPr>
          <w:p w:rsidR="000E0494" w:rsidRDefault="000E0494" w14:paraId="6BB0B9CB" w14:textId="77777777">
            <w:r>
              <w:t>II</w:t>
            </w:r>
          </w:p>
        </w:tc>
        <w:tc>
          <w:tcPr>
            <w:tcW w:w="3118" w:type="dxa"/>
            <w:tcBorders>
              <w:top w:val="single" w:color="auto" w:sz="4" w:space="0"/>
              <w:left w:val="single" w:color="auto" w:sz="4" w:space="0"/>
              <w:bottom w:val="single" w:color="auto" w:sz="4" w:space="0"/>
              <w:right w:val="single" w:color="auto" w:sz="4" w:space="0"/>
            </w:tcBorders>
            <w:hideMark/>
          </w:tcPr>
          <w:p w:rsidR="000E0494" w:rsidRDefault="000E0494" w14:paraId="75D49EFF" w14:textId="77777777">
            <w:r>
              <w:t>+ € 0,05 (€ 0,14)</w:t>
            </w:r>
          </w:p>
        </w:tc>
        <w:tc>
          <w:tcPr>
            <w:tcW w:w="2835" w:type="dxa"/>
            <w:tcBorders>
              <w:top w:val="single" w:color="auto" w:sz="4" w:space="0"/>
              <w:left w:val="single" w:color="auto" w:sz="4" w:space="0"/>
              <w:bottom w:val="single" w:color="auto" w:sz="4" w:space="0"/>
              <w:right w:val="single" w:color="auto" w:sz="4" w:space="0"/>
            </w:tcBorders>
            <w:hideMark/>
          </w:tcPr>
          <w:p w:rsidR="000E0494" w:rsidRDefault="000E0494" w14:paraId="78E49F62" w14:textId="77777777">
            <w:r>
              <w:t>= € 0,00 (€ 0,14)</w:t>
            </w:r>
          </w:p>
        </w:tc>
      </w:tr>
      <w:tr w:rsidR="000E0494" w:rsidTr="000E0494" w14:paraId="73198054" w14:textId="77777777">
        <w:tc>
          <w:tcPr>
            <w:tcW w:w="1980" w:type="dxa"/>
            <w:tcBorders>
              <w:top w:val="single" w:color="auto" w:sz="4" w:space="0"/>
              <w:left w:val="single" w:color="auto" w:sz="4" w:space="0"/>
              <w:bottom w:val="single" w:color="auto" w:sz="4" w:space="0"/>
              <w:right w:val="single" w:color="auto" w:sz="4" w:space="0"/>
            </w:tcBorders>
            <w:hideMark/>
          </w:tcPr>
          <w:p w:rsidR="000E0494" w:rsidRDefault="000E0494" w14:paraId="65E45CE9" w14:textId="77777777">
            <w:r>
              <w:t>III</w:t>
            </w:r>
          </w:p>
        </w:tc>
        <w:tc>
          <w:tcPr>
            <w:tcW w:w="3118" w:type="dxa"/>
            <w:tcBorders>
              <w:top w:val="single" w:color="auto" w:sz="4" w:space="0"/>
              <w:left w:val="single" w:color="auto" w:sz="4" w:space="0"/>
              <w:bottom w:val="single" w:color="auto" w:sz="4" w:space="0"/>
              <w:right w:val="single" w:color="auto" w:sz="4" w:space="0"/>
            </w:tcBorders>
            <w:hideMark/>
          </w:tcPr>
          <w:p w:rsidR="000E0494" w:rsidRDefault="000E0494" w14:paraId="04CD3489" w14:textId="77777777">
            <w:r>
              <w:t>+ € 0,07 (€ 0,16)</w:t>
            </w:r>
          </w:p>
        </w:tc>
        <w:tc>
          <w:tcPr>
            <w:tcW w:w="2835" w:type="dxa"/>
            <w:tcBorders>
              <w:top w:val="single" w:color="auto" w:sz="4" w:space="0"/>
              <w:left w:val="single" w:color="auto" w:sz="4" w:space="0"/>
              <w:bottom w:val="single" w:color="auto" w:sz="4" w:space="0"/>
              <w:right w:val="single" w:color="auto" w:sz="4" w:space="0"/>
            </w:tcBorders>
            <w:hideMark/>
          </w:tcPr>
          <w:p w:rsidR="000E0494" w:rsidRDefault="000E0494" w14:paraId="4F650FBC" w14:textId="77777777">
            <w:r>
              <w:t>+ € 0,02 (€ 0,16)</w:t>
            </w:r>
          </w:p>
        </w:tc>
      </w:tr>
      <w:tr w:rsidR="000E0494" w:rsidTr="000E0494" w14:paraId="2E9AE0A1" w14:textId="77777777">
        <w:tc>
          <w:tcPr>
            <w:tcW w:w="1980" w:type="dxa"/>
            <w:tcBorders>
              <w:top w:val="single" w:color="auto" w:sz="4" w:space="0"/>
              <w:left w:val="single" w:color="auto" w:sz="4" w:space="0"/>
              <w:bottom w:val="single" w:color="auto" w:sz="4" w:space="0"/>
              <w:right w:val="single" w:color="auto" w:sz="4" w:space="0"/>
            </w:tcBorders>
            <w:hideMark/>
          </w:tcPr>
          <w:p w:rsidR="000E0494" w:rsidRDefault="000E0494" w14:paraId="345CF8F9" w14:textId="77777777">
            <w:proofErr w:type="spellStart"/>
            <w:r>
              <w:t>IVa</w:t>
            </w:r>
            <w:proofErr w:type="spellEnd"/>
          </w:p>
        </w:tc>
        <w:tc>
          <w:tcPr>
            <w:tcW w:w="3118" w:type="dxa"/>
            <w:tcBorders>
              <w:top w:val="single" w:color="auto" w:sz="4" w:space="0"/>
              <w:left w:val="single" w:color="auto" w:sz="4" w:space="0"/>
              <w:bottom w:val="single" w:color="auto" w:sz="4" w:space="0"/>
              <w:right w:val="single" w:color="auto" w:sz="4" w:space="0"/>
            </w:tcBorders>
            <w:hideMark/>
          </w:tcPr>
          <w:p w:rsidR="000E0494" w:rsidRDefault="000E0494" w14:paraId="6DC83601" w14:textId="77777777">
            <w:r>
              <w:t>+ € 0,08 (€ 0,17)</w:t>
            </w:r>
          </w:p>
        </w:tc>
        <w:tc>
          <w:tcPr>
            <w:tcW w:w="2835" w:type="dxa"/>
            <w:tcBorders>
              <w:top w:val="single" w:color="auto" w:sz="4" w:space="0"/>
              <w:left w:val="single" w:color="auto" w:sz="4" w:space="0"/>
              <w:bottom w:val="single" w:color="auto" w:sz="4" w:space="0"/>
              <w:right w:val="single" w:color="auto" w:sz="4" w:space="0"/>
            </w:tcBorders>
            <w:hideMark/>
          </w:tcPr>
          <w:p w:rsidR="000E0494" w:rsidRDefault="000E0494" w14:paraId="34CCC47E" w14:textId="77777777">
            <w:r>
              <w:t>+ € 0,03 (€ 0,17)</w:t>
            </w:r>
          </w:p>
        </w:tc>
      </w:tr>
      <w:tr w:rsidR="000E0494" w:rsidTr="000E0494" w14:paraId="4FB1D713" w14:textId="77777777">
        <w:tc>
          <w:tcPr>
            <w:tcW w:w="1980" w:type="dxa"/>
            <w:tcBorders>
              <w:top w:val="single" w:color="auto" w:sz="4" w:space="0"/>
              <w:left w:val="single" w:color="auto" w:sz="4" w:space="0"/>
              <w:bottom w:val="single" w:color="auto" w:sz="4" w:space="0"/>
              <w:right w:val="single" w:color="auto" w:sz="4" w:space="0"/>
            </w:tcBorders>
            <w:hideMark/>
          </w:tcPr>
          <w:p w:rsidR="000E0494" w:rsidRDefault="000E0494" w14:paraId="06A84593" w14:textId="77777777">
            <w:proofErr w:type="spellStart"/>
            <w:r>
              <w:t>IVb</w:t>
            </w:r>
            <w:proofErr w:type="spellEnd"/>
          </w:p>
        </w:tc>
        <w:tc>
          <w:tcPr>
            <w:tcW w:w="3118" w:type="dxa"/>
            <w:tcBorders>
              <w:top w:val="single" w:color="auto" w:sz="4" w:space="0"/>
              <w:left w:val="single" w:color="auto" w:sz="4" w:space="0"/>
              <w:bottom w:val="single" w:color="auto" w:sz="4" w:space="0"/>
              <w:right w:val="single" w:color="auto" w:sz="4" w:space="0"/>
            </w:tcBorders>
            <w:hideMark/>
          </w:tcPr>
          <w:p w:rsidR="000E0494" w:rsidRDefault="000E0494" w14:paraId="0081DE04" w14:textId="77777777">
            <w:r>
              <w:t>+ € 0,09 (€ 0,18)</w:t>
            </w:r>
          </w:p>
        </w:tc>
        <w:tc>
          <w:tcPr>
            <w:tcW w:w="2835" w:type="dxa"/>
            <w:tcBorders>
              <w:top w:val="single" w:color="auto" w:sz="4" w:space="0"/>
              <w:left w:val="single" w:color="auto" w:sz="4" w:space="0"/>
              <w:bottom w:val="single" w:color="auto" w:sz="4" w:space="0"/>
              <w:right w:val="single" w:color="auto" w:sz="4" w:space="0"/>
            </w:tcBorders>
            <w:hideMark/>
          </w:tcPr>
          <w:p w:rsidR="000E0494" w:rsidRDefault="000E0494" w14:paraId="112EE91E" w14:textId="77777777">
            <w:r>
              <w:t>+ € 0,04 (€ 0,18)</w:t>
            </w:r>
          </w:p>
        </w:tc>
      </w:tr>
    </w:tbl>
    <w:p w:rsidR="000E0494" w:rsidP="000E0494" w:rsidRDefault="000E0494" w14:paraId="7494DB90" w14:textId="77777777">
      <w:pPr>
        <w:rPr>
          <w:i/>
          <w:iCs/>
          <w:sz w:val="14"/>
          <w:szCs w:val="14"/>
        </w:rPr>
      </w:pPr>
      <w:r>
        <w:rPr>
          <w:i/>
          <w:iCs/>
          <w:sz w:val="14"/>
          <w:szCs w:val="14"/>
        </w:rPr>
        <w:t>Tabel 4: Effecten op de bieraccijns per scenario. De tabel laat de verandering in accijns bij het scenario zien ten opzichte van de huidige accijns per 1 januari 2024. De bedragen zijn afgerond op 2 decimalen achter de komma. Verandering in euro; het bedrag tussen haken is de totale accijns exclusief btw.</w:t>
      </w:r>
    </w:p>
    <w:p w:rsidR="00E73A82" w:rsidP="00E77721" w:rsidRDefault="00E73A82" w14:paraId="0DB81BCD" w14:textId="77777777"/>
    <w:p w:rsidR="00E77721" w:rsidP="00E77721" w:rsidRDefault="00E77721" w14:paraId="6B0F3DF1" w14:textId="77777777">
      <w:r w:rsidRPr="00A2003D">
        <w:lastRenderedPageBreak/>
        <w:t xml:space="preserve">Mocht uw Kamer </w:t>
      </w:r>
      <w:r w:rsidRPr="00A2003D" w:rsidR="00760687">
        <w:t>d</w:t>
      </w:r>
      <w:r w:rsidRPr="00A2003D">
        <w:t xml:space="preserve">e verhoging van het minimumbedrag </w:t>
      </w:r>
      <w:r w:rsidR="00B94C52">
        <w:t>aan bier</w:t>
      </w:r>
      <w:r w:rsidRPr="00A2003D">
        <w:t xml:space="preserve">accijns onwenselijk vinden, kan worden overwogen om voornoemde ratio los te laten. </w:t>
      </w:r>
      <w:r w:rsidR="00B94C52">
        <w:t>In dat geval</w:t>
      </w:r>
      <w:r w:rsidRPr="00A2003D">
        <w:t xml:space="preserve"> </w:t>
      </w:r>
      <w:r w:rsidR="00427DC4">
        <w:t xml:space="preserve">moet </w:t>
      </w:r>
      <w:r w:rsidRPr="00A2003D">
        <w:t>word</w:t>
      </w:r>
      <w:r w:rsidR="00427DC4">
        <w:t>en</w:t>
      </w:r>
      <w:r>
        <w:t xml:space="preserve"> </w:t>
      </w:r>
      <w:r w:rsidR="00B94C52">
        <w:t xml:space="preserve">geaccepteerd dat dranken met veel suiker </w:t>
      </w:r>
      <w:r w:rsidR="00B94C52">
        <w:rPr>
          <w:i/>
          <w:iCs/>
        </w:rPr>
        <w:t>hoger</w:t>
      </w:r>
      <w:r w:rsidR="00B94C52">
        <w:t xml:space="preserve"> worden belast dan bier. </w:t>
      </w:r>
      <w:r w:rsidRPr="00A2003D">
        <w:t>Hier</w:t>
      </w:r>
      <w:r w:rsidR="00B94C52">
        <w:t>door w</w:t>
      </w:r>
      <w:r w:rsidRPr="00A2003D">
        <w:t>ordt</w:t>
      </w:r>
      <w:r>
        <w:t xml:space="preserve"> voorkomen dat het minimumbedrag accijns op bier moet worden verhoogd.</w:t>
      </w:r>
      <w:r w:rsidR="00B94C52">
        <w:rPr>
          <w:rStyle w:val="Voetnootmarkering"/>
        </w:rPr>
        <w:footnoteReference w:id="36"/>
      </w:r>
      <w:r>
        <w:t xml:space="preserve"> </w:t>
      </w:r>
      <w:r w:rsidR="007B2A3B">
        <w:t xml:space="preserve">Vanuit gezondheidsperspectief is het onwenselijk dat bier lager wordt belast dan </w:t>
      </w:r>
      <w:r w:rsidR="00B94C52">
        <w:t xml:space="preserve">alcoholvrije </w:t>
      </w:r>
      <w:r w:rsidR="007B2A3B">
        <w:t>dranken</w:t>
      </w:r>
      <w:r w:rsidR="00B94C52">
        <w:t>, ook als die dranken v</w:t>
      </w:r>
      <w:r w:rsidR="007B2A3B">
        <w:t>eel suiker</w:t>
      </w:r>
      <w:r w:rsidR="00B94C52">
        <w:t xml:space="preserve"> bevatten</w:t>
      </w:r>
      <w:r w:rsidR="007B2A3B">
        <w:t>.</w:t>
      </w:r>
      <w:r w:rsidRPr="0093498B" w:rsidR="0093498B">
        <w:t xml:space="preserve"> </w:t>
      </w:r>
      <w:r w:rsidR="0093498B">
        <w:t>We benadrukken dat de vraag hoe wordt omgegaan met de bieraccijns in relatie tot een mogelijke gedifferentieerde verbruiksbelasting een losstaande beleidsvraag is, waar deze brief niet over gaat. Het voorstel voor een gedifferentieerde verbruiksbelasting is bedoeld om de verkoop van suiker via alcoholvrije dranken terug te dringen ter bevordering van de gezondheid.</w:t>
      </w:r>
    </w:p>
    <w:bookmarkEnd w:id="6"/>
    <w:p w:rsidRPr="00B96D1E" w:rsidR="00E77721" w:rsidP="00DE2A83" w:rsidRDefault="00E77721" w14:paraId="42C848C7" w14:textId="77777777">
      <w:pPr>
        <w:rPr>
          <w:b/>
          <w:bCs/>
        </w:rPr>
      </w:pPr>
    </w:p>
    <w:p w:rsidRPr="00ED4F33" w:rsidR="00DF593C" w:rsidP="18866C71" w:rsidRDefault="00DF593C" w14:paraId="189CC872" w14:textId="77777777">
      <w:pPr>
        <w:rPr>
          <w:b/>
          <w:bCs/>
          <w:i/>
          <w:iCs/>
        </w:rPr>
      </w:pPr>
      <w:r w:rsidRPr="00BD157F">
        <w:rPr>
          <w:b/>
          <w:bCs/>
          <w:i/>
          <w:iCs/>
        </w:rPr>
        <w:t>3</w:t>
      </w:r>
      <w:r w:rsidRPr="00BD157F" w:rsidR="00DE2A83">
        <w:rPr>
          <w:b/>
          <w:bCs/>
          <w:i/>
          <w:iCs/>
        </w:rPr>
        <w:t>.</w:t>
      </w:r>
      <w:r w:rsidR="002C2639">
        <w:rPr>
          <w:b/>
          <w:bCs/>
          <w:i/>
          <w:iCs/>
        </w:rPr>
        <w:t>4</w:t>
      </w:r>
      <w:r w:rsidRPr="00BD157F" w:rsidR="00DE2A83">
        <w:rPr>
          <w:b/>
          <w:bCs/>
          <w:i/>
          <w:iCs/>
        </w:rPr>
        <w:t xml:space="preserve"> </w:t>
      </w:r>
      <w:r w:rsidRPr="18866C71" w:rsidR="00B96D1E">
        <w:rPr>
          <w:b/>
          <w:bCs/>
          <w:i/>
          <w:iCs/>
        </w:rPr>
        <w:t>Scenario I</w:t>
      </w:r>
      <w:r w:rsidRPr="00BD157F">
        <w:rPr>
          <w:b/>
          <w:bCs/>
          <w:i/>
          <w:iCs/>
        </w:rPr>
        <w:t>: geen drank</w:t>
      </w:r>
      <w:r w:rsidR="00ED4F33">
        <w:rPr>
          <w:b/>
          <w:bCs/>
          <w:i/>
          <w:iCs/>
        </w:rPr>
        <w:t>en</w:t>
      </w:r>
      <w:r w:rsidRPr="00BD157F">
        <w:rPr>
          <w:b/>
          <w:bCs/>
          <w:i/>
          <w:iCs/>
        </w:rPr>
        <w:t xml:space="preserve"> uitgezonderd </w:t>
      </w:r>
    </w:p>
    <w:p w:rsidRPr="00262E4E" w:rsidR="00085B12" w:rsidP="00DE2A83" w:rsidRDefault="00085B12" w14:paraId="51C28233" w14:textId="77777777">
      <w:pPr>
        <w:rPr>
          <w:b/>
          <w:i/>
        </w:rPr>
      </w:pPr>
    </w:p>
    <w:p w:rsidR="00085B12" w:rsidP="00262E4E" w:rsidRDefault="00085B12" w14:paraId="2E09AEA1" w14:textId="77777777">
      <w:pPr>
        <w:pBdr>
          <w:top w:val="single" w:color="auto" w:sz="4" w:space="1"/>
          <w:left w:val="single" w:color="auto" w:sz="4" w:space="4"/>
          <w:bottom w:val="single" w:color="auto" w:sz="4" w:space="1"/>
          <w:right w:val="single" w:color="auto" w:sz="4" w:space="4"/>
        </w:pBdr>
      </w:pPr>
      <w:r>
        <w:t xml:space="preserve">Onder </w:t>
      </w:r>
      <w:r>
        <w:rPr>
          <w:b/>
          <w:bCs/>
        </w:rPr>
        <w:t xml:space="preserve">scenario I </w:t>
      </w:r>
      <w:r w:rsidR="00DF593C">
        <w:t>vallen alle alcoholvrije dranken onder de gedifferentieerde verbruiksbelasting. Dat betekent dat alle dranken worden belast op basis van het suikergehalte. Ten opzichte van de huidige verbruiksbelasting, waarbij zuivel- en sojadranken en mineraalwater zijn uitgezonderd, betekent d</w:t>
      </w:r>
      <w:r w:rsidR="00BA2590">
        <w:t>i</w:t>
      </w:r>
      <w:r w:rsidR="00DF593C">
        <w:t>t dat deze uitzondering</w:t>
      </w:r>
      <w:r w:rsidR="00063849">
        <w:t>en</w:t>
      </w:r>
      <w:r w:rsidR="00DF593C">
        <w:t xml:space="preserve"> kom</w:t>
      </w:r>
      <w:r w:rsidR="00053326">
        <w:t>en</w:t>
      </w:r>
      <w:r w:rsidR="00DF593C">
        <w:t xml:space="preserve"> te vervallen. </w:t>
      </w:r>
      <w:r w:rsidR="00E22409">
        <w:t>Het stelsel wordt hiermee zo eenvoudig mogelijk gemaakt</w:t>
      </w:r>
      <w:r w:rsidR="007A551B">
        <w:t xml:space="preserve"> en de tarieven voor alle alcohol</w:t>
      </w:r>
      <w:r w:rsidR="001D73D6">
        <w:t xml:space="preserve">vrije </w:t>
      </w:r>
      <w:r w:rsidR="007A551B">
        <w:t>dranken zijn in dit scenario verreweg het laagst.</w:t>
      </w:r>
    </w:p>
    <w:p w:rsidR="005E0A34" w:rsidP="00DE2A83" w:rsidRDefault="005E0A34" w14:paraId="447D10A2" w14:textId="77777777"/>
    <w:p w:rsidR="00D7489C" w:rsidP="23D5166F" w:rsidRDefault="00F62C91" w14:paraId="0CF3EEE5" w14:textId="77777777">
      <w:r>
        <w:t>Dit is een zo eenvoudig mogelijke en uitvoerbare vorm van een gedifferentieerde verbruiksbelasting van alcoholvrije dranken op basis van suikergehalte. Dit scenario geeft daarmee invulling aan de letterlijke bewoording van de eerdergenoemde motie Grinwis</w:t>
      </w:r>
      <w:r w:rsidR="002D7097">
        <w:t>.</w:t>
      </w:r>
      <w:r>
        <w:rPr>
          <w:rStyle w:val="Voetnootmarkering"/>
        </w:rPr>
        <w:footnoteReference w:id="37"/>
      </w:r>
      <w:r w:rsidRPr="35FA1F3E">
        <w:t xml:space="preserve"> </w:t>
      </w:r>
      <w:r w:rsidR="00194815">
        <w:t xml:space="preserve">Ook </w:t>
      </w:r>
      <w:r w:rsidR="00D7489C">
        <w:t xml:space="preserve">is dit </w:t>
      </w:r>
      <w:r w:rsidR="00194815">
        <w:t>scenario voordel</w:t>
      </w:r>
      <w:r w:rsidR="00D7489C">
        <w:t xml:space="preserve">ig </w:t>
      </w:r>
      <w:r w:rsidR="00194815">
        <w:t>voor de uitvoering van de belasting door de Douane</w:t>
      </w:r>
      <w:r w:rsidR="00D7489C">
        <w:t>. Onder dit scenario zullen zich namelijk geen afbakenings</w:t>
      </w:r>
      <w:r w:rsidR="00194815">
        <w:t>discussies meer voordoen over de vraag of een bepaalde drank al dan niet onder een uitzonderingscategorie valt. In scenario</w:t>
      </w:r>
      <w:r w:rsidR="00D7489C">
        <w:t xml:space="preserve"> I</w:t>
      </w:r>
      <w:r w:rsidR="00194815">
        <w:t xml:space="preserve"> zijn immers geen </w:t>
      </w:r>
      <w:r w:rsidRPr="00194815" w:rsidR="00194815">
        <w:t xml:space="preserve">uitzonderingcategorieën. Zoals in de inleiding van deze brief aangegeven, geldt </w:t>
      </w:r>
      <w:r w:rsidRPr="00D047E4" w:rsidR="00194815">
        <w:t>dat het voor een eenvoudiger belastingstelsel nodig is dat het aantal fiscale regelingen – waaronder uitzonderingen of kortingen op te betalen belastingen wordt verstaan – zoveel mogelijk wordt beperkt. Ook voor deze verbruiksbelasting geldt: hoe meer fiscale uitzonderingen, hoe complexer de uitvoering, het toezicht en de handhaving van deze belasting.</w:t>
      </w:r>
      <w:r w:rsidRPr="00D047E4" w:rsidR="00194815">
        <w:rPr>
          <w:rStyle w:val="Voetnootmarkering"/>
        </w:rPr>
        <w:footnoteReference w:id="38"/>
      </w:r>
    </w:p>
    <w:p w:rsidR="00BC36C9" w:rsidP="23D5166F" w:rsidRDefault="00194815" w14:paraId="05208B15" w14:textId="77777777">
      <w:r>
        <w:t xml:space="preserve"> </w:t>
      </w:r>
    </w:p>
    <w:p w:rsidR="00070AD6" w:rsidP="00070AD6" w:rsidRDefault="00BC36C9" w14:paraId="4C844778" w14:textId="77777777">
      <w:r>
        <w:t>Voor zuivel geldt dat de</w:t>
      </w:r>
      <w:r w:rsidR="00627E07">
        <w:t xml:space="preserve"> huidige</w:t>
      </w:r>
      <w:r w:rsidRPr="00AD49D3" w:rsidR="00070AD6">
        <w:t xml:space="preserve"> uitzondering is gebaseerd op het melkvetgehalte van deze dranken.</w:t>
      </w:r>
      <w:r w:rsidRPr="00AD49D3" w:rsidR="00070AD6">
        <w:rPr>
          <w:rStyle w:val="Voetnootmarkering"/>
        </w:rPr>
        <w:footnoteReference w:id="39"/>
      </w:r>
      <w:r>
        <w:t xml:space="preserve"> </w:t>
      </w:r>
      <w:r w:rsidRPr="00AD49D3" w:rsidR="00070AD6">
        <w:t>Deze uitzondering geldt van oudsher.</w:t>
      </w:r>
      <w:r w:rsidRPr="00AD49D3" w:rsidR="00070AD6">
        <w:rPr>
          <w:rStyle w:val="Voetnootmarkering"/>
        </w:rPr>
        <w:footnoteReference w:id="40"/>
      </w:r>
      <w:r w:rsidRPr="00AD49D3" w:rsidR="00070AD6">
        <w:t xml:space="preserve"> </w:t>
      </w:r>
      <w:r w:rsidR="00682768">
        <w:t xml:space="preserve">Uit parlementaire stukken ten tijde van de invoering van de verbruiksbelasting </w:t>
      </w:r>
      <w:r w:rsidR="003763EB">
        <w:t xml:space="preserve">in 1993 </w:t>
      </w:r>
      <w:r w:rsidR="00682768">
        <w:t xml:space="preserve">blijkt dat </w:t>
      </w:r>
      <w:r w:rsidR="00627E07">
        <w:t xml:space="preserve">destijds werd overwogen dat </w:t>
      </w:r>
      <w:r w:rsidR="00682768">
        <w:t>“melk, karnemelk en dergelijke dranken niet vallen onder het begrip limonade (binnen de verbruiksbelasting) omdat het geen gezoete en gearomatiseerde dranken zijn”.</w:t>
      </w:r>
      <w:r w:rsidR="00682768">
        <w:rPr>
          <w:rStyle w:val="Voetnootmarkering"/>
        </w:rPr>
        <w:footnoteReference w:id="41"/>
      </w:r>
      <w:r w:rsidR="00682768">
        <w:t xml:space="preserve"> </w:t>
      </w:r>
      <w:r w:rsidR="00AC5703">
        <w:t xml:space="preserve">Aangezien het </w:t>
      </w:r>
      <w:r w:rsidR="005C7008">
        <w:t xml:space="preserve">uitgangspunt van een gedifferentieerde verbruiksbelasting is om </w:t>
      </w:r>
      <w:r w:rsidR="00AC5703">
        <w:t xml:space="preserve">alle dranken op grond van het suikergehalte te belasten, vormt deze redenering geen reden meer om </w:t>
      </w:r>
      <w:r w:rsidR="00AC5703">
        <w:lastRenderedPageBreak/>
        <w:t xml:space="preserve">zuiveldranken bij voorbaat van de belasting uit te zonderen. </w:t>
      </w:r>
      <w:r w:rsidR="002E5F3D">
        <w:t>Ter indicatie: een pak halfvolle melk bevat doorgaans 4,7 gram suiker</w:t>
      </w:r>
      <w:r w:rsidR="00BF0023">
        <w:t xml:space="preserve"> per 100 milliliter</w:t>
      </w:r>
      <w:r w:rsidR="002E5F3D">
        <w:t xml:space="preserve">. </w:t>
      </w:r>
      <w:r w:rsidR="00AC5703">
        <w:t>Daarbij kent de uitzondering voor zuiveldranken onder de huidige verbruiksbelasting een aantal ongewenste effecten. Zo zijn op dit moment bijvoorbeeld chocolade</w:t>
      </w:r>
      <w:r w:rsidR="0036309B">
        <w:t xml:space="preserve">- </w:t>
      </w:r>
      <w:r w:rsidR="00AC5703">
        <w:t>en frambozenmelk (</w:t>
      </w:r>
      <w:r w:rsidR="008266CF">
        <w:t>die</w:t>
      </w:r>
      <w:r w:rsidR="00AC5703">
        <w:t xml:space="preserve"> vaak veel suiker</w:t>
      </w:r>
      <w:r w:rsidR="008266CF">
        <w:t xml:space="preserve"> bevatten</w:t>
      </w:r>
      <w:r w:rsidR="00AC5703">
        <w:t xml:space="preserve">) van de belasting uitgezonderd, en is bekend dat een geringe hoeveelheid zuivel wordt toegevoegd aan vruchten- en groentesappen of frisdrank </w:t>
      </w:r>
      <w:r w:rsidR="005C7008">
        <w:t xml:space="preserve">om deze </w:t>
      </w:r>
      <w:r w:rsidR="00AC5703">
        <w:t xml:space="preserve">dranken onder de uitzondering </w:t>
      </w:r>
      <w:r w:rsidR="005C7008">
        <w:t>t</w:t>
      </w:r>
      <w:r w:rsidR="00AC5703">
        <w:t xml:space="preserve">e </w:t>
      </w:r>
      <w:r w:rsidR="005C7008">
        <w:t xml:space="preserve">laten </w:t>
      </w:r>
      <w:r w:rsidR="00AC5703">
        <w:t xml:space="preserve">vallen. Met het vervallen van de huidige uitzondering vervallen ook deze ongewenste effecten. </w:t>
      </w:r>
      <w:r w:rsidR="00BF7AD5">
        <w:t xml:space="preserve">Wel geldt dat </w:t>
      </w:r>
      <w:r w:rsidR="00AC5703">
        <w:t>z</w:t>
      </w:r>
      <w:r w:rsidRPr="00AD49D3" w:rsidR="00070AD6">
        <w:t>uivel- en sojadranken een belangrijke bron van eiwit, calcium en vitamines B2 en B12</w:t>
      </w:r>
      <w:r w:rsidR="00AC5703">
        <w:t xml:space="preserve"> kunnen zijn</w:t>
      </w:r>
      <w:r w:rsidR="008266CF">
        <w:t xml:space="preserve"> in een gevarieerd dieet</w:t>
      </w:r>
      <w:r w:rsidRPr="00AD49D3" w:rsidR="00070AD6">
        <w:t xml:space="preserve">. </w:t>
      </w:r>
      <w:r w:rsidR="00070AD6">
        <w:t>Deze voedingsstoffen kunnen echter ook op een andere manier worden geconsumeerd dan via het drinken van zuiveldrank</w:t>
      </w:r>
      <w:r w:rsidRPr="411CAE84" w:rsidR="5848F34B">
        <w:t xml:space="preserve"> </w:t>
      </w:r>
      <w:r w:rsidR="29055E99">
        <w:t>zoals bijvoorbeeld via yoghurt en kaas</w:t>
      </w:r>
      <w:r w:rsidRPr="411CAE84" w:rsidR="0339E843">
        <w:t>.</w:t>
      </w:r>
      <w:r w:rsidRPr="1A57C002">
        <w:rPr>
          <w:rStyle w:val="Voetnootmarkering"/>
        </w:rPr>
        <w:footnoteReference w:id="42"/>
      </w:r>
      <w:r w:rsidRPr="411CAE84" w:rsidR="63FC38A2">
        <w:t xml:space="preserve"> </w:t>
      </w:r>
      <w:r w:rsidR="004406B5">
        <w:t>V</w:t>
      </w:r>
      <w:r w:rsidR="5BDAF3B8">
        <w:t xml:space="preserve">anuit gezondheidsoptiek </w:t>
      </w:r>
      <w:r w:rsidR="004406B5">
        <w:t xml:space="preserve">is er daarom </w:t>
      </w:r>
      <w:r w:rsidR="5BDAF3B8">
        <w:t xml:space="preserve">geen noodzaak om zuivel- en sojadranken </w:t>
      </w:r>
      <w:r w:rsidR="411CAE84">
        <w:t xml:space="preserve">door middel van uitzondering </w:t>
      </w:r>
      <w:r w:rsidR="5BDAF3B8">
        <w:t xml:space="preserve">een </w:t>
      </w:r>
      <w:r w:rsidR="004406B5">
        <w:t>afwijkende</w:t>
      </w:r>
      <w:r w:rsidR="5BDAF3B8">
        <w:t xml:space="preserve"> </w:t>
      </w:r>
      <w:r w:rsidR="004406B5">
        <w:t>behandeling</w:t>
      </w:r>
      <w:r w:rsidR="5BDAF3B8">
        <w:t xml:space="preserve"> te </w:t>
      </w:r>
      <w:r w:rsidRPr="411CAE84" w:rsidR="411CAE84">
        <w:t>geven.</w:t>
      </w:r>
    </w:p>
    <w:p w:rsidR="00F73B3F" w:rsidP="00070AD6" w:rsidRDefault="00F73B3F" w14:paraId="09B6B232" w14:textId="77777777"/>
    <w:p w:rsidR="00DF593C" w:rsidP="00DE2A83" w:rsidRDefault="005941B5" w14:paraId="40DED559" w14:textId="77777777">
      <w:r>
        <w:t>Voor mineraalwater geldt dat deze drank per 1</w:t>
      </w:r>
      <w:r w:rsidR="00101DC0">
        <w:t> </w:t>
      </w:r>
      <w:r>
        <w:t>januari</w:t>
      </w:r>
      <w:r w:rsidR="00101DC0">
        <w:t> </w:t>
      </w:r>
      <w:r>
        <w:t xml:space="preserve">2024 van de verbruiksbelasting is uitgezonderd. </w:t>
      </w:r>
      <w:r w:rsidR="4EB21C20">
        <w:t xml:space="preserve">Een reden om </w:t>
      </w:r>
      <w:r>
        <w:t xml:space="preserve">mineraalwater </w:t>
      </w:r>
      <w:r w:rsidR="4EB21C20">
        <w:t xml:space="preserve">weer te </w:t>
      </w:r>
      <w:r>
        <w:t xml:space="preserve">belasten </w:t>
      </w:r>
      <w:r w:rsidR="0082228E">
        <w:t xml:space="preserve">kan </w:t>
      </w:r>
      <w:r w:rsidR="4EB21C20">
        <w:t xml:space="preserve">zijn </w:t>
      </w:r>
      <w:r>
        <w:t xml:space="preserve">dat </w:t>
      </w:r>
      <w:r w:rsidR="4EB21C20">
        <w:t xml:space="preserve">het in Nederland mogelijk is om </w:t>
      </w:r>
      <w:r>
        <w:t xml:space="preserve">water uit de kraan </w:t>
      </w:r>
      <w:r w:rsidR="4EB21C20">
        <w:t>te drinken</w:t>
      </w:r>
      <w:r w:rsidRPr="4BC13981">
        <w:t>.</w:t>
      </w:r>
      <w:r w:rsidR="00BF7AD5">
        <w:rPr>
          <w:rStyle w:val="Voetnootmarkering"/>
        </w:rPr>
        <w:footnoteReference w:id="43"/>
      </w:r>
      <w:r w:rsidR="00E4062B">
        <w:t xml:space="preserve"> </w:t>
      </w:r>
      <w:r>
        <w:t>Een aparte behandeling van mineraalwater i</w:t>
      </w:r>
      <w:r w:rsidR="0082228E">
        <w:t xml:space="preserve">n de verbruiksbelasting </w:t>
      </w:r>
      <w:r w:rsidR="008266CF">
        <w:t xml:space="preserve">is </w:t>
      </w:r>
      <w:r w:rsidR="0082228E">
        <w:t xml:space="preserve">in dat licht </w:t>
      </w:r>
      <w:r>
        <w:t>niet per se nodig</w:t>
      </w:r>
      <w:r w:rsidRPr="4BC13981">
        <w:t xml:space="preserve">. </w:t>
      </w:r>
      <w:r w:rsidR="00070AD6">
        <w:t xml:space="preserve">Daarbij zou mineraalwater bij een gedifferentieerde verbruiksbelasting onder het laagste tarief vallen (mineraalwater bevat immers geen suiker), wat de </w:t>
      </w:r>
      <w:r w:rsidR="0082228E">
        <w:t xml:space="preserve">noodzaak </w:t>
      </w:r>
      <w:r w:rsidR="00070AD6">
        <w:t xml:space="preserve">voor het uitzonderen van mineraalwater </w:t>
      </w:r>
      <w:r w:rsidR="0082228E">
        <w:t xml:space="preserve">kan </w:t>
      </w:r>
      <w:r w:rsidR="00070AD6">
        <w:t>doe</w:t>
      </w:r>
      <w:r w:rsidR="0082228E">
        <w:t>n</w:t>
      </w:r>
      <w:r w:rsidR="00070AD6">
        <w:t xml:space="preserve"> afnemen.</w:t>
      </w:r>
      <w:r w:rsidR="0082228E">
        <w:rPr>
          <w:rStyle w:val="Voetnootmarkering"/>
        </w:rPr>
        <w:footnoteReference w:id="44"/>
      </w:r>
      <w:r w:rsidRPr="4BC13981" w:rsidR="00070AD6">
        <w:t xml:space="preserve"> </w:t>
      </w:r>
      <w:r w:rsidRPr="4D18E24C" w:rsidR="3B95795E">
        <w:t>E</w:t>
      </w:r>
      <w:r w:rsidRPr="4D18E24C" w:rsidR="6ACAC796">
        <w:t>chter, e</w:t>
      </w:r>
      <w:r w:rsidRPr="4D18E24C" w:rsidR="3B95795E">
        <w:t>en</w:t>
      </w:r>
      <w:r w:rsidRPr="0344C95A" w:rsidR="3B95795E">
        <w:t xml:space="preserve"> </w:t>
      </w:r>
      <w:r w:rsidRPr="2AD08F6C" w:rsidR="0CBC5139">
        <w:t>reden</w:t>
      </w:r>
      <w:r w:rsidRPr="2AD08F6C" w:rsidR="2AD08F6C">
        <w:t xml:space="preserve"> om </w:t>
      </w:r>
      <w:r w:rsidRPr="2AD08F6C" w:rsidR="4D18E24C">
        <w:t>mineraal</w:t>
      </w:r>
      <w:r w:rsidRPr="2AD08F6C" w:rsidR="2AD08F6C">
        <w:t xml:space="preserve">water </w:t>
      </w:r>
      <w:r w:rsidRPr="4D18E24C" w:rsidR="6ACAC796">
        <w:t xml:space="preserve">wel </w:t>
      </w:r>
      <w:r w:rsidRPr="2AD08F6C" w:rsidR="2AD08F6C">
        <w:t>uit te zonderen van d</w:t>
      </w:r>
      <w:r w:rsidRPr="6E26E7B3" w:rsidR="6E26E7B3">
        <w:t xml:space="preserve">e gedifferentieerde verbruiksbelasting </w:t>
      </w:r>
      <w:r w:rsidRPr="6E26E7B3" w:rsidR="744D9F9C">
        <w:t>is</w:t>
      </w:r>
      <w:r w:rsidRPr="6E26E7B3" w:rsidR="6E26E7B3">
        <w:t xml:space="preserve"> dat, ondanks dat mineraalwater </w:t>
      </w:r>
      <w:r w:rsidRPr="6E26E7B3" w:rsidR="526E8698">
        <w:t>in de laagste staffel zal vallen, er een signaalwaarde uitgaat van het vrijstellen van dit product</w:t>
      </w:r>
      <w:r w:rsidRPr="1225CAAA" w:rsidR="744D9F9C">
        <w:t>.</w:t>
      </w:r>
      <w:r w:rsidRPr="6E26E7B3" w:rsidR="440FEF03">
        <w:t xml:space="preserve"> V</w:t>
      </w:r>
      <w:r w:rsidRPr="6E26E7B3" w:rsidR="744D9F9C">
        <w:t xml:space="preserve">anuit het gezondheidsperspectief </w:t>
      </w:r>
      <w:r w:rsidRPr="6E26E7B3" w:rsidR="440FEF03">
        <w:t>verdient het drin</w:t>
      </w:r>
      <w:r w:rsidRPr="6E26E7B3" w:rsidR="1225CAAA">
        <w:t>ken van water de voorkeur ten opzichte van frisdranken die geen calorieën bevatten omdat d</w:t>
      </w:r>
      <w:r w:rsidRPr="6E26E7B3" w:rsidR="47A9DCF6">
        <w:t>it beter is voor de mondgezondheid. Ook went men door het drinken van dranken met zoetstoffen aan ee</w:t>
      </w:r>
      <w:r w:rsidRPr="6E26E7B3" w:rsidR="7B5D997B">
        <w:t>n zoete smaak</w:t>
      </w:r>
      <w:r w:rsidRPr="405FCE0B" w:rsidR="7B5D997B">
        <w:t xml:space="preserve">. </w:t>
      </w:r>
      <w:r w:rsidR="00E4062B">
        <w:t xml:space="preserve">Daarbij hebben mensen onderweg niet altijd toegang tot kraanwater en wil je in die gevallen het drinken van mineraalwater stimuleren boven het drinken van andere dranken. </w:t>
      </w:r>
      <w:r w:rsidRPr="6E26E7B3" w:rsidR="38649637">
        <w:t>Bovendien</w:t>
      </w:r>
      <w:r w:rsidRPr="405FCE0B" w:rsidR="7B5D997B">
        <w:t xml:space="preserve"> </w:t>
      </w:r>
      <w:r w:rsidRPr="6E26E7B3" w:rsidR="7B5D997B">
        <w:t>kan</w:t>
      </w:r>
      <w:r w:rsidRPr="6E26E7B3" w:rsidR="7779C342">
        <w:t xml:space="preserve"> het opnieuw belasten van mineraalwater gezien worden als inconsistent beleid, aangezien deze groep dranken net dit jaar is uitgezonderd van de verb</w:t>
      </w:r>
      <w:r w:rsidR="4D18E24C">
        <w:t>ruiksbelasting.</w:t>
      </w:r>
    </w:p>
    <w:p w:rsidR="00C47CED" w:rsidP="00473B53" w:rsidRDefault="005440A8" w14:paraId="3FAB7F1D" w14:textId="77777777">
      <w:r>
        <w:t>Naast bovengenoemde inhoudelijke redenen om de huidige uitzondering van zuivel- en sojadranken</w:t>
      </w:r>
      <w:r w:rsidR="00070AD6">
        <w:t xml:space="preserve"> en mineraalwater</w:t>
      </w:r>
      <w:r>
        <w:t xml:space="preserve"> te laten vervallen, heeft het belasten van álle alcoholvrije dranken op basis van suiker ook voor het systeem als geheel </w:t>
      </w:r>
      <w:r w:rsidR="006D009E">
        <w:t xml:space="preserve">het voordeel dat de tarieven voor alle </w:t>
      </w:r>
      <w:proofErr w:type="gramStart"/>
      <w:r w:rsidR="006D009E">
        <w:t>reeds</w:t>
      </w:r>
      <w:proofErr w:type="gramEnd"/>
      <w:r w:rsidR="006D009E">
        <w:t xml:space="preserve"> belaste dranken fors kunnen dalen. Dit is weergegeven in tabel </w:t>
      </w:r>
      <w:r w:rsidR="00526B5E">
        <w:t>3</w:t>
      </w:r>
      <w:r w:rsidR="00473B53">
        <w:t xml:space="preserve"> en grafiek 1</w:t>
      </w:r>
      <w:r w:rsidR="006D009E">
        <w:t xml:space="preserve">. Verder ontstaat er dan </w:t>
      </w:r>
      <w:r w:rsidR="00C47CED">
        <w:t xml:space="preserve">een gelijk speelveld tussen </w:t>
      </w:r>
      <w:r w:rsidR="00473B53">
        <w:t xml:space="preserve">producenten van </w:t>
      </w:r>
      <w:r w:rsidR="00C47CED">
        <w:t xml:space="preserve">zuivel en </w:t>
      </w:r>
      <w:r w:rsidR="00473B53">
        <w:t xml:space="preserve">producenten van </w:t>
      </w:r>
      <w:r w:rsidR="00C47CED">
        <w:t xml:space="preserve">plantaardige zuivelvervangers, aangezien alle dranken </w:t>
      </w:r>
      <w:r w:rsidR="008266CF">
        <w:t xml:space="preserve">in dit scenario </w:t>
      </w:r>
      <w:r w:rsidR="00C47CED">
        <w:t>op basis van het suikergehalte worden belast</w:t>
      </w:r>
      <w:r w:rsidR="006D009E">
        <w:t>.</w:t>
      </w:r>
    </w:p>
    <w:p w:rsidR="00DF593C" w:rsidP="00DE2A83" w:rsidRDefault="00DF593C" w14:paraId="313855D3" w14:textId="77777777">
      <w:pPr>
        <w:rPr>
          <w:i/>
          <w:iCs/>
        </w:rPr>
      </w:pPr>
    </w:p>
    <w:p w:rsidRPr="00BB73C6" w:rsidR="00DF593C" w:rsidP="18866C71" w:rsidRDefault="00DF593C" w14:paraId="594154C5" w14:textId="77777777">
      <w:pPr>
        <w:rPr>
          <w:b/>
          <w:bCs/>
          <w:i/>
          <w:iCs/>
        </w:rPr>
      </w:pPr>
      <w:r w:rsidRPr="00CE44D0">
        <w:rPr>
          <w:b/>
          <w:bCs/>
          <w:i/>
          <w:iCs/>
        </w:rPr>
        <w:t>3.</w:t>
      </w:r>
      <w:r w:rsidRPr="00CE44D0" w:rsidR="002C2639">
        <w:rPr>
          <w:b/>
          <w:bCs/>
          <w:i/>
          <w:iCs/>
        </w:rPr>
        <w:t>5</w:t>
      </w:r>
      <w:r w:rsidRPr="00CE44D0">
        <w:rPr>
          <w:b/>
          <w:bCs/>
          <w:i/>
          <w:iCs/>
        </w:rPr>
        <w:t xml:space="preserve"> </w:t>
      </w:r>
      <w:r w:rsidRPr="00CE44D0" w:rsidR="005941B5">
        <w:rPr>
          <w:b/>
          <w:bCs/>
          <w:i/>
          <w:iCs/>
        </w:rPr>
        <w:t>S</w:t>
      </w:r>
      <w:r w:rsidRPr="00CE44D0">
        <w:rPr>
          <w:b/>
          <w:bCs/>
          <w:i/>
          <w:iCs/>
        </w:rPr>
        <w:t>cenario</w:t>
      </w:r>
      <w:r w:rsidRPr="00BD157F" w:rsidR="005941B5">
        <w:rPr>
          <w:b/>
          <w:bCs/>
          <w:i/>
          <w:iCs/>
        </w:rPr>
        <w:t xml:space="preserve"> II</w:t>
      </w:r>
      <w:r w:rsidRPr="00BD157F">
        <w:rPr>
          <w:b/>
          <w:bCs/>
          <w:i/>
          <w:iCs/>
        </w:rPr>
        <w:t xml:space="preserve">: </w:t>
      </w:r>
      <w:r w:rsidR="00E07FBF">
        <w:rPr>
          <w:b/>
          <w:bCs/>
          <w:i/>
          <w:iCs/>
        </w:rPr>
        <w:t xml:space="preserve">alleen </w:t>
      </w:r>
      <w:r w:rsidRPr="00BD157F">
        <w:rPr>
          <w:b/>
          <w:bCs/>
          <w:i/>
          <w:iCs/>
        </w:rPr>
        <w:t>mineraalwater uitgezonderd</w:t>
      </w:r>
    </w:p>
    <w:p w:rsidR="00085B12" w:rsidP="00DE2A83" w:rsidRDefault="00085B12" w14:paraId="3A5DF098" w14:textId="77777777">
      <w:pPr>
        <w:rPr>
          <w:i/>
          <w:iCs/>
        </w:rPr>
      </w:pPr>
    </w:p>
    <w:p w:rsidR="00085B12" w:rsidP="00172A2C" w:rsidRDefault="005941B5" w14:paraId="40E3C7B1" w14:textId="77777777">
      <w:pPr>
        <w:pBdr>
          <w:top w:val="single" w:color="auto" w:sz="4" w:space="1"/>
          <w:left w:val="single" w:color="auto" w:sz="4" w:space="4"/>
          <w:bottom w:val="single" w:color="auto" w:sz="4" w:space="1"/>
          <w:right w:val="single" w:color="auto" w:sz="4" w:space="4"/>
        </w:pBdr>
      </w:pPr>
      <w:r>
        <w:t xml:space="preserve">Onder </w:t>
      </w:r>
      <w:r w:rsidRPr="009A2B17">
        <w:rPr>
          <w:b/>
        </w:rPr>
        <w:t>scenario II</w:t>
      </w:r>
      <w:r>
        <w:t xml:space="preserve"> wordt </w:t>
      </w:r>
      <w:r w:rsidR="00E40479">
        <w:t xml:space="preserve">alleen </w:t>
      </w:r>
      <w:r>
        <w:t xml:space="preserve">mineraalwater uitgezonderd van de gedifferentieerde verbruiksbelasting. Dat betekent dat alle andere alcoholvrije dranken, waaronder zuivel- en sojadranken, onder de belasting komen te vallen. </w:t>
      </w:r>
    </w:p>
    <w:p w:rsidR="00085B12" w:rsidP="00085B12" w:rsidRDefault="00085B12" w14:paraId="7D70AE49" w14:textId="77777777"/>
    <w:p w:rsidR="00AB3DF1" w:rsidP="00AB3DF1" w:rsidRDefault="00085B12" w14:paraId="66DB1051" w14:textId="77777777">
      <w:r w:rsidRPr="00AD49D3">
        <w:lastRenderedPageBreak/>
        <w:t>Per 1</w:t>
      </w:r>
      <w:r w:rsidR="00101DC0">
        <w:t> </w:t>
      </w:r>
      <w:r w:rsidRPr="00AD49D3">
        <w:t>januari</w:t>
      </w:r>
      <w:r w:rsidR="00101DC0">
        <w:t> </w:t>
      </w:r>
      <w:r w:rsidRPr="00AD49D3">
        <w:t xml:space="preserve">2024 is mineraalwater uitgezonderd van de verbruiksbelasting van alcoholvrije dranken. </w:t>
      </w:r>
      <w:r>
        <w:t xml:space="preserve">Er kan worden besloten deze </w:t>
      </w:r>
      <w:r w:rsidRPr="00AD49D3">
        <w:t>uitzondering te behouden</w:t>
      </w:r>
      <w:r w:rsidR="008266CF">
        <w:t>,</w:t>
      </w:r>
      <w:r w:rsidRPr="00AD49D3">
        <w:t xml:space="preserve"> omdat mineraalwater </w:t>
      </w:r>
      <w:r w:rsidR="00311B87">
        <w:t xml:space="preserve">dat in een winkel wordt verkocht </w:t>
      </w:r>
      <w:r w:rsidRPr="00AD49D3">
        <w:t>een gezond alternatief is</w:t>
      </w:r>
      <w:r>
        <w:t xml:space="preserve"> v</w:t>
      </w:r>
      <w:r w:rsidR="00311B87">
        <w:t>oor</w:t>
      </w:r>
      <w:r>
        <w:t xml:space="preserve"> andere alcoholvrije dranken</w:t>
      </w:r>
      <w:r w:rsidRPr="00AD49D3">
        <w:t xml:space="preserve">. </w:t>
      </w:r>
      <w:r w:rsidR="00C65A92">
        <w:t xml:space="preserve">Verder </w:t>
      </w:r>
      <w:r w:rsidR="003071DB">
        <w:t xml:space="preserve">zou </w:t>
      </w:r>
      <w:r w:rsidR="00C65A92">
        <w:t xml:space="preserve">het opnieuw belasten van mineraalwater </w:t>
      </w:r>
      <w:r w:rsidR="00CE44D0">
        <w:t xml:space="preserve">enigszins </w:t>
      </w:r>
      <w:r w:rsidR="00C65A92">
        <w:t xml:space="preserve">inconsistent </w:t>
      </w:r>
      <w:r w:rsidR="003071DB">
        <w:t xml:space="preserve">beleid zijn, </w:t>
      </w:r>
      <w:r w:rsidR="00C65A92">
        <w:t>omdat deze categorie alcoholvrije dranken pas sinds 1 januari 2024 van de verbruiksbelasting is uitgezonderd.</w:t>
      </w:r>
      <w:r w:rsidR="00AB3DF1">
        <w:t xml:space="preserve"> </w:t>
      </w:r>
    </w:p>
    <w:p w:rsidRPr="00311B87" w:rsidR="00085B12" w:rsidP="00DE2A83" w:rsidRDefault="00085B12" w14:paraId="7D0DDF8B" w14:textId="77777777"/>
    <w:p w:rsidRPr="00BB73C6" w:rsidR="00660A06" w:rsidP="18866C71" w:rsidRDefault="002B03E9" w14:paraId="1845DBD2" w14:textId="77777777">
      <w:pPr>
        <w:rPr>
          <w:b/>
          <w:bCs/>
          <w:i/>
          <w:iCs/>
        </w:rPr>
      </w:pPr>
      <w:r w:rsidRPr="00BD157F">
        <w:rPr>
          <w:b/>
          <w:bCs/>
          <w:i/>
          <w:iCs/>
        </w:rPr>
        <w:t>3.</w:t>
      </w:r>
      <w:r w:rsidR="002C2639">
        <w:rPr>
          <w:b/>
          <w:bCs/>
          <w:i/>
          <w:iCs/>
        </w:rPr>
        <w:t>6</w:t>
      </w:r>
      <w:r w:rsidRPr="18866C71">
        <w:rPr>
          <w:b/>
          <w:bCs/>
          <w:i/>
          <w:iCs/>
        </w:rPr>
        <w:t xml:space="preserve"> Scenario III: </w:t>
      </w:r>
      <w:r w:rsidR="00E07FBF">
        <w:rPr>
          <w:b/>
          <w:bCs/>
          <w:i/>
          <w:iCs/>
        </w:rPr>
        <w:t>n</w:t>
      </w:r>
      <w:r w:rsidRPr="18866C71" w:rsidR="00660A06">
        <w:rPr>
          <w:b/>
          <w:bCs/>
          <w:i/>
          <w:iCs/>
        </w:rPr>
        <w:t xml:space="preserve">aast mineraalwater zuivel- en sojadranken met een laag suikergehalte uitgezonderd </w:t>
      </w:r>
    </w:p>
    <w:p w:rsidR="00660A06" w:rsidP="00DE2A83" w:rsidRDefault="00660A06" w14:paraId="4B0ED8BC" w14:textId="77777777">
      <w:pPr>
        <w:rPr>
          <w:b/>
          <w:bCs/>
          <w:i/>
          <w:iCs/>
        </w:rPr>
      </w:pPr>
    </w:p>
    <w:p w:rsidR="00BB720B" w:rsidP="00C403CE" w:rsidRDefault="00BB720B" w14:paraId="139D8F26" w14:textId="77777777">
      <w:pPr>
        <w:pBdr>
          <w:top w:val="single" w:color="auto" w:sz="4" w:space="1"/>
          <w:left w:val="single" w:color="auto" w:sz="4" w:space="4"/>
          <w:bottom w:val="single" w:color="auto" w:sz="4" w:space="1"/>
          <w:right w:val="single" w:color="auto" w:sz="4" w:space="4"/>
        </w:pBdr>
      </w:pPr>
      <w:r w:rsidRPr="00C403CE">
        <w:t>Zoals bij scenario I is aangegeven</w:t>
      </w:r>
      <w:r w:rsidR="00BD64E2">
        <w:t>,</w:t>
      </w:r>
      <w:r w:rsidRPr="00C403CE">
        <w:t xml:space="preserve"> zijn zuivel</w:t>
      </w:r>
      <w:r w:rsidR="00BD64E2">
        <w:t>-</w:t>
      </w:r>
      <w:r w:rsidRPr="00C403CE">
        <w:t xml:space="preserve"> en sojadranken op dit moment uitgezonderd van de verbruiksbelasting.</w:t>
      </w:r>
      <w:r w:rsidRPr="18866C71">
        <w:rPr>
          <w:i/>
          <w:iCs/>
        </w:rPr>
        <w:t xml:space="preserve"> </w:t>
      </w:r>
      <w:r>
        <w:t xml:space="preserve">In </w:t>
      </w:r>
      <w:r w:rsidRPr="00F76EDB">
        <w:rPr>
          <w:b/>
        </w:rPr>
        <w:t>scenario III</w:t>
      </w:r>
      <w:r>
        <w:t xml:space="preserve"> blijft</w:t>
      </w:r>
      <w:r w:rsidR="008266CF">
        <w:t>,</w:t>
      </w:r>
      <w:r>
        <w:t xml:space="preserve"> </w:t>
      </w:r>
      <w:r w:rsidR="00CB6BEB">
        <w:t>naast de uitzondering voor mineraalwater</w:t>
      </w:r>
      <w:r w:rsidR="008266CF">
        <w:t>,</w:t>
      </w:r>
      <w:r w:rsidR="00CB6BEB">
        <w:t xml:space="preserve"> ook </w:t>
      </w:r>
      <w:r>
        <w:t>de uitzondering voor zuivel</w:t>
      </w:r>
      <w:r w:rsidR="00BD64E2">
        <w:t>-</w:t>
      </w:r>
      <w:r>
        <w:t xml:space="preserve"> en sojadranken behouden</w:t>
      </w:r>
      <w:r w:rsidR="00CB6BEB">
        <w:t xml:space="preserve">. Wel wordt </w:t>
      </w:r>
      <w:r>
        <w:t>de uitzondering</w:t>
      </w:r>
      <w:r w:rsidR="00CB6BEB">
        <w:t xml:space="preserve"> voor zuivel</w:t>
      </w:r>
      <w:r>
        <w:t xml:space="preserve"> anders vormgegeven</w:t>
      </w:r>
      <w:r w:rsidR="009E55A1">
        <w:t xml:space="preserve">, zodat zuiveldranken met veel suiker of vruchtensap </w:t>
      </w:r>
      <w:r w:rsidR="008266CF">
        <w:t xml:space="preserve">en </w:t>
      </w:r>
      <w:r w:rsidR="009E55A1">
        <w:t>frisdrank met een geringe hoeveelheid melkvet n</w:t>
      </w:r>
      <w:r w:rsidR="0055293A">
        <w:t>i</w:t>
      </w:r>
      <w:r w:rsidR="009E55A1">
        <w:t>et langer onder de uitzondering vallen</w:t>
      </w:r>
      <w:r>
        <w:t xml:space="preserve">. </w:t>
      </w:r>
    </w:p>
    <w:p w:rsidR="00CB6BEB" w:rsidP="00BB720B" w:rsidRDefault="00CB6BEB" w14:paraId="1E895908" w14:textId="77777777"/>
    <w:p w:rsidR="00CB6BEB" w:rsidP="00BB720B" w:rsidRDefault="008266CF" w14:paraId="1629528A" w14:textId="77777777">
      <w:r>
        <w:t>Op dit moment voldoen alcoholvrije dranken betrekkelijk snel a</w:t>
      </w:r>
      <w:r w:rsidR="00BB720B">
        <w:t xml:space="preserve">an de huidige uitzondering voor zuivel. </w:t>
      </w:r>
      <w:r w:rsidR="004F36B5">
        <w:t>Onder deze uitzondering valt “de uit melk of melkproducten bereide drank met een gehalte aan melkvetten van 0,02</w:t>
      </w:r>
      <w:r w:rsidRPr="35FA1F3E" w:rsidR="45E86FE6">
        <w:t>%</w:t>
      </w:r>
      <w:r w:rsidR="004F36B5">
        <w:t xml:space="preserve">mas of meer waarin zich melkeiwit en melksuiker bevinden, niet zijnde een uit wei of </w:t>
      </w:r>
      <w:proofErr w:type="spellStart"/>
      <w:r w:rsidR="004F36B5">
        <w:t>weiproducten</w:t>
      </w:r>
      <w:proofErr w:type="spellEnd"/>
      <w:r w:rsidR="004F36B5">
        <w:t xml:space="preserve"> vervaardigde drank”.</w:t>
      </w:r>
      <w:r w:rsidR="00801698">
        <w:rPr>
          <w:rStyle w:val="Voetnootmarkering"/>
        </w:rPr>
        <w:footnoteReference w:id="45"/>
      </w:r>
      <w:r w:rsidRPr="35FA1F3E" w:rsidR="004F36B5">
        <w:t xml:space="preserve"> </w:t>
      </w:r>
      <w:r w:rsidR="008F7028">
        <w:t>Ten eerste vallen door deze formulering ook zuiveldranken met veel suiker onder de uitzondering, zoals chocolade- of frambozenmelk. Ten tweede kan d</w:t>
      </w:r>
      <w:r w:rsidR="00BB720B">
        <w:t>oor toevoeging van een geringe hoeveelheid melkvet een breed pallet aan alcoholvrije dranken</w:t>
      </w:r>
      <w:r w:rsidR="008F7028">
        <w:t xml:space="preserve"> on</w:t>
      </w:r>
      <w:r w:rsidR="003071DB">
        <w:t>gewenst</w:t>
      </w:r>
      <w:r w:rsidR="008F7028">
        <w:t xml:space="preserve"> </w:t>
      </w:r>
      <w:r w:rsidR="00BB720B">
        <w:t>onder de uitzondering komen te vallen.</w:t>
      </w:r>
      <w:r w:rsidR="008F7028">
        <w:t xml:space="preserve"> Het gaat hierbij om vruchtensap of frisdrank waarin een geringe hoeveelheid melkvet </w:t>
      </w:r>
      <w:r w:rsidR="009347AF">
        <w:t xml:space="preserve">(bijvoorbeeld in de vorm van </w:t>
      </w:r>
      <w:proofErr w:type="spellStart"/>
      <w:r w:rsidR="009347AF">
        <w:t>melkpermeaat</w:t>
      </w:r>
      <w:proofErr w:type="spellEnd"/>
      <w:r w:rsidR="009347AF">
        <w:t xml:space="preserve">) </w:t>
      </w:r>
      <w:r w:rsidR="008F7028">
        <w:t xml:space="preserve">wordt toegevoegd. </w:t>
      </w:r>
      <w:r w:rsidR="00CB6BEB">
        <w:t xml:space="preserve">Dat bedrijven inspelen op deze vormgeving van de uitzondering is niet nieuw. </w:t>
      </w:r>
    </w:p>
    <w:p w:rsidR="009E55A1" w:rsidP="00BB720B" w:rsidRDefault="009E55A1" w14:paraId="4A502850" w14:textId="77777777"/>
    <w:p w:rsidR="001B7AA0" w:rsidP="00BB720B" w:rsidRDefault="009E55A1" w14:paraId="0027570A" w14:textId="77777777">
      <w:r>
        <w:t>Onder scenario III</w:t>
      </w:r>
      <w:r w:rsidR="0055293A">
        <w:t xml:space="preserve"> wordt de definitie van de zuiveluitzondering aangepast. </w:t>
      </w:r>
      <w:r w:rsidR="00BB720B">
        <w:t xml:space="preserve">Voor </w:t>
      </w:r>
      <w:r w:rsidR="001B7AA0">
        <w:t xml:space="preserve">de </w:t>
      </w:r>
      <w:r w:rsidR="00BB720B">
        <w:t>nieuwe vormgeving kan worden overwogen aan te sluiten bij zogeheten GN-codes.</w:t>
      </w:r>
      <w:r w:rsidRPr="00BB720B" w:rsidR="00BB720B">
        <w:t xml:space="preserve"> </w:t>
      </w:r>
      <w:r w:rsidR="00BB720B">
        <w:t>Deze GN-codes worden gebruikt om producten op een objectieve wijze te classificeren, voornamelijk om het verschuldigde douanerecht bij invoer vast te stellen. Specifiek kan worden overwogen om aan te sluiten bij zuivel voor zover vallend onder GN-code 0401, te weten: “Melk en room, niet ingedikt, zonder toegevoegde suiker of andere zoetstoffen:</w:t>
      </w:r>
      <w:r w:rsidR="001B7AA0">
        <w:t>”. Met deze vormgeving blijven gebruikelijke zuiveldranken magere melk, halfvolle melk en volle melk uitgezonderd. Dranken met zuivel die niet vallen onder GN-code 0401 zoals chocolade</w:t>
      </w:r>
      <w:r w:rsidR="008F3346">
        <w:t xml:space="preserve">- </w:t>
      </w:r>
      <w:r w:rsidR="001B7AA0">
        <w:t xml:space="preserve">en frambozenmelk </w:t>
      </w:r>
      <w:r w:rsidR="008F3346">
        <w:t xml:space="preserve">en vruchtensappen met toegevoegd zuivel </w:t>
      </w:r>
      <w:r w:rsidR="001B7AA0">
        <w:t xml:space="preserve">zullen niet meer worden uitgezonderd. </w:t>
      </w:r>
    </w:p>
    <w:p w:rsidR="0055293A" w:rsidP="00BB720B" w:rsidRDefault="0055293A" w14:paraId="0042C32C" w14:textId="77777777"/>
    <w:p w:rsidR="001B7AA0" w:rsidP="00BB720B" w:rsidRDefault="00622767" w14:paraId="1C462CBB" w14:textId="77777777">
      <w:r>
        <w:t xml:space="preserve">De </w:t>
      </w:r>
      <w:r w:rsidR="001B7AA0">
        <w:t xml:space="preserve">wijziging in de vormgeving van de huidige uitzondering voor zuivel </w:t>
      </w:r>
      <w:r>
        <w:t xml:space="preserve">kan overigens </w:t>
      </w:r>
      <w:r w:rsidR="001B7AA0">
        <w:t>ook in de huidige</w:t>
      </w:r>
      <w:r>
        <w:t>,</w:t>
      </w:r>
      <w:r w:rsidR="001B7AA0">
        <w:t xml:space="preserve"> </w:t>
      </w:r>
      <w:r w:rsidR="00E40479">
        <w:t xml:space="preserve">niet op suikergehalte gebaseerde </w:t>
      </w:r>
      <w:r w:rsidR="001B7AA0">
        <w:t xml:space="preserve">verbruiksbelasting </w:t>
      </w:r>
      <w:r w:rsidR="00F303A8">
        <w:t>worden doorgevoerd.</w:t>
      </w:r>
      <w:r w:rsidR="0055293A">
        <w:t xml:space="preserve"> Ook als niet wordt </w:t>
      </w:r>
      <w:r>
        <w:t xml:space="preserve">overgestapt </w:t>
      </w:r>
      <w:r w:rsidR="0055293A">
        <w:t>naar een gedifferentieerde verbruiksbelasting, kan hiertoe dus worden overgegaan.</w:t>
      </w:r>
      <w:r w:rsidR="00F303A8">
        <w:t xml:space="preserve"> </w:t>
      </w:r>
      <w:r w:rsidR="00B538B4">
        <w:t xml:space="preserve">Deze aanpassing betreft een structuurwijziging met een voorbereidingsperiode van </w:t>
      </w:r>
      <w:r w:rsidR="001E2107">
        <w:t xml:space="preserve">minimaal </w:t>
      </w:r>
      <w:r w:rsidR="00B538B4">
        <w:t xml:space="preserve">12 tot 24 maanden. </w:t>
      </w:r>
      <w:r w:rsidR="00F303A8">
        <w:t>Op basis van het huidige tarief in de verbruiksbelasting (€</w:t>
      </w:r>
      <w:r w:rsidR="00101DC0">
        <w:t> </w:t>
      </w:r>
      <w:r w:rsidR="00F303A8">
        <w:t>26,13 per 100</w:t>
      </w:r>
      <w:r w:rsidR="00101DC0">
        <w:t> </w:t>
      </w:r>
      <w:r w:rsidR="00F303A8">
        <w:t xml:space="preserve">liter) levert aanpassing van de vormgeving zoals hierboven toegelicht een </w:t>
      </w:r>
      <w:r w:rsidR="00F303A8">
        <w:lastRenderedPageBreak/>
        <w:t>budgettaire opbrengst op van €</w:t>
      </w:r>
      <w:r w:rsidR="00101DC0">
        <w:t> </w:t>
      </w:r>
      <w:r w:rsidR="00FF6C4B">
        <w:t>2</w:t>
      </w:r>
      <w:r w:rsidR="00F22381">
        <w:t>32</w:t>
      </w:r>
      <w:r w:rsidR="00FF6C4B">
        <w:t xml:space="preserve"> </w:t>
      </w:r>
      <w:r w:rsidR="00F303A8">
        <w:t>miljoen</w:t>
      </w:r>
      <w:r w:rsidR="00F22381">
        <w:rPr>
          <w:rStyle w:val="Voetnootmarkering"/>
        </w:rPr>
        <w:footnoteReference w:id="46"/>
      </w:r>
      <w:r>
        <w:t xml:space="preserve"> die desgewenst kan worden ingezet </w:t>
      </w:r>
      <w:r w:rsidR="00F303A8">
        <w:t>voor een tariefverlaging</w:t>
      </w:r>
      <w:r w:rsidR="0055293A">
        <w:t>.</w:t>
      </w:r>
      <w:r w:rsidR="0036309B">
        <w:t xml:space="preserve"> </w:t>
      </w:r>
    </w:p>
    <w:p w:rsidR="00195D31" w:rsidP="00BB720B" w:rsidRDefault="00195D31" w14:paraId="4B2EB732" w14:textId="77777777"/>
    <w:p w:rsidRPr="00BB73C6" w:rsidR="00195D31" w:rsidP="18866C71" w:rsidRDefault="00195D31" w14:paraId="5A36D2F7" w14:textId="77777777">
      <w:pPr>
        <w:rPr>
          <w:i/>
          <w:iCs/>
        </w:rPr>
      </w:pPr>
      <w:r w:rsidRPr="18866C71">
        <w:rPr>
          <w:i/>
          <w:iCs/>
        </w:rPr>
        <w:t>3.</w:t>
      </w:r>
      <w:r w:rsidR="002C2639">
        <w:rPr>
          <w:i/>
          <w:iCs/>
        </w:rPr>
        <w:t>6</w:t>
      </w:r>
      <w:r w:rsidRPr="18866C71">
        <w:rPr>
          <w:i/>
          <w:iCs/>
        </w:rPr>
        <w:t>.2 Plantaardige alternatieven voor zuiveldranken</w:t>
      </w:r>
    </w:p>
    <w:p w:rsidR="00000D56" w:rsidP="00BB720B" w:rsidRDefault="00195D31" w14:paraId="04482F24" w14:textId="77777777">
      <w:r>
        <w:t xml:space="preserve">Als zuivel- en sojadranken van de verbruiksbelasting blijven uitgezonderd, komt de vraag op of deze uitzonderingspositie ook gerechtvaardigd is voor </w:t>
      </w:r>
      <w:r w:rsidR="00000D56">
        <w:t>plantaardige alternatieven voor zuivel</w:t>
      </w:r>
      <w:r>
        <w:t xml:space="preserve">dranken </w:t>
      </w:r>
      <w:r w:rsidR="00000D56">
        <w:t>zoals</w:t>
      </w:r>
      <w:r w:rsidRPr="26E369F4">
        <w:t xml:space="preserve"> </w:t>
      </w:r>
      <w:r w:rsidR="00000D56">
        <w:t xml:space="preserve">haver-, rijst- en amandeldrank. </w:t>
      </w:r>
      <w:r>
        <w:t xml:space="preserve">Het feit dat </w:t>
      </w:r>
      <w:r w:rsidR="00000D56">
        <w:t>zuivel</w:t>
      </w:r>
      <w:r w:rsidRPr="26E369F4">
        <w:t>-</w:t>
      </w:r>
      <w:r w:rsidR="00000D56">
        <w:t xml:space="preserve"> en sojadranken</w:t>
      </w:r>
      <w:r>
        <w:t xml:space="preserve"> zijn uitgezonderd en (andere) </w:t>
      </w:r>
      <w:r w:rsidR="00000D56">
        <w:t xml:space="preserve">plantaardige dranken </w:t>
      </w:r>
      <w:r>
        <w:t xml:space="preserve">– die voor vergelijkbare toepassingen kunnen worden gebruikt - niet, </w:t>
      </w:r>
      <w:r w:rsidR="00000D56">
        <w:t>creëert een ongelijk speelveld</w:t>
      </w:r>
      <w:r w:rsidRPr="26E369F4">
        <w:t xml:space="preserve">. </w:t>
      </w:r>
      <w:r w:rsidR="00000D56">
        <w:t>Dit ongelijke speelveld is toegenomen door de verhoging van het tarief in de verbruiksbelasting per 1 januari 2024.</w:t>
      </w:r>
      <w:r w:rsidR="00875584">
        <w:t xml:space="preserve"> Daarbij is het vanuit het oogpunt van duurzaamheid niet logisch dat zuiveldranken niet zijn belast, en plantaardige alternatieven wel. De productie van dierlijke eiwitten heeft immers </w:t>
      </w:r>
      <w:r w:rsidR="00C5643A">
        <w:t xml:space="preserve">grotere </w:t>
      </w:r>
      <w:r w:rsidR="00875584">
        <w:t>negatieve effecten op het klimaat, milieu en de kwaliteit van de leefomgeving.</w:t>
      </w:r>
      <w:r w:rsidR="00C5643A">
        <w:t xml:space="preserve"> Dit is één van de redenen voor het kabinet om in te zetten op een gezond </w:t>
      </w:r>
      <w:r w:rsidR="008B7EB7">
        <w:t>é</w:t>
      </w:r>
      <w:r w:rsidR="00C5643A">
        <w:t>n duurzaam voedselpatroon, ook kijkend naar de consumptie van dierlijke en plantaardige eiwitten.</w:t>
      </w:r>
      <w:r w:rsidR="00C5643A">
        <w:rPr>
          <w:rStyle w:val="Voetnootmarkering"/>
        </w:rPr>
        <w:footnoteReference w:id="47"/>
      </w:r>
      <w:r w:rsidR="00622767">
        <w:t xml:space="preserve"> </w:t>
      </w:r>
      <w:r w:rsidR="008B7EB7">
        <w:t xml:space="preserve">Wel geldt dat </w:t>
      </w:r>
      <w:r w:rsidR="00622767">
        <w:t xml:space="preserve">de alternatieven </w:t>
      </w:r>
      <w:r w:rsidR="00C5643A">
        <w:t xml:space="preserve">voor zuiveldranken </w:t>
      </w:r>
      <w:r w:rsidR="00622767">
        <w:t>niet altijd dezelfde voedingsstoffen</w:t>
      </w:r>
      <w:r w:rsidR="008B7EB7">
        <w:t xml:space="preserve"> bevatten die in zuiveldranken voorkomen</w:t>
      </w:r>
      <w:r w:rsidR="00622767">
        <w:t xml:space="preserve">, zoals </w:t>
      </w:r>
      <w:r w:rsidR="1A57C002">
        <w:t xml:space="preserve">calcium en </w:t>
      </w:r>
      <w:r w:rsidR="00622767">
        <w:t>vitamine B2</w:t>
      </w:r>
      <w:r w:rsidR="008B7EB7">
        <w:t>.</w:t>
      </w:r>
      <w:r w:rsidRPr="1A57C002">
        <w:rPr>
          <w:rStyle w:val="Voetnootmarkering"/>
        </w:rPr>
        <w:footnoteReference w:id="48"/>
      </w:r>
      <w:r w:rsidR="008B7EB7">
        <w:t xml:space="preserve"> Zoals in paragraaf </w:t>
      </w:r>
      <w:r w:rsidR="00E803DB">
        <w:t>3.4</w:t>
      </w:r>
      <w:r w:rsidR="008B7EB7">
        <w:t xml:space="preserve"> </w:t>
      </w:r>
      <w:r w:rsidR="00507320">
        <w:t xml:space="preserve">is </w:t>
      </w:r>
      <w:r w:rsidR="008B7EB7">
        <w:t>genoemd, kunnen deze voedingsstoffen echter ook op een andere manier worden geconsumeerd dan via het drinken van zuiveldrank</w:t>
      </w:r>
      <w:r w:rsidRPr="411CAE84" w:rsidR="008B7EB7">
        <w:t xml:space="preserve"> </w:t>
      </w:r>
      <w:r w:rsidR="008B7EB7">
        <w:t xml:space="preserve">en is er vanuit gezondheidsoptiek geen noodzaak om zuivel- en sojadranken door middel van </w:t>
      </w:r>
      <w:r w:rsidR="00507320">
        <w:t xml:space="preserve">een </w:t>
      </w:r>
      <w:r w:rsidR="008B7EB7">
        <w:t xml:space="preserve">uitzondering een afwijkende behandeling te </w:t>
      </w:r>
      <w:r w:rsidRPr="411CAE84" w:rsidR="008B7EB7">
        <w:t>geven.</w:t>
      </w:r>
    </w:p>
    <w:p w:rsidR="00E729BE" w:rsidP="00875584" w:rsidRDefault="00CE3B6B" w14:paraId="604530A6" w14:textId="77777777">
      <w:r>
        <w:t>Wat betreft de vraag naar de mogelijkheid om</w:t>
      </w:r>
      <w:r w:rsidDel="009347AF" w:rsidR="00A978B2">
        <w:t xml:space="preserve"> </w:t>
      </w:r>
      <w:r w:rsidR="00A77D5B">
        <w:t xml:space="preserve">voor </w:t>
      </w:r>
      <w:r w:rsidR="00E729BE">
        <w:t xml:space="preserve">plantaardige zuivelalternatieven </w:t>
      </w:r>
      <w:r>
        <w:t xml:space="preserve">óók </w:t>
      </w:r>
      <w:r w:rsidR="00195D31">
        <w:t>een uitzondering te creëren</w:t>
      </w:r>
      <w:r>
        <w:t xml:space="preserve">, geldt </w:t>
      </w:r>
      <w:r w:rsidR="00A77D5B">
        <w:t xml:space="preserve">dat het </w:t>
      </w:r>
      <w:r w:rsidR="00875584">
        <w:t xml:space="preserve">uitzonderen van een extra categorie dranken </w:t>
      </w:r>
      <w:r w:rsidR="00A77D5B">
        <w:t xml:space="preserve">direct </w:t>
      </w:r>
      <w:r w:rsidR="00875584">
        <w:t xml:space="preserve">leidt tot een tariefsverhoging voor de dranken die wel onder de verbruiksbelasting vallen. Daarbij is het lastig te omschrijven op grond van welke criteria sprake is van een plantaardig alternatief voor zuivel. Hierbij ontstaan afbakeningsvraagstukken, wat deze mogelijke uitzondering </w:t>
      </w:r>
      <w:r w:rsidR="00A77D5B">
        <w:t xml:space="preserve">naar verwachting niet </w:t>
      </w:r>
      <w:r w:rsidR="00875584">
        <w:t>uitvoerbaar maakt voor Douane.</w:t>
      </w:r>
      <w:r w:rsidR="009347AF">
        <w:t xml:space="preserve"> Verder geldt dat de aanwezigheid van lage gehalten van plantaardige alternatieven voor zuivel </w:t>
      </w:r>
      <w:r w:rsidR="00747B3B">
        <w:t>e</w:t>
      </w:r>
      <w:r w:rsidR="009347AF">
        <w:t>n het onderscheid tussen verschillende plantaardige bronnen niet door het Douane Laboratorium zijn vast te stellen</w:t>
      </w:r>
      <w:r w:rsidR="00747B3B">
        <w:t xml:space="preserve">, waardoor controle van de aanduiding van ingrediënten op de etiketten </w:t>
      </w:r>
      <w:r w:rsidR="004531C1">
        <w:t>voor het Douane</w:t>
      </w:r>
      <w:r w:rsidR="008B7128">
        <w:t xml:space="preserve"> L</w:t>
      </w:r>
      <w:r w:rsidR="004531C1">
        <w:t xml:space="preserve">aboratorium </w:t>
      </w:r>
      <w:r w:rsidR="00747B3B">
        <w:t>niet altijd mogelijk is.</w:t>
      </w:r>
    </w:p>
    <w:p w:rsidR="00660A06" w:rsidP="00DE2A83" w:rsidRDefault="00660A06" w14:paraId="59682F76" w14:textId="77777777">
      <w:pPr>
        <w:rPr>
          <w:b/>
          <w:bCs/>
          <w:i/>
          <w:iCs/>
        </w:rPr>
      </w:pPr>
    </w:p>
    <w:p w:rsidRPr="000B1DB1" w:rsidR="00FD452A" w:rsidP="35FA1F3E" w:rsidRDefault="00FD452A" w14:paraId="0CF1B5EF" w14:textId="77777777">
      <w:pPr>
        <w:rPr>
          <w:b/>
          <w:i/>
        </w:rPr>
      </w:pPr>
      <w:r w:rsidRPr="35FA1F3E">
        <w:rPr>
          <w:b/>
          <w:bCs/>
          <w:i/>
          <w:iCs/>
        </w:rPr>
        <w:t>3.</w:t>
      </w:r>
      <w:r w:rsidR="002C2639">
        <w:rPr>
          <w:b/>
          <w:bCs/>
          <w:i/>
          <w:iCs/>
        </w:rPr>
        <w:t>7</w:t>
      </w:r>
      <w:r w:rsidRPr="35FA1F3E">
        <w:rPr>
          <w:b/>
          <w:bCs/>
          <w:i/>
          <w:iCs/>
        </w:rPr>
        <w:t xml:space="preserve"> Scenario </w:t>
      </w:r>
      <w:proofErr w:type="spellStart"/>
      <w:r w:rsidRPr="35FA1F3E">
        <w:rPr>
          <w:b/>
          <w:bCs/>
          <w:i/>
          <w:iCs/>
        </w:rPr>
        <w:t>IV</w:t>
      </w:r>
      <w:r w:rsidRPr="35FA1F3E" w:rsidR="008F3346">
        <w:rPr>
          <w:b/>
          <w:bCs/>
          <w:i/>
          <w:iCs/>
        </w:rPr>
        <w:t>a</w:t>
      </w:r>
      <w:proofErr w:type="spellEnd"/>
      <w:r w:rsidRPr="35FA1F3E" w:rsidR="008F3346">
        <w:rPr>
          <w:b/>
          <w:bCs/>
          <w:i/>
          <w:iCs/>
        </w:rPr>
        <w:t xml:space="preserve"> en </w:t>
      </w:r>
      <w:proofErr w:type="spellStart"/>
      <w:r w:rsidR="005023E0">
        <w:rPr>
          <w:b/>
          <w:bCs/>
          <w:i/>
          <w:iCs/>
        </w:rPr>
        <w:t>IV</w:t>
      </w:r>
      <w:r w:rsidRPr="35FA1F3E" w:rsidR="008F3346">
        <w:rPr>
          <w:b/>
          <w:bCs/>
          <w:i/>
          <w:iCs/>
        </w:rPr>
        <w:t>b</w:t>
      </w:r>
      <w:proofErr w:type="spellEnd"/>
      <w:r w:rsidRPr="35FA1F3E">
        <w:rPr>
          <w:b/>
          <w:bCs/>
          <w:i/>
          <w:iCs/>
        </w:rPr>
        <w:t xml:space="preserve">: </w:t>
      </w:r>
      <w:r w:rsidR="00D31983">
        <w:rPr>
          <w:b/>
          <w:bCs/>
          <w:i/>
          <w:iCs/>
        </w:rPr>
        <w:t xml:space="preserve">pure </w:t>
      </w:r>
      <w:r w:rsidRPr="35FA1F3E" w:rsidR="008F3346">
        <w:rPr>
          <w:b/>
          <w:bCs/>
          <w:i/>
          <w:iCs/>
        </w:rPr>
        <w:t xml:space="preserve">vruchten- en groentesappen </w:t>
      </w:r>
      <w:r w:rsidR="005A6C7D">
        <w:rPr>
          <w:b/>
          <w:bCs/>
          <w:i/>
          <w:iCs/>
        </w:rPr>
        <w:t>belast met</w:t>
      </w:r>
      <w:r w:rsidRPr="35FA1F3E" w:rsidR="005A6C7D">
        <w:rPr>
          <w:b/>
          <w:bCs/>
          <w:i/>
          <w:iCs/>
        </w:rPr>
        <w:t xml:space="preserve"> </w:t>
      </w:r>
      <w:r w:rsidRPr="35FA1F3E" w:rsidR="008F3346">
        <w:rPr>
          <w:b/>
          <w:bCs/>
          <w:i/>
          <w:iCs/>
        </w:rPr>
        <w:t>het laagste tarief (</w:t>
      </w:r>
      <w:proofErr w:type="spellStart"/>
      <w:r w:rsidRPr="35FA1F3E" w:rsidR="008F3346">
        <w:rPr>
          <w:b/>
          <w:bCs/>
          <w:i/>
          <w:iCs/>
        </w:rPr>
        <w:t>IV</w:t>
      </w:r>
      <w:r w:rsidR="00085E1A">
        <w:rPr>
          <w:b/>
          <w:bCs/>
          <w:i/>
          <w:iCs/>
        </w:rPr>
        <w:t>a</w:t>
      </w:r>
      <w:proofErr w:type="spellEnd"/>
      <w:r w:rsidRPr="35FA1F3E" w:rsidR="008F3346">
        <w:rPr>
          <w:b/>
          <w:bCs/>
          <w:i/>
          <w:iCs/>
        </w:rPr>
        <w:t>)</w:t>
      </w:r>
      <w:r w:rsidRPr="35FA1F3E" w:rsidR="00C403CE">
        <w:rPr>
          <w:b/>
          <w:bCs/>
          <w:i/>
          <w:iCs/>
        </w:rPr>
        <w:t xml:space="preserve"> </w:t>
      </w:r>
      <w:r w:rsidR="00085E1A">
        <w:rPr>
          <w:b/>
          <w:bCs/>
          <w:i/>
          <w:iCs/>
        </w:rPr>
        <w:t xml:space="preserve">of </w:t>
      </w:r>
      <w:r w:rsidRPr="35FA1F3E" w:rsidR="00085E1A">
        <w:rPr>
          <w:b/>
          <w:bCs/>
          <w:i/>
          <w:iCs/>
        </w:rPr>
        <w:t>pure vruchten- en groentesappen uitgezonderd (</w:t>
      </w:r>
      <w:proofErr w:type="spellStart"/>
      <w:r w:rsidRPr="35FA1F3E" w:rsidR="00085E1A">
        <w:rPr>
          <w:b/>
          <w:bCs/>
          <w:i/>
          <w:iCs/>
        </w:rPr>
        <w:t>IV</w:t>
      </w:r>
      <w:r w:rsidR="00085E1A">
        <w:rPr>
          <w:b/>
          <w:bCs/>
          <w:i/>
          <w:iCs/>
        </w:rPr>
        <w:t>b</w:t>
      </w:r>
      <w:proofErr w:type="spellEnd"/>
      <w:r w:rsidRPr="35FA1F3E" w:rsidR="00085E1A">
        <w:rPr>
          <w:b/>
          <w:bCs/>
          <w:i/>
          <w:iCs/>
        </w:rPr>
        <w:t xml:space="preserve">) </w:t>
      </w:r>
      <w:r w:rsidRPr="35FA1F3E" w:rsidR="00C403CE">
        <w:rPr>
          <w:b/>
          <w:bCs/>
          <w:i/>
          <w:iCs/>
        </w:rPr>
        <w:t>(motie Erkens)</w:t>
      </w:r>
    </w:p>
    <w:p w:rsidR="00FD452A" w:rsidP="00DE2A83" w:rsidRDefault="00FD452A" w14:paraId="2FDD532A" w14:textId="77777777">
      <w:pPr>
        <w:rPr>
          <w:b/>
          <w:bCs/>
          <w:i/>
          <w:iCs/>
        </w:rPr>
      </w:pPr>
    </w:p>
    <w:p w:rsidR="00CD36D1" w:rsidP="00CD36D1" w:rsidRDefault="00AE6DEC" w14:paraId="58CC34B8" w14:textId="77777777">
      <w:pPr>
        <w:pBdr>
          <w:top w:val="single" w:color="auto" w:sz="4" w:space="1"/>
          <w:left w:val="single" w:color="auto" w:sz="4" w:space="4"/>
          <w:bottom w:val="single" w:color="auto" w:sz="4" w:space="1"/>
          <w:right w:val="single" w:color="auto" w:sz="4" w:space="4"/>
        </w:pBdr>
      </w:pPr>
      <w:r>
        <w:t xml:space="preserve">In </w:t>
      </w:r>
      <w:r w:rsidRPr="00F76EDB">
        <w:rPr>
          <w:b/>
        </w:rPr>
        <w:t xml:space="preserve">scenario </w:t>
      </w:r>
      <w:proofErr w:type="spellStart"/>
      <w:r w:rsidRPr="00F76EDB">
        <w:rPr>
          <w:b/>
        </w:rPr>
        <w:t>IV</w:t>
      </w:r>
      <w:r w:rsidRPr="00F76EDB" w:rsidR="006E52F0">
        <w:rPr>
          <w:b/>
        </w:rPr>
        <w:t>a</w:t>
      </w:r>
      <w:proofErr w:type="spellEnd"/>
      <w:r>
        <w:t xml:space="preserve"> worden </w:t>
      </w:r>
      <w:r w:rsidR="006E52F0">
        <w:t>mineraalwater en zuivel- en sojadranke</w:t>
      </w:r>
      <w:r w:rsidR="0045698B">
        <w:t>n</w:t>
      </w:r>
      <w:r w:rsidR="00AB3DF1">
        <w:t xml:space="preserve"> uitgezonderd en worden</w:t>
      </w:r>
      <w:r w:rsidR="006E52F0">
        <w:t xml:space="preserve"> </w:t>
      </w:r>
      <w:r w:rsidR="00CD36D1">
        <w:t xml:space="preserve">pure vruchten- en groentesappen belast </w:t>
      </w:r>
      <w:r w:rsidR="005A6C7D">
        <w:t xml:space="preserve">met </w:t>
      </w:r>
      <w:r w:rsidR="00CD36D1">
        <w:t xml:space="preserve">het laagste tarief. </w:t>
      </w:r>
    </w:p>
    <w:p w:rsidR="006E52F0" w:rsidP="006E52F0" w:rsidRDefault="006E52F0" w14:paraId="2D0F551B" w14:textId="77777777">
      <w:pPr>
        <w:pBdr>
          <w:top w:val="single" w:color="auto" w:sz="4" w:space="1"/>
          <w:left w:val="single" w:color="auto" w:sz="4" w:space="4"/>
          <w:bottom w:val="single" w:color="auto" w:sz="4" w:space="1"/>
          <w:right w:val="single" w:color="auto" w:sz="4" w:space="4"/>
        </w:pBdr>
      </w:pPr>
      <w:r>
        <w:t xml:space="preserve">In </w:t>
      </w:r>
      <w:r w:rsidRPr="00F76EDB">
        <w:rPr>
          <w:b/>
        </w:rPr>
        <w:t xml:space="preserve">scenario </w:t>
      </w:r>
      <w:proofErr w:type="spellStart"/>
      <w:r w:rsidRPr="00F76EDB">
        <w:rPr>
          <w:b/>
        </w:rPr>
        <w:t>IVb</w:t>
      </w:r>
      <w:proofErr w:type="spellEnd"/>
      <w:r>
        <w:t xml:space="preserve"> worden </w:t>
      </w:r>
      <w:r w:rsidR="00CD36D1">
        <w:t xml:space="preserve">naast </w:t>
      </w:r>
      <w:r>
        <w:t xml:space="preserve">mineraalwater en zuivel- en sojadranken </w:t>
      </w:r>
      <w:r w:rsidR="00CD36D1">
        <w:t xml:space="preserve">ook pure vruchten- en groentesappen uitgezonderd van de verbruiksbelasting </w:t>
      </w:r>
      <w:r w:rsidR="004B7C34">
        <w:t>van alcoholvrije dranken</w:t>
      </w:r>
      <w:r w:rsidR="00CD36D1">
        <w:t>.</w:t>
      </w:r>
    </w:p>
    <w:p w:rsidR="005A6C7D" w:rsidP="006E52F0" w:rsidRDefault="00AB3DF1" w14:paraId="4040B39E" w14:textId="77777777">
      <w:pPr>
        <w:pBdr>
          <w:top w:val="single" w:color="auto" w:sz="4" w:space="1"/>
          <w:left w:val="single" w:color="auto" w:sz="4" w:space="4"/>
          <w:bottom w:val="single" w:color="auto" w:sz="4" w:space="1"/>
          <w:right w:val="single" w:color="auto" w:sz="4" w:space="4"/>
        </w:pBdr>
      </w:pPr>
      <w:r>
        <w:t xml:space="preserve">In scenario’s </w:t>
      </w:r>
      <w:proofErr w:type="spellStart"/>
      <w:r>
        <w:t>IVa</w:t>
      </w:r>
      <w:proofErr w:type="spellEnd"/>
      <w:r>
        <w:t xml:space="preserve"> en </w:t>
      </w:r>
      <w:proofErr w:type="spellStart"/>
      <w:r>
        <w:t>IVb</w:t>
      </w:r>
      <w:proofErr w:type="spellEnd"/>
      <w:r>
        <w:t xml:space="preserve"> geldt de huidige verbruiksbelasting als vertrekpunt. Daardoor zijn </w:t>
      </w:r>
      <w:r w:rsidR="006B1BFC">
        <w:t xml:space="preserve">in deze scenario’s </w:t>
      </w:r>
      <w:r>
        <w:t>zuivel- en sojadranken uitgezonderd</w:t>
      </w:r>
      <w:r w:rsidR="006B1BFC">
        <w:t>,</w:t>
      </w:r>
      <w:r>
        <w:t xml:space="preserve"> ongeacht het suikergehalte. </w:t>
      </w:r>
      <w:r w:rsidR="006B1BFC">
        <w:t>Zoals aangegeven zijn deze scenario</w:t>
      </w:r>
      <w:r w:rsidR="00FB0063">
        <w:t>’</w:t>
      </w:r>
      <w:r w:rsidR="006B1BFC">
        <w:t>s indicatief</w:t>
      </w:r>
      <w:r w:rsidR="00FB0063">
        <w:t>. Zo kan er bijvoorbeeld</w:t>
      </w:r>
      <w:r w:rsidR="00DA5B22">
        <w:t>,</w:t>
      </w:r>
      <w:r w:rsidR="00FB0063">
        <w:t xml:space="preserve"> n</w:t>
      </w:r>
      <w:r w:rsidRPr="00FB0063" w:rsidR="00FB0063">
        <w:t>et als bij scenario III</w:t>
      </w:r>
      <w:r w:rsidR="00DA5B22">
        <w:t>,</w:t>
      </w:r>
      <w:r w:rsidRPr="00FB0063" w:rsidR="00FB0063">
        <w:t xml:space="preserve"> binnen de scenario</w:t>
      </w:r>
      <w:r w:rsidR="00FB0063">
        <w:t>’</w:t>
      </w:r>
      <w:r w:rsidRPr="00FB0063" w:rsidR="00FB0063">
        <w:t xml:space="preserve">s </w:t>
      </w:r>
      <w:proofErr w:type="spellStart"/>
      <w:r w:rsidR="00FB0063">
        <w:t>IVa</w:t>
      </w:r>
      <w:proofErr w:type="spellEnd"/>
      <w:r w:rsidR="00FB0063">
        <w:t xml:space="preserve"> en </w:t>
      </w:r>
      <w:proofErr w:type="spellStart"/>
      <w:r w:rsidR="00FB0063">
        <w:t>IVb</w:t>
      </w:r>
      <w:proofErr w:type="spellEnd"/>
      <w:r w:rsidR="00FB0063">
        <w:t xml:space="preserve"> </w:t>
      </w:r>
      <w:r w:rsidRPr="00FB0063" w:rsidR="00FB0063">
        <w:t xml:space="preserve">worden gekozen om de uitzondering voor zuivel anders vorm te geven, zodat </w:t>
      </w:r>
      <w:r w:rsidRPr="00FB0063" w:rsidR="00FB0063">
        <w:lastRenderedPageBreak/>
        <w:t>zuiveldranken met veel suiker of vruchtensap en frisdrank met een geringe hoeveelheid melkvet niet langer onder de uitzondering vallen.</w:t>
      </w:r>
    </w:p>
    <w:p w:rsidR="006E52F0" w:rsidP="00DE2A83" w:rsidRDefault="006E52F0" w14:paraId="0D3780D4" w14:textId="77777777"/>
    <w:p w:rsidR="009A2B17" w:rsidRDefault="005B6B24" w14:paraId="255602FC" w14:textId="77777777">
      <w:r w:rsidRPr="00C403CE">
        <w:t>I</w:t>
      </w:r>
      <w:r>
        <w:t xml:space="preserve">n de huidige verbruiksbelasting zijn </w:t>
      </w:r>
      <w:r w:rsidR="009301CF">
        <w:t xml:space="preserve">pure </w:t>
      </w:r>
      <w:r>
        <w:t>vruchten- en groentesappen</w:t>
      </w:r>
      <w:r w:rsidR="00255829">
        <w:t xml:space="preserve"> </w:t>
      </w:r>
      <w:r>
        <w:t>belast met het vlakke tarief van € 26,13 per 100</w:t>
      </w:r>
      <w:r w:rsidR="00101DC0">
        <w:t> </w:t>
      </w:r>
      <w:r>
        <w:t xml:space="preserve">liter. Binnen de </w:t>
      </w:r>
      <w:r w:rsidR="00255829">
        <w:t>wet en in de aangifte verbruiksbelasting</w:t>
      </w:r>
      <w:r>
        <w:t xml:space="preserve"> zijn vruchten- en groentesappen aangemerkt als aparte categorie</w:t>
      </w:r>
      <w:r w:rsidR="00255829">
        <w:t>.</w:t>
      </w:r>
      <w:r w:rsidR="00966BA1">
        <w:t xml:space="preserve"> </w:t>
      </w:r>
      <w:r w:rsidR="004166C0">
        <w:t xml:space="preserve">Voor mogelijke afbakening kan ook worden overwogen aan te sluiten bij GN-codes. </w:t>
      </w:r>
    </w:p>
    <w:p w:rsidR="009A2B17" w:rsidRDefault="009A2B17" w14:paraId="6FBD3956" w14:textId="77777777"/>
    <w:p w:rsidR="00023E28" w:rsidRDefault="009301CF" w14:paraId="494D967F" w14:textId="77777777">
      <w:r>
        <w:t>Pure v</w:t>
      </w:r>
      <w:r w:rsidR="005B6B24">
        <w:t xml:space="preserve">ruchten- en groentesappen bevatten doorgaans veel natuurlijke suikers </w:t>
      </w:r>
      <w:r w:rsidR="00255829">
        <w:t xml:space="preserve">(gemiddeld 8 tot 10 gram suiker per 100 milliliter) </w:t>
      </w:r>
      <w:r w:rsidR="005B6B24">
        <w:t>en geen toegevoegde suiker</w:t>
      </w:r>
      <w:r w:rsidR="00255829">
        <w:t>s</w:t>
      </w:r>
      <w:r w:rsidRPr="42042ECE" w:rsidR="005B6B24">
        <w:t xml:space="preserve">. </w:t>
      </w:r>
      <w:r w:rsidR="00023E28">
        <w:t xml:space="preserve">Vanwege het hoge suikergehalte zijn pure vruchten- en groentesappen niet opgenomen in de Schijf van Vijf. Zoals eerder aangegeven consumeer je bij het drinken van een glas puur sinaasappelsap bijvoorbeeld wel </w:t>
      </w:r>
      <w:r w:rsidRPr="00AD49D3" w:rsidR="00023E28">
        <w:t>vijf sinaasappels</w:t>
      </w:r>
      <w:r w:rsidR="000D21B2">
        <w:t xml:space="preserve"> (en dus veel suiker)</w:t>
      </w:r>
      <w:r w:rsidR="00023E28">
        <w:t xml:space="preserve">, terwijl je </w:t>
      </w:r>
      <w:r w:rsidRPr="00AD49D3" w:rsidR="00023E28">
        <w:t>die n</w:t>
      </w:r>
      <w:r w:rsidR="00023E28">
        <w:t xml:space="preserve">iet </w:t>
      </w:r>
      <w:r w:rsidRPr="00AD49D3" w:rsidR="00023E28">
        <w:t>zo snel achter elkaar</w:t>
      </w:r>
      <w:r w:rsidR="00023E28">
        <w:t xml:space="preserve"> z</w:t>
      </w:r>
      <w:r w:rsidR="004531C1">
        <w:t>ult</w:t>
      </w:r>
      <w:r w:rsidR="00023E28">
        <w:t xml:space="preserve"> opeten. </w:t>
      </w:r>
      <w:r w:rsidRPr="3425CD68" w:rsidR="00023E28">
        <w:t>Bovendien bevat</w:t>
      </w:r>
      <w:r w:rsidRPr="67704C50" w:rsidR="00023E28">
        <w:t xml:space="preserve"> </w:t>
      </w:r>
      <w:r w:rsidRPr="3425CD68" w:rsidR="00023E28">
        <w:t>d</w:t>
      </w:r>
      <w:r w:rsidRPr="7F8EBF78" w:rsidR="00023E28">
        <w:t xml:space="preserve">e hele vrucht, in tegenstelling tot sap, vezels die de opname van suiker in het </w:t>
      </w:r>
      <w:r w:rsidRPr="3E6BA1A1" w:rsidR="00023E28">
        <w:t>lichaam vertragen.</w:t>
      </w:r>
      <w:r w:rsidR="00023E28">
        <w:t xml:space="preserve"> Wel bevatten vruchten- en groentesappen gezonde </w:t>
      </w:r>
      <w:r w:rsidRPr="0036474B" w:rsidR="00023E28">
        <w:t>micronutriënten zoals vitamines en vezels, die frisdranken normaliter niet hebben</w:t>
      </w:r>
      <w:r w:rsidR="00023E28">
        <w:t xml:space="preserve">. In brede zin is er vanuit een gezondheidsperspectief echter geen overtuigende reden om de consumptie van pure vruchten- en groentesappen te stimuleren. </w:t>
      </w:r>
    </w:p>
    <w:p w:rsidR="000D21B2" w:rsidRDefault="000D21B2" w14:paraId="40936286" w14:textId="77777777"/>
    <w:p w:rsidR="00023E28" w:rsidRDefault="00023E28" w14:paraId="71378718" w14:textId="6C52DFA0">
      <w:pPr>
        <w:rPr>
          <w:rFonts w:eastAsia="Verdana" w:cs="Verdana"/>
        </w:rPr>
      </w:pPr>
      <w:r>
        <w:t>Voor de p</w:t>
      </w:r>
      <w:r w:rsidR="005B6B24">
        <w:t xml:space="preserve">roducenten van </w:t>
      </w:r>
      <w:r w:rsidR="009301CF">
        <w:t>pure vruchten- en groente</w:t>
      </w:r>
      <w:r w:rsidR="005B6B24">
        <w:t xml:space="preserve">sappen </w:t>
      </w:r>
      <w:r>
        <w:t xml:space="preserve">geldt dat zij </w:t>
      </w:r>
      <w:r w:rsidR="005B6B24">
        <w:t>hun dranken niet</w:t>
      </w:r>
      <w:r>
        <w:t xml:space="preserve"> kunnen</w:t>
      </w:r>
      <w:r w:rsidR="005B6B24">
        <w:t xml:space="preserve"> herformuleren door het suikergehalte te verlagen. </w:t>
      </w:r>
      <w:r>
        <w:t xml:space="preserve">Wel geldt dat </w:t>
      </w:r>
      <w:r w:rsidRPr="00BB73C6" w:rsidR="18866C71">
        <w:rPr>
          <w:rFonts w:eastAsia="Verdana" w:cs="Verdana"/>
        </w:rPr>
        <w:t xml:space="preserve">de herziening van Verordening 2001/112/EC over vruchtensappen in de </w:t>
      </w:r>
      <w:r>
        <w:rPr>
          <w:rFonts w:eastAsia="Verdana" w:cs="Verdana"/>
        </w:rPr>
        <w:t xml:space="preserve">Europese Unie in </w:t>
      </w:r>
      <w:r w:rsidRPr="00BB73C6" w:rsidR="18866C71">
        <w:rPr>
          <w:rFonts w:eastAsia="Verdana" w:cs="Verdana"/>
        </w:rPr>
        <w:t>afrondende fase</w:t>
      </w:r>
      <w:r>
        <w:rPr>
          <w:rFonts w:eastAsia="Verdana" w:cs="Verdana"/>
        </w:rPr>
        <w:t xml:space="preserve"> is</w:t>
      </w:r>
      <w:r w:rsidR="000D21B2">
        <w:rPr>
          <w:rFonts w:eastAsia="Verdana" w:cs="Verdana"/>
        </w:rPr>
        <w:t xml:space="preserve">. Het ziet ernaar uit </w:t>
      </w:r>
      <w:r w:rsidRPr="00BB73C6" w:rsidR="18866C71">
        <w:rPr>
          <w:rFonts w:eastAsia="Verdana" w:cs="Verdana"/>
        </w:rPr>
        <w:t xml:space="preserve">dat hierin de mogelijkheid wordt gecreëerd om vruchtensap met gereduceerd suikergehalte op de markt te brengen. De suikerreductie moet dan 30% zijn, vergeleken met </w:t>
      </w:r>
      <w:r w:rsidR="00526B5E">
        <w:rPr>
          <w:rFonts w:eastAsia="Verdana" w:cs="Verdana"/>
        </w:rPr>
        <w:t xml:space="preserve">de </w:t>
      </w:r>
      <w:r w:rsidRPr="00BB73C6" w:rsidR="18866C71">
        <w:rPr>
          <w:rFonts w:eastAsia="Verdana" w:cs="Verdana"/>
        </w:rPr>
        <w:t xml:space="preserve">gemiddelde variant </w:t>
      </w:r>
      <w:r w:rsidR="00526B5E">
        <w:rPr>
          <w:rFonts w:eastAsia="Verdana" w:cs="Verdana"/>
        </w:rPr>
        <w:t xml:space="preserve">van </w:t>
      </w:r>
      <w:r w:rsidRPr="00BB73C6" w:rsidR="18866C71">
        <w:rPr>
          <w:rFonts w:eastAsia="Verdana" w:cs="Verdana"/>
        </w:rPr>
        <w:t>vruchtensap.</w:t>
      </w:r>
      <w:r w:rsidR="000D21B2">
        <w:rPr>
          <w:rFonts w:eastAsia="Verdana" w:cs="Verdana"/>
        </w:rPr>
        <w:t xml:space="preserve"> Het kan zijn dat deze ontwikkeling de producenten van pure vruchten- en groentesappen meer mogelijkheden biedt om het suikergehalte in hun dranken te verminderen. </w:t>
      </w:r>
      <w:r w:rsidR="005B0EED">
        <w:rPr>
          <w:rFonts w:eastAsia="Verdana" w:cs="Verdana"/>
        </w:rPr>
        <w:t>Uw Kamer wordt op de hoogte gehouden van deze ontwikkelingen.</w:t>
      </w:r>
    </w:p>
    <w:p w:rsidRPr="00BB73C6" w:rsidR="00584036" w:rsidRDefault="00584036" w14:paraId="10AEB8D2" w14:textId="2B912E73">
      <w:pPr>
        <w:rPr>
          <w:color w:val="000000" w:themeColor="text1"/>
        </w:rPr>
      </w:pPr>
      <w:r>
        <w:rPr>
          <w:color w:val="000000" w:themeColor="text1"/>
        </w:rPr>
        <w:t>Als aan pure vruchten- en groentesappen suiker wordt toegevoegd, dan kan de Douane dit achteraf niet controleren</w:t>
      </w:r>
      <w:r w:rsidR="006231F6">
        <w:rPr>
          <w:color w:val="000000" w:themeColor="text1"/>
        </w:rPr>
        <w:t xml:space="preserve"> (</w:t>
      </w:r>
      <w:r w:rsidR="008C6227">
        <w:rPr>
          <w:color w:val="000000" w:themeColor="text1"/>
        </w:rPr>
        <w:t xml:space="preserve">zie </w:t>
      </w:r>
      <w:r w:rsidR="006231F6">
        <w:rPr>
          <w:color w:val="000000" w:themeColor="text1"/>
        </w:rPr>
        <w:t>paragraaf 2.3)</w:t>
      </w:r>
      <w:r>
        <w:rPr>
          <w:color w:val="000000" w:themeColor="text1"/>
        </w:rPr>
        <w:t>. Dit kan risico’s voor het stelsel met zich brengen.</w:t>
      </w:r>
    </w:p>
    <w:p w:rsidR="005B6B24" w:rsidP="00DE2A83" w:rsidRDefault="005B6B24" w14:paraId="7A468A71" w14:textId="77777777"/>
    <w:p w:rsidR="0036474B" w:rsidP="00DE2A83" w:rsidRDefault="00255829" w14:paraId="7F3A1273" w14:textId="77777777">
      <w:r>
        <w:t xml:space="preserve">Mocht uw Kamer </w:t>
      </w:r>
      <w:r w:rsidR="009301CF">
        <w:t xml:space="preserve">pure </w:t>
      </w:r>
      <w:r>
        <w:t>vruchten- en groentesappen fiscaal willen stimuleren</w:t>
      </w:r>
      <w:r w:rsidR="00A978B2">
        <w:t xml:space="preserve"> ten opzichte van</w:t>
      </w:r>
      <w:r w:rsidR="00AB1B7A">
        <w:t xml:space="preserve"> andere</w:t>
      </w:r>
      <w:r w:rsidR="00A978B2">
        <w:t xml:space="preserve"> suikerhoudende frisdranken</w:t>
      </w:r>
      <w:r>
        <w:t xml:space="preserve">, </w:t>
      </w:r>
      <w:r w:rsidR="00AB1B7A">
        <w:t xml:space="preserve">dan </w:t>
      </w:r>
      <w:r>
        <w:t>k</w:t>
      </w:r>
      <w:r w:rsidR="0036474B">
        <w:t xml:space="preserve">an worden overwogen om pure vruchten- en groentesappen te belasten tegen het laagste tarief </w:t>
      </w:r>
      <w:r w:rsidR="003071DB">
        <w:t>dat hoort bij dranken met 0 tot en met 1 gram suiker per 100 m</w:t>
      </w:r>
      <w:r w:rsidR="008325EB">
        <w:t>illi</w:t>
      </w:r>
      <w:r w:rsidR="003071DB">
        <w:t>l</w:t>
      </w:r>
      <w:r w:rsidR="00FB3FBF">
        <w:t>iter</w:t>
      </w:r>
      <w:r w:rsidR="003071DB">
        <w:t xml:space="preserve"> </w:t>
      </w:r>
      <w:r w:rsidR="0036474B">
        <w:t>(</w:t>
      </w:r>
      <w:r w:rsidR="003071DB">
        <w:t xml:space="preserve">feitelijk </w:t>
      </w:r>
      <w:r w:rsidR="0036474B">
        <w:t>een korting</w:t>
      </w:r>
      <w:r w:rsidR="003071DB">
        <w:t xml:space="preserve"> voor pure vruchten- en groentesappen</w:t>
      </w:r>
      <w:r w:rsidR="0036474B">
        <w:t>)</w:t>
      </w:r>
      <w:r w:rsidR="00A978B2">
        <w:t xml:space="preserve">. Een verdergaande optie is </w:t>
      </w:r>
      <w:r w:rsidR="0036474B">
        <w:t xml:space="preserve">om </w:t>
      </w:r>
      <w:r w:rsidR="009301CF">
        <w:t xml:space="preserve">pure </w:t>
      </w:r>
      <w:r w:rsidR="0036474B">
        <w:t>vruchten- en groentesappen volledig uit te zonderen</w:t>
      </w:r>
      <w:r w:rsidR="00C323D9">
        <w:t xml:space="preserve"> van de verbruiksbelasting van alcoholvrije dranken</w:t>
      </w:r>
      <w:r w:rsidR="0036474B">
        <w:t xml:space="preserve">. In </w:t>
      </w:r>
      <w:r>
        <w:t>beide gevallen</w:t>
      </w:r>
      <w:r w:rsidR="0036474B">
        <w:t xml:space="preserve"> wordt aangesloten bij de motie Erkens c.s. die oproept om differentiatie mogelijk te maken tussen vruchtensappen en andere dranken.</w:t>
      </w:r>
      <w:r w:rsidRPr="61E0F79F" w:rsidR="000E1586">
        <w:t xml:space="preserve"> </w:t>
      </w:r>
      <w:r w:rsidR="000E1586">
        <w:t xml:space="preserve">Het </w:t>
      </w:r>
      <w:r w:rsidR="009301CF">
        <w:t xml:space="preserve">wel of niet </w:t>
      </w:r>
      <w:r w:rsidR="000E1586">
        <w:t xml:space="preserve">uitzonderen van </w:t>
      </w:r>
      <w:r w:rsidR="009301CF">
        <w:t xml:space="preserve">pure </w:t>
      </w:r>
      <w:r w:rsidR="000E1586">
        <w:t xml:space="preserve">vruchten- en groentesappen hangt </w:t>
      </w:r>
      <w:r w:rsidR="009301CF">
        <w:t xml:space="preserve">af van </w:t>
      </w:r>
      <w:r w:rsidR="000E1586">
        <w:t>het doel van de gedifferentieerde verbruiksbelasting</w:t>
      </w:r>
      <w:r w:rsidR="00C323D9">
        <w:t xml:space="preserve"> (zie paragrafen 2.2 en 2.3)</w:t>
      </w:r>
      <w:r w:rsidR="000E1586">
        <w:t>.</w:t>
      </w:r>
      <w:r w:rsidR="00C323D9">
        <w:t xml:space="preserve"> Als het hoofddoel van de belasting is </w:t>
      </w:r>
      <w:r w:rsidR="000E1586">
        <w:t>om producenten te stimuleren tot herformulering, dan kan het logisch zijn om vruchten- en groentesappen uit te zonderen.</w:t>
      </w:r>
    </w:p>
    <w:p w:rsidR="00C323D9" w:rsidP="00DE2A83" w:rsidRDefault="00C323D9" w14:paraId="71E2BA4A" w14:textId="77777777"/>
    <w:p w:rsidR="000E1586" w:rsidP="00DE2A83" w:rsidRDefault="000E1586" w14:paraId="2211941B" w14:textId="77777777">
      <w:r>
        <w:t>Uitgaande van d</w:t>
      </w:r>
      <w:r w:rsidR="0036474B">
        <w:t xml:space="preserve">e huidige verbruiksbelasting zou het uitzonderen van </w:t>
      </w:r>
      <w:r w:rsidR="00444C71">
        <w:t xml:space="preserve">pure </w:t>
      </w:r>
      <w:r w:rsidR="0036474B">
        <w:t xml:space="preserve">vruchten- en groentesappen een nieuwe uitzondering zijn. Daarvoor is vereist dat het toetsingskader fiscale regelingen moet worden doorlopen. </w:t>
      </w:r>
      <w:r w:rsidR="00C323D9">
        <w:t xml:space="preserve">Daarbij leidt </w:t>
      </w:r>
      <w:r w:rsidR="00444C71">
        <w:t>h</w:t>
      </w:r>
      <w:r w:rsidRPr="000E1586" w:rsidR="00444C71">
        <w:t xml:space="preserve">et </w:t>
      </w:r>
      <w:r w:rsidRPr="000E1586" w:rsidR="00444C71">
        <w:lastRenderedPageBreak/>
        <w:t xml:space="preserve">uitzonderen van pure vruchten- en groentesappen </w:t>
      </w:r>
      <w:r w:rsidR="00B14D4C">
        <w:t xml:space="preserve">ertoe dat </w:t>
      </w:r>
      <w:r>
        <w:t xml:space="preserve">de tarieven voor andere alcoholvrije dranken </w:t>
      </w:r>
      <w:r w:rsidR="00444C71">
        <w:t xml:space="preserve">door deze smallere grondslag </w:t>
      </w:r>
      <w:r w:rsidR="00B14D4C">
        <w:t xml:space="preserve">zullen </w:t>
      </w:r>
      <w:r>
        <w:t>moeten stijgen.</w:t>
      </w:r>
      <w:r w:rsidR="00255829">
        <w:t xml:space="preserve"> De tarieven </w:t>
      </w:r>
      <w:r w:rsidR="00B14D4C">
        <w:t xml:space="preserve">per scenario zijn </w:t>
      </w:r>
      <w:r w:rsidR="00255829">
        <w:t xml:space="preserve">inzichtelijk gemaakt in tabel </w:t>
      </w:r>
      <w:r w:rsidR="00526B5E">
        <w:t>3</w:t>
      </w:r>
      <w:r w:rsidR="00255829">
        <w:t>.</w:t>
      </w:r>
    </w:p>
    <w:p w:rsidR="00AA14B7" w:rsidP="00DE2A83" w:rsidRDefault="00AA14B7" w14:paraId="02E2CDE9" w14:textId="77777777"/>
    <w:p w:rsidRPr="00C403CE" w:rsidR="008505F9" w:rsidP="00C403CE" w:rsidRDefault="002A2162" w14:paraId="176BA6F4" w14:textId="77777777">
      <w:pPr>
        <w:pStyle w:val="Lijstalinea"/>
        <w:numPr>
          <w:ilvl w:val="0"/>
          <w:numId w:val="13"/>
        </w:numPr>
      </w:pPr>
      <w:r w:rsidRPr="00AD49D3">
        <w:rPr>
          <w:b/>
          <w:bCs/>
        </w:rPr>
        <w:t xml:space="preserve">Administratieve lasten </w:t>
      </w:r>
      <w:r w:rsidR="00243802">
        <w:rPr>
          <w:b/>
          <w:bCs/>
        </w:rPr>
        <w:t>burgers en bedrijven</w:t>
      </w:r>
    </w:p>
    <w:p w:rsidRPr="00C403CE" w:rsidR="002A2162" w:rsidP="00C403CE" w:rsidRDefault="002A2162" w14:paraId="17F09BA3" w14:textId="77777777">
      <w:pPr>
        <w:pStyle w:val="Lijstalinea"/>
      </w:pPr>
    </w:p>
    <w:p w:rsidRPr="00BB73C6" w:rsidR="002F3B39" w:rsidP="18866C71" w:rsidRDefault="008F3346" w14:paraId="048F6A26" w14:textId="77777777">
      <w:pPr>
        <w:rPr>
          <w:i/>
          <w:iCs/>
        </w:rPr>
      </w:pPr>
      <w:r w:rsidRPr="18866C71">
        <w:rPr>
          <w:i/>
          <w:iCs/>
        </w:rPr>
        <w:t>4</w:t>
      </w:r>
      <w:r w:rsidRPr="18866C71" w:rsidR="002A2162">
        <w:rPr>
          <w:i/>
          <w:iCs/>
        </w:rPr>
        <w:t xml:space="preserve">.1 </w:t>
      </w:r>
      <w:r w:rsidRPr="18866C71" w:rsidR="008319BB">
        <w:rPr>
          <w:i/>
          <w:iCs/>
        </w:rPr>
        <w:t>Administratieve lasten</w:t>
      </w:r>
      <w:r w:rsidRPr="18866C71" w:rsidR="00CA5265">
        <w:rPr>
          <w:i/>
          <w:iCs/>
        </w:rPr>
        <w:t xml:space="preserve"> – g</w:t>
      </w:r>
      <w:r w:rsidRPr="18866C71" w:rsidR="002F3B39">
        <w:rPr>
          <w:i/>
          <w:iCs/>
        </w:rPr>
        <w:t>evolgen voor burgers</w:t>
      </w:r>
    </w:p>
    <w:p w:rsidRPr="00AD49D3" w:rsidR="002F3B39" w:rsidP="002F3B39" w:rsidRDefault="002F3B39" w14:paraId="0CE7F48C" w14:textId="77777777">
      <w:r w:rsidRPr="00AD49D3">
        <w:t>Aanpassing van de huidige verbruiksbelasting naar een gedifferentieerde verbruiksbelasting heeft geen administratieve gevolgen voor burgers. Zij kopen alcoholvrije dranken inclusief verbruiksbelasting. Afhankelijk van de gekozen tarieven, de (mate van) doorrekening van de tarieven door producenten en verkopers aan consumenten</w:t>
      </w:r>
      <w:r w:rsidR="008F3346">
        <w:t xml:space="preserve"> en</w:t>
      </w:r>
      <w:r w:rsidRPr="00AD49D3">
        <w:t xml:space="preserve"> het suikergehalte van de geconsumeerde drank betalen consumenten meer of minder voor alcoholvrije dranken. Dit kan per drank en per aankooplocatie verschillen. </w:t>
      </w:r>
      <w:r w:rsidR="003071DB">
        <w:t xml:space="preserve">Wel is het aannemelijk dat burgers minder betalen voor alcoholvrije dranken met </w:t>
      </w:r>
      <w:r w:rsidR="0089130C">
        <w:t xml:space="preserve">geen- of </w:t>
      </w:r>
      <w:r w:rsidR="003071DB">
        <w:t>een laag suikergehalte</w:t>
      </w:r>
      <w:r w:rsidR="0089130C">
        <w:t>,</w:t>
      </w:r>
      <w:r w:rsidR="003071DB">
        <w:t xml:space="preserve"> en meer </w:t>
      </w:r>
      <w:r w:rsidR="00444C71">
        <w:t xml:space="preserve">voor dranken die veel suiker bevatten. </w:t>
      </w:r>
      <w:r w:rsidRPr="00AD49D3">
        <w:t xml:space="preserve">Een gevolg van introductie van een gedifferentieerde verbruiksbelasting kan zijn dat consumenten overstappen naar </w:t>
      </w:r>
      <w:r w:rsidR="00B06DA8">
        <w:t>een gezonder alternatief met minder suiker.</w:t>
      </w:r>
      <w:r w:rsidR="00444C71">
        <w:t xml:space="preserve"> Dat gevolg is bij uitstek een doel van de gedifferentieerde verbruiksbelasting.</w:t>
      </w:r>
      <w:r w:rsidR="00B06DA8">
        <w:t xml:space="preserve"> Ook kan een gevolg zijn dat consumenten overstappen naar </w:t>
      </w:r>
      <w:r w:rsidRPr="00AD49D3">
        <w:t>een goedkoper alternatief, bijvoorbeeld van een A-merk naar een huismerk.</w:t>
      </w:r>
    </w:p>
    <w:p w:rsidRPr="00AD49D3" w:rsidR="002F3B39" w:rsidP="0095513A" w:rsidRDefault="002F3B39" w14:paraId="399D4FF0" w14:textId="77777777">
      <w:pPr>
        <w:rPr>
          <w:i/>
          <w:iCs/>
        </w:rPr>
      </w:pPr>
    </w:p>
    <w:p w:rsidRPr="00BB73C6" w:rsidR="003E69A9" w:rsidP="18866C71" w:rsidRDefault="008F3346" w14:paraId="6310830D" w14:textId="77777777">
      <w:pPr>
        <w:rPr>
          <w:i/>
          <w:iCs/>
        </w:rPr>
      </w:pPr>
      <w:r w:rsidRPr="18866C71">
        <w:rPr>
          <w:i/>
          <w:iCs/>
        </w:rPr>
        <w:t>4</w:t>
      </w:r>
      <w:r w:rsidRPr="18866C71" w:rsidR="002A2162">
        <w:rPr>
          <w:i/>
          <w:iCs/>
        </w:rPr>
        <w:t xml:space="preserve">.2 </w:t>
      </w:r>
      <w:r w:rsidRPr="18866C71" w:rsidR="00CA5265">
        <w:rPr>
          <w:i/>
          <w:iCs/>
        </w:rPr>
        <w:t>Administratieve lasten – g</w:t>
      </w:r>
      <w:r w:rsidRPr="18866C71" w:rsidR="002F3B39">
        <w:rPr>
          <w:i/>
          <w:iCs/>
        </w:rPr>
        <w:t>evolgen voor bedrijven</w:t>
      </w:r>
    </w:p>
    <w:p w:rsidR="00044635" w:rsidP="00044635" w:rsidRDefault="00044635" w14:paraId="0B8073E6" w14:textId="77777777">
      <w:r w:rsidRPr="00AD49D3">
        <w:t xml:space="preserve">Producenten zijn op grond van de </w:t>
      </w:r>
      <w:r w:rsidRPr="00AD49D3" w:rsidR="00F8389A">
        <w:t>etiketterings</w:t>
      </w:r>
      <w:r w:rsidRPr="00AD49D3">
        <w:t>verordening</w:t>
      </w:r>
      <w:r w:rsidRPr="00AD49D3" w:rsidR="00F8389A">
        <w:rPr>
          <w:rStyle w:val="Voetnootmarkering"/>
        </w:rPr>
        <w:footnoteReference w:id="49"/>
      </w:r>
      <w:r w:rsidRPr="00AD49D3">
        <w:t xml:space="preserve"> verplicht om de hoeveelheid suikers op het etiket van levensmiddelen te vermelden. </w:t>
      </w:r>
      <w:r w:rsidRPr="00AD49D3" w:rsidR="00444C71">
        <w:t>De</w:t>
      </w:r>
      <w:r w:rsidR="0089130C">
        <w:t xml:space="preserve"> etiketterings</w:t>
      </w:r>
      <w:r w:rsidRPr="00AD49D3" w:rsidR="00444C71">
        <w:t>verordening geeft ook een objectieve definitie van suiker, namelijk: “alle in voedsel aanwezige mono- en disachariden, met uitzondering van polyolen.”</w:t>
      </w:r>
      <w:r w:rsidRPr="00AD49D3" w:rsidR="00444C71">
        <w:rPr>
          <w:rStyle w:val="Voetnootmarkering"/>
        </w:rPr>
        <w:footnoteReference w:id="50"/>
      </w:r>
      <w:r w:rsidR="00444C71">
        <w:t xml:space="preserve"> De gedifferentieerde verbruiksbelasting kan dus worden bepaald aan de hand van het suikergehalte dat is vermeld op het etiket. </w:t>
      </w:r>
      <w:r w:rsidRPr="00AD49D3">
        <w:t>Voor leveringen van alcoholvrije dranken in bulk(verpakking) tussen bedrijven geldt de verplichting voor het vermelden van de hoeveelheid suikers op het etiket niet. Wel geldt in dergelijke gevallen een informatieplicht van leverancier aan afnemer.</w:t>
      </w:r>
      <w:r w:rsidRPr="00AD49D3">
        <w:rPr>
          <w:rStyle w:val="Voetnootmarkering"/>
        </w:rPr>
        <w:footnoteReference w:id="51"/>
      </w:r>
      <w:r w:rsidRPr="00AD49D3">
        <w:t xml:space="preserve"> Deze plicht omvat het verschaffen van informatie over de verplichte voedselinformatie, waaronder het suikergehalte. Hierdoor kan de afnemer die levert aan de eindverbruiker of grote cateraar – en dus verantwoordelijk is voor de etikettering van een voorverpakt levensmiddel – voldoen aan de verplichtingen van de etiketteringsverordening. In de praktijk blijkt dat het aantal bulkleveringen van alcoholvrije dranken beperkt is. </w:t>
      </w:r>
      <w:r w:rsidR="00F82A1F">
        <w:t xml:space="preserve">Wat betreft de controles van het suikergehalte van dergelijke leveringen door de Douane geldt dat dit achteraf </w:t>
      </w:r>
      <w:r w:rsidRPr="00AD49D3" w:rsidR="00165C0E">
        <w:t>aan de hand van monstername</w:t>
      </w:r>
      <w:r w:rsidR="00F82A1F">
        <w:t xml:space="preserve">s kan </w:t>
      </w:r>
      <w:r w:rsidRPr="00AD49D3" w:rsidR="00165C0E">
        <w:t>worden bepaald.</w:t>
      </w:r>
      <w:r w:rsidRPr="00561294" w:rsidR="00561294">
        <w:t xml:space="preserve"> </w:t>
      </w:r>
      <w:r w:rsidR="00561294">
        <w:t>Gelet op de bestaande verplichtingen van de etiketteringsverordening is de verwachting dat producenten de kennis in huis hebben of kunnen krijgen voor het bepalen van het suikergehalte van alcoholvrije dranken.</w:t>
      </w:r>
      <w:r w:rsidR="00561294">
        <w:rPr>
          <w:rStyle w:val="Voetnootmarkering"/>
        </w:rPr>
        <w:footnoteReference w:id="52"/>
      </w:r>
    </w:p>
    <w:p w:rsidRPr="00AD49D3" w:rsidR="00E179AC" w:rsidP="00044635" w:rsidRDefault="00E179AC" w14:paraId="59EB00CA" w14:textId="77777777"/>
    <w:p w:rsidRPr="00AD49D3" w:rsidR="003E69A9" w:rsidP="0095513A" w:rsidRDefault="00333F01" w14:paraId="278A351A" w14:textId="77777777">
      <w:r>
        <w:t xml:space="preserve">Wat betreft de aangifte van de huidige verbruiksbelasting geldt op dit moment dat </w:t>
      </w:r>
      <w:r w:rsidRPr="00AD49D3" w:rsidR="003E69A9">
        <w:t xml:space="preserve">bedrijven </w:t>
      </w:r>
      <w:r>
        <w:t>s</w:t>
      </w:r>
      <w:r w:rsidRPr="00AD49D3" w:rsidR="003E69A9">
        <w:t>lechts de hoeveelheid geleverde alcoholvrije dranken</w:t>
      </w:r>
      <w:r>
        <w:t xml:space="preserve"> hoeven</w:t>
      </w:r>
      <w:r w:rsidRPr="00AD49D3" w:rsidR="003E69A9">
        <w:t xml:space="preserve"> aan </w:t>
      </w:r>
      <w:r w:rsidRPr="00AD49D3" w:rsidR="003E69A9">
        <w:lastRenderedPageBreak/>
        <w:t xml:space="preserve">te geven. Een gedifferentieerde verbruiksbelasting verlangt van bedrijven dat zij in de aangifte naast de hoeveelheid geleverde liters ook het suikergehalte van de betreffende alcoholvrije drank rapporteren. Dit vereist dat de betreffende bedrijven over deze gegevens beschikken. </w:t>
      </w:r>
      <w:r w:rsidRPr="00AD49D3" w:rsidR="003C405E">
        <w:t xml:space="preserve">Aangezien </w:t>
      </w:r>
      <w:r>
        <w:t xml:space="preserve">op dit moment al een verplichting bestaat om het </w:t>
      </w:r>
      <w:r w:rsidRPr="00AD49D3" w:rsidR="003E69A9">
        <w:t xml:space="preserve">suikergehalte </w:t>
      </w:r>
      <w:r>
        <w:t xml:space="preserve">op het etiket </w:t>
      </w:r>
      <w:r w:rsidRPr="00AD49D3" w:rsidR="003E69A9">
        <w:t>te vermelden</w:t>
      </w:r>
      <w:r>
        <w:t xml:space="preserve"> –</w:t>
      </w:r>
      <w:r w:rsidRPr="00AD49D3" w:rsidR="003E69A9">
        <w:t xml:space="preserve"> of</w:t>
      </w:r>
      <w:r>
        <w:t>, bij bulkverpakkingen, er e</w:t>
      </w:r>
      <w:r w:rsidRPr="00AD49D3" w:rsidR="003E69A9">
        <w:t xml:space="preserve">en informatieplicht </w:t>
      </w:r>
      <w:r>
        <w:t xml:space="preserve">geldt - </w:t>
      </w:r>
      <w:r w:rsidRPr="00AD49D3" w:rsidR="003C405E">
        <w:t xml:space="preserve">verwacht het kabinet dat de </w:t>
      </w:r>
      <w:r w:rsidRPr="00AD49D3" w:rsidR="003E69A9">
        <w:t xml:space="preserve">administratieve lasten van een gedifferentieerde verbruiksbelasting </w:t>
      </w:r>
      <w:r w:rsidR="00DF1CD2">
        <w:t xml:space="preserve">voor bedrijven </w:t>
      </w:r>
      <w:r w:rsidRPr="00AD49D3" w:rsidR="003E69A9">
        <w:t>beperkt zijn</w:t>
      </w:r>
      <w:r w:rsidRPr="00AD49D3" w:rsidR="003C405E">
        <w:t>.</w:t>
      </w:r>
      <w:r w:rsidRPr="00AD49D3" w:rsidR="003E69A9">
        <w:t xml:space="preserve"> </w:t>
      </w:r>
    </w:p>
    <w:p w:rsidRPr="00AD49D3" w:rsidR="002F3B39" w:rsidP="0095513A" w:rsidRDefault="002F3B39" w14:paraId="7C23F99D" w14:textId="77777777"/>
    <w:p w:rsidRPr="00BB73C6" w:rsidR="002A2162" w:rsidRDefault="002A2162" w14:paraId="0B2BEDB4" w14:textId="77777777">
      <w:pPr>
        <w:pStyle w:val="Lijstalinea"/>
        <w:numPr>
          <w:ilvl w:val="0"/>
          <w:numId w:val="13"/>
        </w:numPr>
        <w:rPr>
          <w:b/>
          <w:bCs/>
        </w:rPr>
      </w:pPr>
      <w:r w:rsidRPr="00BD157F">
        <w:rPr>
          <w:b/>
          <w:bCs/>
        </w:rPr>
        <w:t>Uitvoering</w:t>
      </w:r>
      <w:r w:rsidR="00243802">
        <w:rPr>
          <w:b/>
          <w:bCs/>
        </w:rPr>
        <w:t>aspecten Douane</w:t>
      </w:r>
    </w:p>
    <w:p w:rsidRPr="00943C0D" w:rsidR="009A65D0" w:rsidP="00C403CE" w:rsidRDefault="009A65D0" w14:paraId="2F4ADAFF" w14:textId="77777777">
      <w:pPr>
        <w:pStyle w:val="Lijstalinea"/>
        <w:rPr>
          <w:b/>
        </w:rPr>
      </w:pPr>
    </w:p>
    <w:p w:rsidRPr="00BB73C6" w:rsidR="0095513A" w:rsidRDefault="009A65D0" w14:paraId="65C042D9" w14:textId="77777777">
      <w:pPr>
        <w:rPr>
          <w:i/>
          <w:iCs/>
        </w:rPr>
      </w:pPr>
      <w:r w:rsidRPr="00BD157F">
        <w:rPr>
          <w:i/>
          <w:iCs/>
        </w:rPr>
        <w:t>5.1 Uitvoering door Douane</w:t>
      </w:r>
    </w:p>
    <w:p w:rsidRPr="00BA5B38" w:rsidR="00A767B9" w:rsidP="00A767B9" w:rsidRDefault="006F2060" w14:paraId="1BD17359" w14:textId="77777777">
      <w:r w:rsidRPr="00AD49D3">
        <w:t>De Douane is de uitvoeringsorganisatie van de verbruiksbelasting. Het is een aangiftebelasting. Dit betekent dat de belastingplichtige zelf de omvang van de belastingschuld vaststelt, tijdig aangifte doet en de verschuldigde belasting betaalt.</w:t>
      </w:r>
      <w:bookmarkStart w:name="_Hlk163735253" w:id="7"/>
      <w:r w:rsidR="0089130C">
        <w:t xml:space="preserve"> </w:t>
      </w:r>
      <w:r w:rsidRPr="00AD49D3" w:rsidR="00963C2F">
        <w:t>Inwerkingtreding van de gedifferentieerde verbruiksbelasting is op zijn vroegst mogelijk per 1</w:t>
      </w:r>
      <w:r w:rsidR="00101DC0">
        <w:t> </w:t>
      </w:r>
      <w:r w:rsidRPr="00AD49D3" w:rsidR="00963C2F">
        <w:t>januari</w:t>
      </w:r>
      <w:r w:rsidR="00101DC0">
        <w:t> </w:t>
      </w:r>
      <w:r w:rsidRPr="00AD49D3" w:rsidR="00963C2F">
        <w:t>2026, onder voorbehoud van de uitvoeringstoets en afhankelijk van de complexiteit van het uiteindelijke voorstel.</w:t>
      </w:r>
      <w:r w:rsidRPr="00BA5B38" w:rsidR="00A767B9">
        <w:t xml:space="preserve"> </w:t>
      </w:r>
      <w:r w:rsidR="00FB0063">
        <w:t xml:space="preserve">Er is sprake van een structuurwijziging met een voorbereidingsperiode van minimaal 12 tot 24 maanden voor de Douane. Deze voorbereidingsperiode vangt </w:t>
      </w:r>
      <w:r w:rsidR="00D33AEF">
        <w:t>aan</w:t>
      </w:r>
      <w:r w:rsidR="00FB0063">
        <w:t xml:space="preserve"> vanaf het moment dat de wetswijziging door beide Kamers is aangenomen. De daadwerkelijke voorbereidings- en realisatieperiode is afhankelijk van complexiteit van de structuurwijziging en moet blijken uit enerzijds de Uitvoeringstoets en anderzijds de ruimte die er is in het IV-portfolio van de Douane. Concreet geldt voor het accijns- en verbruiksbelastingportfolio dat deze de komende jaren overvol is met onder andere aanpassingen naar aanleiding van (Europese) wetgeving en noodzakelijke modernisering van het ICT-landschap voor het borgen van de continuïteit van de accijns- en verbruiksbelastingprocessen. </w:t>
      </w:r>
      <w:r w:rsidR="001E2107">
        <w:t xml:space="preserve">Hoe dan ook geldt </w:t>
      </w:r>
      <w:r w:rsidRPr="001E2107" w:rsidR="001E2107">
        <w:t xml:space="preserve">voor nieuwe structuurwijzigingen binnen het accijns- en verbruiksbelastingportfolio dat ingeplande ontwikkelingen op grond van beleid en wetgeving moeten worden </w:t>
      </w:r>
      <w:proofErr w:type="spellStart"/>
      <w:r w:rsidRPr="001E2107" w:rsidR="001E2107">
        <w:t>geherprioriteerd</w:t>
      </w:r>
      <w:proofErr w:type="spellEnd"/>
      <w:r w:rsidRPr="001E2107" w:rsidR="001E2107">
        <w:t>.</w:t>
      </w:r>
    </w:p>
    <w:p w:rsidR="00963C2F" w:rsidP="18866C71" w:rsidRDefault="00963C2F" w14:paraId="4D42E21E" w14:textId="77777777"/>
    <w:bookmarkEnd w:id="7"/>
    <w:p w:rsidR="00AA3EF8" w:rsidP="00A874AF" w:rsidRDefault="00AA3EF8" w14:paraId="19E96900" w14:textId="77777777">
      <w:r>
        <w:t>Het eerst mogelijke moment van inwerkingtreding van de gedifferentieerde verbruiksbelasting (1</w:t>
      </w:r>
      <w:r w:rsidR="00101DC0">
        <w:t> </w:t>
      </w:r>
      <w:r>
        <w:t>januari</w:t>
      </w:r>
      <w:r w:rsidR="00101DC0">
        <w:t> </w:t>
      </w:r>
      <w:r>
        <w:t>2026) kan alleen worden gehaald als het wetsvoorstel waarmee de gedifferentieerde verbruiksbelasting wordt gerealiseerd, uiterlijk 1</w:t>
      </w:r>
      <w:r w:rsidR="00101DC0">
        <w:t> </w:t>
      </w:r>
      <w:r>
        <w:t>januari</w:t>
      </w:r>
      <w:r w:rsidR="00101DC0">
        <w:t> </w:t>
      </w:r>
      <w:r>
        <w:t xml:space="preserve">2025 is aangenomen. Dat betekent dat een dergelijk wetsvoorstel zou moeten zijn opgenomen in het pakket Belastingplan 2025. </w:t>
      </w:r>
      <w:r w:rsidR="00A874AF">
        <w:t xml:space="preserve">Zoals aangegeven worden met deze contourenbrief de keuzes voor een gedifferentieerde verbruiksbelasting aan uw Kamer voorgelegd. Voordat het wetsvoorstel kan worden opgesteld en ter uitvoeringstoets kan worden aangeboden aan de Douane, is </w:t>
      </w:r>
      <w:proofErr w:type="gramStart"/>
      <w:r w:rsidR="00A874AF">
        <w:t>inzake</w:t>
      </w:r>
      <w:proofErr w:type="gramEnd"/>
      <w:r w:rsidR="00A874AF">
        <w:t xml:space="preserve"> deze keuzes duidelijkheid nodig. Hoe het proces verderloopt is dan ook afhankelijk van de voorkeur die uw Kamer uitspreekt en het moment waarop dat gebeurt.</w:t>
      </w:r>
      <w:r>
        <w:t xml:space="preserve"> </w:t>
      </w:r>
    </w:p>
    <w:p w:rsidR="00980A7C" w:rsidP="00A874AF" w:rsidRDefault="00980A7C" w14:paraId="2A6DDF25" w14:textId="77777777"/>
    <w:p w:rsidR="001E2107" w:rsidP="00980A7C" w:rsidRDefault="00980A7C" w14:paraId="5416667B" w14:textId="1E8B5A7A">
      <w:r>
        <w:t xml:space="preserve">De handhaafbaarheid </w:t>
      </w:r>
      <w:r w:rsidR="0089130C">
        <w:t xml:space="preserve">van </w:t>
      </w:r>
      <w:r>
        <w:t>elk van de geschetste scenario</w:t>
      </w:r>
      <w:r w:rsidR="0089130C">
        <w:t>’</w:t>
      </w:r>
      <w:r>
        <w:t>s</w:t>
      </w:r>
      <w:r w:rsidR="0089130C">
        <w:t xml:space="preserve"> door Douane</w:t>
      </w:r>
      <w:r>
        <w:t xml:space="preserve"> is mede afhankelijk van de mogelijkheid om eventuele fraude op te sporen in de ontduiking van de gedifferentieerde verbruiksbelasting. </w:t>
      </w:r>
      <w:r w:rsidR="001E2107">
        <w:t xml:space="preserve">Daarbij geldt dat uitzonderingen </w:t>
      </w:r>
      <w:r w:rsidR="009803B6">
        <w:t xml:space="preserve">in het stelsel </w:t>
      </w:r>
      <w:r w:rsidR="001E2107">
        <w:t xml:space="preserve">de complexiteit voor de Douane doen toenemen. Dit heeft een nadelig effect op de controleerbaarheid en handhaafbaarheid van het stelsel voor de Douane. Hoe meer uitzonderingen het stelsel bevat, hoe fraudegevoeliger. </w:t>
      </w:r>
      <w:r w:rsidR="00B13E4C">
        <w:t xml:space="preserve">Scenario I is het eenvoudigst uitvoerbaar voor de Douane. </w:t>
      </w:r>
      <w:r w:rsidR="00593758">
        <w:t xml:space="preserve">Omdat er in dit scenario geen uitzonderingen zijn, is dit scenario het minst </w:t>
      </w:r>
      <w:r w:rsidR="001E2107">
        <w:lastRenderedPageBreak/>
        <w:t>fraudegevoelig.</w:t>
      </w:r>
      <w:r w:rsidR="00AD1E87">
        <w:t xml:space="preserve"> Het scenario met de meest uitzonderingen, scenario </w:t>
      </w:r>
      <w:proofErr w:type="spellStart"/>
      <w:r w:rsidR="00AD1E87">
        <w:t>IVb</w:t>
      </w:r>
      <w:proofErr w:type="spellEnd"/>
      <w:r w:rsidR="00AD1E87">
        <w:t>, is het meest fraudegevoelig.</w:t>
      </w:r>
    </w:p>
    <w:p w:rsidR="00980A7C" w:rsidP="00980A7C" w:rsidRDefault="00980A7C" w14:paraId="7A6666EE" w14:textId="77777777">
      <w:r>
        <w:t xml:space="preserve">Wat betreft de controle van monsters </w:t>
      </w:r>
      <w:r w:rsidR="0089130C">
        <w:t>van alcoholvrije dranken</w:t>
      </w:r>
      <w:r>
        <w:t xml:space="preserve"> door het Douane Laboratorium is </w:t>
      </w:r>
      <w:proofErr w:type="gramStart"/>
      <w:r>
        <w:t>reeds</w:t>
      </w:r>
      <w:proofErr w:type="gramEnd"/>
      <w:r>
        <w:t xml:space="preserve"> aangegeven dat toegevoegde suikers niet kunnen worden onderscheiden van natuurlijke suikers. </w:t>
      </w:r>
      <w:r w:rsidR="0089130C">
        <w:t>Dat betekent dat Douane niet achteraf kan controleren of de informatie die hieromtrent op het etiket is opgenomen, klopt.</w:t>
      </w:r>
      <w:r>
        <w:t xml:space="preserve"> </w:t>
      </w:r>
      <w:r w:rsidR="00C07EE4">
        <w:t xml:space="preserve">Dat is de reden waarom deze optie in geen van de scenario’s terugkomt. </w:t>
      </w:r>
      <w:r>
        <w:t>Verder is de aanwezigheid én het onderscheid tussen verschillende plantaardige alternatieven voor zuivel niet altijd chemisch aan te tonen door het Douane</w:t>
      </w:r>
      <w:r w:rsidR="000C4B76">
        <w:t xml:space="preserve"> </w:t>
      </w:r>
      <w:r>
        <w:t>Laboratorium.</w:t>
      </w:r>
    </w:p>
    <w:p w:rsidR="00593CF7" w:rsidP="0095513A" w:rsidRDefault="00593CF7" w14:paraId="4587A807" w14:textId="77777777"/>
    <w:p w:rsidRPr="005341A5" w:rsidR="00593CF7" w:rsidP="18866C71" w:rsidRDefault="009A65D0" w14:paraId="00460038" w14:textId="77777777">
      <w:pPr>
        <w:rPr>
          <w:i/>
          <w:iCs/>
        </w:rPr>
      </w:pPr>
      <w:r w:rsidRPr="18866C71">
        <w:rPr>
          <w:i/>
          <w:iCs/>
        </w:rPr>
        <w:t>5.</w:t>
      </w:r>
      <w:r w:rsidRPr="18866C71" w:rsidR="00593CF7">
        <w:rPr>
          <w:i/>
          <w:iCs/>
        </w:rPr>
        <w:t>2</w:t>
      </w:r>
      <w:r w:rsidRPr="18866C71">
        <w:rPr>
          <w:i/>
          <w:iCs/>
        </w:rPr>
        <w:t xml:space="preserve"> Uitvoering van de stelsels in het V</w:t>
      </w:r>
      <w:r w:rsidRPr="18866C71" w:rsidR="00593CF7">
        <w:rPr>
          <w:i/>
          <w:iCs/>
        </w:rPr>
        <w:t xml:space="preserve">erenigd Koninkrijk (VK) en Ierland </w:t>
      </w:r>
    </w:p>
    <w:p w:rsidR="00593CF7" w:rsidP="00593CF7" w:rsidRDefault="00593CF7" w14:paraId="1883187F" w14:textId="77777777">
      <w:r w:rsidRPr="00AD49D3">
        <w:t xml:space="preserve">In het politieke debat wordt regelmatig een vergelijking gemaakt met de </w:t>
      </w:r>
      <w:r w:rsidR="000C4B76">
        <w:t xml:space="preserve">gedifferentieerde </w:t>
      </w:r>
      <w:r>
        <w:t>verbruiks</w:t>
      </w:r>
      <w:r w:rsidRPr="00AD49D3">
        <w:t>belasting in het VK</w:t>
      </w:r>
      <w:r>
        <w:t xml:space="preserve">. Binnen dat systeem worden alleen </w:t>
      </w:r>
      <w:r w:rsidRPr="00AD49D3">
        <w:t>dranken met toegevoegd suiker</w:t>
      </w:r>
      <w:r>
        <w:t xml:space="preserve"> belast</w:t>
      </w:r>
      <w:r w:rsidRPr="00AD49D3">
        <w:t xml:space="preserve">. </w:t>
      </w:r>
      <w:r>
        <w:t xml:space="preserve">Het systeem werkt daar zo dat dranken </w:t>
      </w:r>
      <w:r w:rsidRPr="00ED6120">
        <w:t>belastbaar</w:t>
      </w:r>
      <w:r>
        <w:t xml:space="preserve"> zijn</w:t>
      </w:r>
      <w:r w:rsidRPr="00AD49D3">
        <w:t xml:space="preserve"> zodra zij toegevoegd suiker bevatten. </w:t>
      </w:r>
      <w:r>
        <w:t xml:space="preserve">Is dat het geval, </w:t>
      </w:r>
      <w:r w:rsidRPr="00AD49D3">
        <w:t xml:space="preserve">dan wordt de belasting vervolgens gebaseerd op basis </w:t>
      </w:r>
      <w:r>
        <w:t xml:space="preserve">van </w:t>
      </w:r>
      <w:r w:rsidRPr="00AD49D3">
        <w:t xml:space="preserve">het </w:t>
      </w:r>
      <w:r w:rsidRPr="3DB0607F">
        <w:rPr>
          <w:i/>
          <w:iCs/>
        </w:rPr>
        <w:t>totale</w:t>
      </w:r>
      <w:r w:rsidRPr="00AD49D3">
        <w:t xml:space="preserve"> suikergehalte, ongeacht </w:t>
      </w:r>
      <w:r>
        <w:t xml:space="preserve">de verhouding toegevoegde </w:t>
      </w:r>
      <w:r w:rsidRPr="00AD49D3">
        <w:t>suikers</w:t>
      </w:r>
      <w:r>
        <w:t xml:space="preserve">/natuurlijke suikers. </w:t>
      </w:r>
      <w:r w:rsidRPr="00AD49D3">
        <w:t>Vanwege de onmogelijkheid voor het</w:t>
      </w:r>
      <w:r>
        <w:t xml:space="preserve"> Nederlandse</w:t>
      </w:r>
      <w:r w:rsidRPr="00AD49D3">
        <w:t xml:space="preserve"> Douane</w:t>
      </w:r>
      <w:r w:rsidR="00980A7C">
        <w:t xml:space="preserve"> L</w:t>
      </w:r>
      <w:r w:rsidRPr="00AD49D3">
        <w:t xml:space="preserve">aboratorium om claims met betrekking tot toegevoegde of natuurlijke suikers op het etiket </w:t>
      </w:r>
      <w:r w:rsidR="00FF6C4B">
        <w:t xml:space="preserve">achteraf op basis van laboratoriumonderzoek </w:t>
      </w:r>
      <w:r w:rsidRPr="00AD49D3">
        <w:t xml:space="preserve">te controleren, is een dergelijke werkwijze in Nederland niet </w:t>
      </w:r>
      <w:r w:rsidR="007F6AA7">
        <w:t>goed te controleren</w:t>
      </w:r>
      <w:r w:rsidRPr="00AD49D3">
        <w:t>. Een ander belangrijk verschil tussen het VK en Nederland ziet op de budgettaire opbrengst van de verbruiksbelasting. In het VK heeft de belasting louter een gezondheidsdoel. De jaarlijkse opbrengst van de belasting is “slechts” €</w:t>
      </w:r>
      <w:r w:rsidR="00BB73C6">
        <w:t> </w:t>
      </w:r>
      <w:r w:rsidRPr="00AD49D3">
        <w:t>400</w:t>
      </w:r>
      <w:r w:rsidR="00BB73C6">
        <w:t> </w:t>
      </w:r>
      <w:r w:rsidR="008325EB">
        <w:t>miljoen</w:t>
      </w:r>
      <w:r w:rsidRPr="00AD49D3">
        <w:t xml:space="preserve"> terwijl het VK ruim 3,5 keer zoveel inwoners heeft als Nederland (18</w:t>
      </w:r>
      <w:r w:rsidR="00BB73C6">
        <w:t> </w:t>
      </w:r>
      <w:r w:rsidR="008325EB">
        <w:t>miljoen</w:t>
      </w:r>
      <w:r w:rsidRPr="00AD49D3">
        <w:t xml:space="preserve"> vs. 67</w:t>
      </w:r>
      <w:r w:rsidR="00BB73C6">
        <w:t> </w:t>
      </w:r>
      <w:r w:rsidR="008325EB">
        <w:t>miljoen</w:t>
      </w:r>
      <w:r w:rsidRPr="00AD49D3">
        <w:t>). In Ierland, dat een vergelijkbaar systeem heeft als het VK, is de belastingopbrengst €</w:t>
      </w:r>
      <w:r w:rsidR="00BB73C6">
        <w:t> </w:t>
      </w:r>
      <w:r w:rsidRPr="00AD49D3">
        <w:t>32</w:t>
      </w:r>
      <w:r w:rsidR="00BB73C6">
        <w:t> </w:t>
      </w:r>
      <w:r w:rsidR="008325EB">
        <w:t>miljoen</w:t>
      </w:r>
      <w:r w:rsidRPr="00AD49D3">
        <w:t xml:space="preserve"> op een inwoneraantal van 5</w:t>
      </w:r>
      <w:r w:rsidR="00BB73C6">
        <w:t> </w:t>
      </w:r>
      <w:r w:rsidR="008325EB">
        <w:t>miljoen</w:t>
      </w:r>
      <w:r w:rsidRPr="00AD49D3">
        <w:t xml:space="preserve">. Beide landen geven aan dat de opbrengsten jaarlijks afnemen door de succesvolle herformulering, en dat dit </w:t>
      </w:r>
      <w:r w:rsidR="000F3D86">
        <w:t xml:space="preserve">budgettaire effect </w:t>
      </w:r>
      <w:r w:rsidRPr="00AD49D3">
        <w:t xml:space="preserve">– vanwege het gezondheidsdoel van de belasting – </w:t>
      </w:r>
      <w:r w:rsidR="000F3D86">
        <w:t xml:space="preserve">wordt geaccepteerd. Dit leidt uiteraard wel tot een budgettaire opgave elders of tot een hoger tekort. </w:t>
      </w:r>
    </w:p>
    <w:p w:rsidRPr="00AD49D3" w:rsidR="00E8517F" w:rsidP="0095513A" w:rsidRDefault="00E8517F" w14:paraId="784F83CC" w14:textId="77777777"/>
    <w:p w:rsidRPr="00C403CE" w:rsidR="002A2162" w:rsidP="00C403CE" w:rsidRDefault="002A2162" w14:paraId="1D801224" w14:textId="77777777">
      <w:pPr>
        <w:pStyle w:val="Lijstalinea"/>
        <w:numPr>
          <w:ilvl w:val="0"/>
          <w:numId w:val="13"/>
        </w:numPr>
        <w:rPr>
          <w:b/>
          <w:bCs/>
        </w:rPr>
      </w:pPr>
      <w:r w:rsidRPr="00C403CE">
        <w:rPr>
          <w:b/>
          <w:bCs/>
        </w:rPr>
        <w:t>Grenseffecten</w:t>
      </w:r>
    </w:p>
    <w:p w:rsidRPr="00C403CE" w:rsidR="009A65D0" w:rsidP="00C403CE" w:rsidRDefault="009A65D0" w14:paraId="5544C3D2" w14:textId="77777777">
      <w:pPr>
        <w:pStyle w:val="Lijstalinea"/>
        <w:rPr>
          <w:b/>
          <w:bCs/>
        </w:rPr>
      </w:pPr>
    </w:p>
    <w:p w:rsidRPr="00AD49D3" w:rsidR="002F3B39" w:rsidP="0095513A" w:rsidRDefault="002F3B39" w14:paraId="4A1939D6" w14:textId="77777777">
      <w:r w:rsidRPr="00AD49D3">
        <w:t xml:space="preserve">De verbruiksbelasting </w:t>
      </w:r>
      <w:r w:rsidR="007823D5">
        <w:t>van alcoholvrije dranken</w:t>
      </w:r>
      <w:r w:rsidRPr="00AD49D3">
        <w:t xml:space="preserve"> is in de EU niet geharmoniseerd. </w:t>
      </w:r>
      <w:r w:rsidR="009A65D0">
        <w:t>EU-l</w:t>
      </w:r>
      <w:r w:rsidRPr="00AD49D3">
        <w:t>idstaten kunnen daarom zelf een dergelijke belasting inrichten en heffen. Dit brengt grenseffecten met zich. De belastingdruk van alcoholvrije dranken in een lidstaat zonder verbruiksbelasting is namelijk lager dan in een land dat wel een dergelijke belasting heft. Dit heeft invloed op de verkoopprijs. Dit geldt voor zowel de huidige verbruiksbelasting met vlak tarief als een gedifferentieerde verbruiksbelasting. Van onze buurlanden kent België ook een verbruiksbelasting op alcoholvrije dranken.</w:t>
      </w:r>
      <w:r w:rsidRPr="00AD49D3">
        <w:rPr>
          <w:rStyle w:val="Voetnootmarkering"/>
        </w:rPr>
        <w:footnoteReference w:id="53"/>
      </w:r>
      <w:r w:rsidR="00C229FB">
        <w:t xml:space="preserve"> </w:t>
      </w:r>
      <w:r w:rsidR="00BF743A">
        <w:t>In die belasting zijn alcoholvrije dranken van bepaalde GN-</w:t>
      </w:r>
      <w:proofErr w:type="spellStart"/>
      <w:r w:rsidR="00BF743A">
        <w:t>code</w:t>
      </w:r>
      <w:r w:rsidR="00A67F70">
        <w:t>’s</w:t>
      </w:r>
      <w:proofErr w:type="spellEnd"/>
      <w:r w:rsidR="00BF743A">
        <w:t xml:space="preserve"> belast. Het tarief is afhankelijk van het soort drank. Alcoholvrije dranken op basis van melk, soja of rijst zijn uitgezonderd van de belasting.</w:t>
      </w:r>
    </w:p>
    <w:p w:rsidRPr="00AD49D3" w:rsidR="002F3B39" w:rsidP="0095513A" w:rsidRDefault="002F3B39" w14:paraId="44CCABD2" w14:textId="77777777"/>
    <w:p w:rsidRPr="00AD49D3" w:rsidR="002F3B39" w:rsidP="0095513A" w:rsidRDefault="002F3B39" w14:paraId="7AE87266" w14:textId="77777777">
      <w:r w:rsidRPr="00AD49D3">
        <w:t xml:space="preserve">Als gevolg van een gedifferentieerde verbruiksbelasting zullen alcoholvrije dranken met hoge(re) suikergehalten in Nederland mogelijk zwaarder worden belast dan nu het geval is. Voor dergelijke dranken kan het prijsverschil met </w:t>
      </w:r>
      <w:r w:rsidRPr="00AD49D3" w:rsidR="008D18F1">
        <w:t>buurlanden groter</w:t>
      </w:r>
      <w:r w:rsidRPr="00AD49D3">
        <w:t xml:space="preserve"> worden dan nu het geval is. Dat zou het aantrekkelijker kunnen maken voor burgers en bedrijven (in de grensregio) om dergelijke alcoholvrije dranken in een buurland met een lagere of geen verbruiksbelasting</w:t>
      </w:r>
      <w:r w:rsidRPr="00AD49D3" w:rsidR="008D18F1">
        <w:t xml:space="preserve"> van alcoholvrije dranken</w:t>
      </w:r>
      <w:r w:rsidRPr="00AD49D3">
        <w:t xml:space="preserve"> te kopen. Dit kan een negatief effect hebben op het </w:t>
      </w:r>
      <w:r w:rsidRPr="00AD49D3">
        <w:lastRenderedPageBreak/>
        <w:t>gezondheidsbeleidsdoel van een gedifferentieerde verbruiksbelasting, namelijk het reduceren van suikerinname via alcoholvrije dranken, en op de budgettaire opbrengst van de belasting.</w:t>
      </w:r>
      <w:r w:rsidR="00C229FB">
        <w:t xml:space="preserve"> Bovendien kan dit leiden tot ook andere aankopen over de grens.</w:t>
      </w:r>
    </w:p>
    <w:p w:rsidRPr="00AD49D3" w:rsidR="002F3B39" w:rsidP="0095513A" w:rsidRDefault="002F3B39" w14:paraId="4279AE76" w14:textId="77777777"/>
    <w:p w:rsidRPr="00AD49D3" w:rsidR="002F3B39" w:rsidP="0095513A" w:rsidRDefault="002F3B39" w14:paraId="5126C500" w14:textId="77777777">
      <w:r w:rsidRPr="00AD49D3">
        <w:t>Aan de andere kant zullen alcoholvrije dranken met lage(re) of geen suiker in Nederland mogelijk lichter worden belast dan nu het geval is. Voor die dranken wordt het prijsverschil met buurlanden juist kleiner dan nu het geval is. Dat maakt het minder aantrekkelijk voor burgers en bedrijven om hun alcoholvrije dranken met lage(re) suikergehaltes over de grens te kopen. Dit kan een positief effect hebben op het gezondheidsbeleidsdoel van een gedifferentieerde verbruiksbelasting en de budgettaire opbrengst. Een gedifferentieerde verbruiksbelasting leidt naar verwachting tot zowel positieve als negatieve grenseffecten. Op dit moment is geen kwantitatieve inschatting te geven van de totale grenseffecten (en de vraag of ze per saldo positief of negatief uitvallen). Als een gedifferentieerde verbruiksbelasting wordt ingevoerd, dan kunnen grenseffecten bij de evaluatie van deze maatregel nadrukkelijk aan de orde komen.</w:t>
      </w:r>
    </w:p>
    <w:p w:rsidRPr="00AD49D3" w:rsidR="003E69A9" w:rsidP="0095513A" w:rsidRDefault="003E69A9" w14:paraId="57606C90" w14:textId="77777777">
      <w:pPr>
        <w:rPr>
          <w:i/>
        </w:rPr>
      </w:pPr>
    </w:p>
    <w:p w:rsidRPr="00BB73C6" w:rsidR="00005485" w:rsidRDefault="00005485" w14:paraId="2931A8CE" w14:textId="77777777">
      <w:pPr>
        <w:rPr>
          <w:i/>
          <w:iCs/>
        </w:rPr>
      </w:pPr>
      <w:r w:rsidRPr="00BD157F">
        <w:rPr>
          <w:i/>
          <w:iCs/>
        </w:rPr>
        <w:t>Afsluiting</w:t>
      </w:r>
    </w:p>
    <w:p w:rsidRPr="00780AE3" w:rsidR="00943C0D" w:rsidP="18866C71" w:rsidRDefault="00442096" w14:paraId="7125AE2A" w14:textId="77777777">
      <w:r>
        <w:t xml:space="preserve">De verhoging van het vlakke tarief van de </w:t>
      </w:r>
      <w:r w:rsidRPr="00F0663F">
        <w:t>verbruiksbelasting van alcoholvrije dranken</w:t>
      </w:r>
      <w:r>
        <w:t xml:space="preserve"> per 1 januari 2024 gaf de nodige reacties. Nu differentiatie naar suikergehalte aan de orde is, worden belanghebbenden geattendeerd op deze contourenbrief en op de mogelijkheid hierop te reageren via een zogenoemde pre-consultatie. Deze openbaar te volgen pre-consultatie is gedurende de komende zes weken voor iedereen toegankelijk via de website internetconsultatie.nl. </w:t>
      </w:r>
      <w:r w:rsidRPr="000B1DB1" w:rsidR="00B06DA8">
        <w:t xml:space="preserve">Daarnaast wordt er onder een representatieve afspiegeling van de Nederlandse samenleving een flitspeiling gehouden over de introductie van een gedifferentieerde verbruiksbelasting. De resultaten van deze flitspeiling worden </w:t>
      </w:r>
      <w:r w:rsidRPr="000B1DB1" w:rsidR="00D81DEA">
        <w:t>vanzelfsprekend</w:t>
      </w:r>
      <w:r w:rsidRPr="000B1DB1" w:rsidR="00B06DA8">
        <w:t xml:space="preserve"> met uw </w:t>
      </w:r>
      <w:r w:rsidR="00E36186">
        <w:t>K</w:t>
      </w:r>
      <w:r w:rsidRPr="000B1DB1" w:rsidR="00B06DA8">
        <w:t xml:space="preserve">amer gedeeld. </w:t>
      </w:r>
      <w:r w:rsidRPr="00BD157F" w:rsidR="00C1588F">
        <w:t xml:space="preserve">Uiteraard zijn wij bereid </w:t>
      </w:r>
      <w:r w:rsidR="00C1588F">
        <w:t xml:space="preserve">het voorgaande toe te lichten in </w:t>
      </w:r>
      <w:r w:rsidRPr="00BD157F" w:rsidR="00C1588F">
        <w:t>een technische briefing als uw Kamer daartoe verzoekt.</w:t>
      </w:r>
    </w:p>
    <w:p w:rsidRPr="00AD49D3" w:rsidR="009F5B35" w:rsidRDefault="00FD090F" w14:paraId="4D977E76" w14:textId="77777777">
      <w:pPr>
        <w:pStyle w:val="StandaardSlotzin"/>
      </w:pPr>
      <w:r w:rsidRPr="00AD49D3">
        <w:t>Hoogachtend,</w:t>
      </w:r>
    </w:p>
    <w:p w:rsidRPr="00AD49D3" w:rsidR="009F5B35" w:rsidRDefault="009F5B35" w14:paraId="47DB62C9" w14:textId="77777777"/>
    <w:tbl>
      <w:tblPr>
        <w:tblW w:w="7484" w:type="dxa"/>
        <w:tblLayout w:type="fixed"/>
        <w:tblLook w:val="07E0" w:firstRow="1" w:lastRow="1" w:firstColumn="1" w:lastColumn="1" w:noHBand="1" w:noVBand="1"/>
      </w:tblPr>
      <w:tblGrid>
        <w:gridCol w:w="3592"/>
        <w:gridCol w:w="3892"/>
      </w:tblGrid>
      <w:tr w:rsidRPr="00AD49D3" w:rsidR="009F5B35" w:rsidTr="35FA1F3E" w14:paraId="6206237A" w14:textId="77777777">
        <w:tc>
          <w:tcPr>
            <w:tcW w:w="3592" w:type="dxa"/>
          </w:tcPr>
          <w:p w:rsidRPr="00AD49D3" w:rsidR="009F5B35" w:rsidRDefault="00FD090F" w14:paraId="4669A4C4" w14:textId="77777777">
            <w:proofErr w:type="gramStart"/>
            <w:r w:rsidRPr="00AD49D3">
              <w:t>de</w:t>
            </w:r>
            <w:proofErr w:type="gramEnd"/>
            <w:r w:rsidRPr="00AD49D3">
              <w:t xml:space="preserve"> staatssecretaris van Financiën - Fiscaliteit en Belastingdienst,</w:t>
            </w:r>
            <w:r w:rsidRPr="00AD49D3">
              <w:br/>
            </w:r>
            <w:r w:rsidRPr="00AD49D3">
              <w:br/>
            </w:r>
            <w:r w:rsidRPr="00AD49D3">
              <w:br/>
            </w:r>
            <w:r w:rsidRPr="00AD49D3">
              <w:br/>
            </w:r>
            <w:r w:rsidRPr="00AD49D3">
              <w:br/>
            </w:r>
            <w:r w:rsidRPr="00AD49D3">
              <w:br/>
              <w:t>Marnix L.A. van Rij</w:t>
            </w:r>
          </w:p>
        </w:tc>
        <w:tc>
          <w:tcPr>
            <w:tcW w:w="3892" w:type="dxa"/>
          </w:tcPr>
          <w:p w:rsidRPr="00AD49D3" w:rsidR="009F5B35" w:rsidRDefault="00FD090F" w14:paraId="5DE2D4AF" w14:textId="77777777">
            <w:proofErr w:type="gramStart"/>
            <w:r w:rsidRPr="00AD49D3">
              <w:t>de</w:t>
            </w:r>
            <w:proofErr w:type="gramEnd"/>
            <w:r w:rsidRPr="00AD49D3">
              <w:t xml:space="preserve"> staatssecretaris van </w:t>
            </w:r>
            <w:r w:rsidRPr="00AD49D3" w:rsidR="0095513A">
              <w:t>Volksgezondheid, Welzijn en Sport</w:t>
            </w:r>
            <w:r w:rsidRPr="00AD49D3">
              <w:br/>
            </w:r>
            <w:r w:rsidRPr="00AD49D3">
              <w:br/>
            </w:r>
            <w:r w:rsidRPr="00AD49D3">
              <w:br/>
            </w:r>
            <w:r w:rsidRPr="00AD49D3">
              <w:br/>
            </w:r>
            <w:r w:rsidRPr="00AD49D3">
              <w:br/>
            </w:r>
            <w:r w:rsidRPr="00AD49D3">
              <w:br/>
            </w:r>
            <w:r w:rsidRPr="00AD49D3" w:rsidR="0095513A">
              <w:t>Maarten van Ooijen</w:t>
            </w:r>
          </w:p>
        </w:tc>
      </w:tr>
      <w:tr w:rsidRPr="00AD49D3" w:rsidR="009F5B35" w:rsidTr="35FA1F3E" w14:paraId="59F2F151" w14:textId="77777777">
        <w:tc>
          <w:tcPr>
            <w:tcW w:w="3592" w:type="dxa"/>
          </w:tcPr>
          <w:p w:rsidRPr="00AD49D3" w:rsidR="009F5B35" w:rsidRDefault="009F5B35" w14:paraId="208BDA5C" w14:textId="77777777"/>
        </w:tc>
        <w:tc>
          <w:tcPr>
            <w:tcW w:w="3892" w:type="dxa"/>
          </w:tcPr>
          <w:p w:rsidRPr="00AD49D3" w:rsidR="009F5B35" w:rsidRDefault="00FD090F" w14:paraId="3044C980" w14:textId="77777777">
            <w:r w:rsidRPr="35FA1F3E">
              <w:t> </w:t>
            </w:r>
          </w:p>
        </w:tc>
      </w:tr>
      <w:tr w:rsidRPr="00AD49D3" w:rsidR="009F5B35" w:rsidTr="35FA1F3E" w14:paraId="3B904A77" w14:textId="77777777">
        <w:tc>
          <w:tcPr>
            <w:tcW w:w="3592" w:type="dxa"/>
          </w:tcPr>
          <w:p w:rsidRPr="00AD49D3" w:rsidR="009F5B35" w:rsidRDefault="009F5B35" w14:paraId="582084A5" w14:textId="77777777"/>
        </w:tc>
        <w:tc>
          <w:tcPr>
            <w:tcW w:w="3892" w:type="dxa"/>
          </w:tcPr>
          <w:p w:rsidRPr="00AD49D3" w:rsidR="009F5B35" w:rsidRDefault="00FD090F" w14:paraId="728D8E12" w14:textId="77777777">
            <w:r w:rsidRPr="35FA1F3E">
              <w:t> </w:t>
            </w:r>
          </w:p>
        </w:tc>
      </w:tr>
      <w:tr w:rsidRPr="00AD49D3" w:rsidR="009F5B35" w:rsidTr="35FA1F3E" w14:paraId="3DD51FC2" w14:textId="77777777">
        <w:tc>
          <w:tcPr>
            <w:tcW w:w="3592" w:type="dxa"/>
          </w:tcPr>
          <w:p w:rsidRPr="00AD49D3" w:rsidR="009F5B35" w:rsidRDefault="009F5B35" w14:paraId="29858FDF" w14:textId="77777777"/>
        </w:tc>
        <w:tc>
          <w:tcPr>
            <w:tcW w:w="3892" w:type="dxa"/>
          </w:tcPr>
          <w:p w:rsidRPr="00AD49D3" w:rsidR="009F5B35" w:rsidRDefault="00FD090F" w14:paraId="03ED3349" w14:textId="77777777">
            <w:r w:rsidRPr="35FA1F3E">
              <w:t> </w:t>
            </w:r>
          </w:p>
        </w:tc>
      </w:tr>
    </w:tbl>
    <w:p w:rsidRPr="00AD49D3" w:rsidR="009F5B35" w:rsidP="00DA5B22" w:rsidRDefault="009F5B35" w14:paraId="34301DB5" w14:textId="77777777">
      <w:pPr>
        <w:pStyle w:val="Verdana7"/>
        <w:rPr>
          <w:sz w:val="18"/>
          <w:szCs w:val="18"/>
        </w:rPr>
      </w:pPr>
    </w:p>
    <w:sectPr w:rsidRPr="00AD49D3" w:rsidR="009F5B35" w:rsidSect="000B1DB1">
      <w:headerReference w:type="default" r:id="rId8"/>
      <w:headerReference w:type="first" r:id="rId9"/>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CA47" w14:textId="77777777" w:rsidR="000A69D3" w:rsidRDefault="000A69D3">
      <w:pPr>
        <w:spacing w:line="240" w:lineRule="auto"/>
      </w:pPr>
      <w:r>
        <w:separator/>
      </w:r>
    </w:p>
  </w:endnote>
  <w:endnote w:type="continuationSeparator" w:id="0">
    <w:p w14:paraId="3D4F41BF" w14:textId="77777777" w:rsidR="000A69D3" w:rsidRDefault="000A69D3">
      <w:pPr>
        <w:spacing w:line="240" w:lineRule="auto"/>
      </w:pPr>
      <w:r>
        <w:continuationSeparator/>
      </w:r>
    </w:p>
  </w:endnote>
  <w:endnote w:type="continuationNotice" w:id="1">
    <w:p w14:paraId="48280BA9" w14:textId="77777777" w:rsidR="000A69D3" w:rsidRDefault="000A6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C213" w14:textId="77777777" w:rsidR="000A69D3" w:rsidRDefault="000A69D3">
      <w:pPr>
        <w:spacing w:line="240" w:lineRule="auto"/>
      </w:pPr>
      <w:r>
        <w:separator/>
      </w:r>
    </w:p>
  </w:footnote>
  <w:footnote w:type="continuationSeparator" w:id="0">
    <w:p w14:paraId="1770298F" w14:textId="77777777" w:rsidR="000A69D3" w:rsidRDefault="000A69D3">
      <w:pPr>
        <w:spacing w:line="240" w:lineRule="auto"/>
      </w:pPr>
      <w:r>
        <w:continuationSeparator/>
      </w:r>
    </w:p>
  </w:footnote>
  <w:footnote w:type="continuationNotice" w:id="1">
    <w:p w14:paraId="56C3927B" w14:textId="77777777" w:rsidR="000A69D3" w:rsidRDefault="000A69D3">
      <w:pPr>
        <w:spacing w:line="240" w:lineRule="auto"/>
      </w:pPr>
    </w:p>
  </w:footnote>
  <w:footnote w:id="2">
    <w:p w14:paraId="3F7A5CF6" w14:textId="77777777" w:rsidR="00FE1C25" w:rsidRPr="00506992" w:rsidRDefault="00FE1C25">
      <w:pPr>
        <w:pStyle w:val="Voetnoottekst"/>
        <w:rPr>
          <w:color w:val="auto"/>
          <w:sz w:val="14"/>
          <w:szCs w:val="14"/>
        </w:rPr>
      </w:pPr>
      <w:r w:rsidRPr="00506992">
        <w:rPr>
          <w:rStyle w:val="Voetnootmarkering"/>
          <w:color w:val="auto"/>
          <w:sz w:val="14"/>
          <w:szCs w:val="14"/>
        </w:rPr>
        <w:footnoteRef/>
      </w:r>
      <w:r w:rsidR="00C628BC" w:rsidRPr="00506992">
        <w:rPr>
          <w:color w:val="auto"/>
          <w:sz w:val="14"/>
          <w:szCs w:val="14"/>
        </w:rPr>
        <w:t xml:space="preserve"> </w:t>
      </w:r>
      <w:r w:rsidR="00C628BC" w:rsidRPr="00506992">
        <w:rPr>
          <w:i/>
          <w:color w:val="auto"/>
          <w:sz w:val="14"/>
          <w:szCs w:val="14"/>
        </w:rPr>
        <w:t>Kamerstukken II</w:t>
      </w:r>
      <w:r w:rsidR="00C628BC" w:rsidRPr="00506992">
        <w:rPr>
          <w:color w:val="auto"/>
          <w:sz w:val="14"/>
          <w:szCs w:val="14"/>
        </w:rPr>
        <w:t xml:space="preserve"> 2023/24, 36418, nr. 87 (Grinwis), </w:t>
      </w:r>
      <w:r w:rsidR="00C628BC" w:rsidRPr="00506992">
        <w:rPr>
          <w:i/>
          <w:color w:val="auto"/>
          <w:sz w:val="14"/>
          <w:szCs w:val="14"/>
        </w:rPr>
        <w:t>Kamerstukken II</w:t>
      </w:r>
      <w:r w:rsidR="00C628BC" w:rsidRPr="00506992">
        <w:rPr>
          <w:color w:val="auto"/>
          <w:sz w:val="14"/>
          <w:szCs w:val="14"/>
        </w:rPr>
        <w:t xml:space="preserve"> 2023/24, 36418, nr. 72 (Erkens), </w:t>
      </w:r>
      <w:r w:rsidR="00C628BC" w:rsidRPr="00506992">
        <w:rPr>
          <w:i/>
          <w:color w:val="auto"/>
          <w:sz w:val="14"/>
          <w:szCs w:val="14"/>
        </w:rPr>
        <w:t>Kamerstukken I</w:t>
      </w:r>
      <w:r w:rsidR="00C628BC" w:rsidRPr="00506992">
        <w:rPr>
          <w:color w:val="auto"/>
          <w:sz w:val="14"/>
          <w:szCs w:val="14"/>
        </w:rPr>
        <w:t xml:space="preserve"> 2023/24, 36410, nr. F (Koffeman</w:t>
      </w:r>
      <w:r w:rsidR="006A1384" w:rsidRPr="00506992">
        <w:rPr>
          <w:color w:val="auto"/>
          <w:sz w:val="14"/>
          <w:szCs w:val="14"/>
        </w:rPr>
        <w:t xml:space="preserve"> c.s.</w:t>
      </w:r>
      <w:r w:rsidR="00C628BC" w:rsidRPr="00506992">
        <w:rPr>
          <w:color w:val="auto"/>
          <w:sz w:val="14"/>
          <w:szCs w:val="14"/>
        </w:rPr>
        <w:t xml:space="preserve">), </w:t>
      </w:r>
      <w:r w:rsidR="00C628BC" w:rsidRPr="00506992">
        <w:rPr>
          <w:i/>
          <w:color w:val="auto"/>
          <w:sz w:val="14"/>
          <w:szCs w:val="14"/>
        </w:rPr>
        <w:t>Kamerstukken I</w:t>
      </w:r>
      <w:r w:rsidR="00C628BC" w:rsidRPr="00506992">
        <w:rPr>
          <w:color w:val="auto"/>
          <w:sz w:val="14"/>
          <w:szCs w:val="14"/>
        </w:rPr>
        <w:t xml:space="preserve"> 2023/24, 36418, nr. W (</w:t>
      </w:r>
      <w:proofErr w:type="spellStart"/>
      <w:r w:rsidR="00C628BC" w:rsidRPr="00506992">
        <w:rPr>
          <w:color w:val="auto"/>
          <w:sz w:val="14"/>
          <w:szCs w:val="14"/>
        </w:rPr>
        <w:t>Visseren</w:t>
      </w:r>
      <w:proofErr w:type="spellEnd"/>
      <w:r w:rsidR="00C628BC" w:rsidRPr="00506992">
        <w:rPr>
          <w:color w:val="auto"/>
          <w:sz w:val="14"/>
          <w:szCs w:val="14"/>
        </w:rPr>
        <w:t xml:space="preserve">-Hamakers c.s.) en </w:t>
      </w:r>
      <w:r w:rsidR="00C628BC" w:rsidRPr="00506992">
        <w:rPr>
          <w:i/>
          <w:color w:val="auto"/>
          <w:sz w:val="14"/>
          <w:szCs w:val="14"/>
        </w:rPr>
        <w:t>Kamerstukken I</w:t>
      </w:r>
      <w:r w:rsidR="00C628BC" w:rsidRPr="00506992">
        <w:rPr>
          <w:color w:val="auto"/>
          <w:sz w:val="14"/>
          <w:szCs w:val="14"/>
        </w:rPr>
        <w:t xml:space="preserve"> 2023/24, 36418, nr. X (</w:t>
      </w:r>
      <w:proofErr w:type="spellStart"/>
      <w:r w:rsidR="00C628BC" w:rsidRPr="00506992">
        <w:rPr>
          <w:color w:val="auto"/>
          <w:sz w:val="14"/>
          <w:szCs w:val="14"/>
        </w:rPr>
        <w:t>Visseren</w:t>
      </w:r>
      <w:proofErr w:type="spellEnd"/>
      <w:r w:rsidR="00C628BC" w:rsidRPr="00506992">
        <w:rPr>
          <w:color w:val="auto"/>
          <w:sz w:val="14"/>
          <w:szCs w:val="14"/>
        </w:rPr>
        <w:t>-Hamakers c.s.).</w:t>
      </w:r>
    </w:p>
  </w:footnote>
  <w:footnote w:id="3">
    <w:p w14:paraId="544D0CCD" w14:textId="77777777" w:rsidR="00DE7CA2" w:rsidRPr="005E4A08" w:rsidRDefault="00DE7CA2" w:rsidP="00DE7CA2">
      <w:pPr>
        <w:pStyle w:val="Voetnoottekst"/>
        <w:rPr>
          <w:sz w:val="14"/>
          <w:szCs w:val="14"/>
        </w:rPr>
      </w:pPr>
      <w:r w:rsidRPr="005E4A08">
        <w:rPr>
          <w:rStyle w:val="Voetnootmarkering"/>
          <w:sz w:val="14"/>
          <w:szCs w:val="14"/>
        </w:rPr>
        <w:footnoteRef/>
      </w:r>
      <w:r w:rsidRPr="005E4A08">
        <w:rPr>
          <w:sz w:val="14"/>
          <w:szCs w:val="14"/>
        </w:rPr>
        <w:t xml:space="preserve"> </w:t>
      </w:r>
      <w:r w:rsidRPr="005E4A08">
        <w:rPr>
          <w:i/>
          <w:iCs/>
          <w:sz w:val="14"/>
          <w:szCs w:val="14"/>
        </w:rPr>
        <w:t>Kamerstukken II</w:t>
      </w:r>
      <w:r w:rsidRPr="005E4A08">
        <w:rPr>
          <w:sz w:val="14"/>
          <w:szCs w:val="14"/>
        </w:rPr>
        <w:t xml:space="preserve"> 2022/23, 32140, nr. 167.</w:t>
      </w:r>
    </w:p>
  </w:footnote>
  <w:footnote w:id="4">
    <w:p w14:paraId="2AF10099" w14:textId="77777777" w:rsidR="00CC3A0C" w:rsidRPr="00506992" w:rsidRDefault="00CC3A0C">
      <w:pPr>
        <w:pStyle w:val="Voetnoottekst"/>
        <w:rPr>
          <w:color w:val="auto"/>
          <w:sz w:val="14"/>
          <w:szCs w:val="14"/>
          <w:lang w:val="de-DE"/>
        </w:rPr>
      </w:pPr>
      <w:r w:rsidRPr="00506992">
        <w:rPr>
          <w:rStyle w:val="Voetnootmarkering"/>
          <w:color w:val="auto"/>
          <w:sz w:val="14"/>
          <w:szCs w:val="14"/>
        </w:rPr>
        <w:footnoteRef/>
      </w:r>
      <w:r w:rsidRPr="00506992">
        <w:rPr>
          <w:color w:val="auto"/>
          <w:sz w:val="14"/>
          <w:szCs w:val="14"/>
        </w:rPr>
        <w:t xml:space="preserve"> </w:t>
      </w:r>
      <w:r w:rsidR="007971BB" w:rsidRPr="00506992">
        <w:rPr>
          <w:color w:val="auto"/>
          <w:sz w:val="14"/>
          <w:szCs w:val="14"/>
        </w:rPr>
        <w:t xml:space="preserve">RIVM. </w:t>
      </w:r>
      <w:r w:rsidR="007971BB" w:rsidRPr="00506992">
        <w:rPr>
          <w:i/>
          <w:color w:val="auto"/>
          <w:sz w:val="14"/>
          <w:szCs w:val="14"/>
        </w:rPr>
        <w:t xml:space="preserve">Informatie over Volksgezondheid en Zorg. </w:t>
      </w:r>
      <w:proofErr w:type="spellStart"/>
      <w:r w:rsidR="007971BB" w:rsidRPr="00506992">
        <w:rPr>
          <w:i/>
          <w:color w:val="auto"/>
          <w:sz w:val="14"/>
          <w:szCs w:val="14"/>
          <w:lang w:val="de-DE"/>
        </w:rPr>
        <w:t>Overgewicht</w:t>
      </w:r>
      <w:proofErr w:type="spellEnd"/>
      <w:r w:rsidR="007971BB" w:rsidRPr="00506992">
        <w:rPr>
          <w:i/>
          <w:color w:val="auto"/>
          <w:sz w:val="14"/>
          <w:szCs w:val="14"/>
          <w:lang w:val="de-DE"/>
        </w:rPr>
        <w:t>.</w:t>
      </w:r>
      <w:r w:rsidR="00FF6BF4" w:rsidRPr="00506992">
        <w:rPr>
          <w:i/>
          <w:color w:val="auto"/>
          <w:sz w:val="14"/>
          <w:szCs w:val="14"/>
          <w:lang w:val="de-DE"/>
        </w:rPr>
        <w:t xml:space="preserve"> </w:t>
      </w:r>
      <w:r w:rsidR="00FF6BF4" w:rsidRPr="00506992">
        <w:rPr>
          <w:color w:val="auto"/>
          <w:sz w:val="14"/>
          <w:szCs w:val="14"/>
          <w:lang w:val="de-DE"/>
        </w:rPr>
        <w:t>https://www.vzinfo.nl/overgewicht.</w:t>
      </w:r>
    </w:p>
  </w:footnote>
  <w:footnote w:id="5">
    <w:p w14:paraId="7AB0A52D" w14:textId="77777777" w:rsidR="00076D4D" w:rsidRPr="00506992" w:rsidRDefault="00076D4D">
      <w:pPr>
        <w:pStyle w:val="Voetnoottekst"/>
        <w:rPr>
          <w:color w:val="auto"/>
          <w:sz w:val="14"/>
          <w:szCs w:val="14"/>
          <w:lang w:val="de-DE"/>
        </w:rPr>
      </w:pPr>
      <w:r w:rsidRPr="00506992">
        <w:rPr>
          <w:rStyle w:val="Voetnootmarkering"/>
          <w:color w:val="auto"/>
          <w:sz w:val="14"/>
          <w:szCs w:val="14"/>
        </w:rPr>
        <w:footnoteRef/>
      </w:r>
      <w:r w:rsidRPr="00506992">
        <w:rPr>
          <w:color w:val="auto"/>
          <w:sz w:val="14"/>
          <w:szCs w:val="14"/>
        </w:rPr>
        <w:t xml:space="preserve"> </w:t>
      </w:r>
      <w:r w:rsidR="007971BB" w:rsidRPr="00506992">
        <w:rPr>
          <w:color w:val="auto"/>
          <w:sz w:val="14"/>
          <w:szCs w:val="14"/>
        </w:rPr>
        <w:t xml:space="preserve">RIVM. </w:t>
      </w:r>
      <w:r w:rsidR="007971BB" w:rsidRPr="00506992">
        <w:rPr>
          <w:i/>
          <w:color w:val="auto"/>
          <w:sz w:val="14"/>
          <w:szCs w:val="14"/>
        </w:rPr>
        <w:t xml:space="preserve">Informatie over Volksgezondheid en Zorg. </w:t>
      </w:r>
      <w:proofErr w:type="spellStart"/>
      <w:r w:rsidR="007971BB" w:rsidRPr="00506992">
        <w:rPr>
          <w:i/>
          <w:color w:val="auto"/>
          <w:sz w:val="14"/>
          <w:szCs w:val="14"/>
          <w:lang w:val="de-DE"/>
        </w:rPr>
        <w:t>Overgewicht</w:t>
      </w:r>
      <w:proofErr w:type="spellEnd"/>
      <w:r w:rsidR="007971BB" w:rsidRPr="00506992">
        <w:rPr>
          <w:i/>
          <w:color w:val="auto"/>
          <w:sz w:val="14"/>
          <w:szCs w:val="14"/>
          <w:lang w:val="de-DE"/>
        </w:rPr>
        <w:t>.</w:t>
      </w:r>
      <w:r w:rsidR="00FF6BF4" w:rsidRPr="00506992">
        <w:rPr>
          <w:i/>
          <w:color w:val="auto"/>
          <w:sz w:val="14"/>
          <w:szCs w:val="14"/>
          <w:lang w:val="de-DE"/>
        </w:rPr>
        <w:t xml:space="preserve"> </w:t>
      </w:r>
      <w:r w:rsidR="00FF6BF4" w:rsidRPr="00506992">
        <w:rPr>
          <w:color w:val="auto"/>
          <w:sz w:val="14"/>
          <w:szCs w:val="14"/>
          <w:lang w:val="de-DE"/>
        </w:rPr>
        <w:t>https://www.vzinfo.nl/overgewicht.</w:t>
      </w:r>
    </w:p>
  </w:footnote>
  <w:footnote w:id="6">
    <w:p w14:paraId="65BDA702" w14:textId="77777777" w:rsidR="00076D4D" w:rsidRPr="00506992" w:rsidRDefault="00076D4D">
      <w:pPr>
        <w:pStyle w:val="Voetnoottekst"/>
        <w:rPr>
          <w:color w:val="auto"/>
          <w:sz w:val="14"/>
          <w:szCs w:val="14"/>
          <w:lang w:val="en-US"/>
        </w:rPr>
      </w:pPr>
      <w:r w:rsidRPr="00506992">
        <w:rPr>
          <w:rStyle w:val="Voetnootmarkering"/>
          <w:color w:val="auto"/>
          <w:sz w:val="14"/>
          <w:szCs w:val="14"/>
        </w:rPr>
        <w:footnoteRef/>
      </w:r>
      <w:r w:rsidRPr="00506992">
        <w:rPr>
          <w:color w:val="auto"/>
          <w:sz w:val="14"/>
          <w:szCs w:val="14"/>
        </w:rPr>
        <w:t xml:space="preserve"> </w:t>
      </w:r>
      <w:r w:rsidR="007971BB" w:rsidRPr="00506992">
        <w:rPr>
          <w:color w:val="auto"/>
          <w:sz w:val="14"/>
          <w:szCs w:val="14"/>
        </w:rPr>
        <w:t xml:space="preserve">RIVM. </w:t>
      </w:r>
      <w:r w:rsidR="007971BB" w:rsidRPr="00506992">
        <w:rPr>
          <w:i/>
          <w:color w:val="auto"/>
          <w:sz w:val="14"/>
          <w:szCs w:val="14"/>
        </w:rPr>
        <w:t xml:space="preserve">Volksgezondheid Toekomst Verkenning Leefstijl 2018. </w:t>
      </w:r>
      <w:hyperlink r:id="rId1" w:history="1">
        <w:r w:rsidR="007971BB" w:rsidRPr="00506992">
          <w:rPr>
            <w:rStyle w:val="Hyperlink"/>
            <w:i/>
            <w:color w:val="auto"/>
            <w:sz w:val="14"/>
            <w:szCs w:val="14"/>
            <w:lang w:val="en-US"/>
          </w:rPr>
          <w:t>https://www.vtv2018.nl/leefstijl</w:t>
        </w:r>
      </w:hyperlink>
      <w:r w:rsidR="007971BB" w:rsidRPr="00506992">
        <w:rPr>
          <w:color w:val="auto"/>
          <w:sz w:val="14"/>
          <w:szCs w:val="14"/>
          <w:lang w:val="en-US"/>
        </w:rPr>
        <w:t>.</w:t>
      </w:r>
    </w:p>
  </w:footnote>
  <w:footnote w:id="7">
    <w:p w14:paraId="37BCD4B7" w14:textId="77777777" w:rsidR="00076D4D" w:rsidRPr="00506992" w:rsidRDefault="00076D4D" w:rsidP="00724A3B">
      <w:pPr>
        <w:pStyle w:val="Geenafstand"/>
        <w:rPr>
          <w:color w:val="auto"/>
          <w:sz w:val="14"/>
          <w:szCs w:val="14"/>
          <w:lang w:val="en-US"/>
        </w:rPr>
      </w:pPr>
      <w:r w:rsidRPr="00506992">
        <w:rPr>
          <w:rStyle w:val="Voetnootmarkering"/>
          <w:color w:val="auto"/>
          <w:sz w:val="14"/>
          <w:szCs w:val="14"/>
        </w:rPr>
        <w:footnoteRef/>
      </w:r>
      <w:r w:rsidRPr="00506992">
        <w:rPr>
          <w:color w:val="auto"/>
          <w:sz w:val="14"/>
          <w:szCs w:val="14"/>
          <w:lang w:val="en-US"/>
        </w:rPr>
        <w:t xml:space="preserve"> </w:t>
      </w:r>
      <w:r w:rsidR="007971BB" w:rsidRPr="00506992">
        <w:rPr>
          <w:color w:val="auto"/>
          <w:sz w:val="14"/>
          <w:szCs w:val="14"/>
          <w:lang w:val="en-US"/>
        </w:rPr>
        <w:t xml:space="preserve">Hruby, A. and F.B. Hu, </w:t>
      </w:r>
      <w:r w:rsidR="007971BB" w:rsidRPr="00506992">
        <w:rPr>
          <w:i/>
          <w:color w:val="auto"/>
          <w:sz w:val="14"/>
          <w:szCs w:val="14"/>
          <w:lang w:val="en-US"/>
        </w:rPr>
        <w:t>The Epidemiology of Obesity: A Big Picture.</w:t>
      </w:r>
      <w:r w:rsidR="007971BB" w:rsidRPr="00506992">
        <w:rPr>
          <w:color w:val="auto"/>
          <w:sz w:val="14"/>
          <w:szCs w:val="14"/>
          <w:lang w:val="en-US"/>
        </w:rPr>
        <w:t xml:space="preserve"> Pharmacoeconomics, 2015. </w:t>
      </w:r>
      <w:r w:rsidR="007971BB" w:rsidRPr="009B3779">
        <w:rPr>
          <w:bCs/>
          <w:color w:val="auto"/>
          <w:sz w:val="14"/>
          <w:szCs w:val="14"/>
          <w:lang w:val="en-US"/>
        </w:rPr>
        <w:t>33</w:t>
      </w:r>
      <w:r w:rsidR="007971BB" w:rsidRPr="00506992">
        <w:rPr>
          <w:color w:val="auto"/>
          <w:sz w:val="14"/>
          <w:szCs w:val="14"/>
          <w:lang w:val="en-US"/>
        </w:rPr>
        <w:t>(7): p. 673-89.</w:t>
      </w:r>
    </w:p>
  </w:footnote>
  <w:footnote w:id="8">
    <w:p w14:paraId="623933EA" w14:textId="77777777" w:rsidR="00076D4D" w:rsidRPr="00506992" w:rsidRDefault="00076D4D" w:rsidP="00724A3B">
      <w:pPr>
        <w:pStyle w:val="Geenafstand"/>
        <w:rPr>
          <w:color w:val="auto"/>
          <w:sz w:val="14"/>
          <w:szCs w:val="14"/>
          <w:lang w:val="en-US"/>
        </w:rPr>
      </w:pPr>
      <w:r w:rsidRPr="00506992">
        <w:rPr>
          <w:rStyle w:val="Voetnootmarkering"/>
          <w:color w:val="auto"/>
          <w:sz w:val="14"/>
          <w:szCs w:val="14"/>
        </w:rPr>
        <w:footnoteRef/>
      </w:r>
      <w:r w:rsidRPr="00506992">
        <w:rPr>
          <w:color w:val="auto"/>
          <w:sz w:val="14"/>
          <w:szCs w:val="14"/>
          <w:lang w:val="en-US"/>
        </w:rPr>
        <w:t xml:space="preserve"> </w:t>
      </w:r>
      <w:r w:rsidR="007971BB" w:rsidRPr="00506992">
        <w:rPr>
          <w:color w:val="auto"/>
          <w:sz w:val="14"/>
          <w:szCs w:val="14"/>
          <w:lang w:val="en-US"/>
        </w:rPr>
        <w:t xml:space="preserve">HLPE. Nutrition and food systems. A report by the </w:t>
      </w:r>
      <w:proofErr w:type="gramStart"/>
      <w:r w:rsidR="007971BB" w:rsidRPr="00506992">
        <w:rPr>
          <w:color w:val="auto"/>
          <w:sz w:val="14"/>
          <w:szCs w:val="14"/>
          <w:lang w:val="en-US"/>
        </w:rPr>
        <w:t>High Level</w:t>
      </w:r>
      <w:proofErr w:type="gramEnd"/>
      <w:r w:rsidR="007971BB" w:rsidRPr="00506992">
        <w:rPr>
          <w:color w:val="auto"/>
          <w:sz w:val="14"/>
          <w:szCs w:val="14"/>
          <w:lang w:val="en-US"/>
        </w:rPr>
        <w:t xml:space="preserve"> Panel of</w:t>
      </w:r>
      <w:r w:rsidR="00724A3B" w:rsidRPr="00506992">
        <w:rPr>
          <w:color w:val="auto"/>
          <w:sz w:val="14"/>
          <w:szCs w:val="14"/>
          <w:lang w:val="en-US"/>
        </w:rPr>
        <w:t xml:space="preserve"> </w:t>
      </w:r>
      <w:r w:rsidR="007971BB" w:rsidRPr="00506992">
        <w:rPr>
          <w:color w:val="auto"/>
          <w:sz w:val="14"/>
          <w:szCs w:val="14"/>
          <w:lang w:val="en-US"/>
        </w:rPr>
        <w:t>Experts on Food Security and Nutrition of the Committee on World Food Security, Rome. https://www.fao.org/documents/card/en?details=I7846E. 2017.</w:t>
      </w:r>
    </w:p>
  </w:footnote>
  <w:footnote w:id="9">
    <w:p w14:paraId="47898421" w14:textId="77777777" w:rsidR="007971BB" w:rsidRPr="00506992" w:rsidRDefault="007971BB" w:rsidP="00724A3B">
      <w:pPr>
        <w:spacing w:line="240" w:lineRule="auto"/>
        <w:rPr>
          <w:color w:val="auto"/>
          <w:sz w:val="14"/>
          <w:szCs w:val="14"/>
        </w:rPr>
      </w:pPr>
      <w:r w:rsidRPr="00506992">
        <w:rPr>
          <w:rStyle w:val="Voetnootmarkering"/>
          <w:color w:val="auto"/>
          <w:sz w:val="14"/>
          <w:szCs w:val="14"/>
        </w:rPr>
        <w:footnoteRef/>
      </w:r>
      <w:r w:rsidRPr="00506992">
        <w:rPr>
          <w:color w:val="auto"/>
          <w:sz w:val="14"/>
          <w:szCs w:val="14"/>
          <w:lang w:val="en-US"/>
        </w:rPr>
        <w:t xml:space="preserve"> Swinburn, B., G. Egger, and F. Raza, </w:t>
      </w:r>
      <w:proofErr w:type="gramStart"/>
      <w:r w:rsidRPr="00506992">
        <w:rPr>
          <w:color w:val="auto"/>
          <w:sz w:val="14"/>
          <w:szCs w:val="14"/>
          <w:lang w:val="en-US"/>
        </w:rPr>
        <w:t>Dissecting</w:t>
      </w:r>
      <w:proofErr w:type="gramEnd"/>
      <w:r w:rsidRPr="00506992">
        <w:rPr>
          <w:color w:val="auto"/>
          <w:sz w:val="14"/>
          <w:szCs w:val="14"/>
          <w:lang w:val="en-US"/>
        </w:rPr>
        <w:t xml:space="preserve"> obesogenic environments: the development and application of a framework for identifying and prioritizing environmental interventions for obesity. </w:t>
      </w:r>
      <w:proofErr w:type="spellStart"/>
      <w:r w:rsidRPr="00506992">
        <w:rPr>
          <w:color w:val="auto"/>
          <w:sz w:val="14"/>
          <w:szCs w:val="14"/>
        </w:rPr>
        <w:t>Prev</w:t>
      </w:r>
      <w:proofErr w:type="spellEnd"/>
      <w:r w:rsidRPr="00506992">
        <w:rPr>
          <w:color w:val="auto"/>
          <w:sz w:val="14"/>
          <w:szCs w:val="14"/>
        </w:rPr>
        <w:t xml:space="preserve"> </w:t>
      </w:r>
      <w:proofErr w:type="spellStart"/>
      <w:r w:rsidRPr="00506992">
        <w:rPr>
          <w:color w:val="auto"/>
          <w:sz w:val="14"/>
          <w:szCs w:val="14"/>
        </w:rPr>
        <w:t>Med</w:t>
      </w:r>
      <w:proofErr w:type="spellEnd"/>
      <w:r w:rsidRPr="00506992">
        <w:rPr>
          <w:color w:val="auto"/>
          <w:sz w:val="14"/>
          <w:szCs w:val="14"/>
        </w:rPr>
        <w:t xml:space="preserve">, 1999. </w:t>
      </w:r>
      <w:r w:rsidRPr="00D93065">
        <w:rPr>
          <w:bCs/>
          <w:sz w:val="14"/>
          <w:szCs w:val="14"/>
        </w:rPr>
        <w:t>29</w:t>
      </w:r>
      <w:r w:rsidRPr="00506992">
        <w:rPr>
          <w:color w:val="auto"/>
          <w:sz w:val="14"/>
          <w:szCs w:val="14"/>
        </w:rPr>
        <w:t>(6 Pt 1): p. 563-70.</w:t>
      </w:r>
    </w:p>
  </w:footnote>
  <w:footnote w:id="10">
    <w:p w14:paraId="019EC3F4" w14:textId="77777777" w:rsidR="00076D4D" w:rsidRPr="00506992" w:rsidRDefault="00076D4D">
      <w:pPr>
        <w:pStyle w:val="Voetnoottekst"/>
        <w:rPr>
          <w:color w:val="auto"/>
          <w:sz w:val="14"/>
          <w:szCs w:val="14"/>
          <w:lang w:val="en-US"/>
        </w:rPr>
      </w:pPr>
      <w:r w:rsidRPr="00506992">
        <w:rPr>
          <w:rStyle w:val="Voetnootmarkering"/>
          <w:color w:val="auto"/>
          <w:sz w:val="14"/>
          <w:szCs w:val="14"/>
        </w:rPr>
        <w:footnoteRef/>
      </w:r>
      <w:r w:rsidRPr="00506992">
        <w:rPr>
          <w:color w:val="auto"/>
          <w:sz w:val="14"/>
          <w:szCs w:val="14"/>
        </w:rPr>
        <w:t xml:space="preserve"> </w:t>
      </w:r>
      <w:r w:rsidR="007971BB" w:rsidRPr="00506992">
        <w:rPr>
          <w:color w:val="auto"/>
          <w:sz w:val="14"/>
          <w:szCs w:val="14"/>
        </w:rPr>
        <w:t xml:space="preserve">Rijksoverheid. </w:t>
      </w:r>
      <w:r w:rsidR="007971BB" w:rsidRPr="00506992">
        <w:rPr>
          <w:i/>
          <w:color w:val="auto"/>
          <w:sz w:val="14"/>
          <w:szCs w:val="14"/>
        </w:rPr>
        <w:t xml:space="preserve">Nationaal Preventieakkoord. Naar een gezonder Nederland. </w:t>
      </w:r>
      <w:hyperlink r:id="rId2" w:history="1">
        <w:r w:rsidR="007971BB" w:rsidRPr="00506992">
          <w:rPr>
            <w:rStyle w:val="Hyperlink"/>
            <w:i/>
            <w:color w:val="auto"/>
            <w:sz w:val="14"/>
            <w:szCs w:val="14"/>
          </w:rPr>
          <w:t>https://www.rijksoverheid.nl/onderwerpen/gezondheid-en-preventie/documenten/convenanten/2018/11/23/nationaal-preventieakkoord</w:t>
        </w:r>
      </w:hyperlink>
      <w:r w:rsidR="007971BB" w:rsidRPr="00506992">
        <w:rPr>
          <w:color w:val="auto"/>
          <w:sz w:val="14"/>
          <w:szCs w:val="14"/>
        </w:rPr>
        <w:t xml:space="preserve">. </w:t>
      </w:r>
      <w:r w:rsidR="007971BB" w:rsidRPr="00506992">
        <w:rPr>
          <w:color w:val="auto"/>
          <w:sz w:val="14"/>
          <w:szCs w:val="14"/>
          <w:lang w:val="en-US"/>
        </w:rPr>
        <w:t>2018.</w:t>
      </w:r>
    </w:p>
  </w:footnote>
  <w:footnote w:id="11">
    <w:p w14:paraId="42D01293" w14:textId="77777777" w:rsidR="00076D4D" w:rsidRPr="00506992" w:rsidRDefault="00076D4D">
      <w:pPr>
        <w:pStyle w:val="Voetnoottekst"/>
        <w:rPr>
          <w:color w:val="auto"/>
          <w:sz w:val="14"/>
          <w:szCs w:val="14"/>
          <w:lang w:val="en-US"/>
        </w:rPr>
      </w:pPr>
      <w:r w:rsidRPr="00506992">
        <w:rPr>
          <w:rStyle w:val="Voetnootmarkering"/>
          <w:color w:val="auto"/>
          <w:sz w:val="14"/>
          <w:szCs w:val="14"/>
        </w:rPr>
        <w:footnoteRef/>
      </w:r>
      <w:r w:rsidRPr="00506992">
        <w:rPr>
          <w:color w:val="auto"/>
          <w:sz w:val="14"/>
          <w:szCs w:val="14"/>
          <w:lang w:val="en-US"/>
        </w:rPr>
        <w:t xml:space="preserve"> </w:t>
      </w:r>
      <w:r w:rsidR="007971BB" w:rsidRPr="00506992">
        <w:rPr>
          <w:color w:val="auto"/>
          <w:sz w:val="14"/>
          <w:szCs w:val="14"/>
          <w:lang w:val="en-US"/>
        </w:rPr>
        <w:t xml:space="preserve">World Health Organization. </w:t>
      </w:r>
      <w:r w:rsidR="007971BB" w:rsidRPr="00506992">
        <w:rPr>
          <w:i/>
          <w:color w:val="auto"/>
          <w:sz w:val="14"/>
          <w:szCs w:val="14"/>
          <w:lang w:val="en-US"/>
        </w:rPr>
        <w:t xml:space="preserve">Fiscal Policies for Diet and the Prevention of Noncommunicable Diseases. </w:t>
      </w:r>
      <w:r w:rsidR="00BA0399">
        <w:fldChar w:fldCharType="begin"/>
      </w:r>
      <w:r w:rsidR="00BA0399" w:rsidRPr="00BA0399">
        <w:rPr>
          <w:lang w:val="en-US"/>
        </w:rPr>
        <w:instrText>HYPERLINK "https://www.who.int/publications/i/item/9789241511247"</w:instrText>
      </w:r>
      <w:r w:rsidR="00BA0399">
        <w:fldChar w:fldCharType="separate"/>
      </w:r>
      <w:r w:rsidR="007971BB" w:rsidRPr="00506992">
        <w:rPr>
          <w:rStyle w:val="Hyperlink"/>
          <w:i/>
          <w:color w:val="auto"/>
          <w:sz w:val="14"/>
          <w:szCs w:val="14"/>
          <w:lang w:val="en-US"/>
        </w:rPr>
        <w:t>https://www.who.int/publications/i/item/9789241511247</w:t>
      </w:r>
      <w:r w:rsidR="00BA0399">
        <w:rPr>
          <w:rStyle w:val="Hyperlink"/>
          <w:i/>
          <w:color w:val="auto"/>
          <w:sz w:val="14"/>
          <w:szCs w:val="14"/>
          <w:lang w:val="en-US"/>
        </w:rPr>
        <w:fldChar w:fldCharType="end"/>
      </w:r>
      <w:r w:rsidR="007971BB" w:rsidRPr="00506992">
        <w:rPr>
          <w:color w:val="auto"/>
          <w:sz w:val="14"/>
          <w:szCs w:val="14"/>
          <w:lang w:val="en-US"/>
        </w:rPr>
        <w:t>. 2016.</w:t>
      </w:r>
    </w:p>
  </w:footnote>
  <w:footnote w:id="12">
    <w:p w14:paraId="43656E51" w14:textId="77777777" w:rsidR="00076D4D" w:rsidRPr="00506992" w:rsidRDefault="00076D4D">
      <w:pPr>
        <w:pStyle w:val="Voetnoottekst"/>
        <w:rPr>
          <w:color w:val="auto"/>
          <w:sz w:val="14"/>
          <w:szCs w:val="14"/>
          <w:lang w:val="en-US"/>
        </w:rPr>
      </w:pPr>
      <w:r w:rsidRPr="00506992">
        <w:rPr>
          <w:rStyle w:val="Voetnootmarkering"/>
          <w:color w:val="auto"/>
          <w:sz w:val="14"/>
          <w:szCs w:val="14"/>
        </w:rPr>
        <w:footnoteRef/>
      </w:r>
      <w:r w:rsidRPr="00506992">
        <w:rPr>
          <w:color w:val="auto"/>
          <w:sz w:val="14"/>
          <w:szCs w:val="14"/>
          <w:lang w:val="en-US"/>
        </w:rPr>
        <w:t xml:space="preserve"> </w:t>
      </w:r>
      <w:r w:rsidR="00724A3B" w:rsidRPr="00506992">
        <w:rPr>
          <w:color w:val="auto"/>
          <w:sz w:val="14"/>
          <w:szCs w:val="14"/>
          <w:lang w:val="en-US"/>
        </w:rPr>
        <w:t xml:space="preserve">World Health Organization. </w:t>
      </w:r>
      <w:r w:rsidR="00724A3B" w:rsidRPr="00506992">
        <w:rPr>
          <w:i/>
          <w:color w:val="auto"/>
          <w:sz w:val="14"/>
          <w:szCs w:val="14"/>
          <w:lang w:val="en-US"/>
        </w:rPr>
        <w:t xml:space="preserve">Report of the Commission on Ending Childhood Obesity. </w:t>
      </w:r>
      <w:r w:rsidR="00BA0399">
        <w:fldChar w:fldCharType="begin"/>
      </w:r>
      <w:r w:rsidR="00BA0399" w:rsidRPr="00BA0399">
        <w:rPr>
          <w:lang w:val="en-US"/>
        </w:rPr>
        <w:instrText>HYPERLINK "https://www.who.int/publications/i/item/9789241510066"</w:instrText>
      </w:r>
      <w:r w:rsidR="00BA0399">
        <w:fldChar w:fldCharType="separate"/>
      </w:r>
      <w:r w:rsidR="00724A3B" w:rsidRPr="00506992">
        <w:rPr>
          <w:rStyle w:val="Hyperlink"/>
          <w:i/>
          <w:color w:val="auto"/>
          <w:sz w:val="14"/>
          <w:szCs w:val="14"/>
          <w:lang w:val="en-US"/>
        </w:rPr>
        <w:t>https://www.who.int/publications/i/item/9789241510066</w:t>
      </w:r>
      <w:r w:rsidR="00BA0399">
        <w:rPr>
          <w:rStyle w:val="Hyperlink"/>
          <w:i/>
          <w:color w:val="auto"/>
          <w:sz w:val="14"/>
          <w:szCs w:val="14"/>
          <w:lang w:val="en-US"/>
        </w:rPr>
        <w:fldChar w:fldCharType="end"/>
      </w:r>
      <w:r w:rsidR="00724A3B" w:rsidRPr="00506992">
        <w:rPr>
          <w:color w:val="auto"/>
          <w:sz w:val="14"/>
          <w:szCs w:val="14"/>
          <w:lang w:val="en-US"/>
        </w:rPr>
        <w:t>. 2016.</w:t>
      </w:r>
    </w:p>
  </w:footnote>
  <w:footnote w:id="13">
    <w:p w14:paraId="2545E15C" w14:textId="77777777" w:rsidR="00076D4D" w:rsidRPr="00506992" w:rsidRDefault="00076D4D">
      <w:pPr>
        <w:pStyle w:val="Voetnoottekst"/>
        <w:rPr>
          <w:color w:val="auto"/>
          <w:sz w:val="14"/>
          <w:szCs w:val="14"/>
        </w:rPr>
      </w:pPr>
      <w:r w:rsidRPr="00506992">
        <w:rPr>
          <w:rStyle w:val="Voetnootmarkering"/>
          <w:color w:val="auto"/>
          <w:sz w:val="14"/>
          <w:szCs w:val="14"/>
        </w:rPr>
        <w:footnoteRef/>
      </w:r>
      <w:r w:rsidRPr="00506992">
        <w:rPr>
          <w:color w:val="auto"/>
          <w:sz w:val="14"/>
          <w:szCs w:val="14"/>
          <w:lang w:val="en-US"/>
        </w:rPr>
        <w:t xml:space="preserve"> </w:t>
      </w:r>
      <w:r w:rsidR="00724A3B" w:rsidRPr="00506992">
        <w:rPr>
          <w:color w:val="auto"/>
          <w:sz w:val="14"/>
          <w:szCs w:val="14"/>
          <w:lang w:val="en-US"/>
        </w:rPr>
        <w:t xml:space="preserve">World Health Organization. </w:t>
      </w:r>
      <w:r w:rsidR="00724A3B" w:rsidRPr="00506992">
        <w:rPr>
          <w:i/>
          <w:color w:val="auto"/>
          <w:sz w:val="14"/>
          <w:szCs w:val="14"/>
          <w:lang w:val="en-US"/>
        </w:rPr>
        <w:t xml:space="preserve">Fiscal Policies for Diet and the Prevention of Noncommunicable Diseases. </w:t>
      </w:r>
      <w:r w:rsidR="00BA0399">
        <w:fldChar w:fldCharType="begin"/>
      </w:r>
      <w:r w:rsidR="00BA0399" w:rsidRPr="00BA0399">
        <w:rPr>
          <w:lang w:val="en-US"/>
        </w:rPr>
        <w:instrText>HYPERLINK "https://www.who.int/publications/i/item/9789241511247"</w:instrText>
      </w:r>
      <w:r w:rsidR="00BA0399">
        <w:fldChar w:fldCharType="separate"/>
      </w:r>
      <w:r w:rsidR="00724A3B" w:rsidRPr="00506992">
        <w:rPr>
          <w:rStyle w:val="Hyperlink"/>
          <w:i/>
          <w:color w:val="auto"/>
          <w:sz w:val="14"/>
          <w:szCs w:val="14"/>
        </w:rPr>
        <w:t>https://www.who.int/publications/i/item/9789241511247</w:t>
      </w:r>
      <w:r w:rsidR="00BA0399">
        <w:rPr>
          <w:rStyle w:val="Hyperlink"/>
          <w:i/>
          <w:color w:val="auto"/>
          <w:sz w:val="14"/>
          <w:szCs w:val="14"/>
        </w:rPr>
        <w:fldChar w:fldCharType="end"/>
      </w:r>
      <w:r w:rsidR="00724A3B" w:rsidRPr="00506992">
        <w:rPr>
          <w:color w:val="auto"/>
          <w:sz w:val="14"/>
          <w:szCs w:val="14"/>
        </w:rPr>
        <w:t>. 2016.</w:t>
      </w:r>
    </w:p>
  </w:footnote>
  <w:footnote w:id="14">
    <w:p w14:paraId="04E3484A" w14:textId="77777777" w:rsidR="00785D2A" w:rsidRPr="00506992" w:rsidRDefault="00785D2A">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Pr="00506992">
        <w:rPr>
          <w:i/>
          <w:color w:val="auto"/>
          <w:sz w:val="14"/>
          <w:szCs w:val="14"/>
        </w:rPr>
        <w:t>Kamerstukken II</w:t>
      </w:r>
      <w:r w:rsidRPr="00506992">
        <w:rPr>
          <w:color w:val="auto"/>
          <w:sz w:val="14"/>
          <w:szCs w:val="14"/>
        </w:rPr>
        <w:t xml:space="preserve"> 2022/23, 31532, nr. 283.</w:t>
      </w:r>
    </w:p>
  </w:footnote>
  <w:footnote w:id="15">
    <w:p w14:paraId="1E58E566" w14:textId="77777777" w:rsidR="009B6F1B" w:rsidRPr="00506992" w:rsidRDefault="009B6F1B">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00333C09" w:rsidRPr="00506992">
        <w:rPr>
          <w:i/>
          <w:color w:val="auto"/>
          <w:sz w:val="14"/>
          <w:szCs w:val="14"/>
        </w:rPr>
        <w:t>Kamerstukken II</w:t>
      </w:r>
      <w:r w:rsidR="00333C09" w:rsidRPr="00506992">
        <w:rPr>
          <w:color w:val="auto"/>
          <w:sz w:val="14"/>
          <w:szCs w:val="14"/>
        </w:rPr>
        <w:t xml:space="preserve"> 2023/24, 36418, nr. 87. </w:t>
      </w:r>
    </w:p>
  </w:footnote>
  <w:footnote w:id="16">
    <w:p w14:paraId="53653B77" w14:textId="77777777" w:rsidR="009B6F1B" w:rsidRPr="00506992" w:rsidRDefault="009B6F1B">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00BB2B35" w:rsidRPr="00506992">
        <w:rPr>
          <w:i/>
          <w:color w:val="auto"/>
          <w:sz w:val="14"/>
          <w:szCs w:val="14"/>
        </w:rPr>
        <w:t>Kamerstukken II</w:t>
      </w:r>
      <w:r w:rsidR="00BB2B35" w:rsidRPr="00506992">
        <w:rPr>
          <w:color w:val="auto"/>
          <w:sz w:val="14"/>
          <w:szCs w:val="14"/>
        </w:rPr>
        <w:t xml:space="preserve"> 2023/24, 36418, nr. 72.</w:t>
      </w:r>
    </w:p>
  </w:footnote>
  <w:footnote w:id="17">
    <w:p w14:paraId="6DA73405" w14:textId="77777777" w:rsidR="00866B13" w:rsidRPr="00506992" w:rsidRDefault="00866B13" w:rsidP="00866B13">
      <w:pPr>
        <w:pStyle w:val="Voetnoottekst"/>
        <w:rPr>
          <w:b/>
          <w:color w:val="auto"/>
          <w:sz w:val="14"/>
          <w:szCs w:val="14"/>
        </w:rPr>
      </w:pPr>
      <w:r w:rsidRPr="00506992">
        <w:rPr>
          <w:rStyle w:val="Voetnootmarkering"/>
          <w:color w:val="auto"/>
          <w:sz w:val="14"/>
          <w:szCs w:val="14"/>
        </w:rPr>
        <w:footnoteRef/>
      </w:r>
      <w:r w:rsidRPr="00506992">
        <w:rPr>
          <w:color w:val="auto"/>
          <w:sz w:val="14"/>
          <w:szCs w:val="14"/>
        </w:rPr>
        <w:t xml:space="preserve"> </w:t>
      </w:r>
      <w:r w:rsidRPr="00506992">
        <w:rPr>
          <w:i/>
          <w:color w:val="auto"/>
          <w:sz w:val="14"/>
          <w:szCs w:val="14"/>
        </w:rPr>
        <w:t>Kamerstukken I</w:t>
      </w:r>
      <w:r w:rsidRPr="00506992">
        <w:rPr>
          <w:color w:val="auto"/>
          <w:sz w:val="14"/>
          <w:szCs w:val="14"/>
        </w:rPr>
        <w:t xml:space="preserve"> 2023/24, </w:t>
      </w:r>
      <w:r w:rsidR="00326F60" w:rsidRPr="00506992">
        <w:rPr>
          <w:color w:val="auto"/>
          <w:sz w:val="14"/>
          <w:szCs w:val="14"/>
        </w:rPr>
        <w:t xml:space="preserve">36418, </w:t>
      </w:r>
      <w:r w:rsidRPr="00506992">
        <w:rPr>
          <w:color w:val="auto"/>
          <w:sz w:val="14"/>
          <w:szCs w:val="14"/>
        </w:rPr>
        <w:t>nr. X (</w:t>
      </w:r>
      <w:proofErr w:type="spellStart"/>
      <w:r w:rsidRPr="00506992">
        <w:rPr>
          <w:color w:val="auto"/>
          <w:sz w:val="14"/>
          <w:szCs w:val="14"/>
        </w:rPr>
        <w:t>Visseren</w:t>
      </w:r>
      <w:proofErr w:type="spellEnd"/>
      <w:r w:rsidRPr="00506992">
        <w:rPr>
          <w:color w:val="auto"/>
          <w:sz w:val="14"/>
          <w:szCs w:val="14"/>
        </w:rPr>
        <w:t xml:space="preserve">-Hamakers c.s.). In deze motie luidt de overweging “verzoekt de regering (…) een nultarief in deze verbruiksbelasting in te voeren voor dranken die geen toegevoegde suikers bevatten”. </w:t>
      </w:r>
    </w:p>
  </w:footnote>
  <w:footnote w:id="18">
    <w:p w14:paraId="4283A452" w14:textId="77777777" w:rsidR="00866B13" w:rsidRPr="00506992" w:rsidRDefault="00866B13" w:rsidP="00866B13">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Pr="00506992">
        <w:rPr>
          <w:i/>
          <w:color w:val="auto"/>
          <w:sz w:val="14"/>
          <w:szCs w:val="14"/>
        </w:rPr>
        <w:t>Kamerstukken I</w:t>
      </w:r>
      <w:r w:rsidRPr="00506992">
        <w:rPr>
          <w:color w:val="auto"/>
          <w:sz w:val="14"/>
          <w:szCs w:val="14"/>
        </w:rPr>
        <w:t xml:space="preserve"> 2023/24, 36410, nr. F (Koffeman c.s.). In deze motie luidt de overweging “verzoekt de regering (</w:t>
      </w:r>
      <w:r w:rsidR="00326F60" w:rsidRPr="00506992">
        <w:rPr>
          <w:color w:val="auto"/>
          <w:sz w:val="14"/>
          <w:szCs w:val="14"/>
        </w:rPr>
        <w:t>…</w:t>
      </w:r>
      <w:r w:rsidRPr="00506992">
        <w:rPr>
          <w:color w:val="auto"/>
          <w:sz w:val="14"/>
          <w:szCs w:val="14"/>
        </w:rPr>
        <w:t xml:space="preserve">) dat dranken zonder toegevoegde suikers niet langer onder de verhoogde heffing zullen vallen”. </w:t>
      </w:r>
    </w:p>
  </w:footnote>
  <w:footnote w:id="19">
    <w:p w14:paraId="4F43A50C" w14:textId="77777777" w:rsidR="002E7E84" w:rsidRPr="00506992" w:rsidRDefault="002E7E84" w:rsidP="002E7E84">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00B87CB1" w:rsidRPr="00506992">
        <w:rPr>
          <w:color w:val="auto"/>
          <w:sz w:val="14"/>
          <w:szCs w:val="14"/>
        </w:rPr>
        <w:t>De voorganger van de verbruiksbelasting was de accijns van alcoholvrije dranken en van pruimtabak en snuiftabak. Met het tot stand komen van de interne markt per 1</w:t>
      </w:r>
      <w:r w:rsidR="00101DC0" w:rsidRPr="00506992">
        <w:rPr>
          <w:color w:val="auto"/>
          <w:sz w:val="14"/>
          <w:szCs w:val="14"/>
        </w:rPr>
        <w:t> </w:t>
      </w:r>
      <w:r w:rsidR="00B87CB1" w:rsidRPr="00506992">
        <w:rPr>
          <w:color w:val="auto"/>
          <w:sz w:val="14"/>
          <w:szCs w:val="14"/>
        </w:rPr>
        <w:t>januari</w:t>
      </w:r>
      <w:r w:rsidR="00101DC0" w:rsidRPr="00506992">
        <w:rPr>
          <w:color w:val="auto"/>
          <w:sz w:val="14"/>
          <w:szCs w:val="14"/>
        </w:rPr>
        <w:t> </w:t>
      </w:r>
      <w:r w:rsidR="00B87CB1" w:rsidRPr="00506992">
        <w:rPr>
          <w:color w:val="auto"/>
          <w:sz w:val="14"/>
          <w:szCs w:val="14"/>
        </w:rPr>
        <w:t>1993 is deze accijns komen te vervallen en is deze overgegaan in een nationale verbruiksbelasting.</w:t>
      </w:r>
    </w:p>
  </w:footnote>
  <w:footnote w:id="20">
    <w:p w14:paraId="711F8D3B" w14:textId="77777777" w:rsidR="002E7E84" w:rsidRPr="00506992" w:rsidRDefault="002E7E84" w:rsidP="002E7E84">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00326F60" w:rsidRPr="00506992">
        <w:rPr>
          <w:i/>
          <w:color w:val="auto"/>
          <w:sz w:val="14"/>
          <w:szCs w:val="14"/>
        </w:rPr>
        <w:t>Kamerstukken II</w:t>
      </w:r>
      <w:r w:rsidR="00326F60" w:rsidRPr="00506992">
        <w:rPr>
          <w:color w:val="auto"/>
          <w:sz w:val="14"/>
          <w:szCs w:val="14"/>
        </w:rPr>
        <w:t xml:space="preserve"> 2022/23, 36202, nr. 3, p. 66.</w:t>
      </w:r>
    </w:p>
  </w:footnote>
  <w:footnote w:id="21">
    <w:p w14:paraId="627A0266" w14:textId="77777777" w:rsidR="004859FD" w:rsidRPr="00506992" w:rsidRDefault="004859FD">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Zie artikel 9, derde lid, onderdeel a</w:t>
      </w:r>
      <w:r w:rsidR="000C168A" w:rsidRPr="00506992">
        <w:rPr>
          <w:color w:val="auto"/>
          <w:sz w:val="14"/>
          <w:szCs w:val="14"/>
        </w:rPr>
        <w:t xml:space="preserve">, Wet verbruiksbelasting van alcoholvrije dranken, dat luidt: “Als limonade wordt niet aangemerkt: a). </w:t>
      </w:r>
      <w:proofErr w:type="gramStart"/>
      <w:r w:rsidR="000C168A" w:rsidRPr="00506992">
        <w:rPr>
          <w:color w:val="auto"/>
          <w:sz w:val="14"/>
          <w:szCs w:val="14"/>
        </w:rPr>
        <w:t>de</w:t>
      </w:r>
      <w:proofErr w:type="gramEnd"/>
      <w:r w:rsidR="000C168A" w:rsidRPr="00506992">
        <w:rPr>
          <w:color w:val="auto"/>
          <w:sz w:val="14"/>
          <w:szCs w:val="14"/>
        </w:rPr>
        <w:t xml:space="preserve"> uit melk of melkproducten bereide drank met een gehalte aan melkvetten van 0,02%mas of meer waarin zich melkeiwit en melksuiker bevinden, niet zijnde een uit wei of </w:t>
      </w:r>
      <w:proofErr w:type="spellStart"/>
      <w:r w:rsidR="000C168A" w:rsidRPr="00506992">
        <w:rPr>
          <w:color w:val="auto"/>
          <w:sz w:val="14"/>
          <w:szCs w:val="14"/>
        </w:rPr>
        <w:t>weiproducten</w:t>
      </w:r>
      <w:proofErr w:type="spellEnd"/>
      <w:r w:rsidR="000C168A" w:rsidRPr="00506992">
        <w:rPr>
          <w:color w:val="auto"/>
          <w:sz w:val="14"/>
          <w:szCs w:val="14"/>
        </w:rPr>
        <w:t xml:space="preserve"> vervaardigde drank”. </w:t>
      </w:r>
    </w:p>
  </w:footnote>
  <w:footnote w:id="22">
    <w:p w14:paraId="7DBAE788" w14:textId="77777777" w:rsidR="00BA08B1" w:rsidRPr="00506992" w:rsidRDefault="00BA08B1" w:rsidP="00BA08B1">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Hongarije, Polen, Portugal, Frankrijk, Ierland, Spanje (Catalonië) en Verenigd Koninkrijk (niet-EU)</w:t>
      </w:r>
      <w:r w:rsidR="00E07FBF">
        <w:rPr>
          <w:color w:val="auto"/>
          <w:sz w:val="14"/>
          <w:szCs w:val="14"/>
        </w:rPr>
        <w:t>.</w:t>
      </w:r>
    </w:p>
  </w:footnote>
  <w:footnote w:id="23">
    <w:p w14:paraId="06513C81" w14:textId="77777777" w:rsidR="00BA08B1" w:rsidRPr="00506992" w:rsidRDefault="00BA08B1" w:rsidP="00BA08B1">
      <w:pPr>
        <w:pStyle w:val="Voetnoottekst"/>
        <w:rPr>
          <w:color w:val="auto"/>
          <w:sz w:val="14"/>
          <w:szCs w:val="14"/>
          <w:lang w:val="en-US"/>
        </w:rPr>
      </w:pPr>
      <w:r w:rsidRPr="00506992">
        <w:rPr>
          <w:rStyle w:val="Voetnootmarkering"/>
          <w:color w:val="auto"/>
          <w:sz w:val="14"/>
          <w:szCs w:val="14"/>
        </w:rPr>
        <w:footnoteRef/>
      </w:r>
      <w:r w:rsidRPr="00506992">
        <w:rPr>
          <w:color w:val="auto"/>
          <w:sz w:val="14"/>
          <w:szCs w:val="14"/>
          <w:lang w:val="en-US"/>
        </w:rPr>
        <w:t xml:space="preserve"> </w:t>
      </w:r>
      <w:r w:rsidR="00D11B45" w:rsidRPr="00506992">
        <w:rPr>
          <w:i/>
          <w:color w:val="auto"/>
          <w:sz w:val="14"/>
          <w:szCs w:val="14"/>
          <w:lang w:val="en-US"/>
        </w:rPr>
        <w:t>‘Sugar reduction: Report on progress between 2015 and 2019’</w:t>
      </w:r>
      <w:r w:rsidR="00D11B45" w:rsidRPr="00506992">
        <w:rPr>
          <w:color w:val="auto"/>
          <w:sz w:val="14"/>
          <w:szCs w:val="14"/>
          <w:lang w:val="en-US"/>
        </w:rPr>
        <w:t>, Public Health England 2020.</w:t>
      </w:r>
    </w:p>
  </w:footnote>
  <w:footnote w:id="24">
    <w:p w14:paraId="758ACA25" w14:textId="77777777" w:rsidR="00BA08B1" w:rsidRPr="00506992" w:rsidRDefault="00BA08B1" w:rsidP="00BA08B1">
      <w:pPr>
        <w:pStyle w:val="Voetnoottekst"/>
        <w:rPr>
          <w:color w:val="auto"/>
          <w:sz w:val="14"/>
          <w:szCs w:val="14"/>
          <w:lang w:val="en-US"/>
        </w:rPr>
      </w:pPr>
      <w:r w:rsidRPr="00506992">
        <w:rPr>
          <w:rStyle w:val="Voetnootmarkering"/>
          <w:color w:val="auto"/>
          <w:sz w:val="14"/>
          <w:szCs w:val="14"/>
        </w:rPr>
        <w:footnoteRef/>
      </w:r>
      <w:r w:rsidRPr="00506992">
        <w:rPr>
          <w:color w:val="auto"/>
          <w:sz w:val="14"/>
          <w:szCs w:val="14"/>
          <w:lang w:val="en-US"/>
        </w:rPr>
        <w:t xml:space="preserve"> </w:t>
      </w:r>
      <w:r w:rsidRPr="00506992">
        <w:rPr>
          <w:i/>
          <w:color w:val="auto"/>
          <w:sz w:val="14"/>
          <w:szCs w:val="14"/>
          <w:lang w:val="en-US"/>
        </w:rPr>
        <w:t>‘Sugar reduction: Report on progress between 2015 and 2019’</w:t>
      </w:r>
      <w:r w:rsidRPr="00506992">
        <w:rPr>
          <w:color w:val="auto"/>
          <w:sz w:val="14"/>
          <w:szCs w:val="14"/>
          <w:lang w:val="en-US"/>
        </w:rPr>
        <w:t>, Public Health England 2020.</w:t>
      </w:r>
    </w:p>
  </w:footnote>
  <w:footnote w:id="25">
    <w:p w14:paraId="6879F0DD" w14:textId="77777777" w:rsidR="00B8225D" w:rsidRPr="00506992" w:rsidRDefault="00B8225D" w:rsidP="00B8225D">
      <w:pPr>
        <w:pStyle w:val="Voetnoottekst"/>
        <w:rPr>
          <w:b/>
          <w:color w:val="auto"/>
          <w:sz w:val="14"/>
          <w:szCs w:val="14"/>
        </w:rPr>
      </w:pPr>
      <w:r w:rsidRPr="00506992">
        <w:rPr>
          <w:rStyle w:val="Voetnootmarkering"/>
          <w:color w:val="auto"/>
          <w:sz w:val="14"/>
          <w:szCs w:val="14"/>
        </w:rPr>
        <w:footnoteRef/>
      </w:r>
      <w:r w:rsidRPr="00506992">
        <w:rPr>
          <w:color w:val="auto"/>
          <w:sz w:val="14"/>
          <w:szCs w:val="14"/>
        </w:rPr>
        <w:t xml:space="preserve"> </w:t>
      </w:r>
      <w:r w:rsidRPr="00506992">
        <w:rPr>
          <w:i/>
          <w:color w:val="auto"/>
          <w:sz w:val="14"/>
          <w:szCs w:val="14"/>
        </w:rPr>
        <w:t>Kamerstukken I</w:t>
      </w:r>
      <w:r w:rsidRPr="00506992">
        <w:rPr>
          <w:color w:val="auto"/>
          <w:sz w:val="14"/>
          <w:szCs w:val="14"/>
        </w:rPr>
        <w:t xml:space="preserve"> 2023/24, </w:t>
      </w:r>
      <w:r w:rsidR="00ED4F33" w:rsidRPr="00506992">
        <w:rPr>
          <w:color w:val="auto"/>
          <w:sz w:val="14"/>
          <w:szCs w:val="14"/>
        </w:rPr>
        <w:t xml:space="preserve">36418, </w:t>
      </w:r>
      <w:r w:rsidRPr="00506992">
        <w:rPr>
          <w:color w:val="auto"/>
          <w:sz w:val="14"/>
          <w:szCs w:val="14"/>
        </w:rPr>
        <w:t>nr. X (</w:t>
      </w:r>
      <w:proofErr w:type="spellStart"/>
      <w:r w:rsidRPr="00506992">
        <w:rPr>
          <w:color w:val="auto"/>
          <w:sz w:val="14"/>
          <w:szCs w:val="14"/>
        </w:rPr>
        <w:t>Visseren</w:t>
      </w:r>
      <w:proofErr w:type="spellEnd"/>
      <w:r w:rsidRPr="00506992">
        <w:rPr>
          <w:color w:val="auto"/>
          <w:sz w:val="14"/>
          <w:szCs w:val="14"/>
        </w:rPr>
        <w:t xml:space="preserve">-Hamakers c.s.). In deze motie luidt de overweging “verzoekt de regering (…) een nultarief in deze verbruiksbelasting in te voeren voor dranken die geen toegevoegde suikers bevatten”. </w:t>
      </w:r>
    </w:p>
  </w:footnote>
  <w:footnote w:id="26">
    <w:p w14:paraId="291A3F34" w14:textId="77777777" w:rsidR="00B8225D" w:rsidRPr="00506992" w:rsidRDefault="00B8225D" w:rsidP="00B8225D">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Pr="00506992">
        <w:rPr>
          <w:i/>
          <w:color w:val="auto"/>
          <w:sz w:val="14"/>
          <w:szCs w:val="14"/>
        </w:rPr>
        <w:t>Kamerstukken I</w:t>
      </w:r>
      <w:r w:rsidRPr="00506992">
        <w:rPr>
          <w:color w:val="auto"/>
          <w:sz w:val="14"/>
          <w:szCs w:val="14"/>
        </w:rPr>
        <w:t xml:space="preserve"> 2023/24, 36410, nr. F (Koffeman c.s.). In deze motie luidt de overweging “verzoekt de regering (</w:t>
      </w:r>
      <w:r w:rsidR="00780AE3" w:rsidRPr="00506992">
        <w:rPr>
          <w:color w:val="auto"/>
          <w:sz w:val="14"/>
          <w:szCs w:val="14"/>
        </w:rPr>
        <w:t>…</w:t>
      </w:r>
      <w:r w:rsidRPr="00506992">
        <w:rPr>
          <w:color w:val="auto"/>
          <w:sz w:val="14"/>
          <w:szCs w:val="14"/>
        </w:rPr>
        <w:t>) dat dranken zonder toegevoegde suikers niet langer onder de verhoogde heffing zullen vallen”.</w:t>
      </w:r>
    </w:p>
  </w:footnote>
  <w:footnote w:id="27">
    <w:p w14:paraId="6EF77D76" w14:textId="77777777" w:rsidR="00A605F1" w:rsidRPr="00506992" w:rsidRDefault="00A605F1">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Daadwerkelijke hoogte van tarieven zijn niet te geven omdat er geen data beschikbaar is van de omvang van dranken met alleen toegevoegde suikers.</w:t>
      </w:r>
    </w:p>
  </w:footnote>
  <w:footnote w:id="28">
    <w:p w14:paraId="27951453" w14:textId="77777777" w:rsidR="00E700A8" w:rsidRPr="00506992" w:rsidRDefault="00E700A8">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Cijfers </w:t>
      </w:r>
      <w:proofErr w:type="gramStart"/>
      <w:r w:rsidRPr="00506992">
        <w:rPr>
          <w:color w:val="auto"/>
          <w:sz w:val="14"/>
          <w:szCs w:val="14"/>
        </w:rPr>
        <w:t>conform</w:t>
      </w:r>
      <w:proofErr w:type="gramEnd"/>
      <w:r w:rsidRPr="00506992">
        <w:rPr>
          <w:color w:val="auto"/>
          <w:sz w:val="14"/>
          <w:szCs w:val="14"/>
        </w:rPr>
        <w:t xml:space="preserve"> Miljoenennota 2024.</w:t>
      </w:r>
    </w:p>
  </w:footnote>
  <w:footnote w:id="29">
    <w:p w14:paraId="1D3982C1" w14:textId="77777777" w:rsidR="0016385C" w:rsidRPr="00506992" w:rsidRDefault="0016385C">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Bij de controleerbaarheid moet rekening worden gehouden met een bepaalbaarheidsgrens. Dat wil zeggen dat het voor de Douane niet mogelijk is om een onderscheid te maken tussen dranken met 0 gram suiker en dranken met bijvoorbeeld 0,6 gram suiker. Door de eerste staffel te ijken op dranken met 0 tot en met 1 gram suiker wordt rekening gehouden met de bepaalbaarheidsgrens.</w:t>
      </w:r>
    </w:p>
  </w:footnote>
  <w:footnote w:id="30">
    <w:p w14:paraId="4259EE58" w14:textId="77777777" w:rsidR="00A1601B" w:rsidRPr="00506992" w:rsidRDefault="00A1601B" w:rsidP="00A1601B">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00332457" w:rsidRPr="00506992">
        <w:rPr>
          <w:color w:val="auto"/>
          <w:sz w:val="14"/>
          <w:szCs w:val="14"/>
        </w:rPr>
        <w:t>‘</w:t>
      </w:r>
      <w:r w:rsidR="00332457" w:rsidRPr="00506992">
        <w:rPr>
          <w:i/>
          <w:color w:val="auto"/>
          <w:sz w:val="14"/>
          <w:szCs w:val="14"/>
        </w:rPr>
        <w:t>Verkoopvolumes alcoholvrije dranken supermarkten</w:t>
      </w:r>
      <w:r w:rsidR="00332457" w:rsidRPr="00506992">
        <w:rPr>
          <w:color w:val="auto"/>
          <w:sz w:val="14"/>
          <w:szCs w:val="14"/>
        </w:rPr>
        <w:t xml:space="preserve">, 2021’, </w:t>
      </w:r>
      <w:r w:rsidR="00332457" w:rsidRPr="00506992">
        <w:rPr>
          <w:i/>
          <w:color w:val="auto"/>
          <w:sz w:val="14"/>
          <w:szCs w:val="14"/>
        </w:rPr>
        <w:t>CBS</w:t>
      </w:r>
      <w:r w:rsidR="00332457" w:rsidRPr="00506992">
        <w:rPr>
          <w:color w:val="auto"/>
          <w:sz w:val="14"/>
          <w:szCs w:val="14"/>
        </w:rPr>
        <w:t xml:space="preserve">, te raadplegen via: </w:t>
      </w:r>
      <w:hyperlink r:id="rId3" w:history="1">
        <w:r w:rsidR="00332457" w:rsidRPr="00506992">
          <w:rPr>
            <w:rStyle w:val="Hyperlink"/>
            <w:color w:val="auto"/>
            <w:sz w:val="14"/>
            <w:szCs w:val="14"/>
          </w:rPr>
          <w:t>https://www.cbs.nl/nl-nl/maatwerk/2023/04/verkoopvolumes-alcoholvrije-dranken-supermarkten-2021</w:t>
        </w:r>
      </w:hyperlink>
      <w:r w:rsidR="00332457" w:rsidRPr="00506992">
        <w:rPr>
          <w:color w:val="auto"/>
          <w:sz w:val="14"/>
          <w:szCs w:val="14"/>
        </w:rPr>
        <w:t>.</w:t>
      </w:r>
    </w:p>
  </w:footnote>
  <w:footnote w:id="31">
    <w:p w14:paraId="0F1983B5" w14:textId="49BAF22E" w:rsidR="00A77D5B" w:rsidRPr="00506992" w:rsidRDefault="00A77D5B">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De tarieven bij scenario’s II, III, </w:t>
      </w:r>
      <w:proofErr w:type="spellStart"/>
      <w:r w:rsidRPr="00506992">
        <w:rPr>
          <w:color w:val="auto"/>
          <w:sz w:val="14"/>
          <w:szCs w:val="14"/>
        </w:rPr>
        <w:t>IVa</w:t>
      </w:r>
      <w:proofErr w:type="spellEnd"/>
      <w:r w:rsidRPr="00506992">
        <w:rPr>
          <w:color w:val="auto"/>
          <w:sz w:val="14"/>
          <w:szCs w:val="14"/>
        </w:rPr>
        <w:t xml:space="preserve"> en </w:t>
      </w:r>
      <w:proofErr w:type="spellStart"/>
      <w:r w:rsidRPr="00506992">
        <w:rPr>
          <w:color w:val="auto"/>
          <w:sz w:val="14"/>
          <w:szCs w:val="14"/>
        </w:rPr>
        <w:t>IVb</w:t>
      </w:r>
      <w:proofErr w:type="spellEnd"/>
      <w:r w:rsidRPr="00506992">
        <w:rPr>
          <w:color w:val="auto"/>
          <w:sz w:val="14"/>
          <w:szCs w:val="14"/>
        </w:rPr>
        <w:t xml:space="preserve"> zijn berekend door het RIVM. Het RIVM was al betrokken bij het onderzoek naar de mogelijkheden voor een gedifferentieerde verbruiksbelasting op basis van suiker dat op 6 juli 2023 met uw Kamer is gedeeld. Voor de berekening van de tarieven is gebruik gemaakt van het model dat door het RIVM in dat onderzoek is gebruikt. </w:t>
      </w:r>
      <w:r w:rsidR="00FF6C4B" w:rsidRPr="00506992">
        <w:rPr>
          <w:color w:val="auto"/>
          <w:sz w:val="14"/>
          <w:szCs w:val="14"/>
        </w:rPr>
        <w:t xml:space="preserve">Het betreft mogelijke tarieven die lineair oplopen en voldoen aan de volgende voorwaarden: budgetneutraliteit, lineair oplopende tarieven om herformulering door de producent en gedragsverandering door de consument te stimuleren, en gelijke tarieven voor iedere drank. </w:t>
      </w:r>
      <w:r w:rsidRPr="00506992">
        <w:rPr>
          <w:color w:val="auto"/>
          <w:sz w:val="14"/>
          <w:szCs w:val="14"/>
        </w:rPr>
        <w:t>Een nadere toelichting op de berekeningen is te vinden in een separate publicatie van het RIVM</w:t>
      </w:r>
      <w:r w:rsidR="002A45BE">
        <w:rPr>
          <w:color w:val="auto"/>
          <w:sz w:val="14"/>
          <w:szCs w:val="14"/>
        </w:rPr>
        <w:t xml:space="preserve"> te raadplegen via: </w:t>
      </w:r>
      <w:r w:rsidR="002A45BE" w:rsidRPr="002A45BE">
        <w:rPr>
          <w:color w:val="auto"/>
          <w:sz w:val="14"/>
          <w:szCs w:val="14"/>
        </w:rPr>
        <w:t>https://www.rivm.nl/publicaties/verbruiksbelasting-alcoholvrije-dranken</w:t>
      </w:r>
      <w:r w:rsidR="002A45BE">
        <w:rPr>
          <w:color w:val="auto"/>
          <w:sz w:val="14"/>
          <w:szCs w:val="14"/>
        </w:rPr>
        <w:t>.</w:t>
      </w:r>
      <w:r w:rsidRPr="00506992">
        <w:rPr>
          <w:color w:val="auto"/>
          <w:sz w:val="14"/>
          <w:szCs w:val="14"/>
        </w:rPr>
        <w:t xml:space="preserve"> </w:t>
      </w:r>
    </w:p>
  </w:footnote>
  <w:footnote w:id="32">
    <w:p w14:paraId="60DE7325" w14:textId="77777777" w:rsidR="00A77D5B" w:rsidRPr="00506992" w:rsidRDefault="00A77D5B">
      <w:pPr>
        <w:pStyle w:val="Voetnoottekst"/>
        <w:rPr>
          <w:color w:val="auto"/>
        </w:rPr>
      </w:pPr>
      <w:r w:rsidRPr="00506992">
        <w:rPr>
          <w:rStyle w:val="Voetnootmarkering"/>
          <w:color w:val="auto"/>
          <w:sz w:val="14"/>
          <w:szCs w:val="14"/>
        </w:rPr>
        <w:footnoteRef/>
      </w:r>
      <w:r w:rsidRPr="00506992">
        <w:rPr>
          <w:color w:val="auto"/>
          <w:sz w:val="14"/>
          <w:szCs w:val="14"/>
        </w:rPr>
        <w:t xml:space="preserve"> De tarieven bij scenario I zijn berekend door het ministerie van Financi</w:t>
      </w:r>
      <w:r w:rsidR="006F5924" w:rsidRPr="00506992">
        <w:rPr>
          <w:color w:val="auto"/>
          <w:sz w:val="14"/>
          <w:szCs w:val="14"/>
        </w:rPr>
        <w:t>ë</w:t>
      </w:r>
      <w:r w:rsidRPr="00506992">
        <w:rPr>
          <w:color w:val="auto"/>
          <w:sz w:val="14"/>
          <w:szCs w:val="14"/>
        </w:rPr>
        <w:t>n zelf.</w:t>
      </w:r>
    </w:p>
  </w:footnote>
  <w:footnote w:id="33">
    <w:p w14:paraId="50F43BB7" w14:textId="77777777" w:rsidR="00A069BF" w:rsidRPr="00506992" w:rsidRDefault="00A069BF">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Ter illustratie is het verschil i</w:t>
      </w:r>
      <w:r w:rsidR="00AF30E5" w:rsidRPr="00506992">
        <w:rPr>
          <w:color w:val="auto"/>
          <w:sz w:val="14"/>
          <w:szCs w:val="14"/>
        </w:rPr>
        <w:t>n</w:t>
      </w:r>
      <w:r w:rsidRPr="00506992">
        <w:rPr>
          <w:color w:val="auto"/>
          <w:sz w:val="14"/>
          <w:szCs w:val="14"/>
        </w:rPr>
        <w:t xml:space="preserve"> belastingdruk voor een aantal dranken </w:t>
      </w:r>
      <w:r w:rsidR="00AF30E5" w:rsidRPr="00506992">
        <w:rPr>
          <w:color w:val="auto"/>
          <w:sz w:val="14"/>
          <w:szCs w:val="14"/>
        </w:rPr>
        <w:t>weergegeven</w:t>
      </w:r>
      <w:r w:rsidRPr="00506992">
        <w:rPr>
          <w:color w:val="auto"/>
          <w:sz w:val="14"/>
          <w:szCs w:val="14"/>
        </w:rPr>
        <w:t>. Daarbij is uitgegaan van het verschil tussen de huidige belastingdruk (€ 0,2613 per liter) en de nieuwe belastingdruk in het gegeven scenario</w:t>
      </w:r>
      <w:r w:rsidR="006F5924" w:rsidRPr="00506992">
        <w:rPr>
          <w:color w:val="auto"/>
          <w:sz w:val="14"/>
          <w:szCs w:val="14"/>
        </w:rPr>
        <w:t xml:space="preserve"> per liter alcoholvrije drank</w:t>
      </w:r>
      <w:r w:rsidRPr="00506992">
        <w:rPr>
          <w:color w:val="auto"/>
          <w:sz w:val="14"/>
          <w:szCs w:val="14"/>
        </w:rPr>
        <w:t>.</w:t>
      </w:r>
      <w:r w:rsidR="000F7251" w:rsidRPr="00506992">
        <w:rPr>
          <w:color w:val="auto"/>
          <w:sz w:val="14"/>
          <w:szCs w:val="14"/>
        </w:rPr>
        <w:t xml:space="preserve"> De bedragen zijn afgerond op 2 decimalen achter de komma.</w:t>
      </w:r>
      <w:r w:rsidR="00AF30E5" w:rsidRPr="00506992">
        <w:rPr>
          <w:color w:val="auto"/>
          <w:sz w:val="14"/>
          <w:szCs w:val="14"/>
        </w:rPr>
        <w:t xml:space="preserve"> </w:t>
      </w:r>
      <w:r w:rsidRPr="00506992">
        <w:rPr>
          <w:color w:val="auto"/>
          <w:sz w:val="14"/>
          <w:szCs w:val="14"/>
        </w:rPr>
        <w:t xml:space="preserve">De genoemde dranken zijn </w:t>
      </w:r>
      <w:r w:rsidR="006F5924" w:rsidRPr="00506992">
        <w:rPr>
          <w:color w:val="auto"/>
          <w:sz w:val="14"/>
          <w:szCs w:val="14"/>
        </w:rPr>
        <w:t xml:space="preserve">toegewezen aan de staffel op basis van het </w:t>
      </w:r>
      <w:r w:rsidRPr="00506992">
        <w:rPr>
          <w:color w:val="auto"/>
          <w:sz w:val="14"/>
          <w:szCs w:val="14"/>
        </w:rPr>
        <w:t>huidige suikergehalte.</w:t>
      </w:r>
    </w:p>
  </w:footnote>
  <w:footnote w:id="34">
    <w:p w14:paraId="44A3BD30" w14:textId="77777777" w:rsidR="006D7A99" w:rsidRPr="00506992" w:rsidRDefault="006D7A99" w:rsidP="002D7097">
      <w:pPr>
        <w:spacing w:line="240" w:lineRule="auto"/>
        <w:rPr>
          <w:color w:val="auto"/>
          <w:sz w:val="14"/>
          <w:szCs w:val="14"/>
        </w:rPr>
      </w:pPr>
      <w:r w:rsidRPr="00506992">
        <w:rPr>
          <w:rStyle w:val="Voetnootmarkering"/>
          <w:color w:val="auto"/>
          <w:sz w:val="14"/>
          <w:szCs w:val="14"/>
        </w:rPr>
        <w:footnoteRef/>
      </w:r>
      <w:r w:rsidRPr="00506992">
        <w:rPr>
          <w:color w:val="auto"/>
          <w:sz w:val="14"/>
          <w:szCs w:val="14"/>
        </w:rPr>
        <w:t xml:space="preserve"> Alcoholvrij en alcoholarm bier met een alcoholpercentage tot en met 0,5% en andere dranken met een alcoholpercentage tot en met 1,2% (zoals alcoholvrije en alcoholarme wijn) zijn belast met verbruiksbelasting. Onder de gedifferentieerde verbruiksbelasting zullen deze dranken – net als frisdrank – worden belast op grond van het suikergehalte.</w:t>
      </w:r>
    </w:p>
  </w:footnote>
  <w:footnote w:id="35">
    <w:p w14:paraId="589DAEE1" w14:textId="77777777" w:rsidR="00363688" w:rsidRPr="00506992" w:rsidRDefault="00363688">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Het uiteindelijke tarief voor deze staffel is afhankelijk van het scenario dat wordt gekozen, zie tabel </w:t>
      </w:r>
      <w:r w:rsidR="00526B5E" w:rsidRPr="00506992">
        <w:rPr>
          <w:color w:val="auto"/>
          <w:sz w:val="14"/>
          <w:szCs w:val="14"/>
        </w:rPr>
        <w:t>3</w:t>
      </w:r>
      <w:r w:rsidRPr="00506992">
        <w:rPr>
          <w:color w:val="auto"/>
          <w:sz w:val="14"/>
          <w:szCs w:val="14"/>
        </w:rPr>
        <w:t xml:space="preserve">. </w:t>
      </w:r>
    </w:p>
  </w:footnote>
  <w:footnote w:id="36">
    <w:p w14:paraId="344AE2C7" w14:textId="77777777" w:rsidR="00B94C52" w:rsidRPr="00506992" w:rsidRDefault="00B94C52">
      <w:pPr>
        <w:pStyle w:val="Voetnoottekst"/>
        <w:rPr>
          <w:color w:val="auto"/>
        </w:rPr>
      </w:pPr>
      <w:r w:rsidRPr="00506992">
        <w:rPr>
          <w:rStyle w:val="Voetnootmarkering"/>
          <w:color w:val="auto"/>
          <w:sz w:val="14"/>
          <w:szCs w:val="14"/>
        </w:rPr>
        <w:footnoteRef/>
      </w:r>
      <w:r w:rsidRPr="00506992">
        <w:rPr>
          <w:color w:val="auto"/>
          <w:sz w:val="14"/>
          <w:szCs w:val="14"/>
        </w:rPr>
        <w:t xml:space="preserve"> Dit bedrag blijft dan, net als nu, € 26,13 per 100 liter.</w:t>
      </w:r>
    </w:p>
  </w:footnote>
  <w:footnote w:id="37">
    <w:p w14:paraId="37EABB7E" w14:textId="77777777" w:rsidR="00F62C91" w:rsidRPr="00506992" w:rsidRDefault="00F62C91" w:rsidP="3DB0607F">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Pr="00DA5B22">
        <w:rPr>
          <w:i/>
          <w:iCs/>
          <w:color w:val="auto"/>
          <w:sz w:val="14"/>
          <w:szCs w:val="14"/>
        </w:rPr>
        <w:t>Kamerstukken II</w:t>
      </w:r>
      <w:r w:rsidRPr="00506992">
        <w:rPr>
          <w:color w:val="auto"/>
          <w:sz w:val="14"/>
          <w:szCs w:val="14"/>
        </w:rPr>
        <w:t xml:space="preserve"> 2023/24, 36418, nr. 87.</w:t>
      </w:r>
    </w:p>
  </w:footnote>
  <w:footnote w:id="38">
    <w:p w14:paraId="4327AA63" w14:textId="77777777" w:rsidR="00194815" w:rsidRPr="005E4A08" w:rsidRDefault="00194815" w:rsidP="00194815">
      <w:pPr>
        <w:pStyle w:val="Voetnoottekst"/>
        <w:rPr>
          <w:sz w:val="14"/>
          <w:szCs w:val="14"/>
        </w:rPr>
      </w:pPr>
      <w:r w:rsidRPr="005E4A08">
        <w:rPr>
          <w:rStyle w:val="Voetnootmarkering"/>
          <w:sz w:val="14"/>
          <w:szCs w:val="14"/>
        </w:rPr>
        <w:footnoteRef/>
      </w:r>
      <w:r w:rsidRPr="005E4A08">
        <w:rPr>
          <w:sz w:val="14"/>
          <w:szCs w:val="14"/>
        </w:rPr>
        <w:t xml:space="preserve"> </w:t>
      </w:r>
      <w:r w:rsidRPr="005E4A08">
        <w:rPr>
          <w:i/>
          <w:iCs/>
          <w:sz w:val="14"/>
          <w:szCs w:val="14"/>
        </w:rPr>
        <w:t>Kamerstukken II</w:t>
      </w:r>
      <w:r w:rsidRPr="005E4A08">
        <w:rPr>
          <w:sz w:val="14"/>
          <w:szCs w:val="14"/>
        </w:rPr>
        <w:t xml:space="preserve"> 2022/23, 32140, nr. 167.</w:t>
      </w:r>
    </w:p>
  </w:footnote>
  <w:footnote w:id="39">
    <w:p w14:paraId="63C07B18" w14:textId="77777777" w:rsidR="00070AD6" w:rsidRPr="00506992" w:rsidRDefault="00070AD6" w:rsidP="00070AD6">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Artikel 9, derde lid, </w:t>
      </w:r>
      <w:proofErr w:type="spellStart"/>
      <w:r w:rsidRPr="00506992">
        <w:rPr>
          <w:color w:val="auto"/>
          <w:sz w:val="14"/>
          <w:szCs w:val="14"/>
        </w:rPr>
        <w:t>Wvad</w:t>
      </w:r>
      <w:proofErr w:type="spellEnd"/>
      <w:r w:rsidRPr="00506992">
        <w:rPr>
          <w:color w:val="auto"/>
          <w:sz w:val="14"/>
          <w:szCs w:val="14"/>
        </w:rPr>
        <w:t xml:space="preserve"> stelt dat als “limonade” niet wordt aangemerkt: “de uit melk of melkproducten bereide drank met een gehalte aan melkvetten van 0,02%mas of meer waarin zich melkeiwit en melksuiker bevinden, niet zijnde een uit wei of </w:t>
      </w:r>
      <w:proofErr w:type="spellStart"/>
      <w:r w:rsidRPr="00506992">
        <w:rPr>
          <w:color w:val="auto"/>
          <w:sz w:val="14"/>
          <w:szCs w:val="14"/>
        </w:rPr>
        <w:t>weiproducten</w:t>
      </w:r>
      <w:proofErr w:type="spellEnd"/>
      <w:r w:rsidRPr="00506992">
        <w:rPr>
          <w:color w:val="auto"/>
          <w:sz w:val="14"/>
          <w:szCs w:val="14"/>
        </w:rPr>
        <w:t xml:space="preserve"> vervaardigde drank”.  </w:t>
      </w:r>
    </w:p>
  </w:footnote>
  <w:footnote w:id="40">
    <w:p w14:paraId="6A3F2D78" w14:textId="77777777" w:rsidR="00070AD6" w:rsidRPr="00506992" w:rsidRDefault="00070AD6" w:rsidP="23D5166F">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00A76A26" w:rsidRPr="00506992">
        <w:rPr>
          <w:color w:val="auto"/>
          <w:sz w:val="14"/>
          <w:szCs w:val="14"/>
        </w:rPr>
        <w:t>De uitzondering bestaat sinds de inwerkingtreding van de verbruiksbelasting in 1993. In de jaren ’80 is voorgesteld om de voorganger van de verbruiksbelasting – de accijns van alcoholvrije dranken – uit te breiden met melk. Daarvan is afgezien omdat werd geoordeeld dat er geen accijns moest worden geheven op melk als eerste levensbehoefte.</w:t>
      </w:r>
    </w:p>
  </w:footnote>
  <w:footnote w:id="41">
    <w:p w14:paraId="14C04810" w14:textId="77777777" w:rsidR="00682768" w:rsidRPr="00506992" w:rsidRDefault="00682768">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Pr="00506992">
        <w:rPr>
          <w:i/>
          <w:color w:val="auto"/>
          <w:sz w:val="14"/>
          <w:szCs w:val="14"/>
        </w:rPr>
        <w:t>Kamerstukken II</w:t>
      </w:r>
      <w:r w:rsidRPr="00506992">
        <w:rPr>
          <w:color w:val="auto"/>
          <w:sz w:val="14"/>
          <w:szCs w:val="14"/>
        </w:rPr>
        <w:t xml:space="preserve"> 1992/93, 22843, nr. 3, pp. 20 en 21. </w:t>
      </w:r>
    </w:p>
  </w:footnote>
  <w:footnote w:id="42">
    <w:p w14:paraId="2F993DC5" w14:textId="77777777" w:rsidR="1A57C002" w:rsidRPr="00506992" w:rsidRDefault="1A57C002" w:rsidP="1A57C002">
      <w:pPr>
        <w:pStyle w:val="Voetnoottekst"/>
        <w:rPr>
          <w:color w:val="auto"/>
        </w:rPr>
      </w:pPr>
      <w:r w:rsidRPr="00506992">
        <w:rPr>
          <w:rStyle w:val="Voetnootmarkering"/>
          <w:rFonts w:eastAsia="Verdana" w:cs="Verdana"/>
          <w:color w:val="auto"/>
          <w:sz w:val="14"/>
          <w:szCs w:val="14"/>
        </w:rPr>
        <w:footnoteRef/>
      </w:r>
      <w:r w:rsidRPr="00506992">
        <w:rPr>
          <w:rFonts w:eastAsia="Verdana" w:cs="Verdana"/>
          <w:color w:val="auto"/>
          <w:sz w:val="14"/>
          <w:szCs w:val="14"/>
        </w:rPr>
        <w:t xml:space="preserve"> Melk en melkproducten | Voedingscentrum</w:t>
      </w:r>
      <w:r w:rsidR="00F47AB7" w:rsidRPr="00506992">
        <w:rPr>
          <w:rFonts w:eastAsia="Verdana" w:cs="Verdana"/>
          <w:color w:val="auto"/>
          <w:sz w:val="14"/>
          <w:szCs w:val="14"/>
        </w:rPr>
        <w:t>.</w:t>
      </w:r>
    </w:p>
  </w:footnote>
  <w:footnote w:id="43">
    <w:p w14:paraId="24E36BA3" w14:textId="77777777" w:rsidR="00BF7AD5" w:rsidRPr="00506992" w:rsidRDefault="00BF7AD5">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Water uit de kraa</w:t>
      </w:r>
      <w:r w:rsidR="00332457" w:rsidRPr="00506992">
        <w:rPr>
          <w:color w:val="auto"/>
          <w:sz w:val="14"/>
          <w:szCs w:val="14"/>
        </w:rPr>
        <w:t>n</w:t>
      </w:r>
      <w:r w:rsidRPr="00506992">
        <w:rPr>
          <w:color w:val="auto"/>
          <w:sz w:val="14"/>
          <w:szCs w:val="14"/>
        </w:rPr>
        <w:t xml:space="preserve"> is niet belast met verbruiksbelasting van alcoholvrije dranken, maar wel met Belasting op leidingwater (‘Bol’). Het tarief in de Bol bedraagt €</w:t>
      </w:r>
      <w:r w:rsidR="00332457" w:rsidRPr="00506992">
        <w:rPr>
          <w:color w:val="auto"/>
          <w:sz w:val="14"/>
          <w:szCs w:val="14"/>
        </w:rPr>
        <w:t> </w:t>
      </w:r>
      <w:r w:rsidRPr="00506992">
        <w:rPr>
          <w:color w:val="auto"/>
          <w:sz w:val="14"/>
          <w:szCs w:val="14"/>
        </w:rPr>
        <w:t>0,42 per 1.000</w:t>
      </w:r>
      <w:r w:rsidR="00101DC0" w:rsidRPr="00506992">
        <w:rPr>
          <w:color w:val="auto"/>
          <w:sz w:val="14"/>
          <w:szCs w:val="14"/>
        </w:rPr>
        <w:t> </w:t>
      </w:r>
      <w:r w:rsidRPr="00506992">
        <w:rPr>
          <w:color w:val="auto"/>
          <w:sz w:val="14"/>
          <w:szCs w:val="14"/>
        </w:rPr>
        <w:t>liter leidingwater.</w:t>
      </w:r>
    </w:p>
  </w:footnote>
  <w:footnote w:id="44">
    <w:p w14:paraId="43A5011D" w14:textId="77777777" w:rsidR="0082228E" w:rsidRPr="00506992" w:rsidRDefault="0082228E">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Water was tot 1</w:t>
      </w:r>
      <w:r w:rsidR="00332457" w:rsidRPr="00506992">
        <w:rPr>
          <w:color w:val="auto"/>
          <w:sz w:val="14"/>
          <w:szCs w:val="14"/>
        </w:rPr>
        <w:t> </w:t>
      </w:r>
      <w:r w:rsidRPr="00506992">
        <w:rPr>
          <w:color w:val="auto"/>
          <w:sz w:val="14"/>
          <w:szCs w:val="14"/>
        </w:rPr>
        <w:t>januari</w:t>
      </w:r>
      <w:r w:rsidR="00332457" w:rsidRPr="00506992">
        <w:rPr>
          <w:color w:val="auto"/>
          <w:sz w:val="14"/>
          <w:szCs w:val="14"/>
        </w:rPr>
        <w:t> </w:t>
      </w:r>
      <w:r w:rsidRPr="00506992">
        <w:rPr>
          <w:color w:val="auto"/>
          <w:sz w:val="14"/>
          <w:szCs w:val="14"/>
        </w:rPr>
        <w:t>2024 belast met €</w:t>
      </w:r>
      <w:r w:rsidR="00332457" w:rsidRPr="00506992">
        <w:rPr>
          <w:color w:val="auto"/>
          <w:sz w:val="14"/>
          <w:szCs w:val="14"/>
        </w:rPr>
        <w:t> </w:t>
      </w:r>
      <w:r w:rsidRPr="00506992">
        <w:rPr>
          <w:color w:val="auto"/>
          <w:sz w:val="14"/>
          <w:szCs w:val="14"/>
        </w:rPr>
        <w:t>8,83 per 100</w:t>
      </w:r>
      <w:r w:rsidR="00101DC0" w:rsidRPr="00506992">
        <w:rPr>
          <w:color w:val="auto"/>
          <w:sz w:val="14"/>
          <w:szCs w:val="14"/>
        </w:rPr>
        <w:t> </w:t>
      </w:r>
      <w:r w:rsidRPr="00506992">
        <w:rPr>
          <w:color w:val="auto"/>
          <w:sz w:val="14"/>
          <w:szCs w:val="14"/>
        </w:rPr>
        <w:t>liter aan verbruiksbelasting.</w:t>
      </w:r>
    </w:p>
  </w:footnote>
  <w:footnote w:id="45">
    <w:p w14:paraId="2C289884" w14:textId="77777777" w:rsidR="00801698" w:rsidRPr="00506992" w:rsidRDefault="00801698">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Zie artikel 9, derde lid, onderdeel a, </w:t>
      </w:r>
      <w:r w:rsidR="00332457" w:rsidRPr="00506992">
        <w:rPr>
          <w:color w:val="auto"/>
          <w:sz w:val="14"/>
          <w:szCs w:val="14"/>
        </w:rPr>
        <w:t>van de Wet op de v</w:t>
      </w:r>
      <w:r w:rsidRPr="00506992">
        <w:rPr>
          <w:color w:val="auto"/>
          <w:sz w:val="14"/>
          <w:szCs w:val="14"/>
        </w:rPr>
        <w:t>erbruiksbelasting van alcoholvrije dranken.</w:t>
      </w:r>
    </w:p>
  </w:footnote>
  <w:footnote w:id="46">
    <w:p w14:paraId="2C6FD7C5" w14:textId="77777777" w:rsidR="00F22381" w:rsidRPr="00F22381" w:rsidRDefault="00F22381">
      <w:pPr>
        <w:pStyle w:val="Voetnoottekst"/>
        <w:rPr>
          <w:sz w:val="14"/>
          <w:szCs w:val="14"/>
        </w:rPr>
      </w:pPr>
      <w:r w:rsidRPr="00F22381">
        <w:rPr>
          <w:rStyle w:val="Voetnootmarkering"/>
          <w:sz w:val="14"/>
          <w:szCs w:val="14"/>
        </w:rPr>
        <w:footnoteRef/>
      </w:r>
      <w:r w:rsidRPr="00F22381">
        <w:rPr>
          <w:sz w:val="14"/>
          <w:szCs w:val="14"/>
        </w:rPr>
        <w:t xml:space="preserve"> In de bouwstenen voor een eenvoudiger belastingstelsel 2024 was een opbrengst van € 290</w:t>
      </w:r>
      <w:r>
        <w:rPr>
          <w:sz w:val="14"/>
          <w:szCs w:val="14"/>
        </w:rPr>
        <w:t xml:space="preserve"> </w:t>
      </w:r>
      <w:r w:rsidRPr="00F22381">
        <w:rPr>
          <w:sz w:val="14"/>
          <w:szCs w:val="14"/>
        </w:rPr>
        <w:t>miljoen geraamd. Door de verwerking van nieuwe realisatiecijfers rondom de consumptie van zuivel komt het bedrag nu lager uit.</w:t>
      </w:r>
    </w:p>
  </w:footnote>
  <w:footnote w:id="47">
    <w:p w14:paraId="59B575E9" w14:textId="77777777" w:rsidR="00C5643A" w:rsidRPr="00506992" w:rsidRDefault="00C5643A">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Pr="00506992">
        <w:rPr>
          <w:i/>
          <w:color w:val="auto"/>
          <w:sz w:val="14"/>
          <w:szCs w:val="14"/>
        </w:rPr>
        <w:t>Kamerstukken II</w:t>
      </w:r>
      <w:r w:rsidRPr="00506992">
        <w:rPr>
          <w:color w:val="auto"/>
          <w:sz w:val="14"/>
          <w:szCs w:val="14"/>
        </w:rPr>
        <w:t xml:space="preserve"> 2023/24, 31532, nr. 291.</w:t>
      </w:r>
    </w:p>
  </w:footnote>
  <w:footnote w:id="48">
    <w:p w14:paraId="21794137" w14:textId="77777777" w:rsidR="1A57C002" w:rsidRPr="00506992" w:rsidRDefault="1A57C002" w:rsidP="1A57C002">
      <w:pPr>
        <w:pStyle w:val="Voetnoottekst"/>
        <w:rPr>
          <w:color w:val="auto"/>
        </w:rPr>
      </w:pPr>
      <w:r w:rsidRPr="00506992">
        <w:rPr>
          <w:rStyle w:val="Voetnootmarkering"/>
          <w:rFonts w:eastAsia="Verdana" w:cs="Verdana"/>
          <w:color w:val="auto"/>
          <w:sz w:val="14"/>
          <w:szCs w:val="14"/>
        </w:rPr>
        <w:footnoteRef/>
      </w:r>
      <w:r w:rsidRPr="00506992">
        <w:rPr>
          <w:rFonts w:eastAsia="Verdana" w:cs="Verdana"/>
          <w:color w:val="auto"/>
          <w:sz w:val="14"/>
          <w:szCs w:val="14"/>
        </w:rPr>
        <w:t xml:space="preserve"> </w:t>
      </w:r>
      <w:r w:rsidR="00A67F70" w:rsidRPr="00506992">
        <w:rPr>
          <w:rFonts w:eastAsia="Verdana" w:cs="Verdana"/>
          <w:color w:val="auto"/>
          <w:sz w:val="14"/>
          <w:szCs w:val="14"/>
        </w:rPr>
        <w:t>Melk en melkproducten | Voedingscentrum</w:t>
      </w:r>
      <w:r w:rsidR="00780AE3" w:rsidRPr="00506992">
        <w:rPr>
          <w:rFonts w:eastAsia="Verdana" w:cs="Verdana"/>
          <w:color w:val="auto"/>
          <w:sz w:val="14"/>
          <w:szCs w:val="14"/>
        </w:rPr>
        <w:t>.</w:t>
      </w:r>
    </w:p>
  </w:footnote>
  <w:footnote w:id="49">
    <w:p w14:paraId="43C79F17" w14:textId="77777777" w:rsidR="00F8389A" w:rsidRPr="00506992" w:rsidRDefault="00F8389A">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Verordening (EU) nr. 1169/2011 van het Europees Parlement en de Raad van 25 oktober 2011 betreffende de verstrekking van voedselinformatie aan consumenten, tot wijziging van Verordeningen (EG) nr. 1924/2006 en (EG) nr. 1925/2006 van het Europees Parlement en de Raad en tot intrekking van Richtlijn 87/250/EEG van de Commissie, Richtlijn 90/496/EEG van de Raad, Richtlijn 1999/10/EG van de Commissie, Richtlijn 2000/13/EG van het Europees Parlement en de Raad, Richtlijnen 2002/67/EG en 2008/5/EG van de Commissie, en Verordening (EG) nr. 608/2004 van de Commissie (</w:t>
      </w:r>
      <w:proofErr w:type="spellStart"/>
      <w:r w:rsidRPr="00506992">
        <w:rPr>
          <w:color w:val="auto"/>
          <w:sz w:val="14"/>
          <w:szCs w:val="14"/>
        </w:rPr>
        <w:t>PbEU</w:t>
      </w:r>
      <w:proofErr w:type="spellEnd"/>
      <w:r w:rsidRPr="00506992">
        <w:rPr>
          <w:color w:val="auto"/>
          <w:sz w:val="14"/>
          <w:szCs w:val="14"/>
        </w:rPr>
        <w:t xml:space="preserve"> 2011, L 304).</w:t>
      </w:r>
    </w:p>
  </w:footnote>
  <w:footnote w:id="50">
    <w:p w14:paraId="5C2F1377" w14:textId="77777777" w:rsidR="00444C71" w:rsidRPr="00506992" w:rsidRDefault="00444C71" w:rsidP="00444C71">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Bijlage I, onderdeel 8 van Verordening (EU) nr. 1169/2011.</w:t>
      </w:r>
    </w:p>
  </w:footnote>
  <w:footnote w:id="51">
    <w:p w14:paraId="150A9B78" w14:textId="77777777" w:rsidR="00044635" w:rsidRPr="00506992" w:rsidRDefault="00044635" w:rsidP="00044635">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w:t>
      </w:r>
      <w:r w:rsidR="00332457" w:rsidRPr="00506992">
        <w:rPr>
          <w:color w:val="auto"/>
          <w:sz w:val="14"/>
          <w:szCs w:val="14"/>
        </w:rPr>
        <w:t xml:space="preserve">Artikel </w:t>
      </w:r>
      <w:r w:rsidR="00891088" w:rsidRPr="00506992">
        <w:rPr>
          <w:color w:val="auto"/>
          <w:sz w:val="14"/>
          <w:szCs w:val="14"/>
        </w:rPr>
        <w:t>8</w:t>
      </w:r>
      <w:r w:rsidR="00332457" w:rsidRPr="00506992">
        <w:rPr>
          <w:color w:val="auto"/>
          <w:sz w:val="14"/>
          <w:szCs w:val="14"/>
        </w:rPr>
        <w:t xml:space="preserve">, </w:t>
      </w:r>
      <w:r w:rsidR="00891088" w:rsidRPr="00506992">
        <w:rPr>
          <w:color w:val="auto"/>
          <w:sz w:val="14"/>
          <w:szCs w:val="14"/>
        </w:rPr>
        <w:t>z</w:t>
      </w:r>
      <w:r w:rsidR="00332457" w:rsidRPr="00506992">
        <w:rPr>
          <w:color w:val="auto"/>
          <w:sz w:val="14"/>
          <w:szCs w:val="14"/>
        </w:rPr>
        <w:t>e</w:t>
      </w:r>
      <w:r w:rsidR="00891088" w:rsidRPr="00506992">
        <w:rPr>
          <w:color w:val="auto"/>
          <w:sz w:val="14"/>
          <w:szCs w:val="14"/>
        </w:rPr>
        <w:t xml:space="preserve">sde </w:t>
      </w:r>
      <w:r w:rsidR="00332457" w:rsidRPr="00506992">
        <w:rPr>
          <w:color w:val="auto"/>
          <w:sz w:val="14"/>
          <w:szCs w:val="14"/>
        </w:rPr>
        <w:t>lid, Verordening (EU) nr. 1169/2011.</w:t>
      </w:r>
    </w:p>
  </w:footnote>
  <w:footnote w:id="52">
    <w:p w14:paraId="52FAF8E6" w14:textId="77777777" w:rsidR="00561294" w:rsidRPr="00506992" w:rsidRDefault="00561294">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Zie ook Kamerstukken II 2022/23, 31532, nr. 283.</w:t>
      </w:r>
    </w:p>
  </w:footnote>
  <w:footnote w:id="53">
    <w:p w14:paraId="012B7323" w14:textId="77777777" w:rsidR="002F3B39" w:rsidRPr="00506992" w:rsidRDefault="002F3B39">
      <w:pPr>
        <w:pStyle w:val="Voetnoottekst"/>
        <w:rPr>
          <w:color w:val="auto"/>
          <w:sz w:val="14"/>
          <w:szCs w:val="14"/>
        </w:rPr>
      </w:pPr>
      <w:r w:rsidRPr="00506992">
        <w:rPr>
          <w:rStyle w:val="Voetnootmarkering"/>
          <w:color w:val="auto"/>
          <w:sz w:val="14"/>
          <w:szCs w:val="14"/>
        </w:rPr>
        <w:footnoteRef/>
      </w:r>
      <w:r w:rsidRPr="00506992">
        <w:rPr>
          <w:color w:val="auto"/>
          <w:sz w:val="14"/>
          <w:szCs w:val="14"/>
        </w:rPr>
        <w:t xml:space="preserve"> Duitsland kent wel een nationale verbruiksbelasting op koffie.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13CF" w14:textId="77777777" w:rsidR="009F5B35" w:rsidRDefault="00FD090F">
    <w:pPr>
      <w:pStyle w:val="MarginlessContainer"/>
    </w:pPr>
    <w:r>
      <w:rPr>
        <w:noProof/>
      </w:rPr>
      <mc:AlternateContent>
        <mc:Choice Requires="wps">
          <w:drawing>
            <wp:anchor distT="0" distB="0" distL="0" distR="0" simplePos="0" relativeHeight="251658240" behindDoc="0" locked="1" layoutInCell="1" allowOverlap="1" wp14:anchorId="4081AFBE" wp14:editId="4A3FD41B">
              <wp:simplePos x="0" y="0"/>
              <wp:positionH relativeFrom="page">
                <wp:posOffset>5921375</wp:posOffset>
              </wp:positionH>
              <wp:positionV relativeFrom="page">
                <wp:posOffset>1936750</wp:posOffset>
              </wp:positionV>
              <wp:extent cx="1259840" cy="800989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8D6A3F6" w14:textId="77777777" w:rsidR="009F5B35" w:rsidRDefault="00FD090F">
                          <w:pPr>
                            <w:pStyle w:val="StandaardReferentiegegevensKop"/>
                          </w:pPr>
                          <w:r>
                            <w:t xml:space="preserve">Directie Verbruiksbelastingen\, Douane en Internationale </w:t>
                          </w:r>
                          <w:proofErr w:type="spellStart"/>
                          <w:r>
                            <w:t>aang</w:t>
                          </w:r>
                          <w:proofErr w:type="spellEnd"/>
                          <w:r>
                            <w:t>.</w:t>
                          </w:r>
                        </w:p>
                        <w:p w14:paraId="0D5CF88D" w14:textId="77777777" w:rsidR="009F5B35" w:rsidRDefault="009F5B35">
                          <w:pPr>
                            <w:pStyle w:val="WitregelW1"/>
                          </w:pPr>
                        </w:p>
                        <w:p w14:paraId="42B7E714" w14:textId="77777777" w:rsidR="009F5B35" w:rsidRDefault="00FD090F">
                          <w:pPr>
                            <w:pStyle w:val="StandaardReferentiegegevensKop"/>
                          </w:pPr>
                          <w:r>
                            <w:t>Ons kenmerk</w:t>
                          </w:r>
                        </w:p>
                        <w:p w14:paraId="2428CA67" w14:textId="345F75D8" w:rsidR="00A57CD0" w:rsidRDefault="00BA0399">
                          <w:pPr>
                            <w:pStyle w:val="StandaardReferentiegegevens"/>
                          </w:pPr>
                          <w:r>
                            <w:fldChar w:fldCharType="begin"/>
                          </w:r>
                          <w:r>
                            <w:instrText xml:space="preserve"> DOCPROPERTY  "Kenmerk"  \* MERGEFORMAT </w:instrText>
                          </w:r>
                          <w:r>
                            <w:fldChar w:fldCharType="separate"/>
                          </w:r>
                          <w:r w:rsidR="008A4F0C">
                            <w:t>2024-0000242870</w:t>
                          </w:r>
                          <w:r>
                            <w:fldChar w:fldCharType="end"/>
                          </w:r>
                        </w:p>
                      </w:txbxContent>
                    </wps:txbx>
                    <wps:bodyPr vert="horz" wrap="square" lIns="0" tIns="0" rIns="0" bIns="0" anchor="t" anchorCtr="0"/>
                  </wps:wsp>
                </a:graphicData>
              </a:graphic>
            </wp:anchor>
          </w:drawing>
        </mc:Choice>
        <mc:Fallback>
          <w:pict>
            <v:shapetype w14:anchorId="4081AFBE" id="_x0000_t202" coordsize="21600,21600" o:spt="202" path="m,l,21600r21600,l21600,xe">
              <v:stroke joinstyle="miter"/>
              <v:path gradientshapeok="t" o:connecttype="rect"/>
            </v:shapetype>
            <v:shape id="Tekstvak 11" o:spid="_x0000_s1026" type="#_x0000_t202" style="position:absolute;margin-left:466.25pt;margin-top:152.5pt;width:99.2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8D6A3F6" w14:textId="77777777" w:rsidR="009F5B35" w:rsidRDefault="00FD090F">
                    <w:pPr>
                      <w:pStyle w:val="StandaardReferentiegegevensKop"/>
                    </w:pPr>
                    <w:r>
                      <w:t xml:space="preserve">Directie Verbruiksbelastingen\, Douane en Internationale </w:t>
                    </w:r>
                    <w:proofErr w:type="spellStart"/>
                    <w:r>
                      <w:t>aang</w:t>
                    </w:r>
                    <w:proofErr w:type="spellEnd"/>
                    <w:r>
                      <w:t>.</w:t>
                    </w:r>
                  </w:p>
                  <w:p w14:paraId="0D5CF88D" w14:textId="77777777" w:rsidR="009F5B35" w:rsidRDefault="009F5B35">
                    <w:pPr>
                      <w:pStyle w:val="WitregelW1"/>
                    </w:pPr>
                  </w:p>
                  <w:p w14:paraId="42B7E714" w14:textId="77777777" w:rsidR="009F5B35" w:rsidRDefault="00FD090F">
                    <w:pPr>
                      <w:pStyle w:val="StandaardReferentiegegevensKop"/>
                    </w:pPr>
                    <w:r>
                      <w:t>Ons kenmerk</w:t>
                    </w:r>
                  </w:p>
                  <w:p w14:paraId="2428CA67" w14:textId="345F75D8" w:rsidR="00A57CD0" w:rsidRDefault="00BA0399">
                    <w:pPr>
                      <w:pStyle w:val="StandaardReferentiegegevens"/>
                    </w:pPr>
                    <w:r>
                      <w:fldChar w:fldCharType="begin"/>
                    </w:r>
                    <w:r>
                      <w:instrText xml:space="preserve"> DOCPROPERTY  "Kenmerk"  \* MERGEFORMAT </w:instrText>
                    </w:r>
                    <w:r>
                      <w:fldChar w:fldCharType="separate"/>
                    </w:r>
                    <w:r w:rsidR="008A4F0C">
                      <w:t>2024-0000242870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0DB8DF9C" wp14:editId="0867284F">
              <wp:simplePos x="0" y="0"/>
              <wp:positionH relativeFrom="page">
                <wp:posOffset>5921375</wp:posOffset>
              </wp:positionH>
              <wp:positionV relativeFrom="page">
                <wp:posOffset>10223500</wp:posOffset>
              </wp:positionV>
              <wp:extent cx="1257300" cy="180975"/>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8DE33E3" w14:textId="77777777" w:rsidR="00920514" w:rsidRDefault="00BA0399">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0DB8DF9C" id="Tekstvak 12" o:spid="_x0000_s1027" type="#_x0000_t202" style="position:absolute;margin-left:466.25pt;margin-top:805pt;width:99pt;height:14.2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58DE33E3" w14:textId="77777777" w:rsidR="00920514" w:rsidRDefault="00BA0399">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2" behindDoc="0" locked="1" layoutInCell="1" allowOverlap="1" wp14:anchorId="788220DC" wp14:editId="333380AC">
              <wp:simplePos x="0" y="0"/>
              <wp:positionH relativeFrom="page">
                <wp:posOffset>1007744</wp:posOffset>
              </wp:positionH>
              <wp:positionV relativeFrom="page">
                <wp:posOffset>10197465</wp:posOffset>
              </wp:positionV>
              <wp:extent cx="1799589" cy="16192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5229F0BC" w14:textId="150173AD" w:rsidR="00920514" w:rsidRDefault="00BA039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88220DC" id="Tekstvak 13" o:spid="_x0000_s1028" type="#_x0000_t202" style="position:absolute;margin-left:79.35pt;margin-top:802.95pt;width:141.7pt;height:12.75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5229F0BC" w14:textId="150173AD" w:rsidR="00920514" w:rsidRDefault="00BA039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6FD" w14:textId="77777777" w:rsidR="009F5B35" w:rsidRDefault="00FD090F">
    <w:pPr>
      <w:pStyle w:val="MarginlessContainer"/>
      <w:spacing w:after="7029" w:line="14" w:lineRule="exact"/>
    </w:pPr>
    <w:r>
      <w:rPr>
        <w:noProof/>
      </w:rPr>
      <mc:AlternateContent>
        <mc:Choice Requires="wps">
          <w:drawing>
            <wp:anchor distT="0" distB="0" distL="0" distR="0" simplePos="0" relativeHeight="251658243" behindDoc="0" locked="1" layoutInCell="1" allowOverlap="1" wp14:anchorId="59DC1DED" wp14:editId="6C74E5F6">
              <wp:simplePos x="0" y="0"/>
              <wp:positionH relativeFrom="page">
                <wp:posOffset>4013835</wp:posOffset>
              </wp:positionH>
              <wp:positionV relativeFrom="page">
                <wp:posOffset>0</wp:posOffset>
              </wp:positionV>
              <wp:extent cx="2339975" cy="1336675"/>
              <wp:effectExtent l="0" t="0" r="0" b="0"/>
              <wp:wrapNone/>
              <wp:docPr id="1" name="Tekstvak 1"/>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1BFA2BDC" w14:textId="77777777" w:rsidR="009F5B35" w:rsidRDefault="00FD090F">
                          <w:pPr>
                            <w:pStyle w:val="MarginlessContainer"/>
                          </w:pPr>
                          <w:r>
                            <w:rPr>
                              <w:noProof/>
                            </w:rPr>
                            <w:drawing>
                              <wp:inline distT="0" distB="0" distL="0" distR="0" wp14:anchorId="6091E1FE" wp14:editId="5797A623">
                                <wp:extent cx="2339975" cy="1582834"/>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9DC1DED" id="_x0000_t202" coordsize="21600,21600" o:spt="202" path="m,l,21600r21600,l21600,xe">
              <v:stroke joinstyle="miter"/>
              <v:path gradientshapeok="t" o:connecttype="rect"/>
            </v:shapetype>
            <v:shape id="Tekstvak 1" o:spid="_x0000_s1029" type="#_x0000_t202" style="position:absolute;margin-left:316.05pt;margin-top:0;width:184.25pt;height:105.25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1BFA2BDC" w14:textId="77777777" w:rsidR="009F5B35" w:rsidRDefault="00FD090F">
                    <w:pPr>
                      <w:pStyle w:val="MarginlessContainer"/>
                    </w:pPr>
                    <w:r>
                      <w:rPr>
                        <w:noProof/>
                      </w:rPr>
                      <w:drawing>
                        <wp:inline distT="0" distB="0" distL="0" distR="0" wp14:anchorId="6091E1FE" wp14:editId="5797A623">
                          <wp:extent cx="2339975" cy="1582834"/>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5BA6F88A" wp14:editId="2F99AECF">
              <wp:simplePos x="0" y="0"/>
              <wp:positionH relativeFrom="page">
                <wp:posOffset>3545840</wp:posOffset>
              </wp:positionH>
              <wp:positionV relativeFrom="page">
                <wp:posOffset>0</wp:posOffset>
              </wp:positionV>
              <wp:extent cx="467995" cy="1336675"/>
              <wp:effectExtent l="0" t="0" r="0" b="0"/>
              <wp:wrapNone/>
              <wp:docPr id="3" name="Tekstvak 3"/>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203486D" w14:textId="77777777" w:rsidR="00675883" w:rsidRDefault="00675883"/>
                      </w:txbxContent>
                    </wps:txbx>
                    <wps:bodyPr vert="horz" wrap="square" lIns="0" tIns="0" rIns="0" bIns="0" anchor="t" anchorCtr="0"/>
                  </wps:wsp>
                </a:graphicData>
              </a:graphic>
            </wp:anchor>
          </w:drawing>
        </mc:Choice>
        <mc:Fallback>
          <w:pict>
            <v:shape w14:anchorId="5BA6F88A" id="Tekstvak 3" o:spid="_x0000_s1030" type="#_x0000_t202" style="position:absolute;margin-left:279.2pt;margin-top:0;width:36.85pt;height:105.25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0203486D" w14:textId="77777777" w:rsidR="00675883" w:rsidRDefault="00675883"/>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35D40B86" wp14:editId="22CAE2BB">
              <wp:simplePos x="0" y="0"/>
              <wp:positionH relativeFrom="page">
                <wp:posOffset>5930900</wp:posOffset>
              </wp:positionH>
              <wp:positionV relativeFrom="page">
                <wp:posOffset>1961514</wp:posOffset>
              </wp:positionV>
              <wp:extent cx="1228090" cy="3285490"/>
              <wp:effectExtent l="0" t="0" r="0" b="0"/>
              <wp:wrapNone/>
              <wp:docPr id="4" name="Tekstvak 4"/>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7D628F6D" w14:textId="77777777" w:rsidR="009F5B35" w:rsidRDefault="00FD090F">
                          <w:pPr>
                            <w:pStyle w:val="StandaardReferentiegegevensKop"/>
                          </w:pPr>
                          <w:r>
                            <w:t xml:space="preserve">Directie Verbruiksbelastingen\, Douane en Internationale </w:t>
                          </w:r>
                          <w:proofErr w:type="spellStart"/>
                          <w:r>
                            <w:t>aang</w:t>
                          </w:r>
                          <w:proofErr w:type="spellEnd"/>
                          <w:r>
                            <w:t>.</w:t>
                          </w:r>
                        </w:p>
                        <w:p w14:paraId="492541E8" w14:textId="77777777" w:rsidR="009F5B35" w:rsidRDefault="009F5B35">
                          <w:pPr>
                            <w:pStyle w:val="WitregelW1"/>
                          </w:pPr>
                        </w:p>
                        <w:p w14:paraId="355E3E1E" w14:textId="77777777" w:rsidR="009F5B35" w:rsidRDefault="00FD090F">
                          <w:pPr>
                            <w:pStyle w:val="StandaardReferentiegegevens"/>
                          </w:pPr>
                          <w:r>
                            <w:t>Korte Voorhout 7</w:t>
                          </w:r>
                        </w:p>
                        <w:p w14:paraId="7B81E0C2" w14:textId="77777777" w:rsidR="009F5B35" w:rsidRDefault="00FD090F">
                          <w:pPr>
                            <w:pStyle w:val="StandaardReferentiegegevens"/>
                          </w:pPr>
                          <w:r>
                            <w:t>2511 CW  Den Haag</w:t>
                          </w:r>
                        </w:p>
                        <w:p w14:paraId="409866D7" w14:textId="77777777" w:rsidR="009F5B35" w:rsidRDefault="00FD090F">
                          <w:pPr>
                            <w:pStyle w:val="StandaardReferentiegegevens"/>
                          </w:pPr>
                          <w:r>
                            <w:t>Postbus 20201</w:t>
                          </w:r>
                        </w:p>
                        <w:p w14:paraId="31AE2364" w14:textId="77777777" w:rsidR="009F5B35" w:rsidRDefault="00FD090F">
                          <w:pPr>
                            <w:pStyle w:val="StandaardReferentiegegevens"/>
                          </w:pPr>
                          <w:r>
                            <w:t>2500 EE  Den Haag</w:t>
                          </w:r>
                        </w:p>
                        <w:p w14:paraId="009092A4" w14:textId="77777777" w:rsidR="009F5B35" w:rsidRDefault="00FD090F">
                          <w:pPr>
                            <w:pStyle w:val="StandaardReferentiegegevens"/>
                          </w:pPr>
                          <w:proofErr w:type="gramStart"/>
                          <w:r>
                            <w:t>www.rijksoverheid.nl/fin</w:t>
                          </w:r>
                          <w:proofErr w:type="gramEnd"/>
                        </w:p>
                        <w:p w14:paraId="455652DA" w14:textId="77777777" w:rsidR="009F5B35" w:rsidRDefault="009F5B35">
                          <w:pPr>
                            <w:pStyle w:val="WitregelW2"/>
                          </w:pPr>
                        </w:p>
                        <w:p w14:paraId="1BB554A8" w14:textId="77777777" w:rsidR="009F5B35" w:rsidRDefault="00FD090F">
                          <w:pPr>
                            <w:pStyle w:val="StandaardReferentiegegevensKop"/>
                          </w:pPr>
                          <w:r>
                            <w:t>Ons kenmerk</w:t>
                          </w:r>
                        </w:p>
                        <w:p w14:paraId="167D7FB5" w14:textId="1087115B" w:rsidR="00A57CD0" w:rsidRDefault="00BA0399">
                          <w:pPr>
                            <w:pStyle w:val="StandaardReferentiegegevens"/>
                          </w:pPr>
                          <w:r>
                            <w:fldChar w:fldCharType="begin"/>
                          </w:r>
                          <w:r>
                            <w:instrText xml:space="preserve"> DOCPROPERTY  "Kenme</w:instrText>
                          </w:r>
                          <w:r>
                            <w:instrText xml:space="preserve">rk"  \* MERGEFORMAT </w:instrText>
                          </w:r>
                          <w:r>
                            <w:fldChar w:fldCharType="separate"/>
                          </w:r>
                          <w:r w:rsidR="008A4F0C">
                            <w:t>2024-0000242870</w:t>
                          </w:r>
                          <w:r>
                            <w:fldChar w:fldCharType="end"/>
                          </w:r>
                        </w:p>
                        <w:p w14:paraId="679911F3" w14:textId="77777777" w:rsidR="009F5B35" w:rsidRDefault="009F5B35">
                          <w:pPr>
                            <w:pStyle w:val="WitregelW1"/>
                          </w:pPr>
                        </w:p>
                        <w:p w14:paraId="76529740" w14:textId="77777777" w:rsidR="009F5B35" w:rsidRDefault="00FD090F">
                          <w:pPr>
                            <w:pStyle w:val="StandaardReferentiegegevensKop"/>
                          </w:pPr>
                          <w:r>
                            <w:t>Uw brief (kenmerk)</w:t>
                          </w:r>
                        </w:p>
                        <w:p w14:paraId="59817BBE" w14:textId="3BA000FF" w:rsidR="00920514" w:rsidRDefault="00BA0399">
                          <w:pPr>
                            <w:pStyle w:val="StandaardReferentiegegevens"/>
                          </w:pPr>
                          <w:r>
                            <w:fldChar w:fldCharType="begin"/>
                          </w:r>
                          <w:r>
                            <w:instrText xml:space="preserve"> DOCPROPERTY  "UwKenmerk"  \* MERGEFORMAT </w:instrText>
                          </w:r>
                          <w:r>
                            <w:fldChar w:fldCharType="end"/>
                          </w:r>
                        </w:p>
                        <w:p w14:paraId="57750DDA" w14:textId="77777777" w:rsidR="009F5B35" w:rsidRDefault="009F5B35">
                          <w:pPr>
                            <w:pStyle w:val="WitregelW1"/>
                          </w:pPr>
                        </w:p>
                        <w:p w14:paraId="40A13844" w14:textId="77777777" w:rsidR="009F5B35" w:rsidRDefault="00FD090F">
                          <w:pPr>
                            <w:pStyle w:val="StandaardReferentiegegevensKop"/>
                          </w:pPr>
                          <w:r>
                            <w:t>Bijlagen</w:t>
                          </w:r>
                        </w:p>
                        <w:p w14:paraId="03F85AE7" w14:textId="77777777" w:rsidR="009F5B35" w:rsidRDefault="00FD090F">
                          <w:pPr>
                            <w:pStyle w:val="StandaardReferentiegegevens"/>
                          </w:pPr>
                          <w:r>
                            <w:t>(</w:t>
                          </w:r>
                          <w:proofErr w:type="gramStart"/>
                          <w:r>
                            <w:t>geen</w:t>
                          </w:r>
                          <w:proofErr w:type="gramEnd"/>
                          <w:r>
                            <w:t>)</w:t>
                          </w:r>
                        </w:p>
                      </w:txbxContent>
                    </wps:txbx>
                    <wps:bodyPr vert="horz" wrap="square" lIns="0" tIns="0" rIns="0" bIns="0" anchor="t" anchorCtr="0"/>
                  </wps:wsp>
                </a:graphicData>
              </a:graphic>
            </wp:anchor>
          </w:drawing>
        </mc:Choice>
        <mc:Fallback>
          <w:pict>
            <v:shape w14:anchorId="35D40B86" id="Tekstvak 4" o:spid="_x0000_s1031" type="#_x0000_t202" style="position:absolute;margin-left:467pt;margin-top:154.45pt;width:96.7pt;height:258.7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7D628F6D" w14:textId="77777777" w:rsidR="009F5B35" w:rsidRDefault="00FD090F">
                    <w:pPr>
                      <w:pStyle w:val="StandaardReferentiegegevensKop"/>
                    </w:pPr>
                    <w:r>
                      <w:t xml:space="preserve">Directie Verbruiksbelastingen\, Douane en Internationale </w:t>
                    </w:r>
                    <w:proofErr w:type="spellStart"/>
                    <w:r>
                      <w:t>aang</w:t>
                    </w:r>
                    <w:proofErr w:type="spellEnd"/>
                    <w:r>
                      <w:t>.</w:t>
                    </w:r>
                  </w:p>
                  <w:p w14:paraId="492541E8" w14:textId="77777777" w:rsidR="009F5B35" w:rsidRDefault="009F5B35">
                    <w:pPr>
                      <w:pStyle w:val="WitregelW1"/>
                    </w:pPr>
                  </w:p>
                  <w:p w14:paraId="355E3E1E" w14:textId="77777777" w:rsidR="009F5B35" w:rsidRDefault="00FD090F">
                    <w:pPr>
                      <w:pStyle w:val="StandaardReferentiegegevens"/>
                    </w:pPr>
                    <w:r>
                      <w:t>Korte Voorhout 7</w:t>
                    </w:r>
                  </w:p>
                  <w:p w14:paraId="7B81E0C2" w14:textId="77777777" w:rsidR="009F5B35" w:rsidRDefault="00FD090F">
                    <w:pPr>
                      <w:pStyle w:val="StandaardReferentiegegevens"/>
                    </w:pPr>
                    <w:r>
                      <w:t>2511 CW  Den Haag</w:t>
                    </w:r>
                  </w:p>
                  <w:p w14:paraId="409866D7" w14:textId="77777777" w:rsidR="009F5B35" w:rsidRDefault="00FD090F">
                    <w:pPr>
                      <w:pStyle w:val="StandaardReferentiegegevens"/>
                    </w:pPr>
                    <w:r>
                      <w:t>Postbus 20201</w:t>
                    </w:r>
                  </w:p>
                  <w:p w14:paraId="31AE2364" w14:textId="77777777" w:rsidR="009F5B35" w:rsidRDefault="00FD090F">
                    <w:pPr>
                      <w:pStyle w:val="StandaardReferentiegegevens"/>
                    </w:pPr>
                    <w:r>
                      <w:t>2500 EE  Den Haag</w:t>
                    </w:r>
                  </w:p>
                  <w:p w14:paraId="009092A4" w14:textId="77777777" w:rsidR="009F5B35" w:rsidRDefault="00FD090F">
                    <w:pPr>
                      <w:pStyle w:val="StandaardReferentiegegevens"/>
                    </w:pPr>
                    <w:proofErr w:type="gramStart"/>
                    <w:r>
                      <w:t>www.rijksoverheid.nl/fin</w:t>
                    </w:r>
                    <w:proofErr w:type="gramEnd"/>
                  </w:p>
                  <w:p w14:paraId="455652DA" w14:textId="77777777" w:rsidR="009F5B35" w:rsidRDefault="009F5B35">
                    <w:pPr>
                      <w:pStyle w:val="WitregelW2"/>
                    </w:pPr>
                  </w:p>
                  <w:p w14:paraId="1BB554A8" w14:textId="77777777" w:rsidR="009F5B35" w:rsidRDefault="00FD090F">
                    <w:pPr>
                      <w:pStyle w:val="StandaardReferentiegegevensKop"/>
                    </w:pPr>
                    <w:r>
                      <w:t>Ons kenmerk</w:t>
                    </w:r>
                  </w:p>
                  <w:p w14:paraId="167D7FB5" w14:textId="1087115B" w:rsidR="00A57CD0" w:rsidRDefault="00BA0399">
                    <w:pPr>
                      <w:pStyle w:val="StandaardReferentiegegevens"/>
                    </w:pPr>
                    <w:r>
                      <w:fldChar w:fldCharType="begin"/>
                    </w:r>
                    <w:r>
                      <w:instrText xml:space="preserve"> DOCPROPERTY  "Kenme</w:instrText>
                    </w:r>
                    <w:r>
                      <w:instrText xml:space="preserve">rk"  \* MERGEFORMAT </w:instrText>
                    </w:r>
                    <w:r>
                      <w:fldChar w:fldCharType="separate"/>
                    </w:r>
                    <w:r w:rsidR="008A4F0C">
                      <w:t>2024-0000242870</w:t>
                    </w:r>
                    <w:r>
                      <w:fldChar w:fldCharType="end"/>
                    </w:r>
                  </w:p>
                  <w:p w14:paraId="679911F3" w14:textId="77777777" w:rsidR="009F5B35" w:rsidRDefault="009F5B35">
                    <w:pPr>
                      <w:pStyle w:val="WitregelW1"/>
                    </w:pPr>
                  </w:p>
                  <w:p w14:paraId="76529740" w14:textId="77777777" w:rsidR="009F5B35" w:rsidRDefault="00FD090F">
                    <w:pPr>
                      <w:pStyle w:val="StandaardReferentiegegevensKop"/>
                    </w:pPr>
                    <w:r>
                      <w:t>Uw brief (kenmerk)</w:t>
                    </w:r>
                  </w:p>
                  <w:p w14:paraId="59817BBE" w14:textId="3BA000FF" w:rsidR="00920514" w:rsidRDefault="00BA0399">
                    <w:pPr>
                      <w:pStyle w:val="StandaardReferentiegegevens"/>
                    </w:pPr>
                    <w:r>
                      <w:fldChar w:fldCharType="begin"/>
                    </w:r>
                    <w:r>
                      <w:instrText xml:space="preserve"> DOCPROPERTY  "UwKenmerk"  \* MERGEFORMAT </w:instrText>
                    </w:r>
                    <w:r>
                      <w:fldChar w:fldCharType="end"/>
                    </w:r>
                  </w:p>
                  <w:p w14:paraId="57750DDA" w14:textId="77777777" w:rsidR="009F5B35" w:rsidRDefault="009F5B35">
                    <w:pPr>
                      <w:pStyle w:val="WitregelW1"/>
                    </w:pPr>
                  </w:p>
                  <w:p w14:paraId="40A13844" w14:textId="77777777" w:rsidR="009F5B35" w:rsidRDefault="00FD090F">
                    <w:pPr>
                      <w:pStyle w:val="StandaardReferentiegegevensKop"/>
                    </w:pPr>
                    <w:r>
                      <w:t>Bijlagen</w:t>
                    </w:r>
                  </w:p>
                  <w:p w14:paraId="03F85AE7" w14:textId="77777777" w:rsidR="009F5B35" w:rsidRDefault="00FD090F">
                    <w:pPr>
                      <w:pStyle w:val="StandaardReferentiegegevens"/>
                    </w:pPr>
                    <w:r>
                      <w:t>(</w:t>
                    </w:r>
                    <w:proofErr w:type="gramStart"/>
                    <w:r>
                      <w:t>geen</w:t>
                    </w:r>
                    <w:proofErr w:type="gramEnd"/>
                    <w:r>
                      <w:t>)</w:t>
                    </w:r>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5C68EB9C" wp14:editId="4023AB0B">
              <wp:simplePos x="0" y="0"/>
              <wp:positionH relativeFrom="page">
                <wp:posOffset>1007744</wp:posOffset>
              </wp:positionH>
              <wp:positionV relativeFrom="page">
                <wp:posOffset>1691639</wp:posOffset>
              </wp:positionV>
              <wp:extent cx="3561715" cy="142875"/>
              <wp:effectExtent l="0" t="0" r="0" b="0"/>
              <wp:wrapNone/>
              <wp:docPr id="5" name="Tekstvak 5"/>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21415A2A" w14:textId="77777777" w:rsidR="009F5B35" w:rsidRDefault="00FD090F">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5C68EB9C" id="Tekstvak 5" o:spid="_x0000_s1032" type="#_x0000_t202" style="position:absolute;margin-left:79.35pt;margin-top:133.2pt;width:280.45pt;height:11.2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21415A2A" w14:textId="77777777" w:rsidR="009F5B35" w:rsidRDefault="00FD090F">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3365AA00" wp14:editId="5E379625">
              <wp:simplePos x="0" y="0"/>
              <wp:positionH relativeFrom="page">
                <wp:posOffset>1007744</wp:posOffset>
              </wp:positionH>
              <wp:positionV relativeFrom="page">
                <wp:posOffset>1943735</wp:posOffset>
              </wp:positionV>
              <wp:extent cx="4180840" cy="1076325"/>
              <wp:effectExtent l="0" t="0" r="0" b="0"/>
              <wp:wrapNone/>
              <wp:docPr id="6" name="Tekstvak 6"/>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488CDF8A" w14:textId="002ABB53" w:rsidR="00920514" w:rsidRDefault="00BA0399">
                          <w:pPr>
                            <w:pStyle w:val="Rubricering"/>
                          </w:pPr>
                          <w:r>
                            <w:fldChar w:fldCharType="begin"/>
                          </w:r>
                          <w:r>
                            <w:instrText xml:space="preserve"> DOCPROPERTY  "Rubricering"  \* MERGEFORMAT </w:instrText>
                          </w:r>
                          <w:r>
                            <w:fldChar w:fldCharType="end"/>
                          </w:r>
                        </w:p>
                        <w:p w14:paraId="5F689B3B" w14:textId="77777777" w:rsidR="009F5B35" w:rsidRDefault="00FD090F">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3365AA00" id="Tekstvak 6" o:spid="_x0000_s1033" type="#_x0000_t202" style="position:absolute;margin-left:79.35pt;margin-top:153.05pt;width:329.2pt;height:84.7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488CDF8A" w14:textId="002ABB53" w:rsidR="00920514" w:rsidRDefault="00BA0399">
                    <w:pPr>
                      <w:pStyle w:val="Rubricering"/>
                    </w:pPr>
                    <w:r>
                      <w:fldChar w:fldCharType="begin"/>
                    </w:r>
                    <w:r>
                      <w:instrText xml:space="preserve"> DOCPROPERTY  "Rubricering"  \* MERGEFORMAT </w:instrText>
                    </w:r>
                    <w:r>
                      <w:fldChar w:fldCharType="end"/>
                    </w:r>
                  </w:p>
                  <w:p w14:paraId="5F689B3B" w14:textId="77777777" w:rsidR="009F5B35" w:rsidRDefault="00FD090F">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8248" behindDoc="0" locked="1" layoutInCell="1" allowOverlap="1" wp14:anchorId="1587E29C" wp14:editId="190D33FF">
              <wp:simplePos x="0" y="0"/>
              <wp:positionH relativeFrom="page">
                <wp:posOffset>5921375</wp:posOffset>
              </wp:positionH>
              <wp:positionV relativeFrom="page">
                <wp:posOffset>10223500</wp:posOffset>
              </wp:positionV>
              <wp:extent cx="1259840" cy="179705"/>
              <wp:effectExtent l="0" t="0" r="0" b="0"/>
              <wp:wrapNone/>
              <wp:docPr id="7" name="Tekstvak 7"/>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3FA41A6" w14:textId="77777777" w:rsidR="00920514" w:rsidRDefault="00BA0399">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1587E29C" id="Tekstvak 7" o:spid="_x0000_s1034" type="#_x0000_t202" style="position:absolute;margin-left:466.25pt;margin-top:805pt;width:99.2pt;height:14.15pt;z-index:251658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73FA41A6" w14:textId="77777777" w:rsidR="00920514" w:rsidRDefault="00BA0399">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9" behindDoc="0" locked="1" layoutInCell="1" allowOverlap="1" wp14:anchorId="2A906F64" wp14:editId="020E1A30">
              <wp:simplePos x="0" y="0"/>
              <wp:positionH relativeFrom="page">
                <wp:posOffset>1007744</wp:posOffset>
              </wp:positionH>
              <wp:positionV relativeFrom="page">
                <wp:posOffset>3635375</wp:posOffset>
              </wp:positionV>
              <wp:extent cx="4105275" cy="755650"/>
              <wp:effectExtent l="0" t="0" r="0" b="0"/>
              <wp:wrapNone/>
              <wp:docPr id="8" name="Tekstvak 8"/>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F5B35" w14:paraId="502D35F8" w14:textId="77777777">
                            <w:trPr>
                              <w:trHeight w:val="200"/>
                            </w:trPr>
                            <w:tc>
                              <w:tcPr>
                                <w:tcW w:w="1140" w:type="dxa"/>
                              </w:tcPr>
                              <w:p w14:paraId="668E8221" w14:textId="77777777" w:rsidR="009F5B35" w:rsidRDefault="009F5B35"/>
                            </w:tc>
                            <w:tc>
                              <w:tcPr>
                                <w:tcW w:w="5400" w:type="dxa"/>
                              </w:tcPr>
                              <w:p w14:paraId="04231019" w14:textId="77777777" w:rsidR="009F5B35" w:rsidRDefault="009F5B35"/>
                            </w:tc>
                          </w:tr>
                          <w:tr w:rsidR="009F5B35" w14:paraId="28D79E68" w14:textId="77777777">
                            <w:trPr>
                              <w:trHeight w:val="240"/>
                            </w:trPr>
                            <w:tc>
                              <w:tcPr>
                                <w:tcW w:w="1140" w:type="dxa"/>
                              </w:tcPr>
                              <w:p w14:paraId="717C4F58" w14:textId="77777777" w:rsidR="009F5B35" w:rsidRDefault="00FD090F">
                                <w:r>
                                  <w:t>Datum</w:t>
                                </w:r>
                              </w:p>
                            </w:tc>
                            <w:tc>
                              <w:tcPr>
                                <w:tcW w:w="5400" w:type="dxa"/>
                              </w:tcPr>
                              <w:p w14:paraId="48FCE485" w14:textId="09B4E7E3" w:rsidR="009F5B35" w:rsidRDefault="00BA0399">
                                <w:r>
                                  <w:t>26 april 2024</w:t>
                                </w:r>
                              </w:p>
                            </w:tc>
                          </w:tr>
                          <w:tr w:rsidR="009F5B35" w14:paraId="0C4BEE8B" w14:textId="77777777">
                            <w:trPr>
                              <w:trHeight w:val="240"/>
                            </w:trPr>
                            <w:tc>
                              <w:tcPr>
                                <w:tcW w:w="1140" w:type="dxa"/>
                              </w:tcPr>
                              <w:p w14:paraId="72E4B852" w14:textId="77777777" w:rsidR="009F5B35" w:rsidRDefault="00FD090F">
                                <w:r>
                                  <w:t>Betreft</w:t>
                                </w:r>
                              </w:p>
                            </w:tc>
                            <w:tc>
                              <w:tcPr>
                                <w:tcW w:w="5400" w:type="dxa"/>
                              </w:tcPr>
                              <w:p w14:paraId="4B801900" w14:textId="6347E2D0" w:rsidR="00A57CD0" w:rsidRDefault="00BA0399">
                                <w:r>
                                  <w:fldChar w:fldCharType="begin"/>
                                </w:r>
                                <w:r>
                                  <w:instrText xml:space="preserve"> DOCPROPERTY  "Onderwerp"  \* MERGEFORMAT </w:instrText>
                                </w:r>
                                <w:r>
                                  <w:fldChar w:fldCharType="separate"/>
                                </w:r>
                                <w:r w:rsidR="008A4F0C">
                                  <w:t>Contourenbrief gedifferentieerde verbruiksbelasting van alcoholvrije dranken op basis van suikergehalte</w:t>
                                </w:r>
                                <w:r>
                                  <w:fldChar w:fldCharType="end"/>
                                </w:r>
                              </w:p>
                            </w:tc>
                          </w:tr>
                          <w:tr w:rsidR="009F5B35" w14:paraId="48449CFD" w14:textId="77777777">
                            <w:trPr>
                              <w:trHeight w:val="200"/>
                            </w:trPr>
                            <w:tc>
                              <w:tcPr>
                                <w:tcW w:w="1140" w:type="dxa"/>
                              </w:tcPr>
                              <w:p w14:paraId="580B004B" w14:textId="77777777" w:rsidR="009F5B35" w:rsidRDefault="009F5B35"/>
                            </w:tc>
                            <w:tc>
                              <w:tcPr>
                                <w:tcW w:w="4738" w:type="dxa"/>
                              </w:tcPr>
                              <w:p w14:paraId="3917271F" w14:textId="77777777" w:rsidR="009F5B35" w:rsidRDefault="009F5B35"/>
                            </w:tc>
                          </w:tr>
                        </w:tbl>
                        <w:p w14:paraId="0B476FC1" w14:textId="77777777" w:rsidR="00675883" w:rsidRDefault="00675883"/>
                      </w:txbxContent>
                    </wps:txbx>
                    <wps:bodyPr vert="horz" wrap="square" lIns="0" tIns="0" rIns="0" bIns="0" anchor="t" anchorCtr="0"/>
                  </wps:wsp>
                </a:graphicData>
              </a:graphic>
            </wp:anchor>
          </w:drawing>
        </mc:Choice>
        <mc:Fallback>
          <w:pict>
            <v:shape w14:anchorId="2A906F64" id="Tekstvak 8" o:spid="_x0000_s1035" type="#_x0000_t202" style="position:absolute;margin-left:79.35pt;margin-top:286.25pt;width:323.25pt;height:59.5pt;z-index:251658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9F5B35" w14:paraId="502D35F8" w14:textId="77777777">
                      <w:trPr>
                        <w:trHeight w:val="200"/>
                      </w:trPr>
                      <w:tc>
                        <w:tcPr>
                          <w:tcW w:w="1140" w:type="dxa"/>
                        </w:tcPr>
                        <w:p w14:paraId="668E8221" w14:textId="77777777" w:rsidR="009F5B35" w:rsidRDefault="009F5B35"/>
                      </w:tc>
                      <w:tc>
                        <w:tcPr>
                          <w:tcW w:w="5400" w:type="dxa"/>
                        </w:tcPr>
                        <w:p w14:paraId="04231019" w14:textId="77777777" w:rsidR="009F5B35" w:rsidRDefault="009F5B35"/>
                      </w:tc>
                    </w:tr>
                    <w:tr w:rsidR="009F5B35" w14:paraId="28D79E68" w14:textId="77777777">
                      <w:trPr>
                        <w:trHeight w:val="240"/>
                      </w:trPr>
                      <w:tc>
                        <w:tcPr>
                          <w:tcW w:w="1140" w:type="dxa"/>
                        </w:tcPr>
                        <w:p w14:paraId="717C4F58" w14:textId="77777777" w:rsidR="009F5B35" w:rsidRDefault="00FD090F">
                          <w:r>
                            <w:t>Datum</w:t>
                          </w:r>
                        </w:p>
                      </w:tc>
                      <w:tc>
                        <w:tcPr>
                          <w:tcW w:w="5400" w:type="dxa"/>
                        </w:tcPr>
                        <w:p w14:paraId="48FCE485" w14:textId="09B4E7E3" w:rsidR="009F5B35" w:rsidRDefault="00BA0399">
                          <w:r>
                            <w:t>26 april 2024</w:t>
                          </w:r>
                        </w:p>
                      </w:tc>
                    </w:tr>
                    <w:tr w:rsidR="009F5B35" w14:paraId="0C4BEE8B" w14:textId="77777777">
                      <w:trPr>
                        <w:trHeight w:val="240"/>
                      </w:trPr>
                      <w:tc>
                        <w:tcPr>
                          <w:tcW w:w="1140" w:type="dxa"/>
                        </w:tcPr>
                        <w:p w14:paraId="72E4B852" w14:textId="77777777" w:rsidR="009F5B35" w:rsidRDefault="00FD090F">
                          <w:r>
                            <w:t>Betreft</w:t>
                          </w:r>
                        </w:p>
                      </w:tc>
                      <w:tc>
                        <w:tcPr>
                          <w:tcW w:w="5400" w:type="dxa"/>
                        </w:tcPr>
                        <w:p w14:paraId="4B801900" w14:textId="6347E2D0" w:rsidR="00A57CD0" w:rsidRDefault="00BA0399">
                          <w:r>
                            <w:fldChar w:fldCharType="begin"/>
                          </w:r>
                          <w:r>
                            <w:instrText xml:space="preserve"> DOCPROPERTY  "Onderwerp"  \* MERGEFORMAT </w:instrText>
                          </w:r>
                          <w:r>
                            <w:fldChar w:fldCharType="separate"/>
                          </w:r>
                          <w:r w:rsidR="008A4F0C">
                            <w:t>Contourenbrief gedifferentieerde verbruiksbelasting van alcoholvrije dranken op basis van suikergehalte</w:t>
                          </w:r>
                          <w:r>
                            <w:fldChar w:fldCharType="end"/>
                          </w:r>
                        </w:p>
                      </w:tc>
                    </w:tr>
                    <w:tr w:rsidR="009F5B35" w14:paraId="48449CFD" w14:textId="77777777">
                      <w:trPr>
                        <w:trHeight w:val="200"/>
                      </w:trPr>
                      <w:tc>
                        <w:tcPr>
                          <w:tcW w:w="1140" w:type="dxa"/>
                        </w:tcPr>
                        <w:p w14:paraId="580B004B" w14:textId="77777777" w:rsidR="009F5B35" w:rsidRDefault="009F5B35"/>
                      </w:tc>
                      <w:tc>
                        <w:tcPr>
                          <w:tcW w:w="4738" w:type="dxa"/>
                        </w:tcPr>
                        <w:p w14:paraId="3917271F" w14:textId="77777777" w:rsidR="009F5B35" w:rsidRDefault="009F5B35"/>
                      </w:tc>
                    </w:tr>
                  </w:tbl>
                  <w:p w14:paraId="0B476FC1" w14:textId="77777777" w:rsidR="00675883" w:rsidRDefault="00675883"/>
                </w:txbxContent>
              </v:textbox>
              <w10:wrap anchorx="page" anchory="page"/>
              <w10:anchorlock/>
            </v:shape>
          </w:pict>
        </mc:Fallback>
      </mc:AlternateContent>
    </w:r>
    <w:r>
      <w:rPr>
        <w:noProof/>
      </w:rPr>
      <mc:AlternateContent>
        <mc:Choice Requires="wps">
          <w:drawing>
            <wp:anchor distT="0" distB="0" distL="0" distR="0" simplePos="0" relativeHeight="251658250" behindDoc="0" locked="1" layoutInCell="1" allowOverlap="1" wp14:anchorId="720F4228" wp14:editId="4E69E481">
              <wp:simplePos x="0" y="0"/>
              <wp:positionH relativeFrom="page">
                <wp:posOffset>1007744</wp:posOffset>
              </wp:positionH>
              <wp:positionV relativeFrom="page">
                <wp:posOffset>10197465</wp:posOffset>
              </wp:positionV>
              <wp:extent cx="1800225" cy="161925"/>
              <wp:effectExtent l="0" t="0" r="0" b="0"/>
              <wp:wrapNone/>
              <wp:docPr id="9" name="Tekstvak 9"/>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0EAC0AA1" w14:textId="27E83CA5" w:rsidR="00920514" w:rsidRDefault="00BA039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20F4228" id="Tekstvak 9" o:spid="_x0000_s1036" type="#_x0000_t202" style="position:absolute;margin-left:79.35pt;margin-top:802.95pt;width:141.75pt;height:12.75pt;z-index:251658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0EAC0AA1" w14:textId="27E83CA5" w:rsidR="00920514" w:rsidRDefault="00BA039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51" behindDoc="0" locked="1" layoutInCell="1" allowOverlap="1" wp14:anchorId="4F700FE4" wp14:editId="191E6E4E">
              <wp:simplePos x="0" y="0"/>
              <wp:positionH relativeFrom="page">
                <wp:posOffset>5921375</wp:posOffset>
              </wp:positionH>
              <wp:positionV relativeFrom="page">
                <wp:posOffset>5309870</wp:posOffset>
              </wp:positionV>
              <wp:extent cx="1148080" cy="76263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6B9CCA72" w14:textId="77777777" w:rsidR="00675883" w:rsidRDefault="00675883"/>
                      </w:txbxContent>
                    </wps:txbx>
                    <wps:bodyPr vert="horz" wrap="square" lIns="0" tIns="0" rIns="0" bIns="0" anchor="t" anchorCtr="0"/>
                  </wps:wsp>
                </a:graphicData>
              </a:graphic>
            </wp:anchor>
          </w:drawing>
        </mc:Choice>
        <mc:Fallback>
          <w:pict>
            <v:shape w14:anchorId="4F700FE4" id="Tekstvak 10" o:spid="_x0000_s1037" type="#_x0000_t202" style="position:absolute;margin-left:466.25pt;margin-top:418.1pt;width:90.4pt;height:60.05pt;z-index:2516582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6B9CCA72" w14:textId="77777777" w:rsidR="00675883" w:rsidRDefault="0067588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B7E"/>
    <w:multiLevelType w:val="hybridMultilevel"/>
    <w:tmpl w:val="3156110E"/>
    <w:lvl w:ilvl="0" w:tplc="448C44A8">
      <w:start w:val="3"/>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916081"/>
    <w:multiLevelType w:val="hybridMultilevel"/>
    <w:tmpl w:val="B0485E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9AAD0C"/>
    <w:multiLevelType w:val="multilevel"/>
    <w:tmpl w:val="3221A257"/>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F7A05"/>
    <w:multiLevelType w:val="hybridMultilevel"/>
    <w:tmpl w:val="AAFABE50"/>
    <w:lvl w:ilvl="0" w:tplc="C2CA71E4">
      <w:start w:val="3"/>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7D4CCD"/>
    <w:multiLevelType w:val="hybridMultilevel"/>
    <w:tmpl w:val="33A245A6"/>
    <w:lvl w:ilvl="0" w:tplc="6D1C6CB0">
      <w:start w:val="1"/>
      <w:numFmt w:val="bullet"/>
      <w:lvlText w:val=""/>
      <w:lvlJc w:val="left"/>
      <w:pPr>
        <w:ind w:left="720" w:hanging="360"/>
      </w:pPr>
      <w:rPr>
        <w:rFonts w:ascii="Symbol" w:hAnsi="Symbol" w:hint="default"/>
      </w:rPr>
    </w:lvl>
    <w:lvl w:ilvl="1" w:tplc="0AE8CC3E">
      <w:start w:val="1"/>
      <w:numFmt w:val="bullet"/>
      <w:lvlText w:val="o"/>
      <w:lvlJc w:val="left"/>
      <w:pPr>
        <w:ind w:left="1440" w:hanging="360"/>
      </w:pPr>
      <w:rPr>
        <w:rFonts w:ascii="Courier New" w:hAnsi="Courier New" w:hint="default"/>
      </w:rPr>
    </w:lvl>
    <w:lvl w:ilvl="2" w:tplc="1A885C9A">
      <w:start w:val="1"/>
      <w:numFmt w:val="bullet"/>
      <w:lvlText w:val=""/>
      <w:lvlJc w:val="left"/>
      <w:pPr>
        <w:ind w:left="2160" w:hanging="360"/>
      </w:pPr>
      <w:rPr>
        <w:rFonts w:ascii="Wingdings" w:hAnsi="Wingdings" w:hint="default"/>
      </w:rPr>
    </w:lvl>
    <w:lvl w:ilvl="3" w:tplc="0114CB0A">
      <w:start w:val="1"/>
      <w:numFmt w:val="bullet"/>
      <w:lvlText w:val=""/>
      <w:lvlJc w:val="left"/>
      <w:pPr>
        <w:ind w:left="2880" w:hanging="360"/>
      </w:pPr>
      <w:rPr>
        <w:rFonts w:ascii="Symbol" w:hAnsi="Symbol" w:hint="default"/>
      </w:rPr>
    </w:lvl>
    <w:lvl w:ilvl="4" w:tplc="C1C0532E">
      <w:start w:val="1"/>
      <w:numFmt w:val="bullet"/>
      <w:lvlText w:val="o"/>
      <w:lvlJc w:val="left"/>
      <w:pPr>
        <w:ind w:left="3600" w:hanging="360"/>
      </w:pPr>
      <w:rPr>
        <w:rFonts w:ascii="Courier New" w:hAnsi="Courier New" w:hint="default"/>
      </w:rPr>
    </w:lvl>
    <w:lvl w:ilvl="5" w:tplc="5D54C2B4">
      <w:start w:val="1"/>
      <w:numFmt w:val="bullet"/>
      <w:lvlText w:val=""/>
      <w:lvlJc w:val="left"/>
      <w:pPr>
        <w:ind w:left="4320" w:hanging="360"/>
      </w:pPr>
      <w:rPr>
        <w:rFonts w:ascii="Wingdings" w:hAnsi="Wingdings" w:hint="default"/>
      </w:rPr>
    </w:lvl>
    <w:lvl w:ilvl="6" w:tplc="278A43A8">
      <w:start w:val="1"/>
      <w:numFmt w:val="bullet"/>
      <w:lvlText w:val=""/>
      <w:lvlJc w:val="left"/>
      <w:pPr>
        <w:ind w:left="5040" w:hanging="360"/>
      </w:pPr>
      <w:rPr>
        <w:rFonts w:ascii="Symbol" w:hAnsi="Symbol" w:hint="default"/>
      </w:rPr>
    </w:lvl>
    <w:lvl w:ilvl="7" w:tplc="04F0E486">
      <w:start w:val="1"/>
      <w:numFmt w:val="bullet"/>
      <w:lvlText w:val="o"/>
      <w:lvlJc w:val="left"/>
      <w:pPr>
        <w:ind w:left="5760" w:hanging="360"/>
      </w:pPr>
      <w:rPr>
        <w:rFonts w:ascii="Courier New" w:hAnsi="Courier New" w:hint="default"/>
      </w:rPr>
    </w:lvl>
    <w:lvl w:ilvl="8" w:tplc="7A78BDF6">
      <w:start w:val="1"/>
      <w:numFmt w:val="bullet"/>
      <w:lvlText w:val=""/>
      <w:lvlJc w:val="left"/>
      <w:pPr>
        <w:ind w:left="6480" w:hanging="360"/>
      </w:pPr>
      <w:rPr>
        <w:rFonts w:ascii="Wingdings" w:hAnsi="Wingdings" w:hint="default"/>
      </w:rPr>
    </w:lvl>
  </w:abstractNum>
  <w:abstractNum w:abstractNumId="5" w15:restartNumberingAfterBreak="0">
    <w:nsid w:val="2D97DAEE"/>
    <w:multiLevelType w:val="multilevel"/>
    <w:tmpl w:val="069BFA87"/>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00A2B8"/>
    <w:multiLevelType w:val="multilevel"/>
    <w:tmpl w:val="D45A174C"/>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FF3167"/>
    <w:multiLevelType w:val="hybridMultilevel"/>
    <w:tmpl w:val="8B885D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8E77F5"/>
    <w:multiLevelType w:val="hybridMultilevel"/>
    <w:tmpl w:val="02887B7E"/>
    <w:lvl w:ilvl="0" w:tplc="B1A2348A">
      <w:start w:val="3"/>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861752A"/>
    <w:multiLevelType w:val="hybridMultilevel"/>
    <w:tmpl w:val="442240F2"/>
    <w:lvl w:ilvl="0" w:tplc="137E3A34">
      <w:start w:val="1"/>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A3639D3"/>
    <w:multiLevelType w:val="hybridMultilevel"/>
    <w:tmpl w:val="53462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1B569B"/>
    <w:multiLevelType w:val="hybridMultilevel"/>
    <w:tmpl w:val="945045E6"/>
    <w:lvl w:ilvl="0" w:tplc="87CC14F0">
      <w:start w:val="3"/>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E9396F"/>
    <w:multiLevelType w:val="multilevel"/>
    <w:tmpl w:val="9F0ACBF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8E5DF8"/>
    <w:multiLevelType w:val="hybridMultilevel"/>
    <w:tmpl w:val="803AB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980519"/>
    <w:multiLevelType w:val="multilevel"/>
    <w:tmpl w:val="31C83F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3DA6040"/>
    <w:multiLevelType w:val="hybridMultilevel"/>
    <w:tmpl w:val="6E10EB3C"/>
    <w:lvl w:ilvl="0" w:tplc="CCFC92BA">
      <w:start w:val="3"/>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A2F52E6"/>
    <w:multiLevelType w:val="hybridMultilevel"/>
    <w:tmpl w:val="E222B7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9A73E3"/>
    <w:multiLevelType w:val="multilevel"/>
    <w:tmpl w:val="7D867905"/>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7603F"/>
    <w:multiLevelType w:val="multilevel"/>
    <w:tmpl w:val="5B0C3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E1E4799"/>
    <w:multiLevelType w:val="hybridMultilevel"/>
    <w:tmpl w:val="0D46A422"/>
    <w:lvl w:ilvl="0" w:tplc="5CB632F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39CCA"/>
    <w:multiLevelType w:val="multilevel"/>
    <w:tmpl w:val="9F95F8E6"/>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5518484">
    <w:abstractNumId w:val="4"/>
  </w:num>
  <w:num w:numId="2" w16cid:durableId="1602180143">
    <w:abstractNumId w:val="20"/>
  </w:num>
  <w:num w:numId="3" w16cid:durableId="882864651">
    <w:abstractNumId w:val="5"/>
  </w:num>
  <w:num w:numId="4" w16cid:durableId="1225868757">
    <w:abstractNumId w:val="17"/>
  </w:num>
  <w:num w:numId="5" w16cid:durableId="22637548">
    <w:abstractNumId w:val="12"/>
  </w:num>
  <w:num w:numId="6" w16cid:durableId="1005089522">
    <w:abstractNumId w:val="2"/>
  </w:num>
  <w:num w:numId="7" w16cid:durableId="1885019205">
    <w:abstractNumId w:val="6"/>
  </w:num>
  <w:num w:numId="8" w16cid:durableId="251738947">
    <w:abstractNumId w:val="13"/>
  </w:num>
  <w:num w:numId="9" w16cid:durableId="974677597">
    <w:abstractNumId w:val="1"/>
  </w:num>
  <w:num w:numId="10" w16cid:durableId="189150575">
    <w:abstractNumId w:val="10"/>
  </w:num>
  <w:num w:numId="11" w16cid:durableId="815415536">
    <w:abstractNumId w:val="18"/>
  </w:num>
  <w:num w:numId="12" w16cid:durableId="326329774">
    <w:abstractNumId w:val="19"/>
  </w:num>
  <w:num w:numId="13" w16cid:durableId="253831772">
    <w:abstractNumId w:val="14"/>
  </w:num>
  <w:num w:numId="14" w16cid:durableId="261913996">
    <w:abstractNumId w:val="11"/>
  </w:num>
  <w:num w:numId="15" w16cid:durableId="1554927392">
    <w:abstractNumId w:val="8"/>
  </w:num>
  <w:num w:numId="16" w16cid:durableId="990796297">
    <w:abstractNumId w:val="3"/>
  </w:num>
  <w:num w:numId="17" w16cid:durableId="1536039692">
    <w:abstractNumId w:val="15"/>
  </w:num>
  <w:num w:numId="18" w16cid:durableId="1241407119">
    <w:abstractNumId w:val="0"/>
  </w:num>
  <w:num w:numId="19" w16cid:durableId="38669459">
    <w:abstractNumId w:val="9"/>
  </w:num>
  <w:num w:numId="20" w16cid:durableId="1314868710">
    <w:abstractNumId w:val="7"/>
  </w:num>
  <w:num w:numId="21" w16cid:durableId="1124348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3A"/>
    <w:rsid w:val="00000D56"/>
    <w:rsid w:val="00005485"/>
    <w:rsid w:val="0000709F"/>
    <w:rsid w:val="00007550"/>
    <w:rsid w:val="0001282E"/>
    <w:rsid w:val="00014705"/>
    <w:rsid w:val="0001522D"/>
    <w:rsid w:val="00020A2A"/>
    <w:rsid w:val="000233EF"/>
    <w:rsid w:val="00023E28"/>
    <w:rsid w:val="00027C18"/>
    <w:rsid w:val="000402AC"/>
    <w:rsid w:val="00040A83"/>
    <w:rsid w:val="000442E9"/>
    <w:rsid w:val="00044635"/>
    <w:rsid w:val="00046F8F"/>
    <w:rsid w:val="00050657"/>
    <w:rsid w:val="00053326"/>
    <w:rsid w:val="0005339B"/>
    <w:rsid w:val="00054818"/>
    <w:rsid w:val="00055C82"/>
    <w:rsid w:val="00063849"/>
    <w:rsid w:val="000709DD"/>
    <w:rsid w:val="00070AD6"/>
    <w:rsid w:val="00072727"/>
    <w:rsid w:val="00076D4D"/>
    <w:rsid w:val="000837E1"/>
    <w:rsid w:val="00085B12"/>
    <w:rsid w:val="00085E1A"/>
    <w:rsid w:val="00091DE4"/>
    <w:rsid w:val="000A4579"/>
    <w:rsid w:val="000A6265"/>
    <w:rsid w:val="000A69D3"/>
    <w:rsid w:val="000A7FD7"/>
    <w:rsid w:val="000B1DB1"/>
    <w:rsid w:val="000C123B"/>
    <w:rsid w:val="000C168A"/>
    <w:rsid w:val="000C1EA7"/>
    <w:rsid w:val="000C30EE"/>
    <w:rsid w:val="000C4B76"/>
    <w:rsid w:val="000C5ACC"/>
    <w:rsid w:val="000C6DFA"/>
    <w:rsid w:val="000D21B2"/>
    <w:rsid w:val="000D3A42"/>
    <w:rsid w:val="000D4516"/>
    <w:rsid w:val="000D5E24"/>
    <w:rsid w:val="000E0494"/>
    <w:rsid w:val="000E1586"/>
    <w:rsid w:val="000F1AFB"/>
    <w:rsid w:val="000F2854"/>
    <w:rsid w:val="000F2968"/>
    <w:rsid w:val="000F3D86"/>
    <w:rsid w:val="000F7251"/>
    <w:rsid w:val="000F753C"/>
    <w:rsid w:val="00101DC0"/>
    <w:rsid w:val="0010322E"/>
    <w:rsid w:val="00107259"/>
    <w:rsid w:val="001125BF"/>
    <w:rsid w:val="00112E26"/>
    <w:rsid w:val="00117F37"/>
    <w:rsid w:val="00120635"/>
    <w:rsid w:val="001350DF"/>
    <w:rsid w:val="0013609F"/>
    <w:rsid w:val="00137130"/>
    <w:rsid w:val="00142634"/>
    <w:rsid w:val="00142ED2"/>
    <w:rsid w:val="001434A2"/>
    <w:rsid w:val="00151F90"/>
    <w:rsid w:val="00157C62"/>
    <w:rsid w:val="00157D26"/>
    <w:rsid w:val="0016101B"/>
    <w:rsid w:val="001619C4"/>
    <w:rsid w:val="00162231"/>
    <w:rsid w:val="00162EDC"/>
    <w:rsid w:val="0016385C"/>
    <w:rsid w:val="00163E1D"/>
    <w:rsid w:val="00165C0E"/>
    <w:rsid w:val="00172A2C"/>
    <w:rsid w:val="00180C7A"/>
    <w:rsid w:val="00181E5F"/>
    <w:rsid w:val="00183108"/>
    <w:rsid w:val="00184D6F"/>
    <w:rsid w:val="00194815"/>
    <w:rsid w:val="00195D31"/>
    <w:rsid w:val="001A4F45"/>
    <w:rsid w:val="001A7871"/>
    <w:rsid w:val="001B0FED"/>
    <w:rsid w:val="001B7AA0"/>
    <w:rsid w:val="001C0460"/>
    <w:rsid w:val="001C0B61"/>
    <w:rsid w:val="001D442D"/>
    <w:rsid w:val="001D55CD"/>
    <w:rsid w:val="001D73D6"/>
    <w:rsid w:val="001E2107"/>
    <w:rsid w:val="001E38ED"/>
    <w:rsid w:val="001E613A"/>
    <w:rsid w:val="001F282B"/>
    <w:rsid w:val="001F34EF"/>
    <w:rsid w:val="001F6DB9"/>
    <w:rsid w:val="00201435"/>
    <w:rsid w:val="002063CA"/>
    <w:rsid w:val="00210562"/>
    <w:rsid w:val="00214430"/>
    <w:rsid w:val="0021731E"/>
    <w:rsid w:val="00226E15"/>
    <w:rsid w:val="00230099"/>
    <w:rsid w:val="0023591F"/>
    <w:rsid w:val="00241D7B"/>
    <w:rsid w:val="00243802"/>
    <w:rsid w:val="002510A9"/>
    <w:rsid w:val="002529F6"/>
    <w:rsid w:val="00255829"/>
    <w:rsid w:val="00262E4E"/>
    <w:rsid w:val="00263045"/>
    <w:rsid w:val="00275B31"/>
    <w:rsid w:val="00276B71"/>
    <w:rsid w:val="00282FF4"/>
    <w:rsid w:val="0028383E"/>
    <w:rsid w:val="00285934"/>
    <w:rsid w:val="00291D69"/>
    <w:rsid w:val="002A2162"/>
    <w:rsid w:val="002A45BE"/>
    <w:rsid w:val="002B03E9"/>
    <w:rsid w:val="002B38B3"/>
    <w:rsid w:val="002B7A52"/>
    <w:rsid w:val="002C2639"/>
    <w:rsid w:val="002C6921"/>
    <w:rsid w:val="002D05DC"/>
    <w:rsid w:val="002D4910"/>
    <w:rsid w:val="002D55EF"/>
    <w:rsid w:val="002D7097"/>
    <w:rsid w:val="002E065A"/>
    <w:rsid w:val="002E0EAD"/>
    <w:rsid w:val="002E3BC8"/>
    <w:rsid w:val="002E59F8"/>
    <w:rsid w:val="002E5F3D"/>
    <w:rsid w:val="002E7E84"/>
    <w:rsid w:val="002F27F4"/>
    <w:rsid w:val="002F3B39"/>
    <w:rsid w:val="003003CF"/>
    <w:rsid w:val="00300B74"/>
    <w:rsid w:val="0030517A"/>
    <w:rsid w:val="003055AC"/>
    <w:rsid w:val="00305E73"/>
    <w:rsid w:val="003071DB"/>
    <w:rsid w:val="00311B87"/>
    <w:rsid w:val="00312FC1"/>
    <w:rsid w:val="00313081"/>
    <w:rsid w:val="00320FC7"/>
    <w:rsid w:val="00321F79"/>
    <w:rsid w:val="00326F60"/>
    <w:rsid w:val="00332457"/>
    <w:rsid w:val="00333C09"/>
    <w:rsid w:val="00333F01"/>
    <w:rsid w:val="00335645"/>
    <w:rsid w:val="003409CD"/>
    <w:rsid w:val="003428A2"/>
    <w:rsid w:val="00345395"/>
    <w:rsid w:val="00350844"/>
    <w:rsid w:val="00352EC2"/>
    <w:rsid w:val="0035301F"/>
    <w:rsid w:val="00353758"/>
    <w:rsid w:val="00353773"/>
    <w:rsid w:val="00357F02"/>
    <w:rsid w:val="0036309B"/>
    <w:rsid w:val="00363688"/>
    <w:rsid w:val="0036474B"/>
    <w:rsid w:val="00374270"/>
    <w:rsid w:val="003763EB"/>
    <w:rsid w:val="00382B76"/>
    <w:rsid w:val="0038761F"/>
    <w:rsid w:val="00397956"/>
    <w:rsid w:val="003A177C"/>
    <w:rsid w:val="003A34CD"/>
    <w:rsid w:val="003B0DEE"/>
    <w:rsid w:val="003B352C"/>
    <w:rsid w:val="003B4B2F"/>
    <w:rsid w:val="003B5A01"/>
    <w:rsid w:val="003B6729"/>
    <w:rsid w:val="003C131B"/>
    <w:rsid w:val="003C2193"/>
    <w:rsid w:val="003C405E"/>
    <w:rsid w:val="003C7A5C"/>
    <w:rsid w:val="003D4109"/>
    <w:rsid w:val="003D4B79"/>
    <w:rsid w:val="003E03FB"/>
    <w:rsid w:val="003E3D58"/>
    <w:rsid w:val="003E69A9"/>
    <w:rsid w:val="003F3E42"/>
    <w:rsid w:val="003F6531"/>
    <w:rsid w:val="00403A75"/>
    <w:rsid w:val="004075BF"/>
    <w:rsid w:val="00407D8A"/>
    <w:rsid w:val="00415D0A"/>
    <w:rsid w:val="004166C0"/>
    <w:rsid w:val="00416DAD"/>
    <w:rsid w:val="00420356"/>
    <w:rsid w:val="0042091F"/>
    <w:rsid w:val="0042568B"/>
    <w:rsid w:val="00426D00"/>
    <w:rsid w:val="00427DC4"/>
    <w:rsid w:val="00427E1C"/>
    <w:rsid w:val="00430E19"/>
    <w:rsid w:val="00434931"/>
    <w:rsid w:val="0043750D"/>
    <w:rsid w:val="004406B5"/>
    <w:rsid w:val="00442096"/>
    <w:rsid w:val="00442321"/>
    <w:rsid w:val="00443BCE"/>
    <w:rsid w:val="00444C71"/>
    <w:rsid w:val="00446CF6"/>
    <w:rsid w:val="004531C1"/>
    <w:rsid w:val="0045551D"/>
    <w:rsid w:val="00455E68"/>
    <w:rsid w:val="0045698B"/>
    <w:rsid w:val="00456B14"/>
    <w:rsid w:val="0046571B"/>
    <w:rsid w:val="0046631C"/>
    <w:rsid w:val="0046706C"/>
    <w:rsid w:val="004718BA"/>
    <w:rsid w:val="004725F5"/>
    <w:rsid w:val="00473B53"/>
    <w:rsid w:val="00476BC2"/>
    <w:rsid w:val="00477C7C"/>
    <w:rsid w:val="004815B8"/>
    <w:rsid w:val="004846FC"/>
    <w:rsid w:val="004859FD"/>
    <w:rsid w:val="00487589"/>
    <w:rsid w:val="00495C1B"/>
    <w:rsid w:val="00495FAB"/>
    <w:rsid w:val="004974C5"/>
    <w:rsid w:val="004A0B21"/>
    <w:rsid w:val="004A3404"/>
    <w:rsid w:val="004A4E30"/>
    <w:rsid w:val="004A5EDE"/>
    <w:rsid w:val="004A6E3B"/>
    <w:rsid w:val="004A6E63"/>
    <w:rsid w:val="004B481F"/>
    <w:rsid w:val="004B7C34"/>
    <w:rsid w:val="004C2385"/>
    <w:rsid w:val="004C246A"/>
    <w:rsid w:val="004C3DFA"/>
    <w:rsid w:val="004E03AA"/>
    <w:rsid w:val="004E2BF1"/>
    <w:rsid w:val="004E76F4"/>
    <w:rsid w:val="004F283E"/>
    <w:rsid w:val="004F36B5"/>
    <w:rsid w:val="005023E0"/>
    <w:rsid w:val="00503739"/>
    <w:rsid w:val="00506992"/>
    <w:rsid w:val="00507320"/>
    <w:rsid w:val="005073CD"/>
    <w:rsid w:val="005193CF"/>
    <w:rsid w:val="0052272A"/>
    <w:rsid w:val="00522E56"/>
    <w:rsid w:val="0052484C"/>
    <w:rsid w:val="00526B5E"/>
    <w:rsid w:val="00533B55"/>
    <w:rsid w:val="005341A5"/>
    <w:rsid w:val="005440A8"/>
    <w:rsid w:val="0055035B"/>
    <w:rsid w:val="0055293A"/>
    <w:rsid w:val="005533A4"/>
    <w:rsid w:val="00554784"/>
    <w:rsid w:val="00554BDF"/>
    <w:rsid w:val="0055521E"/>
    <w:rsid w:val="00556BD4"/>
    <w:rsid w:val="00561294"/>
    <w:rsid w:val="005621D8"/>
    <w:rsid w:val="005703B1"/>
    <w:rsid w:val="00570882"/>
    <w:rsid w:val="00573F24"/>
    <w:rsid w:val="0057538B"/>
    <w:rsid w:val="00577667"/>
    <w:rsid w:val="00584036"/>
    <w:rsid w:val="00593758"/>
    <w:rsid w:val="00593CF7"/>
    <w:rsid w:val="005941B5"/>
    <w:rsid w:val="005A6C7D"/>
    <w:rsid w:val="005B0728"/>
    <w:rsid w:val="005B0EED"/>
    <w:rsid w:val="005B3997"/>
    <w:rsid w:val="005B3F8E"/>
    <w:rsid w:val="005B6B24"/>
    <w:rsid w:val="005B7DF2"/>
    <w:rsid w:val="005C0172"/>
    <w:rsid w:val="005C182D"/>
    <w:rsid w:val="005C3E52"/>
    <w:rsid w:val="005C4E37"/>
    <w:rsid w:val="005C7008"/>
    <w:rsid w:val="005D0CF7"/>
    <w:rsid w:val="005D27F3"/>
    <w:rsid w:val="005D3541"/>
    <w:rsid w:val="005D435F"/>
    <w:rsid w:val="005D74D3"/>
    <w:rsid w:val="005E0A34"/>
    <w:rsid w:val="005E2344"/>
    <w:rsid w:val="005E267E"/>
    <w:rsid w:val="005F1394"/>
    <w:rsid w:val="005F4F00"/>
    <w:rsid w:val="005F70EB"/>
    <w:rsid w:val="0060109F"/>
    <w:rsid w:val="00610CD5"/>
    <w:rsid w:val="006140BC"/>
    <w:rsid w:val="00616460"/>
    <w:rsid w:val="00621E94"/>
    <w:rsid w:val="00622767"/>
    <w:rsid w:val="006231F6"/>
    <w:rsid w:val="00623778"/>
    <w:rsid w:val="00623B88"/>
    <w:rsid w:val="00626E15"/>
    <w:rsid w:val="00627CEF"/>
    <w:rsid w:val="00627E07"/>
    <w:rsid w:val="006368ED"/>
    <w:rsid w:val="00640920"/>
    <w:rsid w:val="006431AC"/>
    <w:rsid w:val="006440E5"/>
    <w:rsid w:val="00644F40"/>
    <w:rsid w:val="00660A06"/>
    <w:rsid w:val="0066125A"/>
    <w:rsid w:val="00670971"/>
    <w:rsid w:val="00673014"/>
    <w:rsid w:val="0067494F"/>
    <w:rsid w:val="006751D2"/>
    <w:rsid w:val="00675883"/>
    <w:rsid w:val="00676596"/>
    <w:rsid w:val="00677993"/>
    <w:rsid w:val="00682768"/>
    <w:rsid w:val="00683880"/>
    <w:rsid w:val="006860A0"/>
    <w:rsid w:val="00694F3D"/>
    <w:rsid w:val="006A0EAD"/>
    <w:rsid w:val="006A1032"/>
    <w:rsid w:val="006A1384"/>
    <w:rsid w:val="006A454B"/>
    <w:rsid w:val="006A6542"/>
    <w:rsid w:val="006B1BFC"/>
    <w:rsid w:val="006B1D16"/>
    <w:rsid w:val="006B5651"/>
    <w:rsid w:val="006C0740"/>
    <w:rsid w:val="006C0B63"/>
    <w:rsid w:val="006D009E"/>
    <w:rsid w:val="006D047B"/>
    <w:rsid w:val="006D126B"/>
    <w:rsid w:val="006D7A99"/>
    <w:rsid w:val="006E1D8C"/>
    <w:rsid w:val="006E52F0"/>
    <w:rsid w:val="006E5AA5"/>
    <w:rsid w:val="006E79D6"/>
    <w:rsid w:val="006E7D45"/>
    <w:rsid w:val="006F0E5C"/>
    <w:rsid w:val="006F1392"/>
    <w:rsid w:val="006F2060"/>
    <w:rsid w:val="006F55DD"/>
    <w:rsid w:val="006F5924"/>
    <w:rsid w:val="007017AE"/>
    <w:rsid w:val="007021CC"/>
    <w:rsid w:val="00702FD1"/>
    <w:rsid w:val="007031FE"/>
    <w:rsid w:val="00703A0F"/>
    <w:rsid w:val="007057B3"/>
    <w:rsid w:val="00706ECC"/>
    <w:rsid w:val="00711241"/>
    <w:rsid w:val="0071411C"/>
    <w:rsid w:val="0071642F"/>
    <w:rsid w:val="00716970"/>
    <w:rsid w:val="00724A3B"/>
    <w:rsid w:val="007259CA"/>
    <w:rsid w:val="00733196"/>
    <w:rsid w:val="00740E47"/>
    <w:rsid w:val="00742D8A"/>
    <w:rsid w:val="007442F2"/>
    <w:rsid w:val="00747B3B"/>
    <w:rsid w:val="00754088"/>
    <w:rsid w:val="00760687"/>
    <w:rsid w:val="00761CB8"/>
    <w:rsid w:val="00765978"/>
    <w:rsid w:val="00767DED"/>
    <w:rsid w:val="0077483C"/>
    <w:rsid w:val="00775B38"/>
    <w:rsid w:val="0078011F"/>
    <w:rsid w:val="007802E7"/>
    <w:rsid w:val="00780AE3"/>
    <w:rsid w:val="007823D5"/>
    <w:rsid w:val="00785D2A"/>
    <w:rsid w:val="00786F8F"/>
    <w:rsid w:val="00794677"/>
    <w:rsid w:val="007957B0"/>
    <w:rsid w:val="007971BB"/>
    <w:rsid w:val="00797BFA"/>
    <w:rsid w:val="007A551B"/>
    <w:rsid w:val="007A68AE"/>
    <w:rsid w:val="007B1EE2"/>
    <w:rsid w:val="007B29BE"/>
    <w:rsid w:val="007B2A3B"/>
    <w:rsid w:val="007B45BC"/>
    <w:rsid w:val="007B7C7C"/>
    <w:rsid w:val="007D6535"/>
    <w:rsid w:val="007D6891"/>
    <w:rsid w:val="007E7C08"/>
    <w:rsid w:val="007F41DE"/>
    <w:rsid w:val="007F44D4"/>
    <w:rsid w:val="007F5C46"/>
    <w:rsid w:val="007F6AA7"/>
    <w:rsid w:val="007F7F24"/>
    <w:rsid w:val="008006C0"/>
    <w:rsid w:val="00801698"/>
    <w:rsid w:val="00811410"/>
    <w:rsid w:val="0081242B"/>
    <w:rsid w:val="008138BE"/>
    <w:rsid w:val="008149C0"/>
    <w:rsid w:val="00821656"/>
    <w:rsid w:val="0082228E"/>
    <w:rsid w:val="008266CF"/>
    <w:rsid w:val="008319BB"/>
    <w:rsid w:val="008325EB"/>
    <w:rsid w:val="008330F6"/>
    <w:rsid w:val="00835B3A"/>
    <w:rsid w:val="00840200"/>
    <w:rsid w:val="0084035A"/>
    <w:rsid w:val="00846C6C"/>
    <w:rsid w:val="00850416"/>
    <w:rsid w:val="008505F9"/>
    <w:rsid w:val="00851F71"/>
    <w:rsid w:val="00854A62"/>
    <w:rsid w:val="00865D52"/>
    <w:rsid w:val="00865D95"/>
    <w:rsid w:val="00866B13"/>
    <w:rsid w:val="00870A19"/>
    <w:rsid w:val="00873021"/>
    <w:rsid w:val="00875584"/>
    <w:rsid w:val="00875CEB"/>
    <w:rsid w:val="00885692"/>
    <w:rsid w:val="00886373"/>
    <w:rsid w:val="00887F51"/>
    <w:rsid w:val="00891088"/>
    <w:rsid w:val="0089130C"/>
    <w:rsid w:val="00894357"/>
    <w:rsid w:val="00897DE8"/>
    <w:rsid w:val="008A3119"/>
    <w:rsid w:val="008A3154"/>
    <w:rsid w:val="008A4F0C"/>
    <w:rsid w:val="008A68A9"/>
    <w:rsid w:val="008B46FA"/>
    <w:rsid w:val="008B4DC2"/>
    <w:rsid w:val="008B7128"/>
    <w:rsid w:val="008B7EB7"/>
    <w:rsid w:val="008C0FCC"/>
    <w:rsid w:val="008C2422"/>
    <w:rsid w:val="008C31E8"/>
    <w:rsid w:val="008C4E1C"/>
    <w:rsid w:val="008C6227"/>
    <w:rsid w:val="008D18F1"/>
    <w:rsid w:val="008D32ED"/>
    <w:rsid w:val="008D6B5E"/>
    <w:rsid w:val="008E3DD3"/>
    <w:rsid w:val="008F3346"/>
    <w:rsid w:val="008F55A6"/>
    <w:rsid w:val="008F7028"/>
    <w:rsid w:val="00900367"/>
    <w:rsid w:val="00901A4B"/>
    <w:rsid w:val="009031CB"/>
    <w:rsid w:val="00903247"/>
    <w:rsid w:val="00910C15"/>
    <w:rsid w:val="00910E00"/>
    <w:rsid w:val="00911A1E"/>
    <w:rsid w:val="00917C5C"/>
    <w:rsid w:val="00920514"/>
    <w:rsid w:val="00925E22"/>
    <w:rsid w:val="009301CF"/>
    <w:rsid w:val="009347AF"/>
    <w:rsid w:val="0093498B"/>
    <w:rsid w:val="0093676D"/>
    <w:rsid w:val="00940BFE"/>
    <w:rsid w:val="00943C0D"/>
    <w:rsid w:val="0095513A"/>
    <w:rsid w:val="00955BA7"/>
    <w:rsid w:val="00955FFA"/>
    <w:rsid w:val="00963755"/>
    <w:rsid w:val="00963C2F"/>
    <w:rsid w:val="00966BA1"/>
    <w:rsid w:val="00970026"/>
    <w:rsid w:val="00973D17"/>
    <w:rsid w:val="00974C2E"/>
    <w:rsid w:val="00975661"/>
    <w:rsid w:val="009803B6"/>
    <w:rsid w:val="00980A7C"/>
    <w:rsid w:val="009A1B5F"/>
    <w:rsid w:val="009A1CA1"/>
    <w:rsid w:val="009A2B17"/>
    <w:rsid w:val="009A65D0"/>
    <w:rsid w:val="009B1834"/>
    <w:rsid w:val="009B2C2D"/>
    <w:rsid w:val="009B36C6"/>
    <w:rsid w:val="009B3779"/>
    <w:rsid w:val="009B3911"/>
    <w:rsid w:val="009B69ED"/>
    <w:rsid w:val="009B6F1B"/>
    <w:rsid w:val="009B71FA"/>
    <w:rsid w:val="009C306F"/>
    <w:rsid w:val="009D1041"/>
    <w:rsid w:val="009E142C"/>
    <w:rsid w:val="009E1885"/>
    <w:rsid w:val="009E2BF4"/>
    <w:rsid w:val="009E55A1"/>
    <w:rsid w:val="009E606F"/>
    <w:rsid w:val="009F1DF6"/>
    <w:rsid w:val="009F3A79"/>
    <w:rsid w:val="009F497A"/>
    <w:rsid w:val="009F5B35"/>
    <w:rsid w:val="00A00BFF"/>
    <w:rsid w:val="00A00E18"/>
    <w:rsid w:val="00A0679C"/>
    <w:rsid w:val="00A069BF"/>
    <w:rsid w:val="00A143C1"/>
    <w:rsid w:val="00A15FFA"/>
    <w:rsid w:val="00A1601B"/>
    <w:rsid w:val="00A2003D"/>
    <w:rsid w:val="00A231E5"/>
    <w:rsid w:val="00A23BE8"/>
    <w:rsid w:val="00A23CA5"/>
    <w:rsid w:val="00A26BBC"/>
    <w:rsid w:val="00A276BC"/>
    <w:rsid w:val="00A41D32"/>
    <w:rsid w:val="00A45526"/>
    <w:rsid w:val="00A50285"/>
    <w:rsid w:val="00A556D2"/>
    <w:rsid w:val="00A57CD0"/>
    <w:rsid w:val="00A605F1"/>
    <w:rsid w:val="00A632C1"/>
    <w:rsid w:val="00A67157"/>
    <w:rsid w:val="00A67E1F"/>
    <w:rsid w:val="00A67F70"/>
    <w:rsid w:val="00A70832"/>
    <w:rsid w:val="00A71306"/>
    <w:rsid w:val="00A736FF"/>
    <w:rsid w:val="00A75072"/>
    <w:rsid w:val="00A75F87"/>
    <w:rsid w:val="00A767B9"/>
    <w:rsid w:val="00A76A26"/>
    <w:rsid w:val="00A77D5B"/>
    <w:rsid w:val="00A8012E"/>
    <w:rsid w:val="00A80FCE"/>
    <w:rsid w:val="00A82664"/>
    <w:rsid w:val="00A84ABC"/>
    <w:rsid w:val="00A86EC0"/>
    <w:rsid w:val="00A874AF"/>
    <w:rsid w:val="00A971DD"/>
    <w:rsid w:val="00A978B2"/>
    <w:rsid w:val="00AA14B7"/>
    <w:rsid w:val="00AA3EF8"/>
    <w:rsid w:val="00AA6256"/>
    <w:rsid w:val="00AA62E1"/>
    <w:rsid w:val="00AB1B7A"/>
    <w:rsid w:val="00AB2DE9"/>
    <w:rsid w:val="00AB3DF1"/>
    <w:rsid w:val="00AC2089"/>
    <w:rsid w:val="00AC28C4"/>
    <w:rsid w:val="00AC5272"/>
    <w:rsid w:val="00AC5703"/>
    <w:rsid w:val="00AD1E87"/>
    <w:rsid w:val="00AD22D1"/>
    <w:rsid w:val="00AD49D3"/>
    <w:rsid w:val="00AD5A4E"/>
    <w:rsid w:val="00AE1C99"/>
    <w:rsid w:val="00AE3870"/>
    <w:rsid w:val="00AE6DEC"/>
    <w:rsid w:val="00AF0372"/>
    <w:rsid w:val="00AF27B0"/>
    <w:rsid w:val="00AF30E5"/>
    <w:rsid w:val="00AF40B1"/>
    <w:rsid w:val="00AF4CC2"/>
    <w:rsid w:val="00AF4F8E"/>
    <w:rsid w:val="00B01F3A"/>
    <w:rsid w:val="00B06DA8"/>
    <w:rsid w:val="00B11A40"/>
    <w:rsid w:val="00B13E4C"/>
    <w:rsid w:val="00B14D4C"/>
    <w:rsid w:val="00B17751"/>
    <w:rsid w:val="00B208F3"/>
    <w:rsid w:val="00B20FB0"/>
    <w:rsid w:val="00B275ED"/>
    <w:rsid w:val="00B314C9"/>
    <w:rsid w:val="00B3288E"/>
    <w:rsid w:val="00B34252"/>
    <w:rsid w:val="00B371A5"/>
    <w:rsid w:val="00B4776E"/>
    <w:rsid w:val="00B50C4D"/>
    <w:rsid w:val="00B538B4"/>
    <w:rsid w:val="00B55CA1"/>
    <w:rsid w:val="00B611B2"/>
    <w:rsid w:val="00B6694A"/>
    <w:rsid w:val="00B72621"/>
    <w:rsid w:val="00B73167"/>
    <w:rsid w:val="00B77083"/>
    <w:rsid w:val="00B81760"/>
    <w:rsid w:val="00B821E1"/>
    <w:rsid w:val="00B8225D"/>
    <w:rsid w:val="00B82770"/>
    <w:rsid w:val="00B8429C"/>
    <w:rsid w:val="00B86535"/>
    <w:rsid w:val="00B87737"/>
    <w:rsid w:val="00B87CB1"/>
    <w:rsid w:val="00B92047"/>
    <w:rsid w:val="00B944F7"/>
    <w:rsid w:val="00B94C52"/>
    <w:rsid w:val="00B96D1E"/>
    <w:rsid w:val="00BA0399"/>
    <w:rsid w:val="00BA08B1"/>
    <w:rsid w:val="00BA2590"/>
    <w:rsid w:val="00BA414B"/>
    <w:rsid w:val="00BA5B38"/>
    <w:rsid w:val="00BA6DCF"/>
    <w:rsid w:val="00BB0919"/>
    <w:rsid w:val="00BB2B35"/>
    <w:rsid w:val="00BB720B"/>
    <w:rsid w:val="00BB73C6"/>
    <w:rsid w:val="00BC13FB"/>
    <w:rsid w:val="00BC2636"/>
    <w:rsid w:val="00BC36C9"/>
    <w:rsid w:val="00BC40FF"/>
    <w:rsid w:val="00BC5036"/>
    <w:rsid w:val="00BC53BE"/>
    <w:rsid w:val="00BC62DA"/>
    <w:rsid w:val="00BC6B90"/>
    <w:rsid w:val="00BD157F"/>
    <w:rsid w:val="00BD2B04"/>
    <w:rsid w:val="00BD3070"/>
    <w:rsid w:val="00BD3CB3"/>
    <w:rsid w:val="00BD3F68"/>
    <w:rsid w:val="00BD5261"/>
    <w:rsid w:val="00BD64E2"/>
    <w:rsid w:val="00BD6F1D"/>
    <w:rsid w:val="00BE0ECB"/>
    <w:rsid w:val="00BE1D39"/>
    <w:rsid w:val="00BF0023"/>
    <w:rsid w:val="00BF53DB"/>
    <w:rsid w:val="00BF5A51"/>
    <w:rsid w:val="00BF62FD"/>
    <w:rsid w:val="00BF743A"/>
    <w:rsid w:val="00BF7AD5"/>
    <w:rsid w:val="00C02248"/>
    <w:rsid w:val="00C023EE"/>
    <w:rsid w:val="00C05D38"/>
    <w:rsid w:val="00C07EE4"/>
    <w:rsid w:val="00C12037"/>
    <w:rsid w:val="00C14768"/>
    <w:rsid w:val="00C1588F"/>
    <w:rsid w:val="00C1781A"/>
    <w:rsid w:val="00C208FB"/>
    <w:rsid w:val="00C227F6"/>
    <w:rsid w:val="00C229FB"/>
    <w:rsid w:val="00C23FE0"/>
    <w:rsid w:val="00C24702"/>
    <w:rsid w:val="00C27C51"/>
    <w:rsid w:val="00C323D9"/>
    <w:rsid w:val="00C33C7B"/>
    <w:rsid w:val="00C34BD1"/>
    <w:rsid w:val="00C363B8"/>
    <w:rsid w:val="00C37398"/>
    <w:rsid w:val="00C373F9"/>
    <w:rsid w:val="00C403CE"/>
    <w:rsid w:val="00C426F7"/>
    <w:rsid w:val="00C475B7"/>
    <w:rsid w:val="00C47623"/>
    <w:rsid w:val="00C47CED"/>
    <w:rsid w:val="00C52C82"/>
    <w:rsid w:val="00C5643A"/>
    <w:rsid w:val="00C60781"/>
    <w:rsid w:val="00C60B82"/>
    <w:rsid w:val="00C61675"/>
    <w:rsid w:val="00C628BC"/>
    <w:rsid w:val="00C65A92"/>
    <w:rsid w:val="00C71024"/>
    <w:rsid w:val="00C71FEF"/>
    <w:rsid w:val="00C723CA"/>
    <w:rsid w:val="00C83B43"/>
    <w:rsid w:val="00C86E24"/>
    <w:rsid w:val="00C87E0B"/>
    <w:rsid w:val="00C940D4"/>
    <w:rsid w:val="00C96507"/>
    <w:rsid w:val="00CA1655"/>
    <w:rsid w:val="00CA5265"/>
    <w:rsid w:val="00CB1214"/>
    <w:rsid w:val="00CB6BEB"/>
    <w:rsid w:val="00CB7E46"/>
    <w:rsid w:val="00CC04AA"/>
    <w:rsid w:val="00CC3A0C"/>
    <w:rsid w:val="00CC5DB0"/>
    <w:rsid w:val="00CC73F2"/>
    <w:rsid w:val="00CD36D1"/>
    <w:rsid w:val="00CD3705"/>
    <w:rsid w:val="00CE0DF5"/>
    <w:rsid w:val="00CE3B6B"/>
    <w:rsid w:val="00CE44D0"/>
    <w:rsid w:val="00CF14A2"/>
    <w:rsid w:val="00CF603A"/>
    <w:rsid w:val="00CF6054"/>
    <w:rsid w:val="00CF6193"/>
    <w:rsid w:val="00D00F2E"/>
    <w:rsid w:val="00D047E4"/>
    <w:rsid w:val="00D11B45"/>
    <w:rsid w:val="00D13654"/>
    <w:rsid w:val="00D13D16"/>
    <w:rsid w:val="00D25CA1"/>
    <w:rsid w:val="00D25E3B"/>
    <w:rsid w:val="00D26B28"/>
    <w:rsid w:val="00D31983"/>
    <w:rsid w:val="00D32A67"/>
    <w:rsid w:val="00D33AEF"/>
    <w:rsid w:val="00D3459C"/>
    <w:rsid w:val="00D36728"/>
    <w:rsid w:val="00D40997"/>
    <w:rsid w:val="00D422E8"/>
    <w:rsid w:val="00D46B3B"/>
    <w:rsid w:val="00D54C9A"/>
    <w:rsid w:val="00D57A60"/>
    <w:rsid w:val="00D65CBD"/>
    <w:rsid w:val="00D67E7B"/>
    <w:rsid w:val="00D74093"/>
    <w:rsid w:val="00D7489C"/>
    <w:rsid w:val="00D752FF"/>
    <w:rsid w:val="00D76FA5"/>
    <w:rsid w:val="00D8124D"/>
    <w:rsid w:val="00D81DEA"/>
    <w:rsid w:val="00D8577A"/>
    <w:rsid w:val="00D92802"/>
    <w:rsid w:val="00D93065"/>
    <w:rsid w:val="00DA2F4D"/>
    <w:rsid w:val="00DA4A77"/>
    <w:rsid w:val="00DA5B22"/>
    <w:rsid w:val="00DA7022"/>
    <w:rsid w:val="00DB361B"/>
    <w:rsid w:val="00DC2BB5"/>
    <w:rsid w:val="00DC3D69"/>
    <w:rsid w:val="00DC3F58"/>
    <w:rsid w:val="00DC777C"/>
    <w:rsid w:val="00DC7DB7"/>
    <w:rsid w:val="00DD2674"/>
    <w:rsid w:val="00DE24AA"/>
    <w:rsid w:val="00DE2A83"/>
    <w:rsid w:val="00DE4AE8"/>
    <w:rsid w:val="00DE7CA2"/>
    <w:rsid w:val="00DF1CD2"/>
    <w:rsid w:val="00DF4DAF"/>
    <w:rsid w:val="00DF593C"/>
    <w:rsid w:val="00DF5EF3"/>
    <w:rsid w:val="00E01EF0"/>
    <w:rsid w:val="00E0248A"/>
    <w:rsid w:val="00E047FA"/>
    <w:rsid w:val="00E07DC2"/>
    <w:rsid w:val="00E07FBF"/>
    <w:rsid w:val="00E113F0"/>
    <w:rsid w:val="00E167AE"/>
    <w:rsid w:val="00E16EA1"/>
    <w:rsid w:val="00E179AC"/>
    <w:rsid w:val="00E22409"/>
    <w:rsid w:val="00E245CE"/>
    <w:rsid w:val="00E326B6"/>
    <w:rsid w:val="00E32BDC"/>
    <w:rsid w:val="00E36186"/>
    <w:rsid w:val="00E40479"/>
    <w:rsid w:val="00E4062B"/>
    <w:rsid w:val="00E53389"/>
    <w:rsid w:val="00E537C6"/>
    <w:rsid w:val="00E547E8"/>
    <w:rsid w:val="00E551CA"/>
    <w:rsid w:val="00E618D5"/>
    <w:rsid w:val="00E65E46"/>
    <w:rsid w:val="00E700A8"/>
    <w:rsid w:val="00E729BE"/>
    <w:rsid w:val="00E73A82"/>
    <w:rsid w:val="00E75DF4"/>
    <w:rsid w:val="00E77721"/>
    <w:rsid w:val="00E803DB"/>
    <w:rsid w:val="00E8245C"/>
    <w:rsid w:val="00E8517F"/>
    <w:rsid w:val="00E85DF4"/>
    <w:rsid w:val="00E90275"/>
    <w:rsid w:val="00E903A1"/>
    <w:rsid w:val="00E95AF4"/>
    <w:rsid w:val="00EB4063"/>
    <w:rsid w:val="00EB6535"/>
    <w:rsid w:val="00EB70EA"/>
    <w:rsid w:val="00EC3CFC"/>
    <w:rsid w:val="00ED03CC"/>
    <w:rsid w:val="00ED4F31"/>
    <w:rsid w:val="00ED4F33"/>
    <w:rsid w:val="00ED51D1"/>
    <w:rsid w:val="00ED7B12"/>
    <w:rsid w:val="00EE009E"/>
    <w:rsid w:val="00EE0190"/>
    <w:rsid w:val="00EE06AD"/>
    <w:rsid w:val="00EE3296"/>
    <w:rsid w:val="00EE3764"/>
    <w:rsid w:val="00EF382D"/>
    <w:rsid w:val="00EF5750"/>
    <w:rsid w:val="00EF713C"/>
    <w:rsid w:val="00F057B3"/>
    <w:rsid w:val="00F1263F"/>
    <w:rsid w:val="00F14980"/>
    <w:rsid w:val="00F16C38"/>
    <w:rsid w:val="00F22381"/>
    <w:rsid w:val="00F303A8"/>
    <w:rsid w:val="00F354FE"/>
    <w:rsid w:val="00F3571C"/>
    <w:rsid w:val="00F361DF"/>
    <w:rsid w:val="00F47544"/>
    <w:rsid w:val="00F47AB7"/>
    <w:rsid w:val="00F500AF"/>
    <w:rsid w:val="00F510BF"/>
    <w:rsid w:val="00F518ED"/>
    <w:rsid w:val="00F553B6"/>
    <w:rsid w:val="00F613C1"/>
    <w:rsid w:val="00F62C91"/>
    <w:rsid w:val="00F70558"/>
    <w:rsid w:val="00F73B3F"/>
    <w:rsid w:val="00F759E5"/>
    <w:rsid w:val="00F76EDB"/>
    <w:rsid w:val="00F805F8"/>
    <w:rsid w:val="00F815FA"/>
    <w:rsid w:val="00F82A1F"/>
    <w:rsid w:val="00F8389A"/>
    <w:rsid w:val="00F86DCC"/>
    <w:rsid w:val="00FA2033"/>
    <w:rsid w:val="00FB0063"/>
    <w:rsid w:val="00FB2B90"/>
    <w:rsid w:val="00FB330D"/>
    <w:rsid w:val="00FB3FBF"/>
    <w:rsid w:val="00FC78A8"/>
    <w:rsid w:val="00FC792D"/>
    <w:rsid w:val="00FD090F"/>
    <w:rsid w:val="00FD31EB"/>
    <w:rsid w:val="00FD452A"/>
    <w:rsid w:val="00FD62AA"/>
    <w:rsid w:val="00FD6896"/>
    <w:rsid w:val="00FD6E1D"/>
    <w:rsid w:val="00FD716B"/>
    <w:rsid w:val="00FE1C25"/>
    <w:rsid w:val="00FE692E"/>
    <w:rsid w:val="00FE74FB"/>
    <w:rsid w:val="00FF0A63"/>
    <w:rsid w:val="00FF1349"/>
    <w:rsid w:val="00FF1C4B"/>
    <w:rsid w:val="00FF1EA3"/>
    <w:rsid w:val="00FF6BF4"/>
    <w:rsid w:val="00FF6C4B"/>
    <w:rsid w:val="00FF78C2"/>
    <w:rsid w:val="0203BE46"/>
    <w:rsid w:val="024CE3E6"/>
    <w:rsid w:val="0339E843"/>
    <w:rsid w:val="0344C95A"/>
    <w:rsid w:val="041134C9"/>
    <w:rsid w:val="041AAA53"/>
    <w:rsid w:val="06015A30"/>
    <w:rsid w:val="075704B2"/>
    <w:rsid w:val="0822904C"/>
    <w:rsid w:val="0898118D"/>
    <w:rsid w:val="0A2527D0"/>
    <w:rsid w:val="0A3A3AE2"/>
    <w:rsid w:val="0BA918B5"/>
    <w:rsid w:val="0C8675D2"/>
    <w:rsid w:val="0CBC5139"/>
    <w:rsid w:val="0D0D78F0"/>
    <w:rsid w:val="0D984C95"/>
    <w:rsid w:val="10215F88"/>
    <w:rsid w:val="10B515E5"/>
    <w:rsid w:val="1225CAAA"/>
    <w:rsid w:val="13DF915B"/>
    <w:rsid w:val="14057962"/>
    <w:rsid w:val="157CC5AC"/>
    <w:rsid w:val="15D8B98D"/>
    <w:rsid w:val="17B94E68"/>
    <w:rsid w:val="18694900"/>
    <w:rsid w:val="18866C71"/>
    <w:rsid w:val="1A12A086"/>
    <w:rsid w:val="1A57C002"/>
    <w:rsid w:val="1CFBB4AB"/>
    <w:rsid w:val="1DF3B077"/>
    <w:rsid w:val="21756D43"/>
    <w:rsid w:val="2262074A"/>
    <w:rsid w:val="23D5166F"/>
    <w:rsid w:val="26E369F4"/>
    <w:rsid w:val="275C2793"/>
    <w:rsid w:val="27B0509F"/>
    <w:rsid w:val="282E0F1E"/>
    <w:rsid w:val="29055E99"/>
    <w:rsid w:val="292AA166"/>
    <w:rsid w:val="2A0B8B53"/>
    <w:rsid w:val="2AD08F6C"/>
    <w:rsid w:val="2DDA1438"/>
    <w:rsid w:val="2E5FABF8"/>
    <w:rsid w:val="2FC54CD5"/>
    <w:rsid w:val="30A5776D"/>
    <w:rsid w:val="32A6CD2C"/>
    <w:rsid w:val="3425CD68"/>
    <w:rsid w:val="348B8A24"/>
    <w:rsid w:val="349DE8F7"/>
    <w:rsid w:val="35FA1F3E"/>
    <w:rsid w:val="38649637"/>
    <w:rsid w:val="3983F6B2"/>
    <w:rsid w:val="3A98A5B5"/>
    <w:rsid w:val="3B95795E"/>
    <w:rsid w:val="3DB0607F"/>
    <w:rsid w:val="3E6BA1A1"/>
    <w:rsid w:val="400CA7F5"/>
    <w:rsid w:val="405FCE0B"/>
    <w:rsid w:val="411AB646"/>
    <w:rsid w:val="411CAE84"/>
    <w:rsid w:val="417853A6"/>
    <w:rsid w:val="42042ECE"/>
    <w:rsid w:val="440FEF03"/>
    <w:rsid w:val="45E86FE6"/>
    <w:rsid w:val="47A9DCF6"/>
    <w:rsid w:val="4A06EE86"/>
    <w:rsid w:val="4BC13981"/>
    <w:rsid w:val="4D18E24C"/>
    <w:rsid w:val="4EB21C20"/>
    <w:rsid w:val="50379DFE"/>
    <w:rsid w:val="526E8698"/>
    <w:rsid w:val="5848F34B"/>
    <w:rsid w:val="5A4095BB"/>
    <w:rsid w:val="5B05F96B"/>
    <w:rsid w:val="5B7AB54C"/>
    <w:rsid w:val="5BDAF3B8"/>
    <w:rsid w:val="61BC573E"/>
    <w:rsid w:val="61E0F79F"/>
    <w:rsid w:val="63EFCF17"/>
    <w:rsid w:val="63FC38A2"/>
    <w:rsid w:val="641EF7A8"/>
    <w:rsid w:val="675365A9"/>
    <w:rsid w:val="67704C50"/>
    <w:rsid w:val="6885ED79"/>
    <w:rsid w:val="698844AF"/>
    <w:rsid w:val="6AAF8A82"/>
    <w:rsid w:val="6ACAC796"/>
    <w:rsid w:val="6BE89E17"/>
    <w:rsid w:val="6C842BCF"/>
    <w:rsid w:val="6E26E7B3"/>
    <w:rsid w:val="73908EE5"/>
    <w:rsid w:val="744D9F9C"/>
    <w:rsid w:val="74731BCE"/>
    <w:rsid w:val="755B38BC"/>
    <w:rsid w:val="762FFB4F"/>
    <w:rsid w:val="7779C342"/>
    <w:rsid w:val="7B5D997B"/>
    <w:rsid w:val="7BA328AE"/>
    <w:rsid w:val="7E362099"/>
    <w:rsid w:val="7E4AF239"/>
    <w:rsid w:val="7ED86B90"/>
    <w:rsid w:val="7F820D90"/>
    <w:rsid w:val="7F8EB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0AA3F"/>
  <w15:docId w15:val="{3D3A8F5F-5CC9-46B8-8DC8-9064E977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3"/>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2"/>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5"/>
      </w:numPr>
    </w:pPr>
  </w:style>
  <w:style w:type="paragraph" w:customStyle="1" w:styleId="Lijstniveau2">
    <w:name w:val="Lijst niveau 2"/>
    <w:basedOn w:val="Standaard"/>
    <w:pPr>
      <w:numPr>
        <w:ilvl w:val="1"/>
        <w:numId w:val="5"/>
      </w:numPr>
    </w:pPr>
  </w:style>
  <w:style w:type="paragraph" w:customStyle="1" w:styleId="Lijstniveau3">
    <w:name w:val="Lijst niveau 3"/>
    <w:basedOn w:val="Standaard"/>
    <w:pPr>
      <w:numPr>
        <w:ilvl w:val="2"/>
        <w:numId w:val="5"/>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4"/>
      </w:numPr>
      <w:spacing w:line="240" w:lineRule="exact"/>
    </w:pPr>
  </w:style>
  <w:style w:type="paragraph" w:customStyle="1" w:styleId="NummeringlijstOpdrbevniv2">
    <w:name w:val="Nummering lijst Opdr.bev. niv. 2"/>
    <w:basedOn w:val="Standaard"/>
    <w:next w:val="Standaard"/>
    <w:pPr>
      <w:numPr>
        <w:ilvl w:val="1"/>
        <w:numId w:val="4"/>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9551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513A"/>
    <w:rPr>
      <w:rFonts w:ascii="Verdana" w:hAnsi="Verdana"/>
      <w:color w:val="000000"/>
      <w:sz w:val="18"/>
      <w:szCs w:val="18"/>
    </w:rPr>
  </w:style>
  <w:style w:type="paragraph" w:styleId="Voettekst">
    <w:name w:val="footer"/>
    <w:basedOn w:val="Standaard"/>
    <w:link w:val="VoettekstChar"/>
    <w:uiPriority w:val="99"/>
    <w:unhideWhenUsed/>
    <w:rsid w:val="009551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513A"/>
    <w:rPr>
      <w:rFonts w:ascii="Verdana" w:hAnsi="Verdana"/>
      <w:color w:val="000000"/>
      <w:sz w:val="18"/>
      <w:szCs w:val="18"/>
    </w:rPr>
  </w:style>
  <w:style w:type="table" w:styleId="Tabelraster">
    <w:name w:val="Table Grid"/>
    <w:basedOn w:val="Standaardtabel"/>
    <w:uiPriority w:val="39"/>
    <w:rsid w:val="006F2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885692"/>
    <w:pPr>
      <w:ind w:left="720"/>
      <w:contextualSpacing/>
    </w:pPr>
  </w:style>
  <w:style w:type="paragraph" w:styleId="Voetnoottekst">
    <w:name w:val="footnote text"/>
    <w:basedOn w:val="Standaard"/>
    <w:link w:val="VoetnoottekstChar"/>
    <w:uiPriority w:val="99"/>
    <w:unhideWhenUsed/>
    <w:rsid w:val="0052484C"/>
    <w:pPr>
      <w:spacing w:line="240" w:lineRule="auto"/>
    </w:pPr>
    <w:rPr>
      <w:sz w:val="20"/>
      <w:szCs w:val="20"/>
    </w:rPr>
  </w:style>
  <w:style w:type="character" w:customStyle="1" w:styleId="VoetnoottekstChar">
    <w:name w:val="Voetnoottekst Char"/>
    <w:basedOn w:val="Standaardalinea-lettertype"/>
    <w:link w:val="Voetnoottekst"/>
    <w:uiPriority w:val="99"/>
    <w:rsid w:val="0052484C"/>
    <w:rPr>
      <w:rFonts w:ascii="Verdana" w:hAnsi="Verdana"/>
      <w:color w:val="000000"/>
    </w:rPr>
  </w:style>
  <w:style w:type="character" w:styleId="Voetnootmarkering">
    <w:name w:val="footnote reference"/>
    <w:basedOn w:val="Standaardalinea-lettertype"/>
    <w:uiPriority w:val="99"/>
    <w:semiHidden/>
    <w:unhideWhenUsed/>
    <w:rsid w:val="0052484C"/>
    <w:rPr>
      <w:vertAlign w:val="superscript"/>
    </w:rPr>
  </w:style>
  <w:style w:type="paragraph" w:styleId="Revisie">
    <w:name w:val="Revision"/>
    <w:hidden/>
    <w:uiPriority w:val="99"/>
    <w:semiHidden/>
    <w:rsid w:val="00CB1214"/>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CB1214"/>
    <w:rPr>
      <w:sz w:val="16"/>
      <w:szCs w:val="16"/>
    </w:rPr>
  </w:style>
  <w:style w:type="paragraph" w:styleId="Tekstopmerking">
    <w:name w:val="annotation text"/>
    <w:basedOn w:val="Standaard"/>
    <w:link w:val="TekstopmerkingChar"/>
    <w:uiPriority w:val="99"/>
    <w:unhideWhenUsed/>
    <w:rsid w:val="00CB1214"/>
    <w:pPr>
      <w:spacing w:line="240" w:lineRule="auto"/>
    </w:pPr>
    <w:rPr>
      <w:sz w:val="20"/>
      <w:szCs w:val="20"/>
    </w:rPr>
  </w:style>
  <w:style w:type="character" w:customStyle="1" w:styleId="TekstopmerkingChar">
    <w:name w:val="Tekst opmerking Char"/>
    <w:basedOn w:val="Standaardalinea-lettertype"/>
    <w:link w:val="Tekstopmerking"/>
    <w:uiPriority w:val="99"/>
    <w:rsid w:val="00CB121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CB1214"/>
    <w:rPr>
      <w:b/>
      <w:bCs/>
    </w:rPr>
  </w:style>
  <w:style w:type="character" w:customStyle="1" w:styleId="OnderwerpvanopmerkingChar">
    <w:name w:val="Onderwerp van opmerking Char"/>
    <w:basedOn w:val="TekstopmerkingChar"/>
    <w:link w:val="Onderwerpvanopmerking"/>
    <w:uiPriority w:val="99"/>
    <w:semiHidden/>
    <w:rsid w:val="00CB1214"/>
    <w:rPr>
      <w:rFonts w:ascii="Verdana" w:hAnsi="Verdana"/>
      <w:b/>
      <w:bCs/>
      <w:color w:val="000000"/>
    </w:rPr>
  </w:style>
  <w:style w:type="paragraph" w:customStyle="1" w:styleId="Default">
    <w:name w:val="Default"/>
    <w:rsid w:val="00FE1C25"/>
    <w:pPr>
      <w:autoSpaceDE w:val="0"/>
      <w:adjustRightInd w:val="0"/>
      <w:textAlignment w:val="auto"/>
    </w:pPr>
    <w:rPr>
      <w:rFonts w:ascii="Verdana" w:hAnsi="Verdana" w:cs="Verdana"/>
      <w:color w:val="000000"/>
      <w:sz w:val="24"/>
      <w:szCs w:val="24"/>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link w:val="Lijstalinea"/>
    <w:uiPriority w:val="34"/>
    <w:qFormat/>
    <w:locked/>
    <w:rsid w:val="00B3288E"/>
    <w:rPr>
      <w:rFonts w:ascii="Verdana" w:hAnsi="Verdana"/>
      <w:color w:val="000000"/>
      <w:sz w:val="18"/>
      <w:szCs w:val="18"/>
    </w:rPr>
  </w:style>
  <w:style w:type="character" w:styleId="Hyperlink">
    <w:name w:val="Hyperlink"/>
    <w:basedOn w:val="Standaardalinea-lettertype"/>
    <w:uiPriority w:val="99"/>
    <w:unhideWhenUsed/>
    <w:rsid w:val="00B92047"/>
    <w:rPr>
      <w:color w:val="0563C1" w:themeColor="hyperlink"/>
      <w:u w:val="single"/>
    </w:rPr>
  </w:style>
  <w:style w:type="character" w:styleId="Onopgelostemelding">
    <w:name w:val="Unresolved Mention"/>
    <w:basedOn w:val="Standaardalinea-lettertype"/>
    <w:uiPriority w:val="99"/>
    <w:semiHidden/>
    <w:unhideWhenUsed/>
    <w:rsid w:val="00B92047"/>
    <w:rPr>
      <w:color w:val="605E5C"/>
      <w:shd w:val="clear" w:color="auto" w:fill="E1DFDD"/>
    </w:rPr>
  </w:style>
  <w:style w:type="paragraph" w:customStyle="1" w:styleId="EndNoteBibliography">
    <w:name w:val="EndNote Bibliography"/>
    <w:basedOn w:val="Standaard"/>
    <w:link w:val="EndNoteBibliographyChar"/>
    <w:rsid w:val="007971BB"/>
    <w:pPr>
      <w:overflowPunct w:val="0"/>
      <w:autoSpaceDE w:val="0"/>
      <w:adjustRightInd w:val="0"/>
    </w:pPr>
    <w:rPr>
      <w:rFonts w:eastAsia="MS Mincho" w:cs="Times New Roman"/>
      <w:noProof/>
      <w:color w:val="auto"/>
      <w:sz w:val="20"/>
      <w:szCs w:val="20"/>
    </w:rPr>
  </w:style>
  <w:style w:type="character" w:customStyle="1" w:styleId="EndNoteBibliographyChar">
    <w:name w:val="EndNote Bibliography Char"/>
    <w:basedOn w:val="Standaardalinea-lettertype"/>
    <w:link w:val="EndNoteBibliography"/>
    <w:rsid w:val="007971BB"/>
    <w:rPr>
      <w:rFonts w:ascii="Verdana" w:eastAsia="MS Mincho" w:hAnsi="Verdana" w:cs="Times New Roman"/>
      <w:noProof/>
    </w:rPr>
  </w:style>
  <w:style w:type="paragraph" w:styleId="Geenafstand">
    <w:name w:val="No Spacing"/>
    <w:uiPriority w:val="1"/>
    <w:qFormat/>
    <w:rsid w:val="00724A3B"/>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1240">
      <w:bodyDiv w:val="1"/>
      <w:marLeft w:val="0"/>
      <w:marRight w:val="0"/>
      <w:marTop w:val="0"/>
      <w:marBottom w:val="0"/>
      <w:divBdr>
        <w:top w:val="none" w:sz="0" w:space="0" w:color="auto"/>
        <w:left w:val="none" w:sz="0" w:space="0" w:color="auto"/>
        <w:bottom w:val="none" w:sz="0" w:space="0" w:color="auto"/>
        <w:right w:val="none" w:sz="0" w:space="0" w:color="auto"/>
      </w:divBdr>
    </w:div>
    <w:div w:id="608974676">
      <w:bodyDiv w:val="1"/>
      <w:marLeft w:val="0"/>
      <w:marRight w:val="0"/>
      <w:marTop w:val="0"/>
      <w:marBottom w:val="0"/>
      <w:divBdr>
        <w:top w:val="none" w:sz="0" w:space="0" w:color="auto"/>
        <w:left w:val="none" w:sz="0" w:space="0" w:color="auto"/>
        <w:bottom w:val="none" w:sz="0" w:space="0" w:color="auto"/>
        <w:right w:val="none" w:sz="0" w:space="0" w:color="auto"/>
      </w:divBdr>
    </w:div>
    <w:div w:id="640306438">
      <w:bodyDiv w:val="1"/>
      <w:marLeft w:val="0"/>
      <w:marRight w:val="0"/>
      <w:marTop w:val="0"/>
      <w:marBottom w:val="0"/>
      <w:divBdr>
        <w:top w:val="none" w:sz="0" w:space="0" w:color="auto"/>
        <w:left w:val="none" w:sz="0" w:space="0" w:color="auto"/>
        <w:bottom w:val="none" w:sz="0" w:space="0" w:color="auto"/>
        <w:right w:val="none" w:sz="0" w:space="0" w:color="auto"/>
      </w:divBdr>
    </w:div>
    <w:div w:id="672147516">
      <w:bodyDiv w:val="1"/>
      <w:marLeft w:val="0"/>
      <w:marRight w:val="0"/>
      <w:marTop w:val="0"/>
      <w:marBottom w:val="0"/>
      <w:divBdr>
        <w:top w:val="none" w:sz="0" w:space="0" w:color="auto"/>
        <w:left w:val="none" w:sz="0" w:space="0" w:color="auto"/>
        <w:bottom w:val="none" w:sz="0" w:space="0" w:color="auto"/>
        <w:right w:val="none" w:sz="0" w:space="0" w:color="auto"/>
      </w:divBdr>
    </w:div>
    <w:div w:id="835267142">
      <w:bodyDiv w:val="1"/>
      <w:marLeft w:val="0"/>
      <w:marRight w:val="0"/>
      <w:marTop w:val="0"/>
      <w:marBottom w:val="0"/>
      <w:divBdr>
        <w:top w:val="none" w:sz="0" w:space="0" w:color="auto"/>
        <w:left w:val="none" w:sz="0" w:space="0" w:color="auto"/>
        <w:bottom w:val="none" w:sz="0" w:space="0" w:color="auto"/>
        <w:right w:val="none" w:sz="0" w:space="0" w:color="auto"/>
      </w:divBdr>
    </w:div>
    <w:div w:id="944656462">
      <w:bodyDiv w:val="1"/>
      <w:marLeft w:val="0"/>
      <w:marRight w:val="0"/>
      <w:marTop w:val="0"/>
      <w:marBottom w:val="0"/>
      <w:divBdr>
        <w:top w:val="none" w:sz="0" w:space="0" w:color="auto"/>
        <w:left w:val="none" w:sz="0" w:space="0" w:color="auto"/>
        <w:bottom w:val="none" w:sz="0" w:space="0" w:color="auto"/>
        <w:right w:val="none" w:sz="0" w:space="0" w:color="auto"/>
      </w:divBdr>
    </w:div>
    <w:div w:id="973825368">
      <w:bodyDiv w:val="1"/>
      <w:marLeft w:val="0"/>
      <w:marRight w:val="0"/>
      <w:marTop w:val="0"/>
      <w:marBottom w:val="0"/>
      <w:divBdr>
        <w:top w:val="none" w:sz="0" w:space="0" w:color="auto"/>
        <w:left w:val="none" w:sz="0" w:space="0" w:color="auto"/>
        <w:bottom w:val="none" w:sz="0" w:space="0" w:color="auto"/>
        <w:right w:val="none" w:sz="0" w:space="0" w:color="auto"/>
      </w:divBdr>
    </w:div>
    <w:div w:id="1048846376">
      <w:bodyDiv w:val="1"/>
      <w:marLeft w:val="0"/>
      <w:marRight w:val="0"/>
      <w:marTop w:val="0"/>
      <w:marBottom w:val="0"/>
      <w:divBdr>
        <w:top w:val="none" w:sz="0" w:space="0" w:color="auto"/>
        <w:left w:val="none" w:sz="0" w:space="0" w:color="auto"/>
        <w:bottom w:val="none" w:sz="0" w:space="0" w:color="auto"/>
        <w:right w:val="none" w:sz="0" w:space="0" w:color="auto"/>
      </w:divBdr>
    </w:div>
    <w:div w:id="1061174121">
      <w:bodyDiv w:val="1"/>
      <w:marLeft w:val="0"/>
      <w:marRight w:val="0"/>
      <w:marTop w:val="0"/>
      <w:marBottom w:val="0"/>
      <w:divBdr>
        <w:top w:val="none" w:sz="0" w:space="0" w:color="auto"/>
        <w:left w:val="none" w:sz="0" w:space="0" w:color="auto"/>
        <w:bottom w:val="none" w:sz="0" w:space="0" w:color="auto"/>
        <w:right w:val="none" w:sz="0" w:space="0" w:color="auto"/>
      </w:divBdr>
    </w:div>
    <w:div w:id="1111819564">
      <w:bodyDiv w:val="1"/>
      <w:marLeft w:val="0"/>
      <w:marRight w:val="0"/>
      <w:marTop w:val="0"/>
      <w:marBottom w:val="0"/>
      <w:divBdr>
        <w:top w:val="none" w:sz="0" w:space="0" w:color="auto"/>
        <w:left w:val="none" w:sz="0" w:space="0" w:color="auto"/>
        <w:bottom w:val="none" w:sz="0" w:space="0" w:color="auto"/>
        <w:right w:val="none" w:sz="0" w:space="0" w:color="auto"/>
      </w:divBdr>
    </w:div>
    <w:div w:id="1242712556">
      <w:bodyDiv w:val="1"/>
      <w:marLeft w:val="0"/>
      <w:marRight w:val="0"/>
      <w:marTop w:val="0"/>
      <w:marBottom w:val="0"/>
      <w:divBdr>
        <w:top w:val="none" w:sz="0" w:space="0" w:color="auto"/>
        <w:left w:val="none" w:sz="0" w:space="0" w:color="auto"/>
        <w:bottom w:val="none" w:sz="0" w:space="0" w:color="auto"/>
        <w:right w:val="none" w:sz="0" w:space="0" w:color="auto"/>
      </w:divBdr>
    </w:div>
    <w:div w:id="1260330657">
      <w:bodyDiv w:val="1"/>
      <w:marLeft w:val="0"/>
      <w:marRight w:val="0"/>
      <w:marTop w:val="0"/>
      <w:marBottom w:val="0"/>
      <w:divBdr>
        <w:top w:val="none" w:sz="0" w:space="0" w:color="auto"/>
        <w:left w:val="none" w:sz="0" w:space="0" w:color="auto"/>
        <w:bottom w:val="none" w:sz="0" w:space="0" w:color="auto"/>
        <w:right w:val="none" w:sz="0" w:space="0" w:color="auto"/>
      </w:divBdr>
    </w:div>
    <w:div w:id="1266697119">
      <w:bodyDiv w:val="1"/>
      <w:marLeft w:val="0"/>
      <w:marRight w:val="0"/>
      <w:marTop w:val="0"/>
      <w:marBottom w:val="0"/>
      <w:divBdr>
        <w:top w:val="none" w:sz="0" w:space="0" w:color="auto"/>
        <w:left w:val="none" w:sz="0" w:space="0" w:color="auto"/>
        <w:bottom w:val="none" w:sz="0" w:space="0" w:color="auto"/>
        <w:right w:val="none" w:sz="0" w:space="0" w:color="auto"/>
      </w:divBdr>
    </w:div>
    <w:div w:id="1316033473">
      <w:bodyDiv w:val="1"/>
      <w:marLeft w:val="0"/>
      <w:marRight w:val="0"/>
      <w:marTop w:val="0"/>
      <w:marBottom w:val="0"/>
      <w:divBdr>
        <w:top w:val="none" w:sz="0" w:space="0" w:color="auto"/>
        <w:left w:val="none" w:sz="0" w:space="0" w:color="auto"/>
        <w:bottom w:val="none" w:sz="0" w:space="0" w:color="auto"/>
        <w:right w:val="none" w:sz="0" w:space="0" w:color="auto"/>
      </w:divBdr>
    </w:div>
    <w:div w:id="1516770652">
      <w:bodyDiv w:val="1"/>
      <w:marLeft w:val="0"/>
      <w:marRight w:val="0"/>
      <w:marTop w:val="0"/>
      <w:marBottom w:val="0"/>
      <w:divBdr>
        <w:top w:val="none" w:sz="0" w:space="0" w:color="auto"/>
        <w:left w:val="none" w:sz="0" w:space="0" w:color="auto"/>
        <w:bottom w:val="none" w:sz="0" w:space="0" w:color="auto"/>
        <w:right w:val="none" w:sz="0" w:space="0" w:color="auto"/>
      </w:divBdr>
    </w:div>
    <w:div w:id="194530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5" Type="http://schemas.openxmlformats.org/officeDocument/2006/relationships/webSetting" Target="webSettings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maatwerk/2023/04/verkoopvolumes-alcoholvrije-dranken-supermarkten-2021" TargetMode="External"/><Relationship Id="rId2" Type="http://schemas.openxmlformats.org/officeDocument/2006/relationships/hyperlink" Target="https://www.rijksoverheid.nl/onderwerpen/gezondheid-en-preventie/documenten/convenanten/2018/11/23/nationaal-preventieakkoord" TargetMode="External"/><Relationship Id="rId1" Type="http://schemas.openxmlformats.org/officeDocument/2006/relationships/hyperlink" Target="https://www.vtv2018.nl/leefstij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H:\Mijn%20documenten\Dossiers%20op%20onderwerp\Verbruiksbelasting\Wetsvoorstel\Tarieven%20staffe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Blad2!$K$7</c:f>
              <c:strCache>
                <c:ptCount val="1"/>
                <c:pt idx="0">
                  <c:v>Scenario I</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2957-4E67-B566-7E70CDDC14CF}"/>
                </c:ext>
              </c:extLst>
            </c:dLbl>
            <c:dLbl>
              <c:idx val="2"/>
              <c:delete val="1"/>
              <c:extLst>
                <c:ext xmlns:c15="http://schemas.microsoft.com/office/drawing/2012/chart" uri="{CE6537A1-D6FC-4f65-9D91-7224C49458BB}"/>
                <c:ext xmlns:c16="http://schemas.microsoft.com/office/drawing/2014/chart" uri="{C3380CC4-5D6E-409C-BE32-E72D297353CC}">
                  <c16:uniqueId val="{00000001-2957-4E67-B566-7E70CDDC14CF}"/>
                </c:ext>
              </c:extLst>
            </c:dLbl>
            <c:dLbl>
              <c:idx val="3"/>
              <c:delete val="1"/>
              <c:extLst>
                <c:ext xmlns:c15="http://schemas.microsoft.com/office/drawing/2012/chart" uri="{CE6537A1-D6FC-4f65-9D91-7224C49458BB}"/>
                <c:ext xmlns:c16="http://schemas.microsoft.com/office/drawing/2014/chart" uri="{C3380CC4-5D6E-409C-BE32-E72D297353CC}">
                  <c16:uniqueId val="{00000002-2957-4E67-B566-7E70CDDC1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Blad2!$J$8:$J$12</c:f>
              <c:strCache>
                <c:ptCount val="5"/>
                <c:pt idx="0">
                  <c:v>0 t/m 1: 
</c:v>
                </c:pt>
                <c:pt idx="1">
                  <c:v>1,1 t/m 4:</c:v>
                </c:pt>
                <c:pt idx="2">
                  <c:v>4,1 t/m 7,5:</c:v>
                </c:pt>
                <c:pt idx="3">
                  <c:v>7,6 t/m 10;</c:v>
                </c:pt>
                <c:pt idx="4">
                  <c:v>Meer dan 10:</c:v>
                </c:pt>
              </c:strCache>
            </c:strRef>
          </c:cat>
          <c:val>
            <c:numRef>
              <c:f>Blad2!$K$8:$K$12</c:f>
              <c:numCache>
                <c:formatCode>General</c:formatCode>
                <c:ptCount val="5"/>
                <c:pt idx="0">
                  <c:v>4</c:v>
                </c:pt>
                <c:pt idx="1">
                  <c:v>10</c:v>
                </c:pt>
                <c:pt idx="2">
                  <c:v>19.75</c:v>
                </c:pt>
                <c:pt idx="3">
                  <c:v>28.75</c:v>
                </c:pt>
                <c:pt idx="4">
                  <c:v>40</c:v>
                </c:pt>
              </c:numCache>
            </c:numRef>
          </c:val>
          <c:smooth val="0"/>
          <c:extLst>
            <c:ext xmlns:c16="http://schemas.microsoft.com/office/drawing/2014/chart" uri="{C3380CC4-5D6E-409C-BE32-E72D297353CC}">
              <c16:uniqueId val="{00000003-2957-4E67-B566-7E70CDDC14CF}"/>
            </c:ext>
          </c:extLst>
        </c:ser>
        <c:ser>
          <c:idx val="1"/>
          <c:order val="1"/>
          <c:tx>
            <c:strRef>
              <c:f>Blad2!$L$7</c:f>
              <c:strCache>
                <c:ptCount val="1"/>
                <c:pt idx="0">
                  <c:v>Scenario II </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2957-4E67-B566-7E70CDDC14CF}"/>
                </c:ext>
              </c:extLst>
            </c:dLbl>
            <c:dLbl>
              <c:idx val="2"/>
              <c:delete val="1"/>
              <c:extLst>
                <c:ext xmlns:c15="http://schemas.microsoft.com/office/drawing/2012/chart" uri="{CE6537A1-D6FC-4f65-9D91-7224C49458BB}"/>
                <c:ext xmlns:c16="http://schemas.microsoft.com/office/drawing/2014/chart" uri="{C3380CC4-5D6E-409C-BE32-E72D297353CC}">
                  <c16:uniqueId val="{00000005-2957-4E67-B566-7E70CDDC14CF}"/>
                </c:ext>
              </c:extLst>
            </c:dLbl>
            <c:dLbl>
              <c:idx val="3"/>
              <c:delete val="1"/>
              <c:extLst>
                <c:ext xmlns:c15="http://schemas.microsoft.com/office/drawing/2012/chart" uri="{CE6537A1-D6FC-4f65-9D91-7224C49458BB}"/>
                <c:ext xmlns:c16="http://schemas.microsoft.com/office/drawing/2014/chart" uri="{C3380CC4-5D6E-409C-BE32-E72D297353CC}">
                  <c16:uniqueId val="{00000006-2957-4E67-B566-7E70CDDC1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Blad2!$J$8:$J$12</c:f>
              <c:strCache>
                <c:ptCount val="5"/>
                <c:pt idx="0">
                  <c:v>0 t/m 1: 
</c:v>
                </c:pt>
                <c:pt idx="1">
                  <c:v>1,1 t/m 4:</c:v>
                </c:pt>
                <c:pt idx="2">
                  <c:v>4,1 t/m 7,5:</c:v>
                </c:pt>
                <c:pt idx="3">
                  <c:v>7,6 t/m 10;</c:v>
                </c:pt>
                <c:pt idx="4">
                  <c:v>Meer dan 10:</c:v>
                </c:pt>
              </c:strCache>
            </c:strRef>
          </c:cat>
          <c:val>
            <c:numRef>
              <c:f>Blad2!$L$8:$L$12</c:f>
              <c:numCache>
                <c:formatCode>General</c:formatCode>
                <c:ptCount val="5"/>
                <c:pt idx="0">
                  <c:v>5.25</c:v>
                </c:pt>
                <c:pt idx="1">
                  <c:v>11.25</c:v>
                </c:pt>
                <c:pt idx="2">
                  <c:v>21</c:v>
                </c:pt>
                <c:pt idx="3">
                  <c:v>30</c:v>
                </c:pt>
                <c:pt idx="4">
                  <c:v>41.25</c:v>
                </c:pt>
              </c:numCache>
            </c:numRef>
          </c:val>
          <c:smooth val="0"/>
          <c:extLst>
            <c:ext xmlns:c16="http://schemas.microsoft.com/office/drawing/2014/chart" uri="{C3380CC4-5D6E-409C-BE32-E72D297353CC}">
              <c16:uniqueId val="{00000007-2957-4E67-B566-7E70CDDC14CF}"/>
            </c:ext>
          </c:extLst>
        </c:ser>
        <c:ser>
          <c:idx val="2"/>
          <c:order val="2"/>
          <c:tx>
            <c:strRef>
              <c:f>Blad2!$M$7</c:f>
              <c:strCache>
                <c:ptCount val="1"/>
                <c:pt idx="0">
                  <c:v>Scenario III</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8-2957-4E67-B566-7E70CDDC14CF}"/>
                </c:ext>
              </c:extLst>
            </c:dLbl>
            <c:dLbl>
              <c:idx val="2"/>
              <c:delete val="1"/>
              <c:extLst>
                <c:ext xmlns:c15="http://schemas.microsoft.com/office/drawing/2012/chart" uri="{CE6537A1-D6FC-4f65-9D91-7224C49458BB}"/>
                <c:ext xmlns:c16="http://schemas.microsoft.com/office/drawing/2014/chart" uri="{C3380CC4-5D6E-409C-BE32-E72D297353CC}">
                  <c16:uniqueId val="{00000009-2957-4E67-B566-7E70CDDC14CF}"/>
                </c:ext>
              </c:extLst>
            </c:dLbl>
            <c:dLbl>
              <c:idx val="3"/>
              <c:delete val="1"/>
              <c:extLst>
                <c:ext xmlns:c15="http://schemas.microsoft.com/office/drawing/2012/chart" uri="{CE6537A1-D6FC-4f65-9D91-7224C49458BB}"/>
                <c:ext xmlns:c16="http://schemas.microsoft.com/office/drawing/2014/chart" uri="{C3380CC4-5D6E-409C-BE32-E72D297353CC}">
                  <c16:uniqueId val="{0000000A-2957-4E67-B566-7E70CDDC1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Blad2!$J$8:$J$12</c:f>
              <c:strCache>
                <c:ptCount val="5"/>
                <c:pt idx="0">
                  <c:v>0 t/m 1: 
</c:v>
                </c:pt>
                <c:pt idx="1">
                  <c:v>1,1 t/m 4:</c:v>
                </c:pt>
                <c:pt idx="2">
                  <c:v>4,1 t/m 7,5:</c:v>
                </c:pt>
                <c:pt idx="3">
                  <c:v>7,6 t/m 10;</c:v>
                </c:pt>
                <c:pt idx="4">
                  <c:v>Meer dan 10:</c:v>
                </c:pt>
              </c:strCache>
            </c:strRef>
          </c:cat>
          <c:val>
            <c:numRef>
              <c:f>Blad2!$M$8:$M$12</c:f>
              <c:numCache>
                <c:formatCode>General</c:formatCode>
                <c:ptCount val="5"/>
                <c:pt idx="0">
                  <c:v>10.75</c:v>
                </c:pt>
                <c:pt idx="1">
                  <c:v>16.75</c:v>
                </c:pt>
                <c:pt idx="2">
                  <c:v>26.5</c:v>
                </c:pt>
                <c:pt idx="3">
                  <c:v>35.5</c:v>
                </c:pt>
                <c:pt idx="4">
                  <c:v>46.75</c:v>
                </c:pt>
              </c:numCache>
            </c:numRef>
          </c:val>
          <c:smooth val="0"/>
          <c:extLst>
            <c:ext xmlns:c16="http://schemas.microsoft.com/office/drawing/2014/chart" uri="{C3380CC4-5D6E-409C-BE32-E72D297353CC}">
              <c16:uniqueId val="{0000000B-2957-4E67-B566-7E70CDDC14CF}"/>
            </c:ext>
          </c:extLst>
        </c:ser>
        <c:ser>
          <c:idx val="3"/>
          <c:order val="3"/>
          <c:tx>
            <c:strRef>
              <c:f>Blad2!$N$7</c:f>
              <c:strCache>
                <c:ptCount val="1"/>
                <c:pt idx="0">
                  <c:v>Scenario IV.a</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C-2957-4E67-B566-7E70CDDC14CF}"/>
                </c:ext>
              </c:extLst>
            </c:dLbl>
            <c:dLbl>
              <c:idx val="2"/>
              <c:delete val="1"/>
              <c:extLst>
                <c:ext xmlns:c15="http://schemas.microsoft.com/office/drawing/2012/chart" uri="{CE6537A1-D6FC-4f65-9D91-7224C49458BB}"/>
                <c:ext xmlns:c16="http://schemas.microsoft.com/office/drawing/2014/chart" uri="{C3380CC4-5D6E-409C-BE32-E72D297353CC}">
                  <c16:uniqueId val="{0000000D-2957-4E67-B566-7E70CDDC14CF}"/>
                </c:ext>
              </c:extLst>
            </c:dLbl>
            <c:dLbl>
              <c:idx val="3"/>
              <c:delete val="1"/>
              <c:extLst>
                <c:ext xmlns:c15="http://schemas.microsoft.com/office/drawing/2012/chart" uri="{CE6537A1-D6FC-4f65-9D91-7224C49458BB}"/>
                <c:ext xmlns:c16="http://schemas.microsoft.com/office/drawing/2014/chart" uri="{C3380CC4-5D6E-409C-BE32-E72D297353CC}">
                  <c16:uniqueId val="{0000000E-2957-4E67-B566-7E70CDDC1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Blad2!$J$8:$J$12</c:f>
              <c:strCache>
                <c:ptCount val="5"/>
                <c:pt idx="0">
                  <c:v>0 t/m 1: 
</c:v>
                </c:pt>
                <c:pt idx="1">
                  <c:v>1,1 t/m 4:</c:v>
                </c:pt>
                <c:pt idx="2">
                  <c:v>4,1 t/m 7,5:</c:v>
                </c:pt>
                <c:pt idx="3">
                  <c:v>7,6 t/m 10;</c:v>
                </c:pt>
                <c:pt idx="4">
                  <c:v>Meer dan 10:</c:v>
                </c:pt>
              </c:strCache>
            </c:strRef>
          </c:cat>
          <c:val>
            <c:numRef>
              <c:f>Blad2!$N$8:$N$12</c:f>
              <c:numCache>
                <c:formatCode>General</c:formatCode>
                <c:ptCount val="5"/>
                <c:pt idx="0">
                  <c:v>14.25</c:v>
                </c:pt>
                <c:pt idx="1">
                  <c:v>20.25</c:v>
                </c:pt>
                <c:pt idx="2">
                  <c:v>30</c:v>
                </c:pt>
                <c:pt idx="3">
                  <c:v>39</c:v>
                </c:pt>
                <c:pt idx="4">
                  <c:v>50.25</c:v>
                </c:pt>
              </c:numCache>
            </c:numRef>
          </c:val>
          <c:smooth val="0"/>
          <c:extLst>
            <c:ext xmlns:c16="http://schemas.microsoft.com/office/drawing/2014/chart" uri="{C3380CC4-5D6E-409C-BE32-E72D297353CC}">
              <c16:uniqueId val="{0000000F-2957-4E67-B566-7E70CDDC14CF}"/>
            </c:ext>
          </c:extLst>
        </c:ser>
        <c:ser>
          <c:idx val="4"/>
          <c:order val="4"/>
          <c:tx>
            <c:strRef>
              <c:f>Blad2!$O$7</c:f>
              <c:strCache>
                <c:ptCount val="1"/>
                <c:pt idx="0">
                  <c:v>Scenario IV.b</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10-2957-4E67-B566-7E70CDDC14CF}"/>
                </c:ext>
              </c:extLst>
            </c:dLbl>
            <c:dLbl>
              <c:idx val="2"/>
              <c:delete val="1"/>
              <c:extLst>
                <c:ext xmlns:c15="http://schemas.microsoft.com/office/drawing/2012/chart" uri="{CE6537A1-D6FC-4f65-9D91-7224C49458BB}"/>
                <c:ext xmlns:c16="http://schemas.microsoft.com/office/drawing/2014/chart" uri="{C3380CC4-5D6E-409C-BE32-E72D297353CC}">
                  <c16:uniqueId val="{00000011-2957-4E67-B566-7E70CDDC14CF}"/>
                </c:ext>
              </c:extLst>
            </c:dLbl>
            <c:dLbl>
              <c:idx val="3"/>
              <c:delete val="1"/>
              <c:extLst>
                <c:ext xmlns:c15="http://schemas.microsoft.com/office/drawing/2012/chart" uri="{CE6537A1-D6FC-4f65-9D91-7224C49458BB}"/>
                <c:ext xmlns:c16="http://schemas.microsoft.com/office/drawing/2014/chart" uri="{C3380CC4-5D6E-409C-BE32-E72D297353CC}">
                  <c16:uniqueId val="{00000012-2957-4E67-B566-7E70CDDC1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Blad2!$J$8:$J$12</c:f>
              <c:strCache>
                <c:ptCount val="5"/>
                <c:pt idx="0">
                  <c:v>0 t/m 1: 
</c:v>
                </c:pt>
                <c:pt idx="1">
                  <c:v>1,1 t/m 4:</c:v>
                </c:pt>
                <c:pt idx="2">
                  <c:v>4,1 t/m 7,5:</c:v>
                </c:pt>
                <c:pt idx="3">
                  <c:v>7,6 t/m 10;</c:v>
                </c:pt>
                <c:pt idx="4">
                  <c:v>Meer dan 10:</c:v>
                </c:pt>
              </c:strCache>
            </c:strRef>
          </c:cat>
          <c:val>
            <c:numRef>
              <c:f>Blad2!$O$8:$O$12</c:f>
              <c:numCache>
                <c:formatCode>General</c:formatCode>
                <c:ptCount val="5"/>
                <c:pt idx="0">
                  <c:v>16.75</c:v>
                </c:pt>
                <c:pt idx="1">
                  <c:v>22.75</c:v>
                </c:pt>
                <c:pt idx="2">
                  <c:v>32.5</c:v>
                </c:pt>
                <c:pt idx="3">
                  <c:v>41.5</c:v>
                </c:pt>
                <c:pt idx="4">
                  <c:v>52.75</c:v>
                </c:pt>
              </c:numCache>
            </c:numRef>
          </c:val>
          <c:smooth val="0"/>
          <c:extLst>
            <c:ext xmlns:c16="http://schemas.microsoft.com/office/drawing/2014/chart" uri="{C3380CC4-5D6E-409C-BE32-E72D297353CC}">
              <c16:uniqueId val="{00000013-2957-4E67-B566-7E70CDDC14CF}"/>
            </c:ext>
          </c:extLst>
        </c:ser>
        <c:ser>
          <c:idx val="5"/>
          <c:order val="5"/>
          <c:tx>
            <c:strRef>
              <c:f>Blad2!$P$7</c:f>
              <c:strCache>
                <c:ptCount val="1"/>
                <c:pt idx="0">
                  <c:v>Huidige belasting met vlak tarief</c:v>
                </c:pt>
              </c:strCache>
            </c:strRef>
          </c:tx>
          <c:spPr>
            <a:ln w="28575" cap="rnd">
              <a:solidFill>
                <a:schemeClr val="accent6"/>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14-2957-4E67-B566-7E70CDDC14CF}"/>
                </c:ext>
              </c:extLst>
            </c:dLbl>
            <c:dLbl>
              <c:idx val="2"/>
              <c:delete val="1"/>
              <c:extLst>
                <c:ext xmlns:c15="http://schemas.microsoft.com/office/drawing/2012/chart" uri="{CE6537A1-D6FC-4f65-9D91-7224C49458BB}"/>
                <c:ext xmlns:c16="http://schemas.microsoft.com/office/drawing/2014/chart" uri="{C3380CC4-5D6E-409C-BE32-E72D297353CC}">
                  <c16:uniqueId val="{00000015-2957-4E67-B566-7E70CDDC14CF}"/>
                </c:ext>
              </c:extLst>
            </c:dLbl>
            <c:dLbl>
              <c:idx val="3"/>
              <c:delete val="1"/>
              <c:extLst>
                <c:ext xmlns:c15="http://schemas.microsoft.com/office/drawing/2012/chart" uri="{CE6537A1-D6FC-4f65-9D91-7224C49458BB}"/>
                <c:ext xmlns:c16="http://schemas.microsoft.com/office/drawing/2014/chart" uri="{C3380CC4-5D6E-409C-BE32-E72D297353CC}">
                  <c16:uniqueId val="{00000016-2957-4E67-B566-7E70CDDC14CF}"/>
                </c:ext>
              </c:extLst>
            </c:dLbl>
            <c:dLbl>
              <c:idx val="4"/>
              <c:delete val="1"/>
              <c:extLst>
                <c:ext xmlns:c15="http://schemas.microsoft.com/office/drawing/2012/chart" uri="{CE6537A1-D6FC-4f65-9D91-7224C49458BB}"/>
                <c:ext xmlns:c16="http://schemas.microsoft.com/office/drawing/2014/chart" uri="{C3380CC4-5D6E-409C-BE32-E72D297353CC}">
                  <c16:uniqueId val="{00000017-2957-4E67-B566-7E70CDDC14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Blad2!$J$8:$J$12</c:f>
              <c:strCache>
                <c:ptCount val="5"/>
                <c:pt idx="0">
                  <c:v>0 t/m 1: 
</c:v>
                </c:pt>
                <c:pt idx="1">
                  <c:v>1,1 t/m 4:</c:v>
                </c:pt>
                <c:pt idx="2">
                  <c:v>4,1 t/m 7,5:</c:v>
                </c:pt>
                <c:pt idx="3">
                  <c:v>7,6 t/m 10;</c:v>
                </c:pt>
                <c:pt idx="4">
                  <c:v>Meer dan 10:</c:v>
                </c:pt>
              </c:strCache>
            </c:strRef>
          </c:cat>
          <c:val>
            <c:numRef>
              <c:f>Blad2!$P$8:$P$12</c:f>
              <c:numCache>
                <c:formatCode>General</c:formatCode>
                <c:ptCount val="5"/>
                <c:pt idx="0">
                  <c:v>26.13</c:v>
                </c:pt>
                <c:pt idx="1">
                  <c:v>26.13</c:v>
                </c:pt>
                <c:pt idx="2">
                  <c:v>26.13</c:v>
                </c:pt>
                <c:pt idx="3">
                  <c:v>26.13</c:v>
                </c:pt>
                <c:pt idx="4">
                  <c:v>26.13</c:v>
                </c:pt>
              </c:numCache>
            </c:numRef>
          </c:val>
          <c:smooth val="0"/>
          <c:extLst>
            <c:ext xmlns:c16="http://schemas.microsoft.com/office/drawing/2014/chart" uri="{C3380CC4-5D6E-409C-BE32-E72D297353CC}">
              <c16:uniqueId val="{00000018-2957-4E67-B566-7E70CDDC14CF}"/>
            </c:ext>
          </c:extLst>
        </c:ser>
        <c:dLbls>
          <c:dLblPos val="l"/>
          <c:showLegendKey val="0"/>
          <c:showVal val="1"/>
          <c:showCatName val="0"/>
          <c:showSerName val="0"/>
          <c:showPercent val="0"/>
          <c:showBubbleSize val="0"/>
        </c:dLbls>
        <c:smooth val="0"/>
        <c:axId val="1038466192"/>
        <c:axId val="1041460528"/>
      </c:lineChart>
      <c:catAx>
        <c:axId val="1038466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Staffels in gram suiker/100ml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041460528"/>
        <c:crosses val="autoZero"/>
        <c:auto val="1"/>
        <c:lblAlgn val="ctr"/>
        <c:lblOffset val="100"/>
        <c:noMultiLvlLbl val="0"/>
      </c:catAx>
      <c:valAx>
        <c:axId val="104146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Belasting</a:t>
                </a:r>
                <a:r>
                  <a:rPr lang="nl-NL" baseline="0"/>
                  <a:t> in EUR/100 liter</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03846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8421</ap:Words>
  <ap:Characters>46320</ap:Characters>
  <ap:DocSecurity>0</ap:DocSecurity>
  <ap:Lines>386</ap:Lines>
  <ap:Paragraphs>109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2024-04-26T12:56:00.0000000Z</dcterms:created>
  <dcterms:modified xsi:type="dcterms:W3CDTF">2024-04-26T12:56:00.0000000Z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Datum">
    <vt:lpwstr>28 februari 2024</vt:lpwstr>
  </property>
  <property fmtid="{D5CDD505-2E9C-101B-9397-08002B2CF9AE}" pid="4" name="Aan">
    <vt:lpwstr>Voorzitter van de Tweede Kamer der Staten-Generaal_x000d_
Postbus 20018_x000d_
2500 EA  DEN HAAG_x000d_
</vt:lpwstr>
  </property>
  <property fmtid="{D5CDD505-2E9C-101B-9397-08002B2CF9AE}" pid="5" name="Kenmerk">
    <vt:lpwstr>2024-0000242870</vt:lpwstr>
  </property>
  <property fmtid="{D5CDD505-2E9C-101B-9397-08002B2CF9AE}" pid="6" name="UwKenmerk">
    <vt:lpwstr/>
  </property>
  <property fmtid="{D5CDD505-2E9C-101B-9397-08002B2CF9AE}" pid="7" name="Rubricering">
    <vt:lpwstr/>
  </property>
  <property fmtid="{D5CDD505-2E9C-101B-9397-08002B2CF9AE}" pid="8" name="MSIP_Label_b2aa6e22-2c82-48c6-bf24-1790f4b9c128_Enabled">
    <vt:lpwstr>true</vt:lpwstr>
  </property>
  <property fmtid="{D5CDD505-2E9C-101B-9397-08002B2CF9AE}" pid="9" name="MSIP_Label_b2aa6e22-2c82-48c6-bf24-1790f4b9c128_SetDate">
    <vt:lpwstr>2024-02-28T15:25:56Z</vt:lpwstr>
  </property>
  <property fmtid="{D5CDD505-2E9C-101B-9397-08002B2CF9AE}" pid="10" name="MSIP_Label_b2aa6e22-2c82-48c6-bf24-1790f4b9c128_Method">
    <vt:lpwstr>Standard</vt:lpwstr>
  </property>
  <property fmtid="{D5CDD505-2E9C-101B-9397-08002B2CF9AE}" pid="11" name="MSIP_Label_b2aa6e22-2c82-48c6-bf24-1790f4b9c128_Name">
    <vt:lpwstr>FIN-DGFZ-Rijksoverheid</vt:lpwstr>
  </property>
  <property fmtid="{D5CDD505-2E9C-101B-9397-08002B2CF9AE}" pid="12" name="MSIP_Label_b2aa6e22-2c82-48c6-bf24-1790f4b9c128_SiteId">
    <vt:lpwstr>84712536-f524-40a0-913b-5d25ba502732</vt:lpwstr>
  </property>
  <property fmtid="{D5CDD505-2E9C-101B-9397-08002B2CF9AE}" pid="13" name="MSIP_Label_b2aa6e22-2c82-48c6-bf24-1790f4b9c128_ActionId">
    <vt:lpwstr>f66fb687-1c50-45ae-83fe-0e92cc675dd0</vt:lpwstr>
  </property>
  <property fmtid="{D5CDD505-2E9C-101B-9397-08002B2CF9AE}" pid="14" name="MSIP_Label_b2aa6e22-2c82-48c6-bf24-1790f4b9c128_ContentBits">
    <vt:lpwstr>0</vt:lpwstr>
  </property>
  <property fmtid="{D5CDD505-2E9C-101B-9397-08002B2CF9AE}" pid="15" name="ContentTypeId">
    <vt:lpwstr>0x010100BE9D23A8FF9A9A47BC00E498AA6CE5FA</vt:lpwstr>
  </property>
  <property fmtid="{D5CDD505-2E9C-101B-9397-08002B2CF9AE}" pid="16" name="Onderwerp">
    <vt:lpwstr>Contourenbrief gedifferentieerde verbruiksbelasting van alcoholvrije dranken op basis van suikergehalte</vt:lpwstr>
  </property>
</Properties>
</file>