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3DF7" w:rsidR="00A828E3" w:rsidRDefault="00E02D08" w14:paraId="01124C5D" w14:textId="77777777">
      <w:pPr>
        <w:pStyle w:val="PlatteTekst"/>
        <w:rPr>
          <w:szCs w:val="18"/>
        </w:rPr>
        <w:sectPr w:rsidRPr="00DD3DF7"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DD3DF7">
        <w:rPr>
          <w:noProof/>
          <w:szCs w:val="18"/>
          <w:lang w:eastAsia="nl-NL"/>
        </w:rPr>
        <mc:AlternateContent>
          <mc:Choice Requires="wps">
            <w:drawing>
              <wp:anchor distT="0" distB="269875" distL="114300" distR="114300" simplePos="0" relativeHeight="251664384" behindDoc="0" locked="0" layoutInCell="1" allowOverlap="1" wp14:editId="3B816515" wp14:anchorId="2E317C7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E02D08" w:rsidRDefault="00405747" w14:paraId="672A6659" w14:textId="77777777">
                            <w:pPr>
                              <w:pStyle w:val="Huisstijl-Agendatitel"/>
                              <w:ind w:left="0" w:firstLine="0"/>
                              <w:jc w:val="right"/>
                            </w:pPr>
                          </w:p>
                          <w:p w:rsidR="00D27FE7" w:rsidP="00E02D08" w:rsidRDefault="00D27FE7" w14:paraId="0A37501D" w14:textId="77777777">
                            <w:pPr>
                              <w:pStyle w:val="Huisstijl-Agendatitel"/>
                              <w:ind w:left="0" w:firstLine="0"/>
                              <w:jc w:val="right"/>
                            </w:pPr>
                          </w:p>
                          <w:p w:rsidR="00A42CDC" w:rsidP="00E02D08" w:rsidRDefault="009B3610" w14:paraId="59DA8C80" w14:textId="5C429E2F">
                            <w:pPr>
                              <w:pStyle w:val="Huisstijl-Agendatitel"/>
                              <w:ind w:left="0" w:firstLine="0"/>
                              <w:jc w:val="right"/>
                            </w:pPr>
                            <w:r>
                              <w:t xml:space="preserve"> </w:t>
                            </w:r>
                            <w:r w:rsidR="00E02D08">
                              <w:t xml:space="preserve"> </w:t>
                            </w:r>
                            <w:r w:rsidR="00A71CE5">
                              <w:t xml:space="preserve"> </w:t>
                            </w:r>
                            <w:r w:rsidR="00343F41">
                              <w:t>22</w:t>
                            </w:r>
                            <w:r w:rsidR="00D6168B">
                              <w:t xml:space="preserve"> april </w:t>
                            </w:r>
                            <w:r w:rsidR="00E02D08">
                              <w:t>202</w:t>
                            </w:r>
                            <w:r w:rsidR="00A16DD6">
                              <w:t>4</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317C7C">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E02D08" w:rsidRDefault="00405747" w14:paraId="672A6659" w14:textId="77777777">
                      <w:pPr>
                        <w:pStyle w:val="Huisstijl-Agendatitel"/>
                        <w:ind w:left="0" w:firstLine="0"/>
                        <w:jc w:val="right"/>
                      </w:pPr>
                    </w:p>
                    <w:p w:rsidR="00D27FE7" w:rsidP="00E02D08" w:rsidRDefault="00D27FE7" w14:paraId="0A37501D" w14:textId="77777777">
                      <w:pPr>
                        <w:pStyle w:val="Huisstijl-Agendatitel"/>
                        <w:ind w:left="0" w:firstLine="0"/>
                        <w:jc w:val="right"/>
                      </w:pPr>
                    </w:p>
                    <w:p w:rsidR="00A42CDC" w:rsidP="00E02D08" w:rsidRDefault="009B3610" w14:paraId="59DA8C80" w14:textId="5C429E2F">
                      <w:pPr>
                        <w:pStyle w:val="Huisstijl-Agendatitel"/>
                        <w:ind w:left="0" w:firstLine="0"/>
                        <w:jc w:val="right"/>
                      </w:pPr>
                      <w:r>
                        <w:t xml:space="preserve"> </w:t>
                      </w:r>
                      <w:r w:rsidR="00E02D08">
                        <w:t xml:space="preserve"> </w:t>
                      </w:r>
                      <w:r w:rsidR="00A71CE5">
                        <w:t xml:space="preserve"> </w:t>
                      </w:r>
                      <w:r w:rsidR="00343F41">
                        <w:t>22</w:t>
                      </w:r>
                      <w:r w:rsidR="00D6168B">
                        <w:t xml:space="preserve"> april </w:t>
                      </w:r>
                      <w:r w:rsidR="00E02D08">
                        <w:t>202</w:t>
                      </w:r>
                      <w:r w:rsidR="00A16DD6">
                        <w:t>4</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v:textbox>
                <w10:wrap type="topAndBottom" anchorx="margin" anchory="page"/>
              </v:shape>
            </w:pict>
          </mc:Fallback>
        </mc:AlternateContent>
      </w:r>
      <w:r w:rsidRPr="00DD3DF7" w:rsidR="00F407B0">
        <w:rPr>
          <w:noProof/>
          <w:szCs w:val="18"/>
          <w:lang w:eastAsia="nl-NL"/>
        </w:rPr>
        <mc:AlternateContent>
          <mc:Choice Requires="wps">
            <w:drawing>
              <wp:anchor distT="0" distB="0" distL="114300" distR="114300" simplePos="0" relativeHeight="251661312" behindDoc="0" locked="0" layoutInCell="1" allowOverlap="1" wp14:editId="6A8A41EB" wp14:anchorId="6E0FADC5">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0D0B940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E0FADC5">
                <v:path arrowok="t"/>
                <v:textbox inset="0,0,0,0">
                  <w:txbxContent>
                    <w:p w:rsidR="00A42CDC" w:rsidRDefault="00A42CDC" w14:paraId="0D0B940D" w14:textId="77777777"/>
                  </w:txbxContent>
                </v:textbox>
                <w10:wrap anchory="page"/>
              </v:shape>
            </w:pict>
          </mc:Fallback>
        </mc:AlternateContent>
      </w:r>
    </w:p>
    <w:p w:rsidRPr="00A9227F" w:rsidR="001843F0" w:rsidP="001843F0" w:rsidRDefault="001843F0" w14:paraId="56F1BCCC" w14:textId="77777777">
      <w:pPr>
        <w:rPr>
          <w:b/>
          <w:szCs w:val="18"/>
        </w:rPr>
      </w:pPr>
      <w:r w:rsidRPr="00A9227F">
        <w:rPr>
          <w:b/>
          <w:szCs w:val="18"/>
        </w:rPr>
        <w:t xml:space="preserve">Lijst van nieuwe EU-voorstellen </w:t>
      </w:r>
    </w:p>
    <w:p w:rsidRPr="00A9227F" w:rsidR="001843F0" w:rsidP="001843F0" w:rsidRDefault="001843F0" w14:paraId="12E4C30A" w14:textId="77777777">
      <w:pPr>
        <w:rPr>
          <w:b/>
          <w:szCs w:val="18"/>
        </w:rPr>
      </w:pPr>
    </w:p>
    <w:p w:rsidRPr="00A9227F" w:rsidR="001843F0" w:rsidP="001843F0" w:rsidRDefault="001843F0" w14:paraId="6D1B23CE" w14:textId="77777777">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Pr>
          <w:rStyle w:val="Voetnootmarkering"/>
          <w:rFonts w:ascii="Verdana" w:hAnsi="Verdana"/>
          <w:sz w:val="18"/>
          <w:szCs w:val="18"/>
        </w:rPr>
        <w:footnoteReference w:id="1"/>
      </w:r>
      <w:r w:rsidRPr="00A9227F">
        <w:rPr>
          <w:rFonts w:ascii="Verdana" w:hAnsi="Verdana"/>
          <w:sz w:val="18"/>
          <w:szCs w:val="18"/>
        </w:rPr>
        <w:t xml:space="preserve">: </w:t>
      </w:r>
    </w:p>
    <w:p w:rsidRPr="00DD3DF7" w:rsidR="00820149" w:rsidP="00C727FA" w:rsidRDefault="00820149" w14:paraId="4B94D5A5" w14:textId="77777777">
      <w:pPr>
        <w:rPr>
          <w:szCs w:val="18"/>
        </w:rPr>
      </w:pPr>
    </w:p>
    <w:p w:rsidRPr="0029457B" w:rsidR="00820149" w:rsidP="35319F11" w:rsidRDefault="35319F11" w14:paraId="01234008" w14:textId="236A6827">
      <w:pPr>
        <w:pStyle w:val="Lijstalinea"/>
        <w:numPr>
          <w:ilvl w:val="0"/>
          <w:numId w:val="2"/>
        </w:numPr>
        <w:rPr>
          <w:b/>
          <w:bCs/>
        </w:rPr>
      </w:pPr>
      <w:r w:rsidRPr="00DD3DF7">
        <w:rPr>
          <w:b/>
          <w:bCs/>
        </w:rPr>
        <w:t>Nieuw voorgestelde EU-wetgeving</w:t>
      </w:r>
      <w:r w:rsidRPr="00DD3DF7" w:rsidR="00D27FE7">
        <w:br/>
      </w:r>
      <w:r w:rsidRPr="00DD3DF7">
        <w:t>(Verordeningen, richtlijnen en wetgevende besluiten)</w:t>
      </w:r>
    </w:p>
    <w:p w:rsidRPr="0029457B" w:rsidR="0029457B" w:rsidP="0029457B" w:rsidRDefault="0029457B" w14:paraId="442A60E8" w14:textId="4E985B26">
      <w:pPr>
        <w:pStyle w:val="Lijstalinea"/>
        <w:rPr>
          <w:bCs/>
        </w:rPr>
      </w:pPr>
      <w:r w:rsidRPr="0029457B">
        <w:rPr>
          <w:bCs/>
        </w:rPr>
        <w:t>N.v.t.</w:t>
      </w:r>
    </w:p>
    <w:p w:rsidRPr="00DD3DF7" w:rsidR="00012D11" w:rsidP="00B14078" w:rsidRDefault="00012D11" w14:paraId="6B3694C9" w14:textId="77777777">
      <w:pPr>
        <w:ind w:left="709"/>
        <w:rPr>
          <w:szCs w:val="18"/>
        </w:rPr>
      </w:pPr>
    </w:p>
    <w:p w:rsidRPr="00DD3DF7" w:rsidR="00FB6B00" w:rsidP="00B14078" w:rsidRDefault="00FB6B00" w14:paraId="4101652C" w14:textId="77777777">
      <w:pPr>
        <w:ind w:left="709"/>
        <w:rPr>
          <w:szCs w:val="18"/>
        </w:rPr>
      </w:pPr>
    </w:p>
    <w:p w:rsidRPr="00DD3DF7" w:rsidR="00820149" w:rsidP="35319F11" w:rsidRDefault="35319F11" w14:paraId="45BD51C8" w14:textId="77777777">
      <w:pPr>
        <w:pStyle w:val="Lijstalinea"/>
        <w:numPr>
          <w:ilvl w:val="0"/>
          <w:numId w:val="2"/>
        </w:numPr>
        <w:rPr>
          <w:b/>
          <w:bCs/>
        </w:rPr>
      </w:pPr>
      <w:r w:rsidRPr="00DD3DF7">
        <w:rPr>
          <w:b/>
          <w:bCs/>
        </w:rPr>
        <w:t xml:space="preserve">Nieuwe EU-documenten van niet-wetgevende aard </w:t>
      </w:r>
      <w:r w:rsidRPr="00DD3DF7" w:rsidR="00D27FE7">
        <w:br/>
      </w:r>
      <w:r w:rsidRPr="00DD3DF7">
        <w:t>(Mededelingen, aanbevelingen, actieplannen, consultaties, etc.)</w:t>
      </w:r>
    </w:p>
    <w:p w:rsidRPr="0029457B" w:rsidR="0029457B" w:rsidP="0029457B" w:rsidRDefault="0029457B" w14:paraId="305FF956" w14:textId="77777777">
      <w:pPr>
        <w:pStyle w:val="Lijstalinea"/>
        <w:rPr>
          <w:bCs/>
        </w:rPr>
      </w:pPr>
      <w:r w:rsidRPr="0029457B">
        <w:rPr>
          <w:bCs/>
        </w:rPr>
        <w:t>N.v.t.</w:t>
      </w:r>
    </w:p>
    <w:p w:rsidRPr="00DD3DF7" w:rsidR="00897AF1" w:rsidP="00897AF1" w:rsidRDefault="00897AF1" w14:paraId="222DBE57" w14:textId="22257AE2">
      <w:pPr>
        <w:rPr>
          <w:szCs w:val="18"/>
        </w:rPr>
      </w:pPr>
    </w:p>
    <w:p w:rsidRPr="00DD3DF7" w:rsidR="00897AF1" w:rsidP="00897AF1" w:rsidRDefault="00897AF1" w14:paraId="79D0274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134"/>
        <w:gridCol w:w="6378"/>
      </w:tblGrid>
      <w:tr w:rsidRPr="00E06B19" w:rsidR="00897AF1" w:rsidTr="00F55012" w14:paraId="62C5C6F2"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D3DF7" w:rsidR="00897AF1" w:rsidP="00F55012" w:rsidRDefault="00897AF1" w14:paraId="417EB4E4" w14:textId="77777777">
            <w:pPr>
              <w:pStyle w:val="Lijstalinea"/>
              <w:numPr>
                <w:ilvl w:val="0"/>
                <w:numId w:val="10"/>
              </w:numPr>
              <w:spacing w:after="240"/>
              <w:ind w:left="312"/>
              <w:rPr>
                <w:szCs w:val="18"/>
              </w:rPr>
            </w:pPr>
          </w:p>
        </w:tc>
        <w:tc>
          <w:tcPr>
            <w:tcW w:w="1134" w:type="dxa"/>
          </w:tcPr>
          <w:p w:rsidRPr="00DD3DF7" w:rsidR="00897AF1" w:rsidP="00F55012" w:rsidRDefault="00897AF1" w14:paraId="34EE655F" w14:textId="77777777">
            <w:pPr>
              <w:spacing w:after="240"/>
            </w:pPr>
            <w:r w:rsidRPr="00DD3DF7">
              <w:t>Titel</w:t>
            </w:r>
          </w:p>
        </w:tc>
        <w:tc>
          <w:tcPr>
            <w:tcW w:w="6378" w:type="dxa"/>
          </w:tcPr>
          <w:p w:rsidRPr="00E06B19" w:rsidR="00897AF1" w:rsidP="008A05E5" w:rsidRDefault="008A05E5" w14:paraId="38B3BF7C" w14:textId="5B1777F7">
            <w:pPr>
              <w:shd w:val="clear" w:color="auto" w:fill="FFFFFF"/>
              <w:spacing w:after="75"/>
              <w:rPr>
                <w:szCs w:val="18"/>
                <w:lang w:val="en-US"/>
              </w:rPr>
            </w:pPr>
            <w:r w:rsidRPr="00E06B19">
              <w:rPr>
                <w:szCs w:val="18"/>
                <w:lang w:val="en-US"/>
              </w:rPr>
              <w:t xml:space="preserve">Proposal for a DECISION OF THE EUROPEAN PARLIAMENT AND OF THE COUNCIL on providing macro-financial assistance to the Hashemite Kingdom of Jordan </w:t>
            </w:r>
            <w:hyperlink w:history="1" r:id="rId15">
              <w:r w:rsidRPr="00E06B19">
                <w:rPr>
                  <w:rStyle w:val="Hyperlink"/>
                  <w:szCs w:val="18"/>
                  <w:lang w:val="en-US"/>
                </w:rPr>
                <w:t>COM</w:t>
              </w:r>
              <w:r w:rsidRPr="00E06B19" w:rsidR="00E82419">
                <w:rPr>
                  <w:rStyle w:val="Hyperlink"/>
                  <w:szCs w:val="18"/>
                  <w:lang w:val="en-US"/>
                </w:rPr>
                <w:t>(2024)</w:t>
              </w:r>
              <w:r w:rsidRPr="00E06B19">
                <w:rPr>
                  <w:rStyle w:val="Hyperlink"/>
                  <w:szCs w:val="18"/>
                  <w:lang w:val="en-US"/>
                </w:rPr>
                <w:t>159</w:t>
              </w:r>
            </w:hyperlink>
          </w:p>
        </w:tc>
      </w:tr>
      <w:tr w:rsidRPr="00DD3DF7" w:rsidR="00897AF1" w:rsidTr="00F55012" w14:paraId="096C2A27" w14:textId="77777777">
        <w:tc>
          <w:tcPr>
            <w:tcW w:w="421" w:type="dxa"/>
            <w:vMerge/>
            <w:tcBorders>
              <w:top w:val="nil"/>
              <w:bottom w:val="single" w:color="D9D9D9" w:themeColor="background1" w:themeShade="D9" w:sz="4" w:space="0"/>
            </w:tcBorders>
            <w:shd w:val="clear" w:color="auto" w:fill="F2F2F2" w:themeFill="background1" w:themeFillShade="F2"/>
          </w:tcPr>
          <w:p w:rsidRPr="00E06B19" w:rsidR="00897AF1" w:rsidP="00F55012" w:rsidRDefault="00897AF1" w14:paraId="586E1604" w14:textId="77777777">
            <w:pPr>
              <w:spacing w:after="240"/>
              <w:rPr>
                <w:szCs w:val="18"/>
                <w:lang w:val="en-US"/>
              </w:rPr>
            </w:pPr>
          </w:p>
        </w:tc>
        <w:tc>
          <w:tcPr>
            <w:tcW w:w="1134" w:type="dxa"/>
          </w:tcPr>
          <w:p w:rsidRPr="00DD3DF7" w:rsidR="00897AF1" w:rsidP="00F55012" w:rsidRDefault="001843F0" w14:paraId="124F8B12" w14:textId="6EF1D8D7">
            <w:pPr>
              <w:spacing w:after="240"/>
              <w:rPr>
                <w:szCs w:val="18"/>
              </w:rPr>
            </w:pPr>
            <w:r w:rsidRPr="001843F0">
              <w:t>Voorstel</w:t>
            </w:r>
          </w:p>
        </w:tc>
        <w:tc>
          <w:tcPr>
            <w:tcW w:w="6378" w:type="dxa"/>
          </w:tcPr>
          <w:p w:rsidRPr="00DD3DF7" w:rsidR="00610B95" w:rsidP="00610B95" w:rsidRDefault="00610B95" w14:paraId="1096EF6F" w14:textId="56536973">
            <w:pPr>
              <w:spacing w:after="240"/>
              <w:rPr>
                <w:b/>
                <w:bCs/>
              </w:rPr>
            </w:pPr>
            <w:r>
              <w:rPr>
                <w:szCs w:val="18"/>
              </w:rPr>
              <w:t>Desgewenst betrekken bij het aankomend schriftelijk overleg voor de Eurogroep/</w:t>
            </w:r>
            <w:proofErr w:type="spellStart"/>
            <w:r>
              <w:rPr>
                <w:szCs w:val="18"/>
              </w:rPr>
              <w:t>Ecofinraad</w:t>
            </w:r>
            <w:proofErr w:type="spellEnd"/>
            <w:r>
              <w:rPr>
                <w:szCs w:val="18"/>
              </w:rPr>
              <w:t>, met woensdag 8 mei 14 uur als termijn voor inbreng</w:t>
            </w:r>
          </w:p>
        </w:tc>
      </w:tr>
      <w:tr w:rsidRPr="00DD3DF7" w:rsidR="00897AF1" w:rsidTr="00F55012" w14:paraId="057B3DB5" w14:textId="77777777">
        <w:tc>
          <w:tcPr>
            <w:tcW w:w="421" w:type="dxa"/>
            <w:vMerge/>
            <w:tcBorders>
              <w:top w:val="nil"/>
              <w:bottom w:val="single" w:color="D9D9D9" w:themeColor="background1" w:themeShade="D9" w:sz="4" w:space="0"/>
            </w:tcBorders>
            <w:shd w:val="clear" w:color="auto" w:fill="F2F2F2" w:themeFill="background1" w:themeFillShade="F2"/>
          </w:tcPr>
          <w:p w:rsidRPr="00DD3DF7" w:rsidR="00897AF1" w:rsidP="00F55012" w:rsidRDefault="00897AF1" w14:paraId="1599CFD2" w14:textId="77777777">
            <w:pPr>
              <w:spacing w:after="240"/>
              <w:rPr>
                <w:szCs w:val="18"/>
              </w:rPr>
            </w:pPr>
          </w:p>
        </w:tc>
        <w:tc>
          <w:tcPr>
            <w:tcW w:w="1134" w:type="dxa"/>
          </w:tcPr>
          <w:p w:rsidRPr="00DD3DF7" w:rsidR="00897AF1" w:rsidP="00F55012" w:rsidRDefault="001843F0" w14:paraId="48C660DD" w14:textId="40BDCF32">
            <w:pPr>
              <w:spacing w:after="240"/>
            </w:pPr>
            <w:r w:rsidRPr="00A9227F">
              <w:rPr>
                <w:color w:val="595959" w:themeColor="text1" w:themeTint="A6"/>
                <w:szCs w:val="18"/>
              </w:rPr>
              <w:t>Noot</w:t>
            </w:r>
          </w:p>
        </w:tc>
        <w:tc>
          <w:tcPr>
            <w:tcW w:w="6378" w:type="dxa"/>
          </w:tcPr>
          <w:p w:rsidR="00525AC0" w:rsidP="00816C97" w:rsidRDefault="00525AC0" w14:paraId="763D95C5" w14:textId="524E8B47">
            <w:pPr>
              <w:rPr>
                <w:color w:val="595959" w:themeColor="text1" w:themeTint="A6"/>
                <w:szCs w:val="18"/>
              </w:rPr>
            </w:pPr>
            <w:r w:rsidRPr="00816C97">
              <w:rPr>
                <w:color w:val="595959" w:themeColor="text1" w:themeTint="A6"/>
                <w:szCs w:val="18"/>
              </w:rPr>
              <w:t xml:space="preserve">De Commissie stelt voor om nieuwe macro-financiële bijstand (MFB) ten belope van maximaal EUR 500 </w:t>
            </w:r>
            <w:proofErr w:type="spellStart"/>
            <w:r w:rsidRPr="00816C97">
              <w:rPr>
                <w:color w:val="595959" w:themeColor="text1" w:themeTint="A6"/>
                <w:szCs w:val="18"/>
              </w:rPr>
              <w:t>mln</w:t>
            </w:r>
            <w:proofErr w:type="spellEnd"/>
            <w:r w:rsidRPr="00816C97">
              <w:rPr>
                <w:color w:val="595959" w:themeColor="text1" w:themeTint="A6"/>
                <w:szCs w:val="18"/>
              </w:rPr>
              <w:t xml:space="preserve"> aan Jordanië te verlenen, waarmee ten dele tegemoet zou worden gekomen aan een verzoek vanuit Jordanië voor EUR 700 </w:t>
            </w:r>
            <w:proofErr w:type="spellStart"/>
            <w:r w:rsidRPr="00816C97">
              <w:rPr>
                <w:color w:val="595959" w:themeColor="text1" w:themeTint="A6"/>
                <w:szCs w:val="18"/>
              </w:rPr>
              <w:t>mln</w:t>
            </w:r>
            <w:proofErr w:type="spellEnd"/>
            <w:r w:rsidR="0029457B">
              <w:rPr>
                <w:color w:val="595959" w:themeColor="text1" w:themeTint="A6"/>
                <w:szCs w:val="18"/>
              </w:rPr>
              <w:t xml:space="preserve"> aan bijstand</w:t>
            </w:r>
            <w:r w:rsidRPr="00816C97">
              <w:rPr>
                <w:color w:val="595959" w:themeColor="text1" w:themeTint="A6"/>
                <w:szCs w:val="18"/>
              </w:rPr>
              <w:t>.</w:t>
            </w:r>
            <w:r w:rsidRPr="00816C97" w:rsidR="00816C97">
              <w:rPr>
                <w:color w:val="595959" w:themeColor="text1" w:themeTint="A6"/>
                <w:szCs w:val="18"/>
              </w:rPr>
              <w:t xml:space="preserve"> Het voorstel van de Commissie vereist goedkeuring van zowel het Europees Parlement als de Raad.</w:t>
            </w:r>
          </w:p>
          <w:p w:rsidRPr="00816C97" w:rsidR="00816C97" w:rsidP="00816C97" w:rsidRDefault="00343F41" w14:paraId="3CE4B0E2" w14:textId="08D2EFB8">
            <w:pPr>
              <w:rPr>
                <w:color w:val="595959" w:themeColor="text1" w:themeTint="A6"/>
                <w:szCs w:val="18"/>
              </w:rPr>
            </w:pPr>
            <w:hyperlink w:history="1" r:id="rId16">
              <w:r w:rsidRPr="007C3739" w:rsidR="00816C97">
                <w:rPr>
                  <w:rStyle w:val="Hyperlink"/>
                  <w:szCs w:val="18"/>
                </w:rPr>
                <w:t>Macro-financiële bijstand</w:t>
              </w:r>
            </w:hyperlink>
            <w:r w:rsidR="00816C97">
              <w:rPr>
                <w:color w:val="595959" w:themeColor="text1" w:themeTint="A6"/>
                <w:szCs w:val="18"/>
              </w:rPr>
              <w:t xml:space="preserve"> is </w:t>
            </w:r>
            <w:r w:rsidRPr="007C3739" w:rsidR="00816C97">
              <w:rPr>
                <w:color w:val="595959" w:themeColor="text1" w:themeTint="A6"/>
                <w:szCs w:val="18"/>
              </w:rPr>
              <w:t>een vorm van financiële hulp die door de EU wordt verleend aan partnerlanden die met een betalingsbalanscrisis kampen.</w:t>
            </w:r>
            <w:r w:rsidR="00816C97">
              <w:rPr>
                <w:color w:val="595959" w:themeColor="text1" w:themeTint="A6"/>
                <w:szCs w:val="18"/>
              </w:rPr>
              <w:t xml:space="preserve"> De EU verstrekt hierbij leningen die worden gefinancierd door leningen die de EU zelf aangaat op de kapitaalmarkt. De EU heeft zeer recent nog MFB verleend aan Egypte.</w:t>
            </w:r>
          </w:p>
          <w:p w:rsidR="00525AC0" w:rsidP="00183E0B" w:rsidRDefault="00525AC0" w14:paraId="698C214E" w14:textId="7942A575">
            <w:pPr>
              <w:pStyle w:val="Normaalweb"/>
              <w:rPr>
                <w:rFonts w:ascii="Verdana" w:hAnsi="Verdana" w:eastAsia="Calibri"/>
                <w:color w:val="595959" w:themeColor="text1" w:themeTint="A6"/>
                <w:sz w:val="18"/>
                <w:szCs w:val="18"/>
                <w:lang w:eastAsia="en-US"/>
              </w:rPr>
            </w:pPr>
            <w:r w:rsidRPr="00816C97">
              <w:rPr>
                <w:rFonts w:ascii="Verdana" w:hAnsi="Verdana" w:eastAsia="Calibri"/>
                <w:color w:val="595959" w:themeColor="text1" w:themeTint="A6"/>
                <w:sz w:val="18"/>
                <w:szCs w:val="18"/>
                <w:lang w:eastAsia="en-US"/>
              </w:rPr>
              <w:t xml:space="preserve">Het voorgestelde MFB-programma </w:t>
            </w:r>
            <w:r w:rsidR="00816C97">
              <w:rPr>
                <w:rFonts w:ascii="Verdana" w:hAnsi="Verdana" w:eastAsia="Calibri"/>
                <w:color w:val="595959" w:themeColor="text1" w:themeTint="A6"/>
                <w:sz w:val="18"/>
                <w:szCs w:val="18"/>
                <w:lang w:eastAsia="en-US"/>
              </w:rPr>
              <w:t xml:space="preserve">voor Jordanië </w:t>
            </w:r>
            <w:r w:rsidRPr="00816C97">
              <w:rPr>
                <w:rFonts w:ascii="Verdana" w:hAnsi="Verdana" w:eastAsia="Calibri"/>
                <w:color w:val="595959" w:themeColor="text1" w:themeTint="A6"/>
                <w:sz w:val="18"/>
                <w:szCs w:val="18"/>
                <w:lang w:eastAsia="en-US"/>
              </w:rPr>
              <w:t>zal naar verwachting tussen 2024 en 2027 in drie tranches worden vrijgegeven.</w:t>
            </w:r>
            <w:r w:rsidRPr="00816C97" w:rsidR="00183E0B">
              <w:rPr>
                <w:rFonts w:ascii="Verdana" w:hAnsi="Verdana" w:eastAsia="Calibri"/>
                <w:color w:val="595959" w:themeColor="text1" w:themeTint="A6"/>
                <w:sz w:val="18"/>
                <w:szCs w:val="18"/>
                <w:lang w:eastAsia="en-US"/>
              </w:rPr>
              <w:t xml:space="preserve"> Toegang tot de MFB-leningen is conditioneel aan i) implementatie van hervormingen in een nog overeen te komen Memorandum of Understanding tussen de EU en Jordanië en ii) uitvoer van het huidige IMF-programma. Het af te sluiten </w:t>
            </w:r>
            <w:proofErr w:type="spellStart"/>
            <w:r w:rsidRPr="00816C97" w:rsidR="00183E0B">
              <w:rPr>
                <w:rFonts w:ascii="Verdana" w:hAnsi="Verdana" w:eastAsia="Calibri"/>
                <w:color w:val="595959" w:themeColor="text1" w:themeTint="A6"/>
                <w:sz w:val="18"/>
                <w:szCs w:val="18"/>
                <w:lang w:eastAsia="en-US"/>
              </w:rPr>
              <w:t>MoU</w:t>
            </w:r>
            <w:proofErr w:type="spellEnd"/>
            <w:r w:rsidRPr="00816C97" w:rsidR="00183E0B">
              <w:rPr>
                <w:rFonts w:ascii="Verdana" w:hAnsi="Verdana" w:eastAsia="Calibri"/>
                <w:color w:val="595959" w:themeColor="text1" w:themeTint="A6"/>
                <w:sz w:val="18"/>
                <w:szCs w:val="18"/>
                <w:lang w:eastAsia="en-US"/>
              </w:rPr>
              <w:t xml:space="preserve"> zou in beginsel hervormingen kunnen bevatten op gebied van </w:t>
            </w:r>
            <w:r w:rsidRPr="00816C97" w:rsidR="00183E0B">
              <w:rPr>
                <w:rFonts w:ascii="Verdana" w:hAnsi="Verdana" w:eastAsia="Calibri"/>
                <w:color w:val="595959" w:themeColor="text1" w:themeTint="A6"/>
                <w:sz w:val="18"/>
                <w:szCs w:val="18"/>
                <w:lang w:eastAsia="en-US"/>
              </w:rPr>
              <w:lastRenderedPageBreak/>
              <w:t>economisch bestuur, sociaal en arbeidsmarktbeleid, alsook maatregelen tegen fraude, corruptie en witwassen.</w:t>
            </w:r>
          </w:p>
          <w:p w:rsidRPr="00816C97" w:rsidR="00816C97" w:rsidP="00816C97" w:rsidRDefault="00816C97" w14:paraId="1D484CE4" w14:textId="5FC13CCF">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r w:rsidRPr="00816C97">
              <w:rPr>
                <w:rFonts w:ascii="Verdana" w:hAnsi="Verdana" w:eastAsia="Calibri"/>
                <w:color w:val="595959" w:themeColor="text1" w:themeTint="A6"/>
                <w:sz w:val="18"/>
                <w:szCs w:val="18"/>
                <w:lang w:eastAsia="en-US"/>
              </w:rPr>
              <w:t>De MFB zal naar verwachting geflankeerd worden door begrotingssteun vanuit</w:t>
            </w:r>
            <w:r>
              <w:rPr>
                <w:rFonts w:ascii="Verdana" w:hAnsi="Verdana" w:eastAsia="Calibri"/>
                <w:color w:val="595959" w:themeColor="text1" w:themeTint="A6"/>
                <w:sz w:val="18"/>
                <w:szCs w:val="18"/>
                <w:lang w:eastAsia="en-US"/>
              </w:rPr>
              <w:t xml:space="preserve"> </w:t>
            </w:r>
            <w:r w:rsidRPr="00816C97">
              <w:rPr>
                <w:rFonts w:ascii="Verdana" w:hAnsi="Verdana" w:eastAsia="Calibri"/>
                <w:color w:val="595959" w:themeColor="text1" w:themeTint="A6"/>
                <w:sz w:val="18"/>
                <w:szCs w:val="18"/>
                <w:lang w:eastAsia="en-US"/>
              </w:rPr>
              <w:t>het instrument voor nabuurschapsbeleid, ontwikkeling en internationale samenwerking – Europa in de wereld</w:t>
            </w:r>
            <w:r>
              <w:rPr>
                <w:rFonts w:ascii="Verdana" w:hAnsi="Verdana" w:eastAsia="Calibri"/>
                <w:color w:val="595959" w:themeColor="text1" w:themeTint="A6"/>
                <w:sz w:val="18"/>
                <w:szCs w:val="18"/>
                <w:lang w:eastAsia="en-US"/>
              </w:rPr>
              <w:t xml:space="preserve"> </w:t>
            </w:r>
            <w:r w:rsidRPr="00D413F1">
              <w:rPr>
                <w:rFonts w:ascii="Verdana" w:hAnsi="Verdana" w:eastAsia="Calibri"/>
                <w:color w:val="595959" w:themeColor="text1" w:themeTint="A6"/>
                <w:sz w:val="18"/>
                <w:szCs w:val="18"/>
                <w:lang w:eastAsia="en-US"/>
              </w:rPr>
              <w:t>(</w:t>
            </w:r>
            <w:hyperlink w:history="1" r:id="rId17">
              <w:r w:rsidRPr="00D413F1">
                <w:rPr>
                  <w:rStyle w:val="Hyperlink"/>
                  <w:rFonts w:ascii="Verdana" w:hAnsi="Verdana"/>
                  <w:sz w:val="18"/>
                  <w:szCs w:val="18"/>
                </w:rPr>
                <w:t>NDICI</w:t>
              </w:r>
            </w:hyperlink>
            <w:r w:rsidR="00D413F1">
              <w:rPr>
                <w:rStyle w:val="Hyperlink"/>
                <w:rFonts w:ascii="Verdana" w:hAnsi="Verdana"/>
                <w:sz w:val="18"/>
                <w:szCs w:val="18"/>
              </w:rPr>
              <w:t>)</w:t>
            </w:r>
            <w:r w:rsidRPr="00D413F1">
              <w:rPr>
                <w:rStyle w:val="Hyperlink"/>
                <w:rFonts w:ascii="Verdana" w:hAnsi="Verdana"/>
                <w:sz w:val="18"/>
                <w:szCs w:val="18"/>
              </w:rPr>
              <w:t>.</w:t>
            </w:r>
            <w:r>
              <w:rPr>
                <w:rStyle w:val="Hyperlink"/>
                <w:szCs w:val="18"/>
              </w:rPr>
              <w:t xml:space="preserve"> </w:t>
            </w:r>
          </w:p>
          <w:p w:rsidRPr="00816C97" w:rsidR="00183E0B" w:rsidP="00816C97" w:rsidRDefault="003A1B14" w14:paraId="513E88BD" w14:textId="2C0E6BED">
            <w:pPr>
              <w:pStyle w:val="Normaalweb"/>
              <w:spacing w:before="0" w:after="0"/>
              <w:rPr>
                <w:rFonts w:ascii="Verdana" w:hAnsi="Verdana" w:eastAsia="Calibri"/>
                <w:color w:val="595959" w:themeColor="text1" w:themeTint="A6"/>
                <w:sz w:val="18"/>
                <w:szCs w:val="18"/>
                <w:lang w:eastAsia="en-US"/>
              </w:rPr>
            </w:pPr>
            <w:r w:rsidRPr="00816C97">
              <w:rPr>
                <w:rFonts w:ascii="Verdana" w:hAnsi="Verdana" w:eastAsia="Calibri"/>
                <w:color w:val="595959" w:themeColor="text1" w:themeTint="A6"/>
                <w:sz w:val="18"/>
                <w:szCs w:val="18"/>
                <w:lang w:eastAsia="en-US"/>
              </w:rPr>
              <w:t>De Jordaanse economie heeft aanzienlijk te lijden gehad onder langdurige conflicten in de regio, met name in buurland Syrië, en recentelijk in Israël/Gaza en de Rode Zee. Met oog op de vele externe schokken (zoals de COVID-pandemie, de opvang van 640 000 Syrische vluchtelingen en de blootstelling aan prijsschommelingen van grondstoffen) en het belang van Jordanië voor de regio</w:t>
            </w:r>
            <w:r w:rsidRPr="00816C97" w:rsidR="006E591A">
              <w:rPr>
                <w:rFonts w:ascii="Verdana" w:hAnsi="Verdana" w:eastAsia="Calibri"/>
                <w:color w:val="595959" w:themeColor="text1" w:themeTint="A6"/>
                <w:sz w:val="18"/>
                <w:szCs w:val="18"/>
                <w:lang w:eastAsia="en-US"/>
              </w:rPr>
              <w:t>nale stabiliteit</w:t>
            </w:r>
            <w:r w:rsidRPr="00816C97">
              <w:rPr>
                <w:rFonts w:ascii="Verdana" w:hAnsi="Verdana" w:eastAsia="Calibri"/>
                <w:color w:val="595959" w:themeColor="text1" w:themeTint="A6"/>
                <w:sz w:val="18"/>
                <w:szCs w:val="18"/>
                <w:lang w:eastAsia="en-US"/>
              </w:rPr>
              <w:t xml:space="preserve"> heeft het land vanaf 2013 via drie voorgaande MFB-rondes in totaal reeds EUR 1,08 </w:t>
            </w:r>
            <w:proofErr w:type="spellStart"/>
            <w:r w:rsidRPr="00816C97">
              <w:rPr>
                <w:rFonts w:ascii="Verdana" w:hAnsi="Verdana" w:eastAsia="Calibri"/>
                <w:color w:val="595959" w:themeColor="text1" w:themeTint="A6"/>
                <w:sz w:val="18"/>
                <w:szCs w:val="18"/>
                <w:lang w:eastAsia="en-US"/>
              </w:rPr>
              <w:t>mlrd</w:t>
            </w:r>
            <w:proofErr w:type="spellEnd"/>
            <w:r w:rsidRPr="00816C97">
              <w:rPr>
                <w:rFonts w:ascii="Verdana" w:hAnsi="Verdana" w:eastAsia="Calibri"/>
                <w:color w:val="595959" w:themeColor="text1" w:themeTint="A6"/>
                <w:sz w:val="18"/>
                <w:szCs w:val="18"/>
                <w:lang w:eastAsia="en-US"/>
              </w:rPr>
              <w:t xml:space="preserve"> euro </w:t>
            </w:r>
            <w:r w:rsidRPr="00816C97" w:rsidR="0029457B">
              <w:rPr>
                <w:rFonts w:ascii="Verdana" w:hAnsi="Verdana" w:eastAsia="Calibri"/>
                <w:color w:val="595959" w:themeColor="text1" w:themeTint="A6"/>
                <w:sz w:val="18"/>
                <w:szCs w:val="18"/>
                <w:lang w:eastAsia="en-US"/>
              </w:rPr>
              <w:t xml:space="preserve">van de EU </w:t>
            </w:r>
            <w:r w:rsidRPr="00816C97" w:rsidR="006E591A">
              <w:rPr>
                <w:rFonts w:ascii="Verdana" w:hAnsi="Verdana" w:eastAsia="Calibri"/>
                <w:color w:val="595959" w:themeColor="text1" w:themeTint="A6"/>
                <w:sz w:val="18"/>
                <w:szCs w:val="18"/>
                <w:lang w:eastAsia="en-US"/>
              </w:rPr>
              <w:t>geleend</w:t>
            </w:r>
            <w:r w:rsidRPr="00816C97">
              <w:rPr>
                <w:rFonts w:ascii="Verdana" w:hAnsi="Verdana" w:eastAsia="Calibri"/>
                <w:color w:val="595959" w:themeColor="text1" w:themeTint="A6"/>
                <w:sz w:val="18"/>
                <w:szCs w:val="18"/>
                <w:lang w:eastAsia="en-US"/>
              </w:rPr>
              <w:t xml:space="preserve"> gekregen. </w:t>
            </w:r>
            <w:r w:rsidRPr="00816C97" w:rsidR="00183E0B">
              <w:rPr>
                <w:rFonts w:ascii="Verdana" w:hAnsi="Verdana" w:eastAsia="Calibri"/>
                <w:color w:val="595959" w:themeColor="text1" w:themeTint="A6"/>
                <w:sz w:val="18"/>
                <w:szCs w:val="18"/>
                <w:lang w:eastAsia="en-US"/>
              </w:rPr>
              <w:t>Daarnaast is Jordanië begunstigde van andere EU-gelden,</w:t>
            </w:r>
            <w:r w:rsidR="0029457B">
              <w:rPr>
                <w:rFonts w:ascii="Verdana" w:hAnsi="Verdana" w:eastAsia="Calibri"/>
                <w:color w:val="595959" w:themeColor="text1" w:themeTint="A6"/>
                <w:sz w:val="18"/>
                <w:szCs w:val="18"/>
                <w:lang w:eastAsia="en-US"/>
              </w:rPr>
              <w:t xml:space="preserve"> zoals</w:t>
            </w:r>
            <w:r w:rsidRPr="00816C97" w:rsidR="00183E0B">
              <w:rPr>
                <w:rFonts w:ascii="Verdana" w:hAnsi="Verdana" w:eastAsia="Calibri"/>
                <w:color w:val="595959" w:themeColor="text1" w:themeTint="A6"/>
                <w:sz w:val="18"/>
                <w:szCs w:val="18"/>
                <w:lang w:eastAsia="en-US"/>
              </w:rPr>
              <w:t xml:space="preserve"> </w:t>
            </w:r>
            <w:r w:rsidR="00D413F1">
              <w:rPr>
                <w:rFonts w:ascii="Verdana" w:hAnsi="Verdana" w:eastAsia="Calibri"/>
                <w:color w:val="595959" w:themeColor="text1" w:themeTint="A6"/>
                <w:sz w:val="18"/>
                <w:szCs w:val="18"/>
                <w:lang w:eastAsia="en-US"/>
              </w:rPr>
              <w:t xml:space="preserve">NDIC-subsidies </w:t>
            </w:r>
            <w:r w:rsidRPr="00816C97" w:rsidR="00183E0B">
              <w:rPr>
                <w:rFonts w:ascii="Verdana" w:hAnsi="Verdana" w:eastAsia="Calibri"/>
                <w:color w:val="595959" w:themeColor="text1" w:themeTint="A6"/>
                <w:sz w:val="18"/>
                <w:szCs w:val="18"/>
                <w:lang w:eastAsia="en-US"/>
              </w:rPr>
              <w:t xml:space="preserve">en leningen van de Europese Investeringsbank. </w:t>
            </w:r>
            <w:r w:rsidRPr="00816C97">
              <w:rPr>
                <w:rFonts w:ascii="Verdana" w:hAnsi="Verdana" w:eastAsia="Calibri"/>
                <w:color w:val="595959" w:themeColor="text1" w:themeTint="A6"/>
                <w:sz w:val="18"/>
                <w:szCs w:val="18"/>
                <w:lang w:eastAsia="en-US"/>
              </w:rPr>
              <w:t xml:space="preserve">Ook zijn </w:t>
            </w:r>
            <w:r w:rsidRPr="00816C97" w:rsidR="00183E0B">
              <w:rPr>
                <w:rFonts w:ascii="Verdana" w:hAnsi="Verdana" w:eastAsia="Calibri"/>
                <w:color w:val="595959" w:themeColor="text1" w:themeTint="A6"/>
                <w:sz w:val="18"/>
                <w:szCs w:val="18"/>
                <w:lang w:eastAsia="en-US"/>
              </w:rPr>
              <w:t>vanaf 2014</w:t>
            </w:r>
            <w:r w:rsidRPr="00816C97">
              <w:rPr>
                <w:rFonts w:ascii="Verdana" w:hAnsi="Verdana" w:eastAsia="Calibri"/>
                <w:color w:val="595959" w:themeColor="text1" w:themeTint="A6"/>
                <w:sz w:val="18"/>
                <w:szCs w:val="18"/>
                <w:lang w:eastAsia="en-US"/>
              </w:rPr>
              <w:t xml:space="preserve"> </w:t>
            </w:r>
            <w:r w:rsidRPr="00816C97" w:rsidR="006E591A">
              <w:rPr>
                <w:rFonts w:ascii="Verdana" w:hAnsi="Verdana" w:eastAsia="Calibri"/>
                <w:color w:val="595959" w:themeColor="text1" w:themeTint="A6"/>
                <w:sz w:val="18"/>
                <w:szCs w:val="18"/>
                <w:lang w:eastAsia="en-US"/>
              </w:rPr>
              <w:t xml:space="preserve">met het Internationaal Monetair Fonds </w:t>
            </w:r>
            <w:r w:rsidRPr="00816C97">
              <w:rPr>
                <w:rFonts w:ascii="Verdana" w:hAnsi="Verdana" w:eastAsia="Calibri"/>
                <w:color w:val="595959" w:themeColor="text1" w:themeTint="A6"/>
                <w:sz w:val="18"/>
                <w:szCs w:val="18"/>
                <w:lang w:eastAsia="en-US"/>
              </w:rPr>
              <w:t xml:space="preserve">vier </w:t>
            </w:r>
            <w:r w:rsidR="00761D1B">
              <w:rPr>
                <w:rFonts w:ascii="Verdana" w:hAnsi="Verdana" w:eastAsia="Calibri"/>
                <w:color w:val="595959" w:themeColor="text1" w:themeTint="A6"/>
                <w:sz w:val="18"/>
                <w:szCs w:val="18"/>
                <w:lang w:eastAsia="en-US"/>
              </w:rPr>
              <w:t xml:space="preserve">achtereenvolgende </w:t>
            </w:r>
            <w:r w:rsidRPr="00816C97" w:rsidR="006E591A">
              <w:rPr>
                <w:rFonts w:ascii="Verdana" w:hAnsi="Verdana" w:eastAsia="Calibri"/>
                <w:color w:val="595959" w:themeColor="text1" w:themeTint="A6"/>
                <w:sz w:val="18"/>
                <w:szCs w:val="18"/>
                <w:lang w:eastAsia="en-US"/>
              </w:rPr>
              <w:t>steun</w:t>
            </w:r>
            <w:r w:rsidRPr="00816C97">
              <w:rPr>
                <w:rFonts w:ascii="Verdana" w:hAnsi="Verdana" w:eastAsia="Calibri"/>
                <w:color w:val="595959" w:themeColor="text1" w:themeTint="A6"/>
                <w:sz w:val="18"/>
                <w:szCs w:val="18"/>
                <w:lang w:eastAsia="en-US"/>
              </w:rPr>
              <w:t xml:space="preserve">programma’s </w:t>
            </w:r>
            <w:r w:rsidRPr="00816C97" w:rsidR="006E591A">
              <w:rPr>
                <w:rFonts w:ascii="Verdana" w:hAnsi="Verdana" w:eastAsia="Calibri"/>
                <w:color w:val="595959" w:themeColor="text1" w:themeTint="A6"/>
                <w:sz w:val="18"/>
                <w:szCs w:val="18"/>
                <w:lang w:eastAsia="en-US"/>
              </w:rPr>
              <w:t xml:space="preserve">overeengekomen </w:t>
            </w:r>
            <w:r w:rsidRPr="00816C97">
              <w:rPr>
                <w:rFonts w:ascii="Verdana" w:hAnsi="Verdana" w:eastAsia="Calibri"/>
                <w:color w:val="595959" w:themeColor="text1" w:themeTint="A6"/>
                <w:sz w:val="18"/>
                <w:szCs w:val="18"/>
                <w:lang w:eastAsia="en-US"/>
              </w:rPr>
              <w:t xml:space="preserve">en </w:t>
            </w:r>
            <w:r w:rsidRPr="00816C97" w:rsidR="006E591A">
              <w:rPr>
                <w:rFonts w:ascii="Verdana" w:hAnsi="Verdana" w:eastAsia="Calibri"/>
                <w:color w:val="595959" w:themeColor="text1" w:themeTint="A6"/>
                <w:sz w:val="18"/>
                <w:szCs w:val="18"/>
                <w:lang w:eastAsia="en-US"/>
              </w:rPr>
              <w:t xml:space="preserve">is door </w:t>
            </w:r>
            <w:r w:rsidRPr="00816C97">
              <w:rPr>
                <w:rFonts w:ascii="Verdana" w:hAnsi="Verdana" w:eastAsia="Calibri"/>
                <w:color w:val="595959" w:themeColor="text1" w:themeTint="A6"/>
                <w:sz w:val="18"/>
                <w:szCs w:val="18"/>
                <w:lang w:eastAsia="en-US"/>
              </w:rPr>
              <w:t xml:space="preserve">de Verenigde Staten aanzienlijke </w:t>
            </w:r>
            <w:r w:rsidRPr="00816C97" w:rsidR="006E591A">
              <w:rPr>
                <w:rFonts w:ascii="Verdana" w:hAnsi="Verdana" w:eastAsia="Calibri"/>
                <w:color w:val="595959" w:themeColor="text1" w:themeTint="A6"/>
                <w:sz w:val="18"/>
                <w:szCs w:val="18"/>
                <w:lang w:eastAsia="en-US"/>
              </w:rPr>
              <w:t>subsidie</w:t>
            </w:r>
            <w:r w:rsidRPr="00816C97">
              <w:rPr>
                <w:rFonts w:ascii="Verdana" w:hAnsi="Verdana" w:eastAsia="Calibri"/>
                <w:color w:val="595959" w:themeColor="text1" w:themeTint="A6"/>
                <w:sz w:val="18"/>
                <w:szCs w:val="18"/>
                <w:lang w:eastAsia="en-US"/>
              </w:rPr>
              <w:t>steun verleend</w:t>
            </w:r>
            <w:r w:rsidRPr="00816C97" w:rsidR="006E591A">
              <w:rPr>
                <w:rFonts w:ascii="Verdana" w:hAnsi="Verdana" w:eastAsia="Calibri"/>
                <w:color w:val="595959" w:themeColor="text1" w:themeTint="A6"/>
                <w:sz w:val="18"/>
                <w:szCs w:val="18"/>
                <w:lang w:eastAsia="en-US"/>
              </w:rPr>
              <w:t>.</w:t>
            </w:r>
          </w:p>
          <w:p w:rsidRPr="00DD3DF7" w:rsidR="00897AF1" w:rsidP="00F55012" w:rsidRDefault="00897AF1" w14:paraId="7D7ED340" w14:textId="310EEAFC">
            <w:pPr>
              <w:spacing w:after="240"/>
              <w:rPr>
                <w:szCs w:val="18"/>
              </w:rPr>
            </w:pPr>
          </w:p>
        </w:tc>
      </w:tr>
    </w:tbl>
    <w:p w:rsidR="00897AF1" w:rsidP="00897AF1" w:rsidRDefault="00897AF1" w14:paraId="21654B1A" w14:textId="0D20DC57">
      <w:pPr>
        <w:rPr>
          <w:szCs w:val="18"/>
        </w:rPr>
      </w:pPr>
    </w:p>
    <w:p w:rsidRPr="00DD3DF7" w:rsidR="00897AF1" w:rsidP="00897AF1" w:rsidRDefault="00897AF1" w14:paraId="30D74B8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134"/>
        <w:gridCol w:w="6378"/>
      </w:tblGrid>
      <w:tr w:rsidRPr="00DD3DF7" w:rsidR="00897AF1" w:rsidTr="00F55012" w14:paraId="5314C16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D3DF7" w:rsidR="00897AF1" w:rsidP="00F55012" w:rsidRDefault="00897AF1" w14:paraId="4E7907E7" w14:textId="77777777">
            <w:pPr>
              <w:pStyle w:val="Lijstalinea"/>
              <w:numPr>
                <w:ilvl w:val="0"/>
                <w:numId w:val="10"/>
              </w:numPr>
              <w:spacing w:after="240"/>
              <w:ind w:left="312"/>
              <w:rPr>
                <w:szCs w:val="18"/>
              </w:rPr>
            </w:pPr>
          </w:p>
        </w:tc>
        <w:tc>
          <w:tcPr>
            <w:tcW w:w="1134" w:type="dxa"/>
          </w:tcPr>
          <w:p w:rsidRPr="00DD3DF7" w:rsidR="00897AF1" w:rsidP="00F55012" w:rsidRDefault="00897AF1" w14:paraId="143119EA" w14:textId="77777777">
            <w:pPr>
              <w:spacing w:after="240"/>
            </w:pPr>
            <w:r w:rsidRPr="00DD3DF7">
              <w:t>Titel</w:t>
            </w:r>
          </w:p>
        </w:tc>
        <w:tc>
          <w:tcPr>
            <w:tcW w:w="6378" w:type="dxa"/>
          </w:tcPr>
          <w:p w:rsidRPr="009C4971" w:rsidR="00897AF1" w:rsidP="008A05E5" w:rsidRDefault="008A05E5" w14:paraId="3ABBD630" w14:textId="566D8B5F">
            <w:pPr>
              <w:shd w:val="clear" w:color="auto" w:fill="FFFFFF"/>
              <w:spacing w:after="75"/>
              <w:rPr>
                <w:szCs w:val="18"/>
              </w:rPr>
            </w:pPr>
            <w:r w:rsidRPr="008A05E5">
              <w:rPr>
                <w:szCs w:val="18"/>
              </w:rPr>
              <w:t>Voorstel voor een UITVOERINGSBESLUIT VAN DE RAAD waarbij Roemenië wordt gemachtigd bijzondere maatregelen toe te passen die afwijken van artikel 26, lid 1, punt a), en artikel 168 van Richtlijn 2006/112/EG betreffende het gemeenschappelijke stelsel van belasting over de toege</w:t>
            </w:r>
            <w:r>
              <w:rPr>
                <w:szCs w:val="18"/>
              </w:rPr>
              <w:t xml:space="preserve">voegde waarde </w:t>
            </w:r>
            <w:hyperlink w:history="1" r:id="rId18">
              <w:r w:rsidRPr="008A05E5">
                <w:rPr>
                  <w:rStyle w:val="Hyperlink"/>
                  <w:szCs w:val="18"/>
                </w:rPr>
                <w:t>COM</w:t>
              </w:r>
              <w:r w:rsidR="00E82419">
                <w:rPr>
                  <w:rStyle w:val="Hyperlink"/>
                  <w:szCs w:val="18"/>
                </w:rPr>
                <w:t>(2024)</w:t>
              </w:r>
              <w:r w:rsidRPr="008A05E5">
                <w:rPr>
                  <w:rStyle w:val="Hyperlink"/>
                  <w:szCs w:val="18"/>
                </w:rPr>
                <w:t>154</w:t>
              </w:r>
            </w:hyperlink>
          </w:p>
        </w:tc>
      </w:tr>
      <w:tr w:rsidRPr="00DD3DF7" w:rsidR="00897AF1" w:rsidTr="00F55012" w14:paraId="0DAFDCEC" w14:textId="77777777">
        <w:tc>
          <w:tcPr>
            <w:tcW w:w="421" w:type="dxa"/>
            <w:vMerge/>
            <w:tcBorders>
              <w:top w:val="nil"/>
              <w:bottom w:val="single" w:color="D9D9D9" w:themeColor="background1" w:themeShade="D9" w:sz="4" w:space="0"/>
            </w:tcBorders>
            <w:shd w:val="clear" w:color="auto" w:fill="F2F2F2" w:themeFill="background1" w:themeFillShade="F2"/>
          </w:tcPr>
          <w:p w:rsidRPr="00DD3DF7" w:rsidR="00897AF1" w:rsidP="00F55012" w:rsidRDefault="00897AF1" w14:paraId="5E4CA80B" w14:textId="77777777">
            <w:pPr>
              <w:spacing w:after="240"/>
              <w:rPr>
                <w:szCs w:val="18"/>
              </w:rPr>
            </w:pPr>
          </w:p>
        </w:tc>
        <w:tc>
          <w:tcPr>
            <w:tcW w:w="1134" w:type="dxa"/>
          </w:tcPr>
          <w:p w:rsidRPr="00DD3DF7" w:rsidR="00897AF1" w:rsidP="00F55012" w:rsidRDefault="001843F0" w14:paraId="3DD7921A" w14:textId="472D0DC6">
            <w:pPr>
              <w:spacing w:after="240"/>
              <w:rPr>
                <w:szCs w:val="18"/>
              </w:rPr>
            </w:pPr>
            <w:r>
              <w:t>Voorstel</w:t>
            </w:r>
          </w:p>
        </w:tc>
        <w:tc>
          <w:tcPr>
            <w:tcW w:w="6378" w:type="dxa"/>
          </w:tcPr>
          <w:p w:rsidRPr="00D413F1" w:rsidR="00897AF1" w:rsidP="00F55012" w:rsidRDefault="00D413F1" w14:paraId="120CBCB3" w14:textId="288CDF9F">
            <w:pPr>
              <w:spacing w:after="240"/>
              <w:rPr>
                <w:bCs/>
              </w:rPr>
            </w:pPr>
            <w:r>
              <w:rPr>
                <w:bCs/>
              </w:rPr>
              <w:t>Voor kennisgeving aannemen</w:t>
            </w:r>
          </w:p>
        </w:tc>
      </w:tr>
      <w:tr w:rsidRPr="00DD3DF7" w:rsidR="00897AF1" w:rsidTr="00F55012" w14:paraId="4C86014E" w14:textId="77777777">
        <w:tc>
          <w:tcPr>
            <w:tcW w:w="421" w:type="dxa"/>
            <w:vMerge/>
            <w:tcBorders>
              <w:top w:val="nil"/>
              <w:bottom w:val="single" w:color="D9D9D9" w:themeColor="background1" w:themeShade="D9" w:sz="4" w:space="0"/>
            </w:tcBorders>
            <w:shd w:val="clear" w:color="auto" w:fill="F2F2F2" w:themeFill="background1" w:themeFillShade="F2"/>
          </w:tcPr>
          <w:p w:rsidRPr="00DD3DF7" w:rsidR="00897AF1" w:rsidP="00F55012" w:rsidRDefault="00897AF1" w14:paraId="2EBAFE8F" w14:textId="77777777">
            <w:pPr>
              <w:spacing w:after="240"/>
              <w:rPr>
                <w:szCs w:val="18"/>
              </w:rPr>
            </w:pPr>
          </w:p>
        </w:tc>
        <w:tc>
          <w:tcPr>
            <w:tcW w:w="1134" w:type="dxa"/>
          </w:tcPr>
          <w:p w:rsidRPr="00DD3DF7" w:rsidR="00897AF1" w:rsidP="00F55012" w:rsidRDefault="001843F0" w14:paraId="56C48FF6" w14:textId="3E1A9CCC">
            <w:pPr>
              <w:spacing w:after="240"/>
            </w:pPr>
            <w:r w:rsidRPr="00A9227F">
              <w:rPr>
                <w:color w:val="595959" w:themeColor="text1" w:themeTint="A6"/>
                <w:szCs w:val="18"/>
              </w:rPr>
              <w:t>Noot</w:t>
            </w:r>
          </w:p>
        </w:tc>
        <w:tc>
          <w:tcPr>
            <w:tcW w:w="6378" w:type="dxa"/>
          </w:tcPr>
          <w:p w:rsidRPr="007D5690" w:rsidR="00816C97" w:rsidP="00816C97" w:rsidRDefault="00D413F1" w14:paraId="649F1EA9" w14:textId="5D41E5D4">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r w:rsidRPr="007D5690">
              <w:rPr>
                <w:rFonts w:ascii="Verdana" w:hAnsi="Verdana" w:eastAsia="Calibri"/>
                <w:color w:val="595959" w:themeColor="text1" w:themeTint="A6"/>
                <w:sz w:val="18"/>
                <w:szCs w:val="18"/>
                <w:lang w:eastAsia="en-US"/>
              </w:rPr>
              <w:t>De Raad is bevoegd om met eenparigheid van stemmen en op voorstel van de Commissie een</w:t>
            </w:r>
            <w:r w:rsidRPr="007D5690" w:rsidR="00816C97">
              <w:rPr>
                <w:rFonts w:ascii="Verdana" w:hAnsi="Verdana" w:eastAsia="Calibri"/>
                <w:color w:val="595959" w:themeColor="text1" w:themeTint="A6"/>
                <w:sz w:val="18"/>
                <w:szCs w:val="18"/>
                <w:lang w:eastAsia="en-US"/>
              </w:rPr>
              <w:t xml:space="preserve"> lidstaat </w:t>
            </w:r>
            <w:r w:rsidRPr="007D5690">
              <w:rPr>
                <w:rFonts w:ascii="Verdana" w:hAnsi="Verdana" w:eastAsia="Calibri"/>
                <w:color w:val="595959" w:themeColor="text1" w:themeTint="A6"/>
                <w:sz w:val="18"/>
                <w:szCs w:val="18"/>
                <w:lang w:eastAsia="en-US"/>
              </w:rPr>
              <w:t xml:space="preserve">te machtigen </w:t>
            </w:r>
            <w:r w:rsidRPr="007D5690" w:rsidR="007D5690">
              <w:rPr>
                <w:rFonts w:ascii="Verdana" w:hAnsi="Verdana" w:eastAsia="Calibri"/>
                <w:color w:val="595959" w:themeColor="text1" w:themeTint="A6"/>
                <w:sz w:val="18"/>
                <w:szCs w:val="18"/>
                <w:lang w:eastAsia="en-US"/>
              </w:rPr>
              <w:t>bijzondere maatregelen te nemen die afwijken van de btw-richtlijn</w:t>
            </w:r>
            <w:r w:rsidRPr="007D5690" w:rsidR="00816C97">
              <w:rPr>
                <w:rFonts w:ascii="Verdana" w:hAnsi="Verdana" w:eastAsia="Calibri"/>
                <w:color w:val="595959" w:themeColor="text1" w:themeTint="A6"/>
                <w:sz w:val="18"/>
                <w:szCs w:val="18"/>
                <w:lang w:eastAsia="en-US"/>
              </w:rPr>
              <w:t>, teneinde de belastinginning te vereenvoudigen of bepaalde vormen van belastingfraude of -ontwijking te voorkomen.</w:t>
            </w:r>
          </w:p>
          <w:p w:rsidRPr="007D5690" w:rsidR="00D413F1" w:rsidP="00816C97" w:rsidRDefault="00D413F1" w14:paraId="2800EB40" w14:textId="52C69CF0">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p>
          <w:p w:rsidRPr="007D5690" w:rsidR="00D413F1" w:rsidP="00816C97" w:rsidRDefault="00D413F1" w14:paraId="6EEFCCF5" w14:textId="702E81B5">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r w:rsidRPr="007D5690">
              <w:rPr>
                <w:rFonts w:ascii="Verdana" w:hAnsi="Verdana" w:eastAsia="Calibri"/>
                <w:color w:val="595959" w:themeColor="text1" w:themeTint="A6"/>
                <w:sz w:val="18"/>
                <w:szCs w:val="18"/>
                <w:lang w:eastAsia="en-US"/>
              </w:rPr>
              <w:t xml:space="preserve">Het </w:t>
            </w:r>
            <w:r w:rsidR="00436C33">
              <w:rPr>
                <w:rFonts w:ascii="Verdana" w:hAnsi="Verdana" w:eastAsia="Calibri"/>
                <w:color w:val="595959" w:themeColor="text1" w:themeTint="A6"/>
                <w:sz w:val="18"/>
                <w:szCs w:val="18"/>
                <w:lang w:eastAsia="en-US"/>
              </w:rPr>
              <w:t xml:space="preserve">onderhavig </w:t>
            </w:r>
            <w:r w:rsidRPr="007D5690">
              <w:rPr>
                <w:rFonts w:ascii="Verdana" w:hAnsi="Verdana" w:eastAsia="Calibri"/>
                <w:color w:val="595959" w:themeColor="text1" w:themeTint="A6"/>
                <w:sz w:val="18"/>
                <w:szCs w:val="18"/>
                <w:lang w:eastAsia="en-US"/>
              </w:rPr>
              <w:t xml:space="preserve">voorstel van de Commissie volgt op verzoek van Roemenië om </w:t>
            </w:r>
            <w:r w:rsidRPr="007D5690" w:rsidR="00816C97">
              <w:rPr>
                <w:rFonts w:ascii="Verdana" w:hAnsi="Verdana" w:eastAsia="Calibri"/>
                <w:color w:val="595959" w:themeColor="text1" w:themeTint="A6"/>
                <w:sz w:val="18"/>
                <w:szCs w:val="18"/>
                <w:lang w:eastAsia="en-US"/>
              </w:rPr>
              <w:t xml:space="preserve">verlenging van de afwijking van artikel 168 en artikel 26, lid 1, punt a), van de btw-richtlijn, teneinde het recht op aftrek van de voorbelasting op uitgaven in verband met motorvoertuigen die niet uitsluitend voor bedrijfsdoeleinden worden gebruikt, te mogen blijven beperken en belastingplichtigen te mogen blijven ontheffen van de verplichting om het privégebruik van die voertuigen aan te merken als een dienst onder bezwarende titel. </w:t>
            </w:r>
          </w:p>
          <w:p w:rsidRPr="007D5690" w:rsidR="007D5690" w:rsidP="00816C97" w:rsidRDefault="007D5690" w14:paraId="2DCF0A3F" w14:textId="1B050B45">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p>
          <w:p w:rsidRPr="007D5690" w:rsidR="00897AF1" w:rsidP="007D5690" w:rsidRDefault="007D5690" w14:paraId="4DD3AC4E" w14:textId="1B43B9ED">
            <w:pPr>
              <w:pStyle w:val="Standaard1"/>
              <w:shd w:val="clear" w:color="auto" w:fill="FFFFFF"/>
              <w:spacing w:before="0" w:beforeAutospacing="0" w:after="0" w:afterAutospacing="0"/>
              <w:jc w:val="both"/>
              <w:rPr>
                <w:color w:val="333333"/>
                <w:sz w:val="27"/>
                <w:szCs w:val="27"/>
              </w:rPr>
            </w:pPr>
            <w:r w:rsidRPr="007D5690">
              <w:rPr>
                <w:rFonts w:ascii="Verdana" w:hAnsi="Verdana" w:eastAsia="Calibri"/>
                <w:color w:val="595959" w:themeColor="text1" w:themeTint="A6"/>
                <w:sz w:val="18"/>
                <w:szCs w:val="18"/>
                <w:lang w:eastAsia="en-US"/>
              </w:rPr>
              <w:t xml:space="preserve">Vanaf 2015 heeft Roemenië tijdelijke machtigingen ontvangen om deze afwijkende maatregelen te nemen. De machtiging overeenkomstig het onderhavige voorstel loopt in 2026 af.  </w:t>
            </w:r>
          </w:p>
        </w:tc>
      </w:tr>
    </w:tbl>
    <w:p w:rsidRPr="00DD3DF7" w:rsidR="00897AF1" w:rsidP="00897AF1" w:rsidRDefault="00897AF1" w14:paraId="726675F2" w14:textId="77777777">
      <w:pPr>
        <w:rPr>
          <w:szCs w:val="18"/>
        </w:rPr>
      </w:pPr>
    </w:p>
    <w:p w:rsidRPr="00DD3DF7" w:rsidR="00FC282C" w:rsidP="00FC282C" w:rsidRDefault="00FC282C" w14:paraId="3E5BA0C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134"/>
        <w:gridCol w:w="6378"/>
      </w:tblGrid>
      <w:tr w:rsidRPr="00DD3DF7" w:rsidR="00FC282C" w:rsidTr="00A50AF5" w14:paraId="03427658"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DD3DF7" w:rsidR="00FC282C" w:rsidP="00A50AF5" w:rsidRDefault="00FC282C" w14:paraId="5C32A9B5" w14:textId="77777777">
            <w:pPr>
              <w:pStyle w:val="Lijstalinea"/>
              <w:numPr>
                <w:ilvl w:val="0"/>
                <w:numId w:val="10"/>
              </w:numPr>
              <w:spacing w:after="240"/>
              <w:ind w:left="312"/>
              <w:rPr>
                <w:szCs w:val="18"/>
              </w:rPr>
            </w:pPr>
          </w:p>
        </w:tc>
        <w:tc>
          <w:tcPr>
            <w:tcW w:w="1134" w:type="dxa"/>
          </w:tcPr>
          <w:p w:rsidRPr="00DD3DF7" w:rsidR="00FC282C" w:rsidP="00A50AF5" w:rsidRDefault="00FC282C" w14:paraId="1EA57B4B" w14:textId="77777777">
            <w:pPr>
              <w:spacing w:after="240"/>
            </w:pPr>
            <w:r w:rsidRPr="00DD3DF7">
              <w:t>Titel</w:t>
            </w:r>
          </w:p>
        </w:tc>
        <w:tc>
          <w:tcPr>
            <w:tcW w:w="6378" w:type="dxa"/>
          </w:tcPr>
          <w:p w:rsidRPr="009C4971" w:rsidR="00FC282C" w:rsidP="00FC282C" w:rsidRDefault="00FC282C" w14:paraId="4D77AD5C" w14:textId="1F8C8C77">
            <w:pPr>
              <w:shd w:val="clear" w:color="auto" w:fill="FFFFFF"/>
              <w:spacing w:after="75"/>
              <w:rPr>
                <w:szCs w:val="18"/>
              </w:rPr>
            </w:pPr>
            <w:r w:rsidRPr="00FC282C">
              <w:rPr>
                <w:szCs w:val="18"/>
              </w:rPr>
              <w:t>Voorstel voor een UITVOERINGSBESLUIT VAN DE RAAD waarbij de Republiek Letland wordt gemachtigd een bijzondere maatregel toe te passen die afwijkt van artikel 287 van Richtlijn 2006/112/EG betreffende het gemeenschappelijke stelsel van belasting over de toegevoegde waarde, en tot intrekking van Uitvoe</w:t>
            </w:r>
            <w:r>
              <w:rPr>
                <w:szCs w:val="18"/>
              </w:rPr>
              <w:t xml:space="preserve">ringsbesluit (EU) 2017/2408 </w:t>
            </w:r>
            <w:hyperlink w:history="1" r:id="rId19">
              <w:r w:rsidRPr="00FC282C">
                <w:rPr>
                  <w:rStyle w:val="Hyperlink"/>
                  <w:szCs w:val="18"/>
                </w:rPr>
                <w:t>COM</w:t>
              </w:r>
              <w:r w:rsidR="00E82419">
                <w:rPr>
                  <w:rStyle w:val="Hyperlink"/>
                  <w:szCs w:val="18"/>
                </w:rPr>
                <w:t>(2024)</w:t>
              </w:r>
              <w:r w:rsidRPr="00FC282C">
                <w:rPr>
                  <w:rStyle w:val="Hyperlink"/>
                  <w:szCs w:val="18"/>
                </w:rPr>
                <w:t>152</w:t>
              </w:r>
            </w:hyperlink>
          </w:p>
        </w:tc>
      </w:tr>
      <w:tr w:rsidRPr="00DD3DF7" w:rsidR="00FC282C" w:rsidTr="00A50AF5" w14:paraId="734AB88A" w14:textId="77777777">
        <w:tc>
          <w:tcPr>
            <w:tcW w:w="421" w:type="dxa"/>
            <w:vMerge/>
            <w:tcBorders>
              <w:top w:val="nil"/>
              <w:bottom w:val="single" w:color="D9D9D9" w:themeColor="background1" w:themeShade="D9" w:sz="4" w:space="0"/>
            </w:tcBorders>
            <w:shd w:val="clear" w:color="auto" w:fill="F2F2F2" w:themeFill="background1" w:themeFillShade="F2"/>
          </w:tcPr>
          <w:p w:rsidRPr="00DD3DF7" w:rsidR="00FC282C" w:rsidP="00A50AF5" w:rsidRDefault="00FC282C" w14:paraId="27C2D23B" w14:textId="77777777">
            <w:pPr>
              <w:spacing w:after="240"/>
              <w:rPr>
                <w:szCs w:val="18"/>
              </w:rPr>
            </w:pPr>
          </w:p>
        </w:tc>
        <w:tc>
          <w:tcPr>
            <w:tcW w:w="1134" w:type="dxa"/>
          </w:tcPr>
          <w:p w:rsidRPr="00DD3DF7" w:rsidR="00FC282C" w:rsidP="00A50AF5" w:rsidRDefault="001843F0" w14:paraId="7807E71E" w14:textId="401923F8">
            <w:pPr>
              <w:spacing w:after="240"/>
              <w:rPr>
                <w:szCs w:val="18"/>
              </w:rPr>
            </w:pPr>
            <w:r>
              <w:t>Voorstel</w:t>
            </w:r>
          </w:p>
        </w:tc>
        <w:tc>
          <w:tcPr>
            <w:tcW w:w="6378" w:type="dxa"/>
          </w:tcPr>
          <w:p w:rsidRPr="007D5690" w:rsidR="00FC282C" w:rsidP="00A50AF5" w:rsidRDefault="007D5690" w14:paraId="623A57E4" w14:textId="7C858321">
            <w:pPr>
              <w:spacing w:after="240"/>
              <w:rPr>
                <w:bCs/>
              </w:rPr>
            </w:pPr>
            <w:r>
              <w:rPr>
                <w:bCs/>
              </w:rPr>
              <w:t>Voor kennisgeving aannemen</w:t>
            </w:r>
          </w:p>
        </w:tc>
      </w:tr>
      <w:tr w:rsidRPr="00DD3DF7" w:rsidR="00FC282C" w:rsidTr="00A50AF5" w14:paraId="0E8298BF" w14:textId="77777777">
        <w:tc>
          <w:tcPr>
            <w:tcW w:w="421" w:type="dxa"/>
            <w:vMerge/>
            <w:tcBorders>
              <w:top w:val="nil"/>
              <w:bottom w:val="single" w:color="D9D9D9" w:themeColor="background1" w:themeShade="D9" w:sz="4" w:space="0"/>
            </w:tcBorders>
            <w:shd w:val="clear" w:color="auto" w:fill="F2F2F2" w:themeFill="background1" w:themeFillShade="F2"/>
          </w:tcPr>
          <w:p w:rsidRPr="00DD3DF7" w:rsidR="00FC282C" w:rsidP="00A50AF5" w:rsidRDefault="00FC282C" w14:paraId="149689DC" w14:textId="77777777">
            <w:pPr>
              <w:spacing w:after="240"/>
              <w:rPr>
                <w:szCs w:val="18"/>
              </w:rPr>
            </w:pPr>
          </w:p>
        </w:tc>
        <w:tc>
          <w:tcPr>
            <w:tcW w:w="1134" w:type="dxa"/>
          </w:tcPr>
          <w:p w:rsidRPr="00DD3DF7" w:rsidR="00FC282C" w:rsidP="00A50AF5" w:rsidRDefault="001843F0" w14:paraId="6E337CFC" w14:textId="3214411E">
            <w:pPr>
              <w:spacing w:after="240"/>
            </w:pPr>
            <w:r w:rsidRPr="00A9227F">
              <w:rPr>
                <w:color w:val="595959" w:themeColor="text1" w:themeTint="A6"/>
                <w:szCs w:val="18"/>
              </w:rPr>
              <w:t>Noot</w:t>
            </w:r>
          </w:p>
        </w:tc>
        <w:tc>
          <w:tcPr>
            <w:tcW w:w="6378" w:type="dxa"/>
          </w:tcPr>
          <w:p w:rsidR="007D5690" w:rsidP="007D5690" w:rsidRDefault="007D5690" w14:paraId="2B71B151" w14:textId="202D1C94">
            <w:pPr>
              <w:spacing w:after="240"/>
              <w:rPr>
                <w:color w:val="595959" w:themeColor="text1" w:themeTint="A6"/>
                <w:szCs w:val="18"/>
              </w:rPr>
            </w:pPr>
            <w:r w:rsidRPr="007D5690">
              <w:rPr>
                <w:color w:val="595959" w:themeColor="text1" w:themeTint="A6"/>
                <w:szCs w:val="18"/>
              </w:rPr>
              <w:t>De Raad is bevoegd om met eenparigheid van stemmen en op voorstel van de Commissie een lidstaat te machtigen bijzondere maatregelen te nemen die afwijken van de btw-richtlijn, teneinde de belastinginning te vereenvoudigen of bepaalde vormen van belastingfraude of -ontwijking te voorkomen.</w:t>
            </w:r>
          </w:p>
          <w:p w:rsidR="00436C33" w:rsidP="007D5690" w:rsidRDefault="00436C33" w14:paraId="769174B6" w14:textId="4D68B920">
            <w:pPr>
              <w:spacing w:after="240"/>
              <w:rPr>
                <w:color w:val="595959" w:themeColor="text1" w:themeTint="A6"/>
                <w:szCs w:val="18"/>
              </w:rPr>
            </w:pPr>
            <w:r>
              <w:rPr>
                <w:color w:val="595959" w:themeColor="text1" w:themeTint="A6"/>
                <w:szCs w:val="18"/>
              </w:rPr>
              <w:t>Het onderhavige voorstel van de Commissie volgt op verzoek van Letland om aanpassing van een eerder ontvangen machtiging voor een</w:t>
            </w:r>
            <w:r w:rsidRPr="00436C33">
              <w:rPr>
                <w:color w:val="595959" w:themeColor="text1" w:themeTint="A6"/>
                <w:szCs w:val="18"/>
              </w:rPr>
              <w:t xml:space="preserve"> </w:t>
            </w:r>
            <w:r w:rsidR="0029457B">
              <w:rPr>
                <w:color w:val="595959" w:themeColor="text1" w:themeTint="A6"/>
                <w:szCs w:val="18"/>
              </w:rPr>
              <w:t>bijzondere maatregel</w:t>
            </w:r>
            <w:r w:rsidRPr="00436C33">
              <w:rPr>
                <w:color w:val="595959" w:themeColor="text1" w:themeTint="A6"/>
                <w:szCs w:val="18"/>
              </w:rPr>
              <w:t xml:space="preserve"> waarbij</w:t>
            </w:r>
            <w:r w:rsidR="0029457B">
              <w:rPr>
                <w:color w:val="595959" w:themeColor="text1" w:themeTint="A6"/>
                <w:szCs w:val="18"/>
              </w:rPr>
              <w:t>, in afwijking</w:t>
            </w:r>
            <w:r w:rsidRPr="00436C33" w:rsidR="0029457B">
              <w:rPr>
                <w:color w:val="595959" w:themeColor="text1" w:themeTint="A6"/>
                <w:szCs w:val="18"/>
              </w:rPr>
              <w:t xml:space="preserve"> van artikel 287 van de btw-richtlijn</w:t>
            </w:r>
            <w:r w:rsidR="0029457B">
              <w:rPr>
                <w:color w:val="595959" w:themeColor="text1" w:themeTint="A6"/>
                <w:szCs w:val="18"/>
              </w:rPr>
              <w:t>,</w:t>
            </w:r>
            <w:r w:rsidRPr="00436C33">
              <w:rPr>
                <w:color w:val="595959" w:themeColor="text1" w:themeTint="A6"/>
                <w:szCs w:val="18"/>
              </w:rPr>
              <w:t xml:space="preserve"> vrijstelling van de btw wordt verleend aan belastingplichtigen met een jaaromzet die ten hoogste gelijk is aan 40 000 EUR.</w:t>
            </w:r>
          </w:p>
          <w:p w:rsidRPr="00436C33" w:rsidR="00FC282C" w:rsidP="0029457B" w:rsidRDefault="00436C33" w14:paraId="484EB500" w14:textId="49A37DF1">
            <w:pPr>
              <w:spacing w:after="240"/>
              <w:rPr>
                <w:color w:val="595959" w:themeColor="text1" w:themeTint="A6"/>
                <w:szCs w:val="18"/>
              </w:rPr>
            </w:pPr>
            <w:r>
              <w:rPr>
                <w:color w:val="595959" w:themeColor="text1" w:themeTint="A6"/>
                <w:szCs w:val="18"/>
              </w:rPr>
              <w:t xml:space="preserve">Ingevolge het onderhavige voorstel zou dit drempelbedrag worden opgehoogd tot 50 000 euro. De machtiging </w:t>
            </w:r>
            <w:r w:rsidR="0029457B">
              <w:rPr>
                <w:color w:val="595959" w:themeColor="text1" w:themeTint="A6"/>
                <w:szCs w:val="18"/>
              </w:rPr>
              <w:t>zal</w:t>
            </w:r>
            <w:r>
              <w:rPr>
                <w:color w:val="595959" w:themeColor="text1" w:themeTint="A6"/>
                <w:szCs w:val="18"/>
              </w:rPr>
              <w:t xml:space="preserve"> nog steeds op 31 december 2024 aflopen. Vanaf 2017 had Letland verscheidene machtigingen ontvangen voor wisselende drempelbedragen. </w:t>
            </w:r>
          </w:p>
        </w:tc>
      </w:tr>
    </w:tbl>
    <w:p w:rsidRPr="00DD3DF7" w:rsidR="00FC282C" w:rsidP="00FC282C" w:rsidRDefault="00FC282C" w14:paraId="5E937A67" w14:textId="77777777">
      <w:pPr>
        <w:rPr>
          <w:szCs w:val="18"/>
        </w:rPr>
      </w:pPr>
    </w:p>
    <w:p w:rsidRPr="00DD3DF7" w:rsidR="00FC282C" w:rsidP="00FC282C" w:rsidRDefault="00FC282C" w14:paraId="1F27259D" w14:textId="77777777">
      <w:pPr>
        <w:rPr>
          <w:szCs w:val="18"/>
        </w:rPr>
      </w:pPr>
    </w:p>
    <w:p w:rsidRPr="00EF00C7" w:rsidR="00FC282C" w:rsidP="00FC282C" w:rsidRDefault="00FC282C" w14:paraId="7A5C9449" w14:textId="77777777">
      <w:pPr>
        <w:rPr>
          <w:szCs w:val="18"/>
        </w:rPr>
      </w:pPr>
      <w:bookmarkStart w:name="_GoBack" w:id="0"/>
      <w:bookmarkEnd w:id="0"/>
    </w:p>
    <w:p w:rsidRPr="00EF00C7" w:rsidR="00F00296" w:rsidP="00A632DC" w:rsidRDefault="00F00296" w14:paraId="21EACA3B" w14:textId="77777777">
      <w:pPr>
        <w:rPr>
          <w:szCs w:val="18"/>
        </w:rPr>
      </w:pPr>
    </w:p>
    <w:sectPr w:rsidRPr="00EF00C7" w:rsidR="00F00296"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D38A" w14:textId="77777777" w:rsidR="009A5F4C" w:rsidRDefault="009A5F4C">
      <w:r>
        <w:separator/>
      </w:r>
    </w:p>
  </w:endnote>
  <w:endnote w:type="continuationSeparator" w:id="0">
    <w:p w14:paraId="1FE2DD96" w14:textId="77777777" w:rsidR="009A5F4C" w:rsidRDefault="009A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EE69"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C9DB7B2" wp14:editId="199CEBE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D24D26B" w14:textId="468E1EE9" w:rsidR="00A42CDC" w:rsidRDefault="00F407B0">
                          <w:pPr>
                            <w:pStyle w:val="Huisstijl-Paginanummer"/>
                          </w:pPr>
                          <w:r>
                            <w:fldChar w:fldCharType="begin"/>
                          </w:r>
                          <w:r>
                            <w:instrText xml:space="preserve"> PAGE  \* Arabic  \* MERGEFORMAT </w:instrText>
                          </w:r>
                          <w:r>
                            <w:fldChar w:fldCharType="separate"/>
                          </w:r>
                          <w:r w:rsidR="00343F4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DB7B2"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2D24D26B" w14:textId="468E1EE9" w:rsidR="00A42CDC" w:rsidRDefault="00F407B0">
                    <w:pPr>
                      <w:pStyle w:val="Huisstijl-Paginanummer"/>
                    </w:pPr>
                    <w:r>
                      <w:fldChar w:fldCharType="begin"/>
                    </w:r>
                    <w:r>
                      <w:instrText xml:space="preserve"> PAGE  \* Arabic  \* MERGEFORMAT </w:instrText>
                    </w:r>
                    <w:r>
                      <w:fldChar w:fldCharType="separate"/>
                    </w:r>
                    <w:r w:rsidR="00343F41">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3413A8C8" wp14:editId="713ED7A5">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E48EE"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413A8C8"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56EE48EE"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2A69"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5F259222" wp14:editId="3F6408C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9ADA923" w14:textId="791DFF73" w:rsidR="00A42CDC" w:rsidRDefault="00F407B0">
                          <w:pPr>
                            <w:pStyle w:val="Huisstijl-Paginanummer"/>
                          </w:pPr>
                          <w:r>
                            <w:fldChar w:fldCharType="begin"/>
                          </w:r>
                          <w:r>
                            <w:instrText xml:space="preserve"> PAGE  \* Arabic  \* MERGEFORMAT </w:instrText>
                          </w:r>
                          <w:r>
                            <w:fldChar w:fldCharType="separate"/>
                          </w:r>
                          <w:r w:rsidR="00343F41">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59222"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9ADA923" w14:textId="791DFF73" w:rsidR="00A42CDC" w:rsidRDefault="00F407B0">
                    <w:pPr>
                      <w:pStyle w:val="Huisstijl-Paginanummer"/>
                    </w:pPr>
                    <w:r>
                      <w:fldChar w:fldCharType="begin"/>
                    </w:r>
                    <w:r>
                      <w:instrText xml:space="preserve"> PAGE  \* Arabic  \* MERGEFORMAT </w:instrText>
                    </w:r>
                    <w:r>
                      <w:fldChar w:fldCharType="separate"/>
                    </w:r>
                    <w:r w:rsidR="00343F41">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7BB19FBE" wp14:editId="684A39FA">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EA2D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B19FB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450EA2D7"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1F0B1" w14:textId="77777777" w:rsidR="009A5F4C" w:rsidRDefault="009A5F4C">
      <w:r>
        <w:separator/>
      </w:r>
    </w:p>
  </w:footnote>
  <w:footnote w:type="continuationSeparator" w:id="0">
    <w:p w14:paraId="717AAFBA" w14:textId="77777777" w:rsidR="009A5F4C" w:rsidRDefault="009A5F4C">
      <w:r>
        <w:continuationSeparator/>
      </w:r>
    </w:p>
  </w:footnote>
  <w:footnote w:id="1">
    <w:p w14:paraId="4539997C" w14:textId="77777777" w:rsidR="001843F0" w:rsidRDefault="001843F0" w:rsidP="001843F0">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7B32" w14:textId="77777777" w:rsidR="00A42CDC" w:rsidRDefault="00A42CDC">
    <w:pPr>
      <w:pStyle w:val="Koptekst"/>
    </w:pPr>
    <w:r>
      <w:rPr>
        <w:noProof/>
        <w:lang w:eastAsia="nl-NL"/>
      </w:rPr>
      <w:drawing>
        <wp:anchor distT="0" distB="0" distL="114300" distR="114300" simplePos="0" relativeHeight="251668992" behindDoc="1" locked="0" layoutInCell="1" allowOverlap="1" wp14:anchorId="068E9CFA" wp14:editId="2828E6C8">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442A56D4" wp14:editId="2751EA7E">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D88E"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12E3D0BA" wp14:editId="48CB25BE">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2E3D0BA"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3473D060" wp14:editId="5A0DD15C">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nl-NL" w:vendorID="64" w:dllVersion="131078" w:nlCheck="1" w:checkStyle="0"/>
  <w:activeWritingStyle w:appName="MSWord" w:lang="en-US" w:vendorID="64" w:dllVersion="131078" w:nlCheck="1" w:checkStyle="1"/>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8"/>
    <w:rsid w:val="000037E5"/>
    <w:rsid w:val="00004383"/>
    <w:rsid w:val="00006780"/>
    <w:rsid w:val="00010EF2"/>
    <w:rsid w:val="000123FA"/>
    <w:rsid w:val="00012D11"/>
    <w:rsid w:val="00013B5B"/>
    <w:rsid w:val="00016110"/>
    <w:rsid w:val="00017483"/>
    <w:rsid w:val="00026D47"/>
    <w:rsid w:val="000277A4"/>
    <w:rsid w:val="00031259"/>
    <w:rsid w:val="000339A6"/>
    <w:rsid w:val="00035057"/>
    <w:rsid w:val="00036674"/>
    <w:rsid w:val="00036EE5"/>
    <w:rsid w:val="000423A9"/>
    <w:rsid w:val="00045831"/>
    <w:rsid w:val="000472B9"/>
    <w:rsid w:val="00050D24"/>
    <w:rsid w:val="00051FEC"/>
    <w:rsid w:val="000546B1"/>
    <w:rsid w:val="000635E6"/>
    <w:rsid w:val="000642C4"/>
    <w:rsid w:val="0006770A"/>
    <w:rsid w:val="00070D31"/>
    <w:rsid w:val="0007162E"/>
    <w:rsid w:val="000722D6"/>
    <w:rsid w:val="00084262"/>
    <w:rsid w:val="00084302"/>
    <w:rsid w:val="00085FA1"/>
    <w:rsid w:val="00087299"/>
    <w:rsid w:val="00090ED6"/>
    <w:rsid w:val="00094546"/>
    <w:rsid w:val="00094A9B"/>
    <w:rsid w:val="000A1C2B"/>
    <w:rsid w:val="000A23C5"/>
    <w:rsid w:val="000A2D26"/>
    <w:rsid w:val="000B2192"/>
    <w:rsid w:val="000B7C51"/>
    <w:rsid w:val="000C43D2"/>
    <w:rsid w:val="000C44F1"/>
    <w:rsid w:val="000C757C"/>
    <w:rsid w:val="000C7A3D"/>
    <w:rsid w:val="000D1563"/>
    <w:rsid w:val="000D3187"/>
    <w:rsid w:val="000D56B5"/>
    <w:rsid w:val="000E56B6"/>
    <w:rsid w:val="000E5890"/>
    <w:rsid w:val="000E59AA"/>
    <w:rsid w:val="000E6653"/>
    <w:rsid w:val="000E69FD"/>
    <w:rsid w:val="000E7C39"/>
    <w:rsid w:val="000F0AFA"/>
    <w:rsid w:val="000F359C"/>
    <w:rsid w:val="000F36CD"/>
    <w:rsid w:val="000F5363"/>
    <w:rsid w:val="000F5722"/>
    <w:rsid w:val="00102FE4"/>
    <w:rsid w:val="00105391"/>
    <w:rsid w:val="00120FD2"/>
    <w:rsid w:val="00125B8D"/>
    <w:rsid w:val="00127B2A"/>
    <w:rsid w:val="0013509E"/>
    <w:rsid w:val="00136167"/>
    <w:rsid w:val="0013623C"/>
    <w:rsid w:val="00136C5C"/>
    <w:rsid w:val="00137054"/>
    <w:rsid w:val="001401C7"/>
    <w:rsid w:val="00141D39"/>
    <w:rsid w:val="001445D4"/>
    <w:rsid w:val="00147017"/>
    <w:rsid w:val="00151AC8"/>
    <w:rsid w:val="001545B9"/>
    <w:rsid w:val="00154EC0"/>
    <w:rsid w:val="001551BD"/>
    <w:rsid w:val="001555A9"/>
    <w:rsid w:val="00160E6E"/>
    <w:rsid w:val="00161D1B"/>
    <w:rsid w:val="001706B1"/>
    <w:rsid w:val="00170AFB"/>
    <w:rsid w:val="001715CC"/>
    <w:rsid w:val="0017276C"/>
    <w:rsid w:val="0017367F"/>
    <w:rsid w:val="00174E29"/>
    <w:rsid w:val="00175DA6"/>
    <w:rsid w:val="00183E0B"/>
    <w:rsid w:val="001843F0"/>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6D9D"/>
    <w:rsid w:val="001F7012"/>
    <w:rsid w:val="002048D9"/>
    <w:rsid w:val="00206825"/>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57B"/>
    <w:rsid w:val="002949C2"/>
    <w:rsid w:val="002A1A05"/>
    <w:rsid w:val="002A1A9B"/>
    <w:rsid w:val="002A2092"/>
    <w:rsid w:val="002A4BD8"/>
    <w:rsid w:val="002B011C"/>
    <w:rsid w:val="002B21B2"/>
    <w:rsid w:val="002B2DEC"/>
    <w:rsid w:val="002B3C7E"/>
    <w:rsid w:val="002C0392"/>
    <w:rsid w:val="002C0A75"/>
    <w:rsid w:val="002C18DB"/>
    <w:rsid w:val="002C488A"/>
    <w:rsid w:val="002D3577"/>
    <w:rsid w:val="002D7845"/>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28A2"/>
    <w:rsid w:val="0033344D"/>
    <w:rsid w:val="003354DB"/>
    <w:rsid w:val="003410ED"/>
    <w:rsid w:val="00343F41"/>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1B14"/>
    <w:rsid w:val="003A2048"/>
    <w:rsid w:val="003A219A"/>
    <w:rsid w:val="003A332A"/>
    <w:rsid w:val="003A5792"/>
    <w:rsid w:val="003B1D02"/>
    <w:rsid w:val="003B254F"/>
    <w:rsid w:val="003B2964"/>
    <w:rsid w:val="003B4119"/>
    <w:rsid w:val="003B484E"/>
    <w:rsid w:val="003B67E0"/>
    <w:rsid w:val="003C0D63"/>
    <w:rsid w:val="003C0FF3"/>
    <w:rsid w:val="003C2832"/>
    <w:rsid w:val="003D22ED"/>
    <w:rsid w:val="003D450D"/>
    <w:rsid w:val="003D5554"/>
    <w:rsid w:val="003D5683"/>
    <w:rsid w:val="003D660C"/>
    <w:rsid w:val="003E282D"/>
    <w:rsid w:val="003E6EA2"/>
    <w:rsid w:val="003F0545"/>
    <w:rsid w:val="003F628A"/>
    <w:rsid w:val="00403FAF"/>
    <w:rsid w:val="00405747"/>
    <w:rsid w:val="0041042A"/>
    <w:rsid w:val="00411808"/>
    <w:rsid w:val="0041634B"/>
    <w:rsid w:val="00416E67"/>
    <w:rsid w:val="00420882"/>
    <w:rsid w:val="0042300F"/>
    <w:rsid w:val="00424531"/>
    <w:rsid w:val="00424D04"/>
    <w:rsid w:val="004265B2"/>
    <w:rsid w:val="00427600"/>
    <w:rsid w:val="0043382C"/>
    <w:rsid w:val="0043446E"/>
    <w:rsid w:val="00434BC6"/>
    <w:rsid w:val="00436804"/>
    <w:rsid w:val="00436C33"/>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04EF"/>
    <w:rsid w:val="004B109E"/>
    <w:rsid w:val="004B447F"/>
    <w:rsid w:val="004B572A"/>
    <w:rsid w:val="004B5B19"/>
    <w:rsid w:val="004C7B01"/>
    <w:rsid w:val="004D469F"/>
    <w:rsid w:val="004E3424"/>
    <w:rsid w:val="004E426E"/>
    <w:rsid w:val="004E5595"/>
    <w:rsid w:val="00505F93"/>
    <w:rsid w:val="00507A41"/>
    <w:rsid w:val="00511442"/>
    <w:rsid w:val="005158C0"/>
    <w:rsid w:val="0051638F"/>
    <w:rsid w:val="00520D88"/>
    <w:rsid w:val="00521E24"/>
    <w:rsid w:val="00522540"/>
    <w:rsid w:val="00525AC0"/>
    <w:rsid w:val="00525BF3"/>
    <w:rsid w:val="00525CAA"/>
    <w:rsid w:val="00526065"/>
    <w:rsid w:val="00527428"/>
    <w:rsid w:val="0052742B"/>
    <w:rsid w:val="005324DF"/>
    <w:rsid w:val="005376B8"/>
    <w:rsid w:val="00540F78"/>
    <w:rsid w:val="00543233"/>
    <w:rsid w:val="00543BB4"/>
    <w:rsid w:val="00550DC0"/>
    <w:rsid w:val="00554CBF"/>
    <w:rsid w:val="00561CE6"/>
    <w:rsid w:val="00565011"/>
    <w:rsid w:val="00574E91"/>
    <w:rsid w:val="00575841"/>
    <w:rsid w:val="00581C55"/>
    <w:rsid w:val="005825DC"/>
    <w:rsid w:val="005834BB"/>
    <w:rsid w:val="0058398B"/>
    <w:rsid w:val="0058632D"/>
    <w:rsid w:val="00591181"/>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5400"/>
    <w:rsid w:val="005E7B45"/>
    <w:rsid w:val="005F1EDF"/>
    <w:rsid w:val="005F3027"/>
    <w:rsid w:val="00605B5A"/>
    <w:rsid w:val="006060B3"/>
    <w:rsid w:val="0060611D"/>
    <w:rsid w:val="00610B95"/>
    <w:rsid w:val="00613764"/>
    <w:rsid w:val="00617577"/>
    <w:rsid w:val="006200E7"/>
    <w:rsid w:val="00621260"/>
    <w:rsid w:val="00626F56"/>
    <w:rsid w:val="00626FD8"/>
    <w:rsid w:val="006301F4"/>
    <w:rsid w:val="00633333"/>
    <w:rsid w:val="0064051F"/>
    <w:rsid w:val="00642699"/>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2C5E"/>
    <w:rsid w:val="0069362C"/>
    <w:rsid w:val="00693D3B"/>
    <w:rsid w:val="00694B16"/>
    <w:rsid w:val="006960C4"/>
    <w:rsid w:val="00697687"/>
    <w:rsid w:val="00697B74"/>
    <w:rsid w:val="006A15AD"/>
    <w:rsid w:val="006A45D8"/>
    <w:rsid w:val="006A4888"/>
    <w:rsid w:val="006A5210"/>
    <w:rsid w:val="006B0B28"/>
    <w:rsid w:val="006B488A"/>
    <w:rsid w:val="006C4176"/>
    <w:rsid w:val="006D276D"/>
    <w:rsid w:val="006D2B66"/>
    <w:rsid w:val="006D3AA5"/>
    <w:rsid w:val="006D4B9F"/>
    <w:rsid w:val="006D622B"/>
    <w:rsid w:val="006D7AEF"/>
    <w:rsid w:val="006E0F91"/>
    <w:rsid w:val="006E2C94"/>
    <w:rsid w:val="006E3477"/>
    <w:rsid w:val="006E5214"/>
    <w:rsid w:val="006E591A"/>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0D3B"/>
    <w:rsid w:val="007417AC"/>
    <w:rsid w:val="007439D7"/>
    <w:rsid w:val="00744BB9"/>
    <w:rsid w:val="00745D31"/>
    <w:rsid w:val="00755534"/>
    <w:rsid w:val="00757AA5"/>
    <w:rsid w:val="00761D1B"/>
    <w:rsid w:val="007642F9"/>
    <w:rsid w:val="00765D0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1DED"/>
    <w:rsid w:val="007D49C7"/>
    <w:rsid w:val="007D4B07"/>
    <w:rsid w:val="007D5690"/>
    <w:rsid w:val="007E249D"/>
    <w:rsid w:val="007E4BFD"/>
    <w:rsid w:val="007E4FB5"/>
    <w:rsid w:val="007F04F9"/>
    <w:rsid w:val="007F714A"/>
    <w:rsid w:val="008021E9"/>
    <w:rsid w:val="00802974"/>
    <w:rsid w:val="00802D86"/>
    <w:rsid w:val="00802F06"/>
    <w:rsid w:val="008047D9"/>
    <w:rsid w:val="00804A4D"/>
    <w:rsid w:val="0081023D"/>
    <w:rsid w:val="0081050B"/>
    <w:rsid w:val="00812348"/>
    <w:rsid w:val="00814048"/>
    <w:rsid w:val="00816C97"/>
    <w:rsid w:val="00820149"/>
    <w:rsid w:val="00820651"/>
    <w:rsid w:val="00826C29"/>
    <w:rsid w:val="00832AA8"/>
    <w:rsid w:val="00834690"/>
    <w:rsid w:val="0083576C"/>
    <w:rsid w:val="00840FA0"/>
    <w:rsid w:val="00843FBB"/>
    <w:rsid w:val="008454D2"/>
    <w:rsid w:val="00845DEC"/>
    <w:rsid w:val="0085294F"/>
    <w:rsid w:val="0085665C"/>
    <w:rsid w:val="00866593"/>
    <w:rsid w:val="00870719"/>
    <w:rsid w:val="00892314"/>
    <w:rsid w:val="0089371C"/>
    <w:rsid w:val="008963DE"/>
    <w:rsid w:val="00897AF1"/>
    <w:rsid w:val="008A05E5"/>
    <w:rsid w:val="008A0A18"/>
    <w:rsid w:val="008A4075"/>
    <w:rsid w:val="008A5C07"/>
    <w:rsid w:val="008A5F82"/>
    <w:rsid w:val="008B0C5F"/>
    <w:rsid w:val="008B33EB"/>
    <w:rsid w:val="008B3ABC"/>
    <w:rsid w:val="008B4B43"/>
    <w:rsid w:val="008B5E4B"/>
    <w:rsid w:val="008B7783"/>
    <w:rsid w:val="008C43A5"/>
    <w:rsid w:val="008C4443"/>
    <w:rsid w:val="008E1635"/>
    <w:rsid w:val="008E1DAE"/>
    <w:rsid w:val="008E363B"/>
    <w:rsid w:val="008E7DAC"/>
    <w:rsid w:val="008F0DC3"/>
    <w:rsid w:val="008F6A83"/>
    <w:rsid w:val="00901055"/>
    <w:rsid w:val="0090730F"/>
    <w:rsid w:val="00913B64"/>
    <w:rsid w:val="0091479F"/>
    <w:rsid w:val="00914C45"/>
    <w:rsid w:val="00916678"/>
    <w:rsid w:val="0091744E"/>
    <w:rsid w:val="00922C5B"/>
    <w:rsid w:val="00927826"/>
    <w:rsid w:val="00930D89"/>
    <w:rsid w:val="00935201"/>
    <w:rsid w:val="00935FD0"/>
    <w:rsid w:val="0093711F"/>
    <w:rsid w:val="009373A1"/>
    <w:rsid w:val="009411C2"/>
    <w:rsid w:val="009412D2"/>
    <w:rsid w:val="00942CDE"/>
    <w:rsid w:val="00946E0E"/>
    <w:rsid w:val="009531A4"/>
    <w:rsid w:val="00956342"/>
    <w:rsid w:val="009575DB"/>
    <w:rsid w:val="009612C2"/>
    <w:rsid w:val="009622D4"/>
    <w:rsid w:val="00962A95"/>
    <w:rsid w:val="00963CFB"/>
    <w:rsid w:val="009647CC"/>
    <w:rsid w:val="00970CA0"/>
    <w:rsid w:val="0097614E"/>
    <w:rsid w:val="00981B9B"/>
    <w:rsid w:val="00986DA2"/>
    <w:rsid w:val="009870EA"/>
    <w:rsid w:val="009874C6"/>
    <w:rsid w:val="00990B28"/>
    <w:rsid w:val="0099243E"/>
    <w:rsid w:val="009956D1"/>
    <w:rsid w:val="00995B14"/>
    <w:rsid w:val="009A47A9"/>
    <w:rsid w:val="009A5399"/>
    <w:rsid w:val="009A5F4C"/>
    <w:rsid w:val="009A7481"/>
    <w:rsid w:val="009B1792"/>
    <w:rsid w:val="009B2C99"/>
    <w:rsid w:val="009B3610"/>
    <w:rsid w:val="009B3CF3"/>
    <w:rsid w:val="009B4DCA"/>
    <w:rsid w:val="009B706C"/>
    <w:rsid w:val="009C2266"/>
    <w:rsid w:val="009C4971"/>
    <w:rsid w:val="009D0749"/>
    <w:rsid w:val="009E2113"/>
    <w:rsid w:val="009E6257"/>
    <w:rsid w:val="009F1C43"/>
    <w:rsid w:val="009F2CCC"/>
    <w:rsid w:val="00A009CA"/>
    <w:rsid w:val="00A04C8A"/>
    <w:rsid w:val="00A149AC"/>
    <w:rsid w:val="00A16DD6"/>
    <w:rsid w:val="00A20A7D"/>
    <w:rsid w:val="00A22BBB"/>
    <w:rsid w:val="00A22DC8"/>
    <w:rsid w:val="00A324AB"/>
    <w:rsid w:val="00A33B04"/>
    <w:rsid w:val="00A34E30"/>
    <w:rsid w:val="00A362EB"/>
    <w:rsid w:val="00A37656"/>
    <w:rsid w:val="00A42CDC"/>
    <w:rsid w:val="00A464BD"/>
    <w:rsid w:val="00A47FBE"/>
    <w:rsid w:val="00A501AD"/>
    <w:rsid w:val="00A579E8"/>
    <w:rsid w:val="00A57E41"/>
    <w:rsid w:val="00A632DC"/>
    <w:rsid w:val="00A657BB"/>
    <w:rsid w:val="00A71CE5"/>
    <w:rsid w:val="00A77085"/>
    <w:rsid w:val="00A80CBB"/>
    <w:rsid w:val="00A828E3"/>
    <w:rsid w:val="00A946A6"/>
    <w:rsid w:val="00A95091"/>
    <w:rsid w:val="00A96541"/>
    <w:rsid w:val="00A968DA"/>
    <w:rsid w:val="00AA0328"/>
    <w:rsid w:val="00AA44E4"/>
    <w:rsid w:val="00AA5FFB"/>
    <w:rsid w:val="00AB0987"/>
    <w:rsid w:val="00AB365C"/>
    <w:rsid w:val="00AB601C"/>
    <w:rsid w:val="00AB6D0E"/>
    <w:rsid w:val="00AC226A"/>
    <w:rsid w:val="00AC2D1E"/>
    <w:rsid w:val="00AC68C0"/>
    <w:rsid w:val="00AD0985"/>
    <w:rsid w:val="00AD0E6A"/>
    <w:rsid w:val="00AD151A"/>
    <w:rsid w:val="00AD33F2"/>
    <w:rsid w:val="00AD4211"/>
    <w:rsid w:val="00AE17EA"/>
    <w:rsid w:val="00AE3B5E"/>
    <w:rsid w:val="00AE4AA4"/>
    <w:rsid w:val="00AE681E"/>
    <w:rsid w:val="00AE69BE"/>
    <w:rsid w:val="00AE768D"/>
    <w:rsid w:val="00AF27EB"/>
    <w:rsid w:val="00AF294D"/>
    <w:rsid w:val="00AF7BAC"/>
    <w:rsid w:val="00B12256"/>
    <w:rsid w:val="00B14078"/>
    <w:rsid w:val="00B20204"/>
    <w:rsid w:val="00B257AD"/>
    <w:rsid w:val="00B2723B"/>
    <w:rsid w:val="00B30327"/>
    <w:rsid w:val="00B306FA"/>
    <w:rsid w:val="00B34C2F"/>
    <w:rsid w:val="00B53C93"/>
    <w:rsid w:val="00B54A2B"/>
    <w:rsid w:val="00B55826"/>
    <w:rsid w:val="00B56147"/>
    <w:rsid w:val="00B56913"/>
    <w:rsid w:val="00B60251"/>
    <w:rsid w:val="00B61E28"/>
    <w:rsid w:val="00B71A9C"/>
    <w:rsid w:val="00B75772"/>
    <w:rsid w:val="00B757E9"/>
    <w:rsid w:val="00B860F9"/>
    <w:rsid w:val="00B90C6F"/>
    <w:rsid w:val="00B90CB7"/>
    <w:rsid w:val="00B91483"/>
    <w:rsid w:val="00B914C1"/>
    <w:rsid w:val="00B92EE7"/>
    <w:rsid w:val="00B930A7"/>
    <w:rsid w:val="00B96878"/>
    <w:rsid w:val="00B96AD5"/>
    <w:rsid w:val="00BA41EB"/>
    <w:rsid w:val="00BB00A4"/>
    <w:rsid w:val="00BB0C55"/>
    <w:rsid w:val="00BB0CE8"/>
    <w:rsid w:val="00BB27BB"/>
    <w:rsid w:val="00BB2953"/>
    <w:rsid w:val="00BB2E65"/>
    <w:rsid w:val="00BB4A0D"/>
    <w:rsid w:val="00BB716F"/>
    <w:rsid w:val="00BC0427"/>
    <w:rsid w:val="00BC1083"/>
    <w:rsid w:val="00BC1A23"/>
    <w:rsid w:val="00BC2EAD"/>
    <w:rsid w:val="00BC3391"/>
    <w:rsid w:val="00BC7779"/>
    <w:rsid w:val="00BD13D9"/>
    <w:rsid w:val="00BD28EC"/>
    <w:rsid w:val="00BD3B5C"/>
    <w:rsid w:val="00BD520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55060"/>
    <w:rsid w:val="00C60BB7"/>
    <w:rsid w:val="00C643E9"/>
    <w:rsid w:val="00C660F6"/>
    <w:rsid w:val="00C71065"/>
    <w:rsid w:val="00C727FA"/>
    <w:rsid w:val="00C75EFA"/>
    <w:rsid w:val="00C76646"/>
    <w:rsid w:val="00C776F3"/>
    <w:rsid w:val="00C77C19"/>
    <w:rsid w:val="00C81CF5"/>
    <w:rsid w:val="00C902C3"/>
    <w:rsid w:val="00C920B0"/>
    <w:rsid w:val="00C92FEA"/>
    <w:rsid w:val="00C9320A"/>
    <w:rsid w:val="00C95F3E"/>
    <w:rsid w:val="00C96B40"/>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20A"/>
    <w:rsid w:val="00CD57F3"/>
    <w:rsid w:val="00CD6193"/>
    <w:rsid w:val="00CD730D"/>
    <w:rsid w:val="00CE6987"/>
    <w:rsid w:val="00CE75D1"/>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13F1"/>
    <w:rsid w:val="00D4444E"/>
    <w:rsid w:val="00D46679"/>
    <w:rsid w:val="00D467E2"/>
    <w:rsid w:val="00D54FE2"/>
    <w:rsid w:val="00D5774F"/>
    <w:rsid w:val="00D6168B"/>
    <w:rsid w:val="00D64CF8"/>
    <w:rsid w:val="00D64F93"/>
    <w:rsid w:val="00D6591C"/>
    <w:rsid w:val="00D66250"/>
    <w:rsid w:val="00D67F7F"/>
    <w:rsid w:val="00D7255C"/>
    <w:rsid w:val="00D72CC9"/>
    <w:rsid w:val="00D75535"/>
    <w:rsid w:val="00DA5144"/>
    <w:rsid w:val="00DB2B90"/>
    <w:rsid w:val="00DB3F6B"/>
    <w:rsid w:val="00DB464F"/>
    <w:rsid w:val="00DB6B9D"/>
    <w:rsid w:val="00DC0EBD"/>
    <w:rsid w:val="00DC1442"/>
    <w:rsid w:val="00DC165E"/>
    <w:rsid w:val="00DD3DF7"/>
    <w:rsid w:val="00DD5412"/>
    <w:rsid w:val="00DD564F"/>
    <w:rsid w:val="00DD6D95"/>
    <w:rsid w:val="00DE2897"/>
    <w:rsid w:val="00DE32DE"/>
    <w:rsid w:val="00DE5B8E"/>
    <w:rsid w:val="00DE6323"/>
    <w:rsid w:val="00DE6F9D"/>
    <w:rsid w:val="00DE7800"/>
    <w:rsid w:val="00DF142E"/>
    <w:rsid w:val="00DF1626"/>
    <w:rsid w:val="00DF30EA"/>
    <w:rsid w:val="00DF5A2E"/>
    <w:rsid w:val="00DF717F"/>
    <w:rsid w:val="00E006B7"/>
    <w:rsid w:val="00E02D08"/>
    <w:rsid w:val="00E057F3"/>
    <w:rsid w:val="00E06B19"/>
    <w:rsid w:val="00E10297"/>
    <w:rsid w:val="00E1180B"/>
    <w:rsid w:val="00E11A26"/>
    <w:rsid w:val="00E11B7B"/>
    <w:rsid w:val="00E15CF6"/>
    <w:rsid w:val="00E20B2E"/>
    <w:rsid w:val="00E23B52"/>
    <w:rsid w:val="00E23D3A"/>
    <w:rsid w:val="00E246A4"/>
    <w:rsid w:val="00E2607E"/>
    <w:rsid w:val="00E265FC"/>
    <w:rsid w:val="00E269CC"/>
    <w:rsid w:val="00E3590E"/>
    <w:rsid w:val="00E37DB4"/>
    <w:rsid w:val="00E407E1"/>
    <w:rsid w:val="00E41C82"/>
    <w:rsid w:val="00E4200D"/>
    <w:rsid w:val="00E42FB9"/>
    <w:rsid w:val="00E43510"/>
    <w:rsid w:val="00E452DF"/>
    <w:rsid w:val="00E4701A"/>
    <w:rsid w:val="00E4794E"/>
    <w:rsid w:val="00E53C1E"/>
    <w:rsid w:val="00E63829"/>
    <w:rsid w:val="00E6432B"/>
    <w:rsid w:val="00E666D4"/>
    <w:rsid w:val="00E67989"/>
    <w:rsid w:val="00E74797"/>
    <w:rsid w:val="00E80096"/>
    <w:rsid w:val="00E80FBD"/>
    <w:rsid w:val="00E82419"/>
    <w:rsid w:val="00E82B47"/>
    <w:rsid w:val="00E84D83"/>
    <w:rsid w:val="00E86E93"/>
    <w:rsid w:val="00E92779"/>
    <w:rsid w:val="00EA3A9D"/>
    <w:rsid w:val="00EA4B76"/>
    <w:rsid w:val="00EA546B"/>
    <w:rsid w:val="00EA6FF9"/>
    <w:rsid w:val="00EB409D"/>
    <w:rsid w:val="00EC4140"/>
    <w:rsid w:val="00EC7E69"/>
    <w:rsid w:val="00ED6644"/>
    <w:rsid w:val="00ED7008"/>
    <w:rsid w:val="00EE1C0C"/>
    <w:rsid w:val="00EE306C"/>
    <w:rsid w:val="00EE6B1E"/>
    <w:rsid w:val="00EF00C7"/>
    <w:rsid w:val="00EF265E"/>
    <w:rsid w:val="00EF2F2A"/>
    <w:rsid w:val="00EF4583"/>
    <w:rsid w:val="00EF69C7"/>
    <w:rsid w:val="00F00296"/>
    <w:rsid w:val="00F00C07"/>
    <w:rsid w:val="00F06F0E"/>
    <w:rsid w:val="00F11149"/>
    <w:rsid w:val="00F14A3A"/>
    <w:rsid w:val="00F17D6A"/>
    <w:rsid w:val="00F21FB6"/>
    <w:rsid w:val="00F246AB"/>
    <w:rsid w:val="00F2571A"/>
    <w:rsid w:val="00F268FE"/>
    <w:rsid w:val="00F26D7C"/>
    <w:rsid w:val="00F2799A"/>
    <w:rsid w:val="00F27CD3"/>
    <w:rsid w:val="00F30E66"/>
    <w:rsid w:val="00F33E5F"/>
    <w:rsid w:val="00F40423"/>
    <w:rsid w:val="00F407B0"/>
    <w:rsid w:val="00F40D00"/>
    <w:rsid w:val="00F40F82"/>
    <w:rsid w:val="00F44CB2"/>
    <w:rsid w:val="00F51766"/>
    <w:rsid w:val="00F52221"/>
    <w:rsid w:val="00F522D4"/>
    <w:rsid w:val="00F52F89"/>
    <w:rsid w:val="00F53AC7"/>
    <w:rsid w:val="00F54DB9"/>
    <w:rsid w:val="00F55F1C"/>
    <w:rsid w:val="00F62D5D"/>
    <w:rsid w:val="00F65184"/>
    <w:rsid w:val="00F71F61"/>
    <w:rsid w:val="00F73681"/>
    <w:rsid w:val="00F83661"/>
    <w:rsid w:val="00F839FE"/>
    <w:rsid w:val="00F84683"/>
    <w:rsid w:val="00F85D51"/>
    <w:rsid w:val="00F85F4D"/>
    <w:rsid w:val="00F87AC5"/>
    <w:rsid w:val="00F9004F"/>
    <w:rsid w:val="00F9024C"/>
    <w:rsid w:val="00F938C6"/>
    <w:rsid w:val="00F9641A"/>
    <w:rsid w:val="00F9703B"/>
    <w:rsid w:val="00F97768"/>
    <w:rsid w:val="00FA03AA"/>
    <w:rsid w:val="00FA5C15"/>
    <w:rsid w:val="00FA6BD8"/>
    <w:rsid w:val="00FB07CB"/>
    <w:rsid w:val="00FB2944"/>
    <w:rsid w:val="00FB30DD"/>
    <w:rsid w:val="00FB63FB"/>
    <w:rsid w:val="00FB673E"/>
    <w:rsid w:val="00FB6B00"/>
    <w:rsid w:val="00FC282C"/>
    <w:rsid w:val="00FC2959"/>
    <w:rsid w:val="00FC6024"/>
    <w:rsid w:val="00FC69E1"/>
    <w:rsid w:val="00FD4911"/>
    <w:rsid w:val="00FD663A"/>
    <w:rsid w:val="00FD6BCB"/>
    <w:rsid w:val="00FE0FED"/>
    <w:rsid w:val="00FE47BF"/>
    <w:rsid w:val="00FE7DDE"/>
    <w:rsid w:val="00FF164C"/>
    <w:rsid w:val="00FF1DD3"/>
    <w:rsid w:val="00FF54A3"/>
    <w:rsid w:val="35319F11"/>
    <w:rsid w:val="43C813AD"/>
    <w:rsid w:val="7A3267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443C005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andaard1">
    <w:name w:val="Standaard1"/>
    <w:basedOn w:val="Standaard"/>
    <w:rsid w:val="00525AC0"/>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816C97"/>
  </w:style>
  <w:style w:type="paragraph" w:customStyle="1" w:styleId="li">
    <w:name w:val="li"/>
    <w:basedOn w:val="Standaard"/>
    <w:rsid w:val="00816C97"/>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816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5221">
      <w:bodyDiv w:val="1"/>
      <w:marLeft w:val="0"/>
      <w:marRight w:val="0"/>
      <w:marTop w:val="0"/>
      <w:marBottom w:val="0"/>
      <w:divBdr>
        <w:top w:val="none" w:sz="0" w:space="0" w:color="auto"/>
        <w:left w:val="none" w:sz="0" w:space="0" w:color="auto"/>
        <w:bottom w:val="none" w:sz="0" w:space="0" w:color="auto"/>
        <w:right w:val="none" w:sz="0" w:space="0" w:color="auto"/>
      </w:divBdr>
    </w:div>
    <w:div w:id="89160353">
      <w:bodyDiv w:val="1"/>
      <w:marLeft w:val="0"/>
      <w:marRight w:val="0"/>
      <w:marTop w:val="0"/>
      <w:marBottom w:val="0"/>
      <w:divBdr>
        <w:top w:val="none" w:sz="0" w:space="0" w:color="auto"/>
        <w:left w:val="none" w:sz="0" w:space="0" w:color="auto"/>
        <w:bottom w:val="none" w:sz="0" w:space="0" w:color="auto"/>
        <w:right w:val="none" w:sz="0" w:space="0" w:color="auto"/>
      </w:divBdr>
    </w:div>
    <w:div w:id="95828427">
      <w:bodyDiv w:val="1"/>
      <w:marLeft w:val="0"/>
      <w:marRight w:val="0"/>
      <w:marTop w:val="0"/>
      <w:marBottom w:val="0"/>
      <w:divBdr>
        <w:top w:val="none" w:sz="0" w:space="0" w:color="auto"/>
        <w:left w:val="none" w:sz="0" w:space="0" w:color="auto"/>
        <w:bottom w:val="none" w:sz="0" w:space="0" w:color="auto"/>
        <w:right w:val="none" w:sz="0" w:space="0" w:color="auto"/>
      </w:divBdr>
    </w:div>
    <w:div w:id="150290018">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120225">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99973088">
      <w:bodyDiv w:val="1"/>
      <w:marLeft w:val="0"/>
      <w:marRight w:val="0"/>
      <w:marTop w:val="0"/>
      <w:marBottom w:val="0"/>
      <w:divBdr>
        <w:top w:val="none" w:sz="0" w:space="0" w:color="auto"/>
        <w:left w:val="none" w:sz="0" w:space="0" w:color="auto"/>
        <w:bottom w:val="none" w:sz="0" w:space="0" w:color="auto"/>
        <w:right w:val="none" w:sz="0" w:space="0" w:color="auto"/>
      </w:divBdr>
    </w:div>
    <w:div w:id="200438681">
      <w:bodyDiv w:val="1"/>
      <w:marLeft w:val="0"/>
      <w:marRight w:val="0"/>
      <w:marTop w:val="0"/>
      <w:marBottom w:val="0"/>
      <w:divBdr>
        <w:top w:val="none" w:sz="0" w:space="0" w:color="auto"/>
        <w:left w:val="none" w:sz="0" w:space="0" w:color="auto"/>
        <w:bottom w:val="none" w:sz="0" w:space="0" w:color="auto"/>
        <w:right w:val="none" w:sz="0" w:space="0" w:color="auto"/>
      </w:divBdr>
    </w:div>
    <w:div w:id="201402482">
      <w:bodyDiv w:val="1"/>
      <w:marLeft w:val="0"/>
      <w:marRight w:val="0"/>
      <w:marTop w:val="0"/>
      <w:marBottom w:val="0"/>
      <w:divBdr>
        <w:top w:val="none" w:sz="0" w:space="0" w:color="auto"/>
        <w:left w:val="none" w:sz="0" w:space="0" w:color="auto"/>
        <w:bottom w:val="none" w:sz="0" w:space="0" w:color="auto"/>
        <w:right w:val="none" w:sz="0" w:space="0" w:color="auto"/>
      </w:divBdr>
    </w:div>
    <w:div w:id="299699716">
      <w:bodyDiv w:val="1"/>
      <w:marLeft w:val="0"/>
      <w:marRight w:val="0"/>
      <w:marTop w:val="0"/>
      <w:marBottom w:val="0"/>
      <w:divBdr>
        <w:top w:val="none" w:sz="0" w:space="0" w:color="auto"/>
        <w:left w:val="none" w:sz="0" w:space="0" w:color="auto"/>
        <w:bottom w:val="none" w:sz="0" w:space="0" w:color="auto"/>
        <w:right w:val="none" w:sz="0" w:space="0" w:color="auto"/>
      </w:divBdr>
    </w:div>
    <w:div w:id="317148113">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3098">
      <w:bodyDiv w:val="1"/>
      <w:marLeft w:val="0"/>
      <w:marRight w:val="0"/>
      <w:marTop w:val="0"/>
      <w:marBottom w:val="0"/>
      <w:divBdr>
        <w:top w:val="none" w:sz="0" w:space="0" w:color="auto"/>
        <w:left w:val="none" w:sz="0" w:space="0" w:color="auto"/>
        <w:bottom w:val="none" w:sz="0" w:space="0" w:color="auto"/>
        <w:right w:val="none" w:sz="0" w:space="0" w:color="auto"/>
      </w:divBdr>
    </w:div>
    <w:div w:id="382294557">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866334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69790180">
      <w:bodyDiv w:val="1"/>
      <w:marLeft w:val="0"/>
      <w:marRight w:val="0"/>
      <w:marTop w:val="0"/>
      <w:marBottom w:val="0"/>
      <w:divBdr>
        <w:top w:val="none" w:sz="0" w:space="0" w:color="auto"/>
        <w:left w:val="none" w:sz="0" w:space="0" w:color="auto"/>
        <w:bottom w:val="none" w:sz="0" w:space="0" w:color="auto"/>
        <w:right w:val="none" w:sz="0" w:space="0" w:color="auto"/>
      </w:divBdr>
    </w:div>
    <w:div w:id="479611943">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4664367">
      <w:bodyDiv w:val="1"/>
      <w:marLeft w:val="0"/>
      <w:marRight w:val="0"/>
      <w:marTop w:val="0"/>
      <w:marBottom w:val="0"/>
      <w:divBdr>
        <w:top w:val="none" w:sz="0" w:space="0" w:color="auto"/>
        <w:left w:val="none" w:sz="0" w:space="0" w:color="auto"/>
        <w:bottom w:val="none" w:sz="0" w:space="0" w:color="auto"/>
        <w:right w:val="none" w:sz="0" w:space="0" w:color="auto"/>
      </w:divBdr>
    </w:div>
    <w:div w:id="502667400">
      <w:bodyDiv w:val="1"/>
      <w:marLeft w:val="0"/>
      <w:marRight w:val="0"/>
      <w:marTop w:val="0"/>
      <w:marBottom w:val="0"/>
      <w:divBdr>
        <w:top w:val="none" w:sz="0" w:space="0" w:color="auto"/>
        <w:left w:val="none" w:sz="0" w:space="0" w:color="auto"/>
        <w:bottom w:val="none" w:sz="0" w:space="0" w:color="auto"/>
        <w:right w:val="none" w:sz="0" w:space="0" w:color="auto"/>
      </w:divBdr>
    </w:div>
    <w:div w:id="516895114">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847436">
      <w:bodyDiv w:val="1"/>
      <w:marLeft w:val="0"/>
      <w:marRight w:val="0"/>
      <w:marTop w:val="0"/>
      <w:marBottom w:val="0"/>
      <w:divBdr>
        <w:top w:val="none" w:sz="0" w:space="0" w:color="auto"/>
        <w:left w:val="none" w:sz="0" w:space="0" w:color="auto"/>
        <w:bottom w:val="none" w:sz="0" w:space="0" w:color="auto"/>
        <w:right w:val="none" w:sz="0" w:space="0" w:color="auto"/>
      </w:divBdr>
    </w:div>
    <w:div w:id="665744800">
      <w:bodyDiv w:val="1"/>
      <w:marLeft w:val="0"/>
      <w:marRight w:val="0"/>
      <w:marTop w:val="0"/>
      <w:marBottom w:val="0"/>
      <w:divBdr>
        <w:top w:val="none" w:sz="0" w:space="0" w:color="auto"/>
        <w:left w:val="none" w:sz="0" w:space="0" w:color="auto"/>
        <w:bottom w:val="none" w:sz="0" w:space="0" w:color="auto"/>
        <w:right w:val="none" w:sz="0" w:space="0" w:color="auto"/>
      </w:divBdr>
    </w:div>
    <w:div w:id="696347712">
      <w:bodyDiv w:val="1"/>
      <w:marLeft w:val="0"/>
      <w:marRight w:val="0"/>
      <w:marTop w:val="0"/>
      <w:marBottom w:val="0"/>
      <w:divBdr>
        <w:top w:val="none" w:sz="0" w:space="0" w:color="auto"/>
        <w:left w:val="none" w:sz="0" w:space="0" w:color="auto"/>
        <w:bottom w:val="none" w:sz="0" w:space="0" w:color="auto"/>
        <w:right w:val="none" w:sz="0" w:space="0" w:color="auto"/>
      </w:divBdr>
    </w:div>
    <w:div w:id="734669916">
      <w:bodyDiv w:val="1"/>
      <w:marLeft w:val="0"/>
      <w:marRight w:val="0"/>
      <w:marTop w:val="0"/>
      <w:marBottom w:val="0"/>
      <w:divBdr>
        <w:top w:val="none" w:sz="0" w:space="0" w:color="auto"/>
        <w:left w:val="none" w:sz="0" w:space="0" w:color="auto"/>
        <w:bottom w:val="none" w:sz="0" w:space="0" w:color="auto"/>
        <w:right w:val="none" w:sz="0" w:space="0" w:color="auto"/>
      </w:divBdr>
    </w:div>
    <w:div w:id="73597600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5033">
      <w:bodyDiv w:val="1"/>
      <w:marLeft w:val="0"/>
      <w:marRight w:val="0"/>
      <w:marTop w:val="0"/>
      <w:marBottom w:val="0"/>
      <w:divBdr>
        <w:top w:val="none" w:sz="0" w:space="0" w:color="auto"/>
        <w:left w:val="none" w:sz="0" w:space="0" w:color="auto"/>
        <w:bottom w:val="none" w:sz="0" w:space="0" w:color="auto"/>
        <w:right w:val="none" w:sz="0" w:space="0" w:color="auto"/>
      </w:divBdr>
    </w:div>
    <w:div w:id="822162382">
      <w:bodyDiv w:val="1"/>
      <w:marLeft w:val="0"/>
      <w:marRight w:val="0"/>
      <w:marTop w:val="0"/>
      <w:marBottom w:val="0"/>
      <w:divBdr>
        <w:top w:val="none" w:sz="0" w:space="0" w:color="auto"/>
        <w:left w:val="none" w:sz="0" w:space="0" w:color="auto"/>
        <w:bottom w:val="none" w:sz="0" w:space="0" w:color="auto"/>
        <w:right w:val="none" w:sz="0" w:space="0" w:color="auto"/>
      </w:divBdr>
    </w:div>
    <w:div w:id="842355336">
      <w:bodyDiv w:val="1"/>
      <w:marLeft w:val="0"/>
      <w:marRight w:val="0"/>
      <w:marTop w:val="0"/>
      <w:marBottom w:val="0"/>
      <w:divBdr>
        <w:top w:val="none" w:sz="0" w:space="0" w:color="auto"/>
        <w:left w:val="none" w:sz="0" w:space="0" w:color="auto"/>
        <w:bottom w:val="none" w:sz="0" w:space="0" w:color="auto"/>
        <w:right w:val="none" w:sz="0" w:space="0" w:color="auto"/>
      </w:divBdr>
    </w:div>
    <w:div w:id="853954903">
      <w:bodyDiv w:val="1"/>
      <w:marLeft w:val="0"/>
      <w:marRight w:val="0"/>
      <w:marTop w:val="0"/>
      <w:marBottom w:val="0"/>
      <w:divBdr>
        <w:top w:val="none" w:sz="0" w:space="0" w:color="auto"/>
        <w:left w:val="none" w:sz="0" w:space="0" w:color="auto"/>
        <w:bottom w:val="none" w:sz="0" w:space="0" w:color="auto"/>
        <w:right w:val="none" w:sz="0" w:space="0" w:color="auto"/>
      </w:divBdr>
    </w:div>
    <w:div w:id="886987713">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86907150">
      <w:bodyDiv w:val="1"/>
      <w:marLeft w:val="0"/>
      <w:marRight w:val="0"/>
      <w:marTop w:val="0"/>
      <w:marBottom w:val="0"/>
      <w:divBdr>
        <w:top w:val="none" w:sz="0" w:space="0" w:color="auto"/>
        <w:left w:val="none" w:sz="0" w:space="0" w:color="auto"/>
        <w:bottom w:val="none" w:sz="0" w:space="0" w:color="auto"/>
        <w:right w:val="none" w:sz="0" w:space="0" w:color="auto"/>
      </w:divBdr>
    </w:div>
    <w:div w:id="1015379203">
      <w:bodyDiv w:val="1"/>
      <w:marLeft w:val="0"/>
      <w:marRight w:val="0"/>
      <w:marTop w:val="0"/>
      <w:marBottom w:val="0"/>
      <w:divBdr>
        <w:top w:val="none" w:sz="0" w:space="0" w:color="auto"/>
        <w:left w:val="none" w:sz="0" w:space="0" w:color="auto"/>
        <w:bottom w:val="none" w:sz="0" w:space="0" w:color="auto"/>
        <w:right w:val="none" w:sz="0" w:space="0" w:color="auto"/>
      </w:divBdr>
    </w:div>
    <w:div w:id="1025404154">
      <w:bodyDiv w:val="1"/>
      <w:marLeft w:val="0"/>
      <w:marRight w:val="0"/>
      <w:marTop w:val="0"/>
      <w:marBottom w:val="0"/>
      <w:divBdr>
        <w:top w:val="none" w:sz="0" w:space="0" w:color="auto"/>
        <w:left w:val="none" w:sz="0" w:space="0" w:color="auto"/>
        <w:bottom w:val="none" w:sz="0" w:space="0" w:color="auto"/>
        <w:right w:val="none" w:sz="0" w:space="0" w:color="auto"/>
      </w:divBdr>
    </w:div>
    <w:div w:id="104837997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3568407">
      <w:bodyDiv w:val="1"/>
      <w:marLeft w:val="0"/>
      <w:marRight w:val="0"/>
      <w:marTop w:val="0"/>
      <w:marBottom w:val="0"/>
      <w:divBdr>
        <w:top w:val="none" w:sz="0" w:space="0" w:color="auto"/>
        <w:left w:val="none" w:sz="0" w:space="0" w:color="auto"/>
        <w:bottom w:val="none" w:sz="0" w:space="0" w:color="auto"/>
        <w:right w:val="none" w:sz="0" w:space="0" w:color="auto"/>
      </w:divBdr>
    </w:div>
    <w:div w:id="1121413956">
      <w:bodyDiv w:val="1"/>
      <w:marLeft w:val="0"/>
      <w:marRight w:val="0"/>
      <w:marTop w:val="0"/>
      <w:marBottom w:val="0"/>
      <w:divBdr>
        <w:top w:val="none" w:sz="0" w:space="0" w:color="auto"/>
        <w:left w:val="none" w:sz="0" w:space="0" w:color="auto"/>
        <w:bottom w:val="none" w:sz="0" w:space="0" w:color="auto"/>
        <w:right w:val="none" w:sz="0" w:space="0" w:color="auto"/>
      </w:divBdr>
    </w:div>
    <w:div w:id="1128400342">
      <w:bodyDiv w:val="1"/>
      <w:marLeft w:val="0"/>
      <w:marRight w:val="0"/>
      <w:marTop w:val="0"/>
      <w:marBottom w:val="0"/>
      <w:divBdr>
        <w:top w:val="none" w:sz="0" w:space="0" w:color="auto"/>
        <w:left w:val="none" w:sz="0" w:space="0" w:color="auto"/>
        <w:bottom w:val="none" w:sz="0" w:space="0" w:color="auto"/>
        <w:right w:val="none" w:sz="0" w:space="0" w:color="auto"/>
      </w:divBdr>
    </w:div>
    <w:div w:id="1151213840">
      <w:bodyDiv w:val="1"/>
      <w:marLeft w:val="0"/>
      <w:marRight w:val="0"/>
      <w:marTop w:val="0"/>
      <w:marBottom w:val="0"/>
      <w:divBdr>
        <w:top w:val="none" w:sz="0" w:space="0" w:color="auto"/>
        <w:left w:val="none" w:sz="0" w:space="0" w:color="auto"/>
        <w:bottom w:val="none" w:sz="0" w:space="0" w:color="auto"/>
        <w:right w:val="none" w:sz="0" w:space="0" w:color="auto"/>
      </w:divBdr>
    </w:div>
    <w:div w:id="1152598362">
      <w:bodyDiv w:val="1"/>
      <w:marLeft w:val="0"/>
      <w:marRight w:val="0"/>
      <w:marTop w:val="0"/>
      <w:marBottom w:val="0"/>
      <w:divBdr>
        <w:top w:val="none" w:sz="0" w:space="0" w:color="auto"/>
        <w:left w:val="none" w:sz="0" w:space="0" w:color="auto"/>
        <w:bottom w:val="none" w:sz="0" w:space="0" w:color="auto"/>
        <w:right w:val="none" w:sz="0" w:space="0" w:color="auto"/>
      </w:divBdr>
    </w:div>
    <w:div w:id="1158233675">
      <w:bodyDiv w:val="1"/>
      <w:marLeft w:val="0"/>
      <w:marRight w:val="0"/>
      <w:marTop w:val="0"/>
      <w:marBottom w:val="0"/>
      <w:divBdr>
        <w:top w:val="none" w:sz="0" w:space="0" w:color="auto"/>
        <w:left w:val="none" w:sz="0" w:space="0" w:color="auto"/>
        <w:bottom w:val="none" w:sz="0" w:space="0" w:color="auto"/>
        <w:right w:val="none" w:sz="0" w:space="0" w:color="auto"/>
      </w:divBdr>
    </w:div>
    <w:div w:id="1170409419">
      <w:bodyDiv w:val="1"/>
      <w:marLeft w:val="0"/>
      <w:marRight w:val="0"/>
      <w:marTop w:val="0"/>
      <w:marBottom w:val="0"/>
      <w:divBdr>
        <w:top w:val="none" w:sz="0" w:space="0" w:color="auto"/>
        <w:left w:val="none" w:sz="0" w:space="0" w:color="auto"/>
        <w:bottom w:val="none" w:sz="0" w:space="0" w:color="auto"/>
        <w:right w:val="none" w:sz="0" w:space="0" w:color="auto"/>
      </w:divBdr>
    </w:div>
    <w:div w:id="1184246865">
      <w:bodyDiv w:val="1"/>
      <w:marLeft w:val="0"/>
      <w:marRight w:val="0"/>
      <w:marTop w:val="0"/>
      <w:marBottom w:val="0"/>
      <w:divBdr>
        <w:top w:val="none" w:sz="0" w:space="0" w:color="auto"/>
        <w:left w:val="none" w:sz="0" w:space="0" w:color="auto"/>
        <w:bottom w:val="none" w:sz="0" w:space="0" w:color="auto"/>
        <w:right w:val="none" w:sz="0" w:space="0" w:color="auto"/>
      </w:divBdr>
      <w:divsChild>
        <w:div w:id="980768636">
          <w:marLeft w:val="0"/>
          <w:marRight w:val="0"/>
          <w:marTop w:val="0"/>
          <w:marBottom w:val="0"/>
          <w:divBdr>
            <w:top w:val="none" w:sz="0" w:space="0" w:color="auto"/>
            <w:left w:val="none" w:sz="0" w:space="0" w:color="auto"/>
            <w:bottom w:val="none" w:sz="0" w:space="0" w:color="auto"/>
            <w:right w:val="none" w:sz="0" w:space="0" w:color="auto"/>
          </w:divBdr>
        </w:div>
      </w:divsChild>
    </w:div>
    <w:div w:id="1189636221">
      <w:bodyDiv w:val="1"/>
      <w:marLeft w:val="0"/>
      <w:marRight w:val="0"/>
      <w:marTop w:val="0"/>
      <w:marBottom w:val="0"/>
      <w:divBdr>
        <w:top w:val="none" w:sz="0" w:space="0" w:color="auto"/>
        <w:left w:val="none" w:sz="0" w:space="0" w:color="auto"/>
        <w:bottom w:val="none" w:sz="0" w:space="0" w:color="auto"/>
        <w:right w:val="none" w:sz="0" w:space="0" w:color="auto"/>
      </w:divBdr>
    </w:div>
    <w:div w:id="1229530992">
      <w:bodyDiv w:val="1"/>
      <w:marLeft w:val="0"/>
      <w:marRight w:val="0"/>
      <w:marTop w:val="0"/>
      <w:marBottom w:val="0"/>
      <w:divBdr>
        <w:top w:val="none" w:sz="0" w:space="0" w:color="auto"/>
        <w:left w:val="none" w:sz="0" w:space="0" w:color="auto"/>
        <w:bottom w:val="none" w:sz="0" w:space="0" w:color="auto"/>
        <w:right w:val="none" w:sz="0" w:space="0" w:color="auto"/>
      </w:divBdr>
    </w:div>
    <w:div w:id="1312560987">
      <w:bodyDiv w:val="1"/>
      <w:marLeft w:val="0"/>
      <w:marRight w:val="0"/>
      <w:marTop w:val="0"/>
      <w:marBottom w:val="0"/>
      <w:divBdr>
        <w:top w:val="none" w:sz="0" w:space="0" w:color="auto"/>
        <w:left w:val="none" w:sz="0" w:space="0" w:color="auto"/>
        <w:bottom w:val="none" w:sz="0" w:space="0" w:color="auto"/>
        <w:right w:val="none" w:sz="0" w:space="0" w:color="auto"/>
      </w:divBdr>
    </w:div>
    <w:div w:id="1369379466">
      <w:bodyDiv w:val="1"/>
      <w:marLeft w:val="0"/>
      <w:marRight w:val="0"/>
      <w:marTop w:val="0"/>
      <w:marBottom w:val="0"/>
      <w:divBdr>
        <w:top w:val="none" w:sz="0" w:space="0" w:color="auto"/>
        <w:left w:val="none" w:sz="0" w:space="0" w:color="auto"/>
        <w:bottom w:val="none" w:sz="0" w:space="0" w:color="auto"/>
        <w:right w:val="none" w:sz="0" w:space="0" w:color="auto"/>
      </w:divBdr>
    </w:div>
    <w:div w:id="1403527765">
      <w:bodyDiv w:val="1"/>
      <w:marLeft w:val="0"/>
      <w:marRight w:val="0"/>
      <w:marTop w:val="0"/>
      <w:marBottom w:val="0"/>
      <w:divBdr>
        <w:top w:val="none" w:sz="0" w:space="0" w:color="auto"/>
        <w:left w:val="none" w:sz="0" w:space="0" w:color="auto"/>
        <w:bottom w:val="none" w:sz="0" w:space="0" w:color="auto"/>
        <w:right w:val="none" w:sz="0" w:space="0" w:color="auto"/>
      </w:divBdr>
    </w:div>
    <w:div w:id="1411271309">
      <w:bodyDiv w:val="1"/>
      <w:marLeft w:val="0"/>
      <w:marRight w:val="0"/>
      <w:marTop w:val="0"/>
      <w:marBottom w:val="0"/>
      <w:divBdr>
        <w:top w:val="none" w:sz="0" w:space="0" w:color="auto"/>
        <w:left w:val="none" w:sz="0" w:space="0" w:color="auto"/>
        <w:bottom w:val="none" w:sz="0" w:space="0" w:color="auto"/>
        <w:right w:val="none" w:sz="0" w:space="0" w:color="auto"/>
      </w:divBdr>
    </w:div>
    <w:div w:id="1425801876">
      <w:bodyDiv w:val="1"/>
      <w:marLeft w:val="0"/>
      <w:marRight w:val="0"/>
      <w:marTop w:val="0"/>
      <w:marBottom w:val="0"/>
      <w:divBdr>
        <w:top w:val="none" w:sz="0" w:space="0" w:color="auto"/>
        <w:left w:val="none" w:sz="0" w:space="0" w:color="auto"/>
        <w:bottom w:val="none" w:sz="0" w:space="0" w:color="auto"/>
        <w:right w:val="none" w:sz="0" w:space="0" w:color="auto"/>
      </w:divBdr>
      <w:divsChild>
        <w:div w:id="1561868898">
          <w:marLeft w:val="0"/>
          <w:marRight w:val="0"/>
          <w:marTop w:val="0"/>
          <w:marBottom w:val="0"/>
          <w:divBdr>
            <w:top w:val="none" w:sz="0" w:space="0" w:color="auto"/>
            <w:left w:val="none" w:sz="0" w:space="0" w:color="auto"/>
            <w:bottom w:val="single" w:sz="6" w:space="0" w:color="BDBDBD"/>
            <w:right w:val="none" w:sz="0" w:space="0" w:color="auto"/>
          </w:divBdr>
          <w:divsChild>
            <w:div w:id="849375035">
              <w:marLeft w:val="0"/>
              <w:marRight w:val="0"/>
              <w:marTop w:val="0"/>
              <w:marBottom w:val="0"/>
              <w:divBdr>
                <w:top w:val="none" w:sz="0" w:space="0" w:color="auto"/>
                <w:left w:val="none" w:sz="0" w:space="0" w:color="auto"/>
                <w:bottom w:val="none" w:sz="0" w:space="0" w:color="auto"/>
                <w:right w:val="none" w:sz="0" w:space="0" w:color="auto"/>
              </w:divBdr>
              <w:divsChild>
                <w:div w:id="753161165">
                  <w:marLeft w:val="0"/>
                  <w:marRight w:val="0"/>
                  <w:marTop w:val="0"/>
                  <w:marBottom w:val="0"/>
                  <w:divBdr>
                    <w:top w:val="none" w:sz="0" w:space="0" w:color="auto"/>
                    <w:left w:val="none" w:sz="0" w:space="0" w:color="auto"/>
                    <w:bottom w:val="none" w:sz="0" w:space="0" w:color="auto"/>
                    <w:right w:val="none" w:sz="0" w:space="0" w:color="auto"/>
                  </w:divBdr>
                  <w:divsChild>
                    <w:div w:id="1666592018">
                      <w:marLeft w:val="0"/>
                      <w:marRight w:val="0"/>
                      <w:marTop w:val="0"/>
                      <w:marBottom w:val="0"/>
                      <w:divBdr>
                        <w:top w:val="none" w:sz="0" w:space="0" w:color="auto"/>
                        <w:left w:val="none" w:sz="0" w:space="0" w:color="auto"/>
                        <w:bottom w:val="none" w:sz="0" w:space="0" w:color="auto"/>
                        <w:right w:val="none" w:sz="0" w:space="0" w:color="auto"/>
                      </w:divBdr>
                      <w:divsChild>
                        <w:div w:id="1612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722673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0210266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9973145">
      <w:bodyDiv w:val="1"/>
      <w:marLeft w:val="0"/>
      <w:marRight w:val="0"/>
      <w:marTop w:val="0"/>
      <w:marBottom w:val="0"/>
      <w:divBdr>
        <w:top w:val="none" w:sz="0" w:space="0" w:color="auto"/>
        <w:left w:val="none" w:sz="0" w:space="0" w:color="auto"/>
        <w:bottom w:val="none" w:sz="0" w:space="0" w:color="auto"/>
        <w:right w:val="none" w:sz="0" w:space="0" w:color="auto"/>
      </w:divBdr>
      <w:divsChild>
        <w:div w:id="699666636">
          <w:marLeft w:val="0"/>
          <w:marRight w:val="0"/>
          <w:marTop w:val="0"/>
          <w:marBottom w:val="0"/>
          <w:divBdr>
            <w:top w:val="none" w:sz="0" w:space="0" w:color="auto"/>
            <w:left w:val="none" w:sz="0" w:space="0" w:color="auto"/>
            <w:bottom w:val="single" w:sz="6" w:space="0" w:color="BDBDBD"/>
            <w:right w:val="none" w:sz="0" w:space="0" w:color="auto"/>
          </w:divBdr>
          <w:divsChild>
            <w:div w:id="617176602">
              <w:marLeft w:val="0"/>
              <w:marRight w:val="0"/>
              <w:marTop w:val="0"/>
              <w:marBottom w:val="0"/>
              <w:divBdr>
                <w:top w:val="none" w:sz="0" w:space="0" w:color="auto"/>
                <w:left w:val="none" w:sz="0" w:space="0" w:color="auto"/>
                <w:bottom w:val="none" w:sz="0" w:space="0" w:color="auto"/>
                <w:right w:val="none" w:sz="0" w:space="0" w:color="auto"/>
              </w:divBdr>
              <w:divsChild>
                <w:div w:id="1432582628">
                  <w:marLeft w:val="0"/>
                  <w:marRight w:val="0"/>
                  <w:marTop w:val="0"/>
                  <w:marBottom w:val="0"/>
                  <w:divBdr>
                    <w:top w:val="none" w:sz="0" w:space="0" w:color="auto"/>
                    <w:left w:val="none" w:sz="0" w:space="0" w:color="auto"/>
                    <w:bottom w:val="none" w:sz="0" w:space="0" w:color="auto"/>
                    <w:right w:val="none" w:sz="0" w:space="0" w:color="auto"/>
                  </w:divBdr>
                  <w:divsChild>
                    <w:div w:id="1790775379">
                      <w:marLeft w:val="0"/>
                      <w:marRight w:val="0"/>
                      <w:marTop w:val="0"/>
                      <w:marBottom w:val="0"/>
                      <w:divBdr>
                        <w:top w:val="none" w:sz="0" w:space="0" w:color="auto"/>
                        <w:left w:val="none" w:sz="0" w:space="0" w:color="auto"/>
                        <w:bottom w:val="none" w:sz="0" w:space="0" w:color="auto"/>
                        <w:right w:val="none" w:sz="0" w:space="0" w:color="auto"/>
                      </w:divBdr>
                      <w:divsChild>
                        <w:div w:id="5240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1050645">
      <w:bodyDiv w:val="1"/>
      <w:marLeft w:val="0"/>
      <w:marRight w:val="0"/>
      <w:marTop w:val="0"/>
      <w:marBottom w:val="0"/>
      <w:divBdr>
        <w:top w:val="none" w:sz="0" w:space="0" w:color="auto"/>
        <w:left w:val="none" w:sz="0" w:space="0" w:color="auto"/>
        <w:bottom w:val="none" w:sz="0" w:space="0" w:color="auto"/>
        <w:right w:val="none" w:sz="0" w:space="0" w:color="auto"/>
      </w:divBdr>
    </w:div>
    <w:div w:id="1735161516">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59709899">
      <w:bodyDiv w:val="1"/>
      <w:marLeft w:val="0"/>
      <w:marRight w:val="0"/>
      <w:marTop w:val="0"/>
      <w:marBottom w:val="0"/>
      <w:divBdr>
        <w:top w:val="none" w:sz="0" w:space="0" w:color="auto"/>
        <w:left w:val="none" w:sz="0" w:space="0" w:color="auto"/>
        <w:bottom w:val="none" w:sz="0" w:space="0" w:color="auto"/>
        <w:right w:val="none" w:sz="0" w:space="0" w:color="auto"/>
      </w:divBdr>
    </w:div>
    <w:div w:id="1769497067">
      <w:bodyDiv w:val="1"/>
      <w:marLeft w:val="0"/>
      <w:marRight w:val="0"/>
      <w:marTop w:val="0"/>
      <w:marBottom w:val="0"/>
      <w:divBdr>
        <w:top w:val="none" w:sz="0" w:space="0" w:color="auto"/>
        <w:left w:val="none" w:sz="0" w:space="0" w:color="auto"/>
        <w:bottom w:val="none" w:sz="0" w:space="0" w:color="auto"/>
        <w:right w:val="none" w:sz="0" w:space="0" w:color="auto"/>
      </w:divBdr>
    </w:div>
    <w:div w:id="1771197564">
      <w:bodyDiv w:val="1"/>
      <w:marLeft w:val="0"/>
      <w:marRight w:val="0"/>
      <w:marTop w:val="0"/>
      <w:marBottom w:val="0"/>
      <w:divBdr>
        <w:top w:val="none" w:sz="0" w:space="0" w:color="auto"/>
        <w:left w:val="none" w:sz="0" w:space="0" w:color="auto"/>
        <w:bottom w:val="none" w:sz="0" w:space="0" w:color="auto"/>
        <w:right w:val="none" w:sz="0" w:space="0" w:color="auto"/>
      </w:divBdr>
    </w:div>
    <w:div w:id="1784298982">
      <w:bodyDiv w:val="1"/>
      <w:marLeft w:val="0"/>
      <w:marRight w:val="0"/>
      <w:marTop w:val="0"/>
      <w:marBottom w:val="0"/>
      <w:divBdr>
        <w:top w:val="none" w:sz="0" w:space="0" w:color="auto"/>
        <w:left w:val="none" w:sz="0" w:space="0" w:color="auto"/>
        <w:bottom w:val="none" w:sz="0" w:space="0" w:color="auto"/>
        <w:right w:val="none" w:sz="0" w:space="0" w:color="auto"/>
      </w:divBdr>
    </w:div>
    <w:div w:id="178815929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88831627">
      <w:bodyDiv w:val="1"/>
      <w:marLeft w:val="0"/>
      <w:marRight w:val="0"/>
      <w:marTop w:val="0"/>
      <w:marBottom w:val="0"/>
      <w:divBdr>
        <w:top w:val="none" w:sz="0" w:space="0" w:color="auto"/>
        <w:left w:val="none" w:sz="0" w:space="0" w:color="auto"/>
        <w:bottom w:val="none" w:sz="0" w:space="0" w:color="auto"/>
        <w:right w:val="none" w:sz="0" w:space="0" w:color="auto"/>
      </w:divBdr>
    </w:div>
    <w:div w:id="1926524043">
      <w:bodyDiv w:val="1"/>
      <w:marLeft w:val="0"/>
      <w:marRight w:val="0"/>
      <w:marTop w:val="0"/>
      <w:marBottom w:val="0"/>
      <w:divBdr>
        <w:top w:val="none" w:sz="0" w:space="0" w:color="auto"/>
        <w:left w:val="none" w:sz="0" w:space="0" w:color="auto"/>
        <w:bottom w:val="none" w:sz="0" w:space="0" w:color="auto"/>
        <w:right w:val="none" w:sz="0" w:space="0" w:color="auto"/>
      </w:divBdr>
    </w:div>
    <w:div w:id="197316975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OM%3A2024%3A154%3AFIN&amp;qid=1712655488229"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neighbourhood-enlargement.ec.europa.eu/funding-and-technical-assistance/neighbourhood-development-and-international-cooperation-instrument-global-europe-ndici-global-europe_en" TargetMode="External" Id="rId17" /><Relationship Type="http://schemas.openxmlformats.org/officeDocument/2006/relationships/hyperlink" Target="https://economy-finance.ec.europa.eu/eu-financial-assistance/macro-financial-assistance-mfa_en"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lex.europa.eu/legal-content/NL/TXT/?uri=COM%3A2024%3A159%3AFIN&amp;qid=1712655019821"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lex.europa.eu/legal-content/NL/TXT/?uri=COM%3A2024%3A152%3AFIN&amp;qid=1712655844025"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803</ap:Words>
  <ap:Characters>5500</ap:Characters>
  <ap:DocSecurity>4</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2024-04-22T17:23:00.0000000Z</dcterms:created>
  <dcterms:modified xsi:type="dcterms:W3CDTF">2024-04-22T17:23:00.0000000Z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0x01010049664BF62C286D42A728FD6451A5C057</vt:lpwstr>
  </property>
  <property fmtid="{D5CDD505-2E9C-101B-9397-08002B2CF9AE}" pid="3" name="_dlc_DocIdItemGuid">
    <vt:lpwstr>9191a946-c911-495d-9bab-17c7e7589b20</vt:lpwstr>
  </property>
</Properties>
</file>