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5E5D" w:rsidP="009F311D" w:rsidRDefault="00EE5E5D" w14:paraId="76871959" w14:textId="77777777"/>
    <w:p w:rsidR="003B6109" w:rsidP="00EE5E5D" w:rsidRDefault="003B6109" w14:paraId="37E45D86" w14:textId="77777777">
      <w:r>
        <w:t>Geachte voorzitter,</w:t>
      </w:r>
    </w:p>
    <w:p w:rsidRPr="000C3691" w:rsidR="000C3691" w:rsidP="000C3691" w:rsidRDefault="000C3691" w14:paraId="3E7B63C8" w14:textId="65431564">
      <w:pPr>
        <w:rPr>
          <w:bCs/>
        </w:rPr>
      </w:pPr>
    </w:p>
    <w:p w:rsidRPr="000C3691" w:rsidR="000C3691" w:rsidP="000C3691" w:rsidRDefault="000C3691" w14:paraId="1EAFC933" w14:textId="3D2C4AE5">
      <w:pPr>
        <w:rPr>
          <w:bCs/>
        </w:rPr>
      </w:pPr>
      <w:r w:rsidRPr="000C3691">
        <w:rPr>
          <w:bCs/>
        </w:rPr>
        <w:t xml:space="preserve">Van 4 tot en met 14 december </w:t>
      </w:r>
      <w:r w:rsidR="00635C91">
        <w:rPr>
          <w:bCs/>
        </w:rPr>
        <w:t>2023</w:t>
      </w:r>
      <w:r w:rsidRPr="000C3691">
        <w:rPr>
          <w:bCs/>
        </w:rPr>
        <w:t xml:space="preserve"> vond in New York de jaarlijkse Vergadering van verdragspartijen van het Statuut van Rome</w:t>
      </w:r>
      <w:r w:rsidR="008F194D">
        <w:rPr>
          <w:bCs/>
        </w:rPr>
        <w:t xml:space="preserve"> (</w:t>
      </w:r>
      <w:r w:rsidRPr="008F194D" w:rsidR="008F194D">
        <w:rPr>
          <w:bCs/>
          <w:i/>
          <w:iCs/>
        </w:rPr>
        <w:t>Assembly of States Parties</w:t>
      </w:r>
      <w:r w:rsidR="001E2FCA">
        <w:rPr>
          <w:bCs/>
        </w:rPr>
        <w:t xml:space="preserve">, </w:t>
      </w:r>
      <w:r w:rsidR="008F194D">
        <w:rPr>
          <w:bCs/>
        </w:rPr>
        <w:t>ASP)</w:t>
      </w:r>
      <w:r w:rsidRPr="000C3691">
        <w:rPr>
          <w:bCs/>
        </w:rPr>
        <w:t xml:space="preserve"> inzake het Internationaal Strafhof (ISH) plaats. Over de Nederlandse inzet tijdens deze Vergadering werd u</w:t>
      </w:r>
      <w:r w:rsidR="002F34C0">
        <w:rPr>
          <w:bCs/>
        </w:rPr>
        <w:t>w Kamer</w:t>
      </w:r>
      <w:r w:rsidRPr="000C3691">
        <w:rPr>
          <w:bCs/>
        </w:rPr>
        <w:t xml:space="preserve"> geïnformeerd middels de Kamerbrief van 7 december 2023.</w:t>
      </w:r>
      <w:r w:rsidRPr="000C3691">
        <w:rPr>
          <w:bCs/>
          <w:vertAlign w:val="superscript"/>
        </w:rPr>
        <w:footnoteReference w:id="2"/>
      </w:r>
      <w:r w:rsidRPr="000C3691">
        <w:rPr>
          <w:bCs/>
        </w:rPr>
        <w:t xml:space="preserve"> </w:t>
      </w:r>
    </w:p>
    <w:p w:rsidRPr="000C3691" w:rsidR="000C3691" w:rsidP="000C3691" w:rsidRDefault="000C3691" w14:paraId="58C65F53" w14:textId="77777777">
      <w:pPr>
        <w:rPr>
          <w:bCs/>
        </w:rPr>
      </w:pPr>
    </w:p>
    <w:p w:rsidR="000C3691" w:rsidP="000C3691" w:rsidRDefault="000C3691" w14:paraId="4D43DD07" w14:textId="0F2A5712">
      <w:pPr>
        <w:rPr>
          <w:b/>
        </w:rPr>
      </w:pPr>
      <w:r w:rsidRPr="000C3691">
        <w:rPr>
          <w:b/>
        </w:rPr>
        <w:t>Inleiding</w:t>
      </w:r>
    </w:p>
    <w:p w:rsidRPr="000C3691" w:rsidR="000C3691" w:rsidP="000C3691" w:rsidRDefault="000C3691" w14:paraId="665AF540" w14:textId="77777777">
      <w:pPr>
        <w:rPr>
          <w:b/>
        </w:rPr>
      </w:pPr>
    </w:p>
    <w:p w:rsidR="000C3691" w:rsidP="000C3691" w:rsidRDefault="000C3691" w14:paraId="3F832245" w14:textId="56B1FC09">
      <w:pPr>
        <w:rPr>
          <w:bCs/>
        </w:rPr>
      </w:pPr>
      <w:r w:rsidRPr="000C3691">
        <w:rPr>
          <w:bCs/>
        </w:rPr>
        <w:t>In verband met de verkiezing van zes nieuwe rechters vond de 22</w:t>
      </w:r>
      <w:r w:rsidRPr="000C3691">
        <w:rPr>
          <w:bCs/>
          <w:vertAlign w:val="superscript"/>
        </w:rPr>
        <w:t xml:space="preserve">e </w:t>
      </w:r>
      <w:r w:rsidRPr="000C3691">
        <w:rPr>
          <w:bCs/>
        </w:rPr>
        <w:t>ASP plaats in het hoofdkwartier van de V</w:t>
      </w:r>
      <w:r w:rsidR="00A63980">
        <w:rPr>
          <w:bCs/>
        </w:rPr>
        <w:t xml:space="preserve">erenigde </w:t>
      </w:r>
      <w:r w:rsidRPr="000C3691">
        <w:rPr>
          <w:bCs/>
        </w:rPr>
        <w:t>N</w:t>
      </w:r>
      <w:r w:rsidR="00A63980">
        <w:rPr>
          <w:bCs/>
        </w:rPr>
        <w:t>aties</w:t>
      </w:r>
      <w:r w:rsidRPr="000C3691">
        <w:rPr>
          <w:bCs/>
        </w:rPr>
        <w:t xml:space="preserve"> in New York, waar alle verdragspartijen zijn vertegenwoordigd. De verdragspartijen hebben overeenstemming bereikt over een budgetverhoging van 7,99% en een</w:t>
      </w:r>
      <w:r w:rsidR="00C02C3C">
        <w:rPr>
          <w:bCs/>
        </w:rPr>
        <w:t xml:space="preserve"> uitbreiding van het</w:t>
      </w:r>
      <w:r w:rsidRPr="000C3691">
        <w:rPr>
          <w:bCs/>
        </w:rPr>
        <w:t xml:space="preserve"> personeelsbestand van</w:t>
      </w:r>
      <w:r w:rsidR="00C02C3C">
        <w:rPr>
          <w:bCs/>
        </w:rPr>
        <w:t xml:space="preserve"> 970 naar</w:t>
      </w:r>
      <w:r w:rsidRPr="000C3691">
        <w:rPr>
          <w:bCs/>
        </w:rPr>
        <w:t xml:space="preserve"> 972 arbeidsplaatsen.</w:t>
      </w:r>
      <w:r w:rsidR="00C02C3C">
        <w:rPr>
          <w:bCs/>
        </w:rPr>
        <w:t xml:space="preserve"> </w:t>
      </w:r>
      <w:r w:rsidRPr="000C3691">
        <w:rPr>
          <w:bCs/>
        </w:rPr>
        <w:t>Het mandaat van het mechanisme dat leiding geeft aan het hervormingsproces is wederom met een jaar verlengd en mevr</w:t>
      </w:r>
      <w:r w:rsidR="00A63980">
        <w:rPr>
          <w:bCs/>
        </w:rPr>
        <w:t>ouw</w:t>
      </w:r>
      <w:r w:rsidRPr="000C3691">
        <w:rPr>
          <w:bCs/>
        </w:rPr>
        <w:t xml:space="preserve"> Päivi Kaukoranta (Finland) is verkozen als Voorzitster van de Vergadering voor de periode 2024-2026.</w:t>
      </w:r>
    </w:p>
    <w:p w:rsidRPr="000C3691" w:rsidR="00270E07" w:rsidP="000C3691" w:rsidRDefault="00270E07" w14:paraId="38F0BB39" w14:textId="77777777">
      <w:pPr>
        <w:rPr>
          <w:bCs/>
        </w:rPr>
      </w:pPr>
    </w:p>
    <w:p w:rsidR="000C3691" w:rsidP="000C3691" w:rsidRDefault="00A63980" w14:paraId="24C68AE8" w14:textId="106D66FE">
      <w:pPr>
        <w:rPr>
          <w:bCs/>
        </w:rPr>
      </w:pPr>
      <w:r w:rsidRPr="007D55CC">
        <w:rPr>
          <w:bCs/>
        </w:rPr>
        <w:t xml:space="preserve">Het </w:t>
      </w:r>
      <w:r w:rsidRPr="007D55CC" w:rsidR="003C31F9">
        <w:rPr>
          <w:bCs/>
        </w:rPr>
        <w:t xml:space="preserve">werk van het </w:t>
      </w:r>
      <w:r w:rsidRPr="007D55CC">
        <w:rPr>
          <w:bCs/>
        </w:rPr>
        <w:t xml:space="preserve">ISH is </w:t>
      </w:r>
      <w:r w:rsidRPr="007D55CC" w:rsidR="003C31F9">
        <w:rPr>
          <w:bCs/>
        </w:rPr>
        <w:t xml:space="preserve">in </w:t>
      </w:r>
      <w:r w:rsidRPr="007D55CC">
        <w:rPr>
          <w:bCs/>
        </w:rPr>
        <w:t xml:space="preserve">het afgelopen jaar </w:t>
      </w:r>
      <w:r w:rsidRPr="007D55CC" w:rsidR="003C31F9">
        <w:rPr>
          <w:bCs/>
        </w:rPr>
        <w:t>meer in de politieke belangstelling komen te staan</w:t>
      </w:r>
      <w:r w:rsidRPr="007D55CC">
        <w:rPr>
          <w:bCs/>
        </w:rPr>
        <w:t>.</w:t>
      </w:r>
      <w:r w:rsidRPr="00A63980">
        <w:rPr>
          <w:bCs/>
        </w:rPr>
        <w:t xml:space="preserve"> </w:t>
      </w:r>
      <w:r w:rsidRPr="000C3691" w:rsidR="000C3691">
        <w:rPr>
          <w:bCs/>
        </w:rPr>
        <w:t>D</w:t>
      </w:r>
      <w:r>
        <w:rPr>
          <w:bCs/>
        </w:rPr>
        <w:t xml:space="preserve">it komt </w:t>
      </w:r>
      <w:r w:rsidR="0054710D">
        <w:rPr>
          <w:bCs/>
        </w:rPr>
        <w:t xml:space="preserve">met name </w:t>
      </w:r>
      <w:r>
        <w:rPr>
          <w:bCs/>
        </w:rPr>
        <w:t>door</w:t>
      </w:r>
      <w:r w:rsidR="00906876">
        <w:rPr>
          <w:bCs/>
        </w:rPr>
        <w:t xml:space="preserve"> </w:t>
      </w:r>
      <w:r w:rsidRPr="000C3691" w:rsidR="000C3691">
        <w:rPr>
          <w:bCs/>
        </w:rPr>
        <w:t xml:space="preserve">het arrestatiebevel tegen President Poetin en de sterk toegenomen druk om ook in het kader van het onderzoek naar de situatie in de Palestijnse Gebieden arrestatiebevelen uit te vaardigen. Tijdens de Vergadering werden door de betrokkenheid van het Strafhof bij deze geopolitieke brandhaarden de (regionale) breuklijnen goed zichtbaar en nam op een aantal vraagstukken de spanning tussen recht en politiek toe. </w:t>
      </w:r>
      <w:r w:rsidRPr="00D46CB7" w:rsidR="00D53B8F">
        <w:rPr>
          <w:bCs/>
          <w:color w:val="000000" w:themeColor="text1"/>
        </w:rPr>
        <w:t xml:space="preserve">Zo werd naar aanleiding van het arrestatiebevel tegen Poetin door enkele landen gepoogd </w:t>
      </w:r>
      <w:r w:rsidRPr="000C3691" w:rsidR="000C3691">
        <w:rPr>
          <w:bCs/>
        </w:rPr>
        <w:t>het beleid af te zwakken inzake het vermijden van niet-essentiële contacten met personen tegen wie door het Strafhof een arrestatiebevel is uitgevaard</w:t>
      </w:r>
      <w:r w:rsidR="00416284">
        <w:rPr>
          <w:bCs/>
        </w:rPr>
        <w:t>igd</w:t>
      </w:r>
      <w:r w:rsidR="00D53B8F">
        <w:rPr>
          <w:bCs/>
        </w:rPr>
        <w:t>. D</w:t>
      </w:r>
      <w:r w:rsidR="00C14C73">
        <w:rPr>
          <w:bCs/>
        </w:rPr>
        <w:t>eze poging</w:t>
      </w:r>
      <w:r w:rsidRPr="000C3691" w:rsidR="000C3691">
        <w:rPr>
          <w:bCs/>
        </w:rPr>
        <w:t xml:space="preserve"> stuitte echter op de weerstand van een grote meerderheid van de verdragspartijen. </w:t>
      </w:r>
    </w:p>
    <w:p w:rsidRPr="000C3691" w:rsidR="00270E07" w:rsidP="000C3691" w:rsidRDefault="00270E07" w14:paraId="135AED54" w14:textId="77777777">
      <w:pPr>
        <w:rPr>
          <w:bCs/>
        </w:rPr>
      </w:pPr>
    </w:p>
    <w:p w:rsidR="000C3691" w:rsidP="000C3691" w:rsidRDefault="000C3691" w14:paraId="6FCBB7F3" w14:textId="742FDE1E">
      <w:pPr>
        <w:rPr>
          <w:bCs/>
        </w:rPr>
      </w:pPr>
      <w:r w:rsidRPr="000C3691">
        <w:rPr>
          <w:bCs/>
        </w:rPr>
        <w:lastRenderedPageBreak/>
        <w:t xml:space="preserve">Ondanks de stevige kritiek van verschillende staten uit de </w:t>
      </w:r>
      <w:r w:rsidRPr="000C3691">
        <w:rPr>
          <w:bCs/>
          <w:i/>
          <w:iCs/>
        </w:rPr>
        <w:t>Global South</w:t>
      </w:r>
      <w:r w:rsidRPr="000C3691">
        <w:rPr>
          <w:bCs/>
        </w:rPr>
        <w:t xml:space="preserve"> op onder meer de onevenredige geografische vertegenwoordiging in de belangrijkste organen van het Hof en de ASP en op de dubbele standaarden die het Parket van de Aanklager zou hanteren, blijft de steun voor (de idealen van) het Strafhof groot. Die steun blijkt onder meer uit het feit dat ook kritische staten wederom hebben ingestemd met een aanzienlijke verhoging van het budget</w:t>
      </w:r>
      <w:r w:rsidR="00D942CB">
        <w:rPr>
          <w:bCs/>
        </w:rPr>
        <w:t xml:space="preserve"> voor o.a. (cyber)veiligheid en </w:t>
      </w:r>
      <w:r w:rsidRPr="000C3691" w:rsidR="00D942CB">
        <w:rPr>
          <w:bCs/>
        </w:rPr>
        <w:t>het toekennen van enkele prioritaire functies</w:t>
      </w:r>
      <w:r w:rsidRPr="000C3691">
        <w:rPr>
          <w:bCs/>
        </w:rPr>
        <w:t xml:space="preserve">. Daarnaast werden zowel de Russische arrestatiebevelen tegen de Aanklager en zes rechters van het Strafhof, als de op spionage gerichte cyberaanval waar het ISH in september 2023 het slachtoffer van is geworden, door tal van verdragspartijen uit alle regionale groepen stevig veroordeeld. </w:t>
      </w:r>
    </w:p>
    <w:p w:rsidRPr="000C3691" w:rsidR="000C3691" w:rsidP="000C3691" w:rsidRDefault="000C3691" w14:paraId="5B70BDB3" w14:textId="77777777">
      <w:pPr>
        <w:rPr>
          <w:bCs/>
        </w:rPr>
      </w:pPr>
    </w:p>
    <w:p w:rsidRPr="000C3691" w:rsidR="000C3691" w:rsidP="000C3691" w:rsidRDefault="000C3691" w14:paraId="755CE507" w14:textId="77777777">
      <w:pPr>
        <w:rPr>
          <w:b/>
        </w:rPr>
      </w:pPr>
      <w:r w:rsidRPr="000C3691">
        <w:rPr>
          <w:b/>
        </w:rPr>
        <w:t>Verkiezing van zes rechters</w:t>
      </w:r>
    </w:p>
    <w:p w:rsidRPr="000C3691" w:rsidR="000C3691" w:rsidP="000C3691" w:rsidRDefault="000C3691" w14:paraId="07CB3236" w14:textId="77777777">
      <w:pPr>
        <w:rPr>
          <w:bCs/>
        </w:rPr>
      </w:pPr>
    </w:p>
    <w:p w:rsidRPr="000C3691" w:rsidR="000C3691" w:rsidP="000C3691" w:rsidRDefault="000C3691" w14:paraId="1951EE0D" w14:textId="619C0869">
      <w:pPr>
        <w:rPr>
          <w:bCs/>
        </w:rPr>
      </w:pPr>
      <w:r w:rsidRPr="000C3691">
        <w:rPr>
          <w:bCs/>
        </w:rPr>
        <w:t xml:space="preserve">Om de drie jaar vervangt de ASP een derde van de achttien rechters van het Strafhof, door zes nieuwe rechters te kiezen voor een niet-verlengbare termijn van negen jaar. </w:t>
      </w:r>
      <w:r w:rsidR="00A63980">
        <w:rPr>
          <w:bCs/>
        </w:rPr>
        <w:t>Daarbij worden verschillende</w:t>
      </w:r>
      <w:r w:rsidRPr="000C3691">
        <w:rPr>
          <w:bCs/>
        </w:rPr>
        <w:t xml:space="preserve"> criteria </w:t>
      </w:r>
      <w:r w:rsidR="00A63980">
        <w:rPr>
          <w:bCs/>
        </w:rPr>
        <w:t xml:space="preserve">in acht genomen </w:t>
      </w:r>
      <w:r w:rsidRPr="000C3691">
        <w:rPr>
          <w:bCs/>
        </w:rPr>
        <w:t>die betrekking hebben op gender, geografische herkomst en juridische expertise.</w:t>
      </w:r>
    </w:p>
    <w:p w:rsidRPr="000C3691" w:rsidR="000C3691" w:rsidP="000C3691" w:rsidRDefault="000C3691" w14:paraId="7726378B" w14:textId="77777777">
      <w:pPr>
        <w:rPr>
          <w:bCs/>
        </w:rPr>
      </w:pPr>
    </w:p>
    <w:p w:rsidRPr="000C3691" w:rsidR="000C3691" w:rsidP="000C3691" w:rsidRDefault="000C3691" w14:paraId="102DD300" w14:textId="77777777">
      <w:pPr>
        <w:rPr>
          <w:bCs/>
        </w:rPr>
      </w:pPr>
      <w:r w:rsidRPr="000C3691">
        <w:rPr>
          <w:bCs/>
        </w:rPr>
        <w:t>Er waren uiteindelijk 11 stemrondes nodig om de volgende zes kandidaten te verkiezen:</w:t>
      </w:r>
    </w:p>
    <w:p w:rsidRPr="000C3691" w:rsidR="000C3691" w:rsidP="000C3691" w:rsidRDefault="000C3691" w14:paraId="49045215" w14:textId="77777777">
      <w:pPr>
        <w:rPr>
          <w:bCs/>
        </w:rPr>
      </w:pPr>
    </w:p>
    <w:p w:rsidRPr="000C3691" w:rsidR="000C3691" w:rsidP="000C3691" w:rsidRDefault="000C3691" w14:paraId="45CDDA7A" w14:textId="77777777">
      <w:pPr>
        <w:rPr>
          <w:bCs/>
        </w:rPr>
      </w:pPr>
      <w:r w:rsidRPr="000C3691">
        <w:rPr>
          <w:bCs/>
        </w:rPr>
        <w:t xml:space="preserve">(1)    Dhr. Erdenebalsuren Damdin (Mongolië) </w:t>
      </w:r>
    </w:p>
    <w:p w:rsidRPr="000C3691" w:rsidR="000C3691" w:rsidP="000C3691" w:rsidRDefault="000C3691" w14:paraId="054354EA" w14:textId="77777777">
      <w:pPr>
        <w:rPr>
          <w:bCs/>
        </w:rPr>
      </w:pPr>
      <w:r w:rsidRPr="000C3691">
        <w:rPr>
          <w:bCs/>
        </w:rPr>
        <w:t xml:space="preserve">(2)    Mevr. Iulia Antoanella Motoc (Roemenië) </w:t>
      </w:r>
    </w:p>
    <w:p w:rsidRPr="000C3691" w:rsidR="000C3691" w:rsidP="000C3691" w:rsidRDefault="000C3691" w14:paraId="031D3947" w14:textId="77777777">
      <w:pPr>
        <w:rPr>
          <w:bCs/>
        </w:rPr>
      </w:pPr>
      <w:r w:rsidRPr="000C3691">
        <w:rPr>
          <w:bCs/>
        </w:rPr>
        <w:t xml:space="preserve">(3)    Dhr. Nicolas Guillou (Frankrijk) </w:t>
      </w:r>
    </w:p>
    <w:p w:rsidRPr="000C3691" w:rsidR="000C3691" w:rsidP="000C3691" w:rsidRDefault="000C3691" w14:paraId="132B08FA" w14:textId="77777777">
      <w:pPr>
        <w:rPr>
          <w:bCs/>
        </w:rPr>
      </w:pPr>
      <w:r w:rsidRPr="000C3691">
        <w:rPr>
          <w:bCs/>
        </w:rPr>
        <w:t xml:space="preserve">(4)    Mevr. Beti Hohler (Slovenië) </w:t>
      </w:r>
    </w:p>
    <w:p w:rsidRPr="000C3691" w:rsidR="000C3691" w:rsidP="000C3691" w:rsidRDefault="000C3691" w14:paraId="75040A6E" w14:textId="77777777">
      <w:pPr>
        <w:rPr>
          <w:bCs/>
        </w:rPr>
      </w:pPr>
      <w:r w:rsidRPr="000C3691">
        <w:rPr>
          <w:bCs/>
        </w:rPr>
        <w:t xml:space="preserve">(5)    Dhr. Haykel Ben Mahfoudh (Tunesië) </w:t>
      </w:r>
    </w:p>
    <w:p w:rsidRPr="000C3691" w:rsidR="000C3691" w:rsidP="000C3691" w:rsidRDefault="000C3691" w14:paraId="371103DD" w14:textId="77777777">
      <w:pPr>
        <w:rPr>
          <w:bCs/>
        </w:rPr>
      </w:pPr>
      <w:r w:rsidRPr="000C3691">
        <w:rPr>
          <w:bCs/>
        </w:rPr>
        <w:t xml:space="preserve">(6)    Dhr. Keebong Paek (Republiek Korea) </w:t>
      </w:r>
    </w:p>
    <w:p w:rsidRPr="000C3691" w:rsidR="000C3691" w:rsidP="000C3691" w:rsidRDefault="000C3691" w14:paraId="22CE1053" w14:textId="77777777">
      <w:pPr>
        <w:rPr>
          <w:bCs/>
        </w:rPr>
      </w:pPr>
    </w:p>
    <w:p w:rsidRPr="000C3691" w:rsidR="000C3691" w:rsidP="000C3691" w:rsidRDefault="000C3691" w14:paraId="56550E3A" w14:textId="77777777">
      <w:pPr>
        <w:rPr>
          <w:bCs/>
        </w:rPr>
      </w:pPr>
      <w:r w:rsidRPr="000C3691">
        <w:rPr>
          <w:bCs/>
        </w:rPr>
        <w:t xml:space="preserve">De nieuwe rechters zullen in maart worden beëdigd. </w:t>
      </w:r>
    </w:p>
    <w:p w:rsidRPr="000C3691" w:rsidR="000C3691" w:rsidP="000C3691" w:rsidRDefault="000C3691" w14:paraId="180FAB41" w14:textId="77777777">
      <w:pPr>
        <w:rPr>
          <w:bCs/>
        </w:rPr>
      </w:pPr>
    </w:p>
    <w:p w:rsidRPr="000C3691" w:rsidR="000C3691" w:rsidP="000C3691" w:rsidRDefault="000C3691" w14:paraId="2C298A79" w14:textId="77777777">
      <w:pPr>
        <w:rPr>
          <w:b/>
        </w:rPr>
      </w:pPr>
      <w:r w:rsidRPr="000C3691">
        <w:rPr>
          <w:b/>
        </w:rPr>
        <w:t>Verkiezingen Voorzitster ASP en Bureau</w:t>
      </w:r>
    </w:p>
    <w:p w:rsidRPr="000C3691" w:rsidR="000C3691" w:rsidP="000C3691" w:rsidRDefault="000C3691" w14:paraId="50B1FDBA" w14:textId="77777777">
      <w:pPr>
        <w:rPr>
          <w:bCs/>
        </w:rPr>
      </w:pPr>
    </w:p>
    <w:p w:rsidR="000C3691" w:rsidP="000C3691" w:rsidRDefault="000C3691" w14:paraId="2C7D19CD" w14:textId="0C2A35AD">
      <w:pPr>
        <w:rPr>
          <w:bCs/>
        </w:rPr>
      </w:pPr>
      <w:r w:rsidRPr="000C3691">
        <w:rPr>
          <w:bCs/>
        </w:rPr>
        <w:t>Mevr</w:t>
      </w:r>
      <w:r w:rsidR="00A63980">
        <w:rPr>
          <w:bCs/>
        </w:rPr>
        <w:t>ouw</w:t>
      </w:r>
      <w:r w:rsidRPr="000C3691">
        <w:rPr>
          <w:bCs/>
        </w:rPr>
        <w:t xml:space="preserve"> Päivi Kaukoranta (Finland) is verkozen als Voorzitster van de ASP voor de periode 2024-2026. Daarnaast zijn voor dezelfde periode d</w:t>
      </w:r>
      <w:r w:rsidR="00A811E4">
        <w:rPr>
          <w:bCs/>
        </w:rPr>
        <w:t>e heer</w:t>
      </w:r>
      <w:r w:rsidRPr="000C3691">
        <w:rPr>
          <w:bCs/>
        </w:rPr>
        <w:t xml:space="preserve"> Michael Kanu (Sierra Leone) en mevr</w:t>
      </w:r>
      <w:r w:rsidR="00A811E4">
        <w:rPr>
          <w:bCs/>
        </w:rPr>
        <w:t>ouw</w:t>
      </w:r>
      <w:r w:rsidRPr="000C3691">
        <w:rPr>
          <w:bCs/>
        </w:rPr>
        <w:t xml:space="preserve"> Margareta Kassangana (Polen) verkozen als Vice-voorzitters. Tot slot zijn de volgende achttien leden van het Bureau – het dagelijkse bestuur van de ASP – verkozen: België, Bolivia, Bosnië en Herzegovina, Brazilië, Chili, Cyprus, Ecuador, Italië, Japan, Kenia, Letland, Nieuw-Zeeland, Oeganda, Senegal, Slovenië, Zuid-Afrika, Zuid-Korea en Zwitserland.</w:t>
      </w:r>
    </w:p>
    <w:p w:rsidRPr="000C3691" w:rsidR="00270E07" w:rsidP="000C3691" w:rsidRDefault="00270E07" w14:paraId="030265A4" w14:textId="77777777">
      <w:pPr>
        <w:rPr>
          <w:bCs/>
        </w:rPr>
      </w:pPr>
    </w:p>
    <w:p w:rsidRPr="000C3691" w:rsidR="000C3691" w:rsidP="000C3691" w:rsidRDefault="000C3691" w14:paraId="5653A450" w14:textId="77777777">
      <w:pPr>
        <w:rPr>
          <w:b/>
        </w:rPr>
      </w:pPr>
      <w:r w:rsidRPr="000C3691">
        <w:rPr>
          <w:b/>
        </w:rPr>
        <w:t>Algemene debat</w:t>
      </w:r>
    </w:p>
    <w:p w:rsidRPr="000C3691" w:rsidR="000C3691" w:rsidP="000C3691" w:rsidRDefault="000C3691" w14:paraId="61D37EE8" w14:textId="77777777">
      <w:pPr>
        <w:rPr>
          <w:bCs/>
        </w:rPr>
      </w:pPr>
    </w:p>
    <w:p w:rsidRPr="000C3691" w:rsidR="000C3691" w:rsidP="000C3691" w:rsidRDefault="000C3691" w14:paraId="09B86F10" w14:textId="6C67F8A9">
      <w:pPr>
        <w:rPr>
          <w:bCs/>
        </w:rPr>
      </w:pPr>
      <w:r w:rsidRPr="000C3691">
        <w:rPr>
          <w:bCs/>
        </w:rPr>
        <w:t xml:space="preserve">Tijdens het algemene debat werden verklaringen afgelegd door 71 verdragspartijen, vijf </w:t>
      </w:r>
      <w:r w:rsidRPr="000C3691">
        <w:rPr>
          <w:bCs/>
          <w:i/>
          <w:iCs/>
        </w:rPr>
        <w:t>observer states</w:t>
      </w:r>
      <w:r w:rsidRPr="000C3691">
        <w:rPr>
          <w:bCs/>
        </w:rPr>
        <w:t xml:space="preserve"> (Armenië, China, Iran, Israël en de VS), de EU, de </w:t>
      </w:r>
      <w:r w:rsidRPr="00C02C3C">
        <w:rPr>
          <w:bCs/>
          <w:i/>
          <w:iCs/>
        </w:rPr>
        <w:t>International Development Law Organization</w:t>
      </w:r>
      <w:r w:rsidRPr="000C3691">
        <w:rPr>
          <w:bCs/>
        </w:rPr>
        <w:t xml:space="preserve">, de </w:t>
      </w:r>
      <w:r w:rsidRPr="00C02C3C">
        <w:rPr>
          <w:bCs/>
          <w:i/>
          <w:iCs/>
        </w:rPr>
        <w:t>International Criminal Court Bar Association</w:t>
      </w:r>
      <w:r w:rsidRPr="000C3691">
        <w:rPr>
          <w:bCs/>
        </w:rPr>
        <w:t xml:space="preserve"> en </w:t>
      </w:r>
      <w:r w:rsidR="002744AD">
        <w:rPr>
          <w:bCs/>
        </w:rPr>
        <w:t xml:space="preserve">een </w:t>
      </w:r>
      <w:r w:rsidRPr="000C3691">
        <w:rPr>
          <w:bCs/>
        </w:rPr>
        <w:t>aanzienlijk aantal NGO’s.</w:t>
      </w:r>
      <w:r w:rsidRPr="000C3691">
        <w:rPr>
          <w:bCs/>
          <w:vertAlign w:val="superscript"/>
        </w:rPr>
        <w:footnoteReference w:id="3"/>
      </w:r>
      <w:r w:rsidRPr="000C3691">
        <w:rPr>
          <w:bCs/>
        </w:rPr>
        <w:t xml:space="preserve"> Naast aandacht voor de 25</w:t>
      </w:r>
      <w:r w:rsidRPr="001E2FCA">
        <w:rPr>
          <w:bCs/>
          <w:vertAlign w:val="superscript"/>
        </w:rPr>
        <w:t>e</w:t>
      </w:r>
      <w:r w:rsidRPr="000C3691">
        <w:rPr>
          <w:bCs/>
        </w:rPr>
        <w:t xml:space="preserve"> verjaardag van het Statuut van Rome en de ratificatie van het Statuut door Armenië, gingen veel verdragspartijen in op het belang van de (vrijwillige) samenwerking met het Strafhof, het belang van een billijke geografische </w:t>
      </w:r>
      <w:r w:rsidRPr="000C3691">
        <w:rPr>
          <w:bCs/>
        </w:rPr>
        <w:lastRenderedPageBreak/>
        <w:t xml:space="preserve">vertegenwoordiging in de belangrijkste organen van het Hof en de ASP, het belang van het </w:t>
      </w:r>
      <w:r w:rsidRPr="000C3691">
        <w:rPr>
          <w:bCs/>
          <w:i/>
          <w:iCs/>
        </w:rPr>
        <w:t>Trust Fund for Victims</w:t>
      </w:r>
      <w:r w:rsidRPr="000C3691">
        <w:rPr>
          <w:bCs/>
        </w:rPr>
        <w:t xml:space="preserve"> en de rol van NGO’s en mensenrechtenverdedigers.</w:t>
      </w:r>
      <w:r w:rsidR="00270E07">
        <w:rPr>
          <w:bCs/>
        </w:rPr>
        <w:t xml:space="preserve"> </w:t>
      </w:r>
      <w:r w:rsidRPr="000C3691">
        <w:rPr>
          <w:bCs/>
        </w:rPr>
        <w:t xml:space="preserve">Nederland heeft de verdragspartijen onder meer opgeroepen om vrijwillige samenwerking te verlenen aan het Strafhof en </w:t>
      </w:r>
      <w:r w:rsidR="00D019E7">
        <w:rPr>
          <w:bCs/>
        </w:rPr>
        <w:t xml:space="preserve">heeft </w:t>
      </w:r>
      <w:r w:rsidR="007444D4">
        <w:rPr>
          <w:bCs/>
        </w:rPr>
        <w:t xml:space="preserve">verder </w:t>
      </w:r>
      <w:r w:rsidRPr="000C3691">
        <w:rPr>
          <w:bCs/>
        </w:rPr>
        <w:t>aangegeven dat Nederland</w:t>
      </w:r>
      <w:r w:rsidR="00A63980">
        <w:rPr>
          <w:bCs/>
        </w:rPr>
        <w:t xml:space="preserve"> </w:t>
      </w:r>
      <w:r w:rsidRPr="000C3691">
        <w:rPr>
          <w:bCs/>
        </w:rPr>
        <w:t>bovenop de eerdere vrijwillige bijdrage van 3 miljoen euro, nogmaals 3 miljoen euro toe</w:t>
      </w:r>
      <w:r w:rsidR="00D019E7">
        <w:rPr>
          <w:bCs/>
        </w:rPr>
        <w:t>zegt</w:t>
      </w:r>
      <w:r w:rsidRPr="000C3691">
        <w:rPr>
          <w:bCs/>
        </w:rPr>
        <w:t xml:space="preserve"> om de </w:t>
      </w:r>
      <w:r w:rsidR="002744AD">
        <w:rPr>
          <w:bCs/>
        </w:rPr>
        <w:t>onderzoeks</w:t>
      </w:r>
      <w:r w:rsidRPr="000C3691">
        <w:rPr>
          <w:bCs/>
        </w:rPr>
        <w:t xml:space="preserve">capaciteit van het Strafhof te versterken. </w:t>
      </w:r>
      <w:r w:rsidR="00D019E7">
        <w:rPr>
          <w:bCs/>
        </w:rPr>
        <w:t>Dit in het licht van de zware wissel die de onderzoeken naar de situaties in Oekraïne en de Palestijnse Gebieden op de capaciteit van het Strafhof trek</w:t>
      </w:r>
      <w:r w:rsidR="0087630E">
        <w:rPr>
          <w:bCs/>
        </w:rPr>
        <w:t>ken</w:t>
      </w:r>
      <w:r w:rsidR="00D019E7">
        <w:rPr>
          <w:bCs/>
        </w:rPr>
        <w:t xml:space="preserve">. </w:t>
      </w:r>
      <w:r w:rsidRPr="000C3691">
        <w:rPr>
          <w:bCs/>
        </w:rPr>
        <w:t>Tijdens het algemene debat betoonden veel staten zich bezorgd over de</w:t>
      </w:r>
      <w:r w:rsidR="001E2FCA">
        <w:rPr>
          <w:bCs/>
        </w:rPr>
        <w:t xml:space="preserve"> naar hun oordeel</w:t>
      </w:r>
      <w:r w:rsidRPr="000C3691">
        <w:rPr>
          <w:bCs/>
        </w:rPr>
        <w:t xml:space="preserve"> trage voortgang van het onderzoek naar de situatie in de Palestijnse Gebieden. Zuid-Afrika en de Democratische Republiek Congo gaven een toelichting op de aangiften die zij in 2023 bij de Aanklager van het ISH hadden gedaan van respectievelijk de situatie in de Palestijnse Gebieden en de situatie in Noord-Kivu. De </w:t>
      </w:r>
      <w:r w:rsidR="002744AD">
        <w:rPr>
          <w:bCs/>
        </w:rPr>
        <w:t>VS</w:t>
      </w:r>
      <w:r w:rsidRPr="000C3691">
        <w:rPr>
          <w:bCs/>
        </w:rPr>
        <w:t xml:space="preserve"> noemde het </w:t>
      </w:r>
      <w:r w:rsidRPr="000C3691" w:rsidR="001E2FCA">
        <w:rPr>
          <w:bCs/>
        </w:rPr>
        <w:t>I</w:t>
      </w:r>
      <w:r w:rsidR="001E2FCA">
        <w:rPr>
          <w:bCs/>
        </w:rPr>
        <w:t xml:space="preserve">SH </w:t>
      </w:r>
      <w:r w:rsidRPr="000C3691">
        <w:rPr>
          <w:bCs/>
        </w:rPr>
        <w:t>een “</w:t>
      </w:r>
      <w:r w:rsidRPr="000C3691">
        <w:rPr>
          <w:bCs/>
          <w:i/>
          <w:iCs/>
        </w:rPr>
        <w:t>essential component of the ecosystem of international justice</w:t>
      </w:r>
      <w:r w:rsidRPr="000C3691">
        <w:rPr>
          <w:bCs/>
        </w:rPr>
        <w:t xml:space="preserve">” en beschreef de voortgang van de implementatie van </w:t>
      </w:r>
      <w:r w:rsidR="002F34C0">
        <w:rPr>
          <w:bCs/>
        </w:rPr>
        <w:t>p</w:t>
      </w:r>
      <w:r w:rsidRPr="000C3691">
        <w:rPr>
          <w:bCs/>
        </w:rPr>
        <w:t>resident Biden's ‘</w:t>
      </w:r>
      <w:r w:rsidRPr="000C3691">
        <w:rPr>
          <w:bCs/>
          <w:i/>
          <w:iCs/>
        </w:rPr>
        <w:t>reset</w:t>
      </w:r>
      <w:r w:rsidRPr="000C3691">
        <w:rPr>
          <w:bCs/>
        </w:rPr>
        <w:t xml:space="preserve">’ van de Amerikaanse relatie met het Strafhof. </w:t>
      </w:r>
    </w:p>
    <w:p w:rsidRPr="000C3691" w:rsidR="000C3691" w:rsidP="000C3691" w:rsidRDefault="000C3691" w14:paraId="4BCF7040" w14:textId="77777777">
      <w:pPr>
        <w:rPr>
          <w:bCs/>
        </w:rPr>
      </w:pPr>
    </w:p>
    <w:p w:rsidRPr="000C3691" w:rsidR="000C3691" w:rsidP="000C3691" w:rsidRDefault="000C3691" w14:paraId="701225CF" w14:textId="77777777">
      <w:pPr>
        <w:rPr>
          <w:b/>
        </w:rPr>
      </w:pPr>
      <w:r w:rsidRPr="000C3691">
        <w:rPr>
          <w:b/>
        </w:rPr>
        <w:t>Begroting</w:t>
      </w:r>
    </w:p>
    <w:p w:rsidRPr="000C3691" w:rsidR="000C3691" w:rsidP="000C3691" w:rsidRDefault="000C3691" w14:paraId="034158E2" w14:textId="77777777">
      <w:pPr>
        <w:rPr>
          <w:bCs/>
        </w:rPr>
      </w:pPr>
    </w:p>
    <w:p w:rsidRPr="000C3691" w:rsidR="000C3691" w:rsidP="000C3691" w:rsidRDefault="000C3691" w14:paraId="7CFB921E" w14:textId="77777777">
      <w:pPr>
        <w:rPr>
          <w:bCs/>
        </w:rPr>
      </w:pPr>
      <w:r w:rsidRPr="000C3691">
        <w:rPr>
          <w:bCs/>
        </w:rPr>
        <w:t xml:space="preserve">Het Strafhof had in augustus 2023 een verhoging van het budget voor 2024 van 16% voorgesteld. De experts van het door de verdragspartijen ingestelde </w:t>
      </w:r>
      <w:r w:rsidRPr="000C3691">
        <w:rPr>
          <w:bCs/>
          <w:i/>
          <w:iCs/>
        </w:rPr>
        <w:t>Committee on Budget and Finance</w:t>
      </w:r>
      <w:r w:rsidRPr="000C3691">
        <w:rPr>
          <w:bCs/>
        </w:rPr>
        <w:t xml:space="preserve"> (CBF) hadden eind september daarentegen een verhoging van 8,7% aanbevolen. Bijna 60% van de door het CBF aanbevolen verhoging was het directe gevolg van het feit dat het Strafhof voor wat betreft de salarissen het salarissysteem van de Verenigde Naties (</w:t>
      </w:r>
      <w:r w:rsidRPr="000C3691">
        <w:rPr>
          <w:bCs/>
          <w:i/>
          <w:iCs/>
        </w:rPr>
        <w:t>UN Common System</w:t>
      </w:r>
      <w:r w:rsidRPr="000C3691">
        <w:rPr>
          <w:bCs/>
        </w:rPr>
        <w:t>) hanteert, waarin is bepaald dat de salarissen moeten worden gecompenseerd voor de inflatie in het gastland.</w:t>
      </w:r>
    </w:p>
    <w:p w:rsidRPr="000C3691" w:rsidR="000C3691" w:rsidP="000C3691" w:rsidRDefault="000C3691" w14:paraId="5A2175B2" w14:textId="77777777">
      <w:pPr>
        <w:rPr>
          <w:bCs/>
        </w:rPr>
      </w:pPr>
    </w:p>
    <w:p w:rsidR="000C3691" w:rsidP="000C3691" w:rsidRDefault="000C3691" w14:paraId="50AD14B1" w14:textId="7EA423C1">
      <w:pPr>
        <w:rPr>
          <w:bCs/>
        </w:rPr>
      </w:pPr>
      <w:r w:rsidRPr="000C3691">
        <w:rPr>
          <w:bCs/>
        </w:rPr>
        <w:t xml:space="preserve">Bovenop de compensatie voor de inflatie kon tijdens de Vergadering overeenstemming worden bereikt over het toekennen van 1,6 miljoen euro extra voor de (cyber)veiligheid en over het toekennen van enkele prioritaire functies bij het Parket van de Aanklager en het secretariaat van het </w:t>
      </w:r>
      <w:r w:rsidRPr="000C3691">
        <w:rPr>
          <w:bCs/>
          <w:i/>
          <w:iCs/>
        </w:rPr>
        <w:t>Trust Fund for Victims</w:t>
      </w:r>
      <w:r w:rsidRPr="000C3691">
        <w:rPr>
          <w:bCs/>
        </w:rPr>
        <w:t>. Door deze prioritaire functies voor een beperkt aantal maanden toe te kennen en door</w:t>
      </w:r>
      <w:r w:rsidR="00270E07">
        <w:rPr>
          <w:bCs/>
        </w:rPr>
        <w:t xml:space="preserve"> te</w:t>
      </w:r>
      <w:r w:rsidRPr="000C3691">
        <w:rPr>
          <w:bCs/>
        </w:rPr>
        <w:t xml:space="preserve"> bezuinigen op het reisbudget, kon uiteindelijk een compromis worden bereikt t.a.v. een verhoging van het totale budget van 7,99%. In absolute </w:t>
      </w:r>
      <w:r w:rsidRPr="007D55CC">
        <w:rPr>
          <w:bCs/>
        </w:rPr>
        <w:t>getallen gaat het om een verhoging met 13,9 miljoen euro: van 173,2 naar 187,1 miljoen euro.</w:t>
      </w:r>
      <w:r w:rsidRPr="007D55CC" w:rsidR="002751BE">
        <w:rPr>
          <w:bCs/>
        </w:rPr>
        <w:t xml:space="preserve"> Voor het Koninkrijk der Nederlanden betekent dit een </w:t>
      </w:r>
      <w:bookmarkStart w:name="_Hlk163202567" w:id="0"/>
      <w:r w:rsidRPr="007D55CC" w:rsidR="002751BE">
        <w:rPr>
          <w:bCs/>
        </w:rPr>
        <w:t>verhoging van de verplichte contributie met 365,363 euro (van 4,475,346 naar 4,840,709 euro).</w:t>
      </w:r>
      <w:bookmarkEnd w:id="0"/>
    </w:p>
    <w:p w:rsidR="00D942CB" w:rsidP="000C3691" w:rsidRDefault="00D942CB" w14:paraId="2A605B0A" w14:textId="7F2353DE">
      <w:pPr>
        <w:rPr>
          <w:bCs/>
        </w:rPr>
      </w:pPr>
    </w:p>
    <w:p w:rsidR="00D942CB" w:rsidP="00D942CB" w:rsidRDefault="00D942CB" w14:paraId="3F75D8AB" w14:textId="130F6E25">
      <w:pPr>
        <w:rPr>
          <w:bCs/>
        </w:rPr>
      </w:pPr>
      <w:r w:rsidRPr="000C3691">
        <w:rPr>
          <w:bCs/>
        </w:rPr>
        <w:t>Tijdens de budgetonderhandelingen was er unanieme steun voor het toekennen van de door het Hof gevraagde 1,6 miljoen euro extra voor de (cyber)veiligheid. Na de cyberaanval in september heeft het Hof aangegeven voor 2024</w:t>
      </w:r>
      <w:r>
        <w:rPr>
          <w:bCs/>
        </w:rPr>
        <w:t xml:space="preserve"> </w:t>
      </w:r>
      <w:r w:rsidRPr="000C3691">
        <w:rPr>
          <w:bCs/>
        </w:rPr>
        <w:t xml:space="preserve">nog zo’n 5 miljoen euro extra nodig te hebben voor de meest urgente maatregelen op het gebied van de (cyber)veiligheid. Aangezien deze extra middelen niet meer konden worden meegenomen in de </w:t>
      </w:r>
      <w:r>
        <w:rPr>
          <w:bCs/>
        </w:rPr>
        <w:t xml:space="preserve">in 2023 gevoerde </w:t>
      </w:r>
      <w:r w:rsidRPr="000C3691">
        <w:rPr>
          <w:bCs/>
        </w:rPr>
        <w:t>budgetonderhandelingen</w:t>
      </w:r>
      <w:r>
        <w:rPr>
          <w:bCs/>
        </w:rPr>
        <w:t>,</w:t>
      </w:r>
      <w:r w:rsidRPr="000C3691">
        <w:rPr>
          <w:bCs/>
        </w:rPr>
        <w:t xml:space="preserve"> is het Hof voor wat betreft deze extra middelen voorlopig afhankelijk van vrijwillige financiële bijdragen aan het nieuw opgerichte </w:t>
      </w:r>
      <w:r w:rsidRPr="000C3691">
        <w:rPr>
          <w:bCs/>
          <w:i/>
          <w:iCs/>
        </w:rPr>
        <w:t>Special Fund for Security</w:t>
      </w:r>
      <w:r w:rsidRPr="000C3691">
        <w:rPr>
          <w:bCs/>
        </w:rPr>
        <w:t>.</w:t>
      </w:r>
    </w:p>
    <w:p w:rsidR="00D942CB" w:rsidP="000C3691" w:rsidRDefault="00D942CB" w14:paraId="095578D1" w14:textId="1F65E271">
      <w:pPr>
        <w:rPr>
          <w:bCs/>
        </w:rPr>
      </w:pPr>
    </w:p>
    <w:p w:rsidR="00F114CF" w:rsidP="000C3691" w:rsidRDefault="00F114CF" w14:paraId="57FD1663" w14:textId="77777777">
      <w:pPr>
        <w:rPr>
          <w:bCs/>
        </w:rPr>
      </w:pPr>
    </w:p>
    <w:p w:rsidR="00F114CF" w:rsidP="000C3691" w:rsidRDefault="00F114CF" w14:paraId="697905E2" w14:textId="77777777">
      <w:pPr>
        <w:rPr>
          <w:bCs/>
        </w:rPr>
      </w:pPr>
    </w:p>
    <w:p w:rsidRPr="000C3691" w:rsidR="00F114CF" w:rsidP="000C3691" w:rsidRDefault="00F114CF" w14:paraId="53AC564D" w14:textId="77777777">
      <w:pPr>
        <w:rPr>
          <w:bCs/>
        </w:rPr>
      </w:pPr>
    </w:p>
    <w:p w:rsidRPr="000C3691" w:rsidR="000C3691" w:rsidP="000C3691" w:rsidRDefault="000C3691" w14:paraId="1AFF9AC7" w14:textId="77777777">
      <w:pPr>
        <w:rPr>
          <w:bCs/>
        </w:rPr>
      </w:pPr>
    </w:p>
    <w:p w:rsidRPr="000C3691" w:rsidR="000C3691" w:rsidP="000C3691" w:rsidRDefault="000C3691" w14:paraId="5AE17AEA" w14:textId="77777777">
      <w:pPr>
        <w:rPr>
          <w:b/>
        </w:rPr>
      </w:pPr>
      <w:r w:rsidRPr="000C3691">
        <w:rPr>
          <w:b/>
        </w:rPr>
        <w:lastRenderedPageBreak/>
        <w:t>Resoluties</w:t>
      </w:r>
    </w:p>
    <w:p w:rsidRPr="000C3691" w:rsidR="000C3691" w:rsidP="000C3691" w:rsidRDefault="000C3691" w14:paraId="17354CCF" w14:textId="77777777">
      <w:pPr>
        <w:rPr>
          <w:bCs/>
        </w:rPr>
      </w:pPr>
    </w:p>
    <w:p w:rsidRPr="000C3691" w:rsidR="000C3691" w:rsidP="000C3691" w:rsidRDefault="000C3691" w14:paraId="72D066F4" w14:textId="77777777">
      <w:pPr>
        <w:rPr>
          <w:bCs/>
        </w:rPr>
      </w:pPr>
      <w:r w:rsidRPr="000C3691">
        <w:rPr>
          <w:bCs/>
        </w:rPr>
        <w:t>Tijdens de Vergadering zijn acht resoluties aangenomen over de volgende onderwerpen: (1) de begroting voor 2024, (2) de samenwerking met het Strafhof, (3) het hervormingsproces (4) het in een later stadium nog met betrekking tot de hogere functies in te voeren ambtstermijnenbeleid (‘</w:t>
      </w:r>
      <w:r w:rsidRPr="000C3691">
        <w:rPr>
          <w:bCs/>
          <w:i/>
          <w:iCs/>
        </w:rPr>
        <w:t>tenure policy</w:t>
      </w:r>
      <w:r w:rsidRPr="000C3691">
        <w:rPr>
          <w:bCs/>
        </w:rPr>
        <w:t xml:space="preserve">’), (5) een wijziging van artikel 39 van het Statuut van Rome inzake de samenstelling van de Kamers in het geval van de vervanging van een rechter, (6) enkele wijzigingen in het Reglement van Proces- en Bewijsvoering, in het bijzonder inzake de voortzetting van strafzaken in het geval van de permanente afwezigheid van een rechter, (7) de verkiezing van de leden van het </w:t>
      </w:r>
      <w:r w:rsidRPr="000C3691">
        <w:rPr>
          <w:bCs/>
          <w:i/>
          <w:iCs/>
        </w:rPr>
        <w:t>Comittee on Budget and Finance</w:t>
      </w:r>
      <w:r w:rsidRPr="000C3691">
        <w:rPr>
          <w:bCs/>
        </w:rPr>
        <w:t>, en (8) de zogenaamde ‘omnibusresolutie’, een verzamelresolutie waarin de belangrijkste ontwikkelingen, de rapportages van de verschillende werkgroepen en diverse inhoudelijke onderwerpen worden behandeld.</w:t>
      </w:r>
      <w:r w:rsidRPr="000C3691">
        <w:rPr>
          <w:bCs/>
          <w:vertAlign w:val="superscript"/>
        </w:rPr>
        <w:footnoteReference w:id="4"/>
      </w:r>
    </w:p>
    <w:p w:rsidRPr="000C3691" w:rsidR="000C3691" w:rsidP="000C3691" w:rsidRDefault="000C3691" w14:paraId="400AA2F7" w14:textId="77777777">
      <w:pPr>
        <w:rPr>
          <w:bCs/>
        </w:rPr>
      </w:pPr>
    </w:p>
    <w:p w:rsidRPr="000C3691" w:rsidR="000C3691" w:rsidP="000C3691" w:rsidRDefault="000C3691" w14:paraId="731AAF2D" w14:textId="44471CCA">
      <w:pPr>
        <w:rPr>
          <w:bCs/>
        </w:rPr>
      </w:pPr>
      <w:r w:rsidRPr="000C3691">
        <w:rPr>
          <w:bCs/>
        </w:rPr>
        <w:t xml:space="preserve">In de jaarlijkse resolutie over de samenwerking met het Strafhof zijn enkele nieuwe paragrafen opgenomen die betrekking hebben op de veiligheid van de functionarissen van het Hof, ook na de beëindiging van hun mandaat. De Vergadering heeft verder ingestemd met het uitbreiden van het aantal zetels in het </w:t>
      </w:r>
      <w:r w:rsidRPr="000C3691">
        <w:rPr>
          <w:bCs/>
          <w:i/>
          <w:iCs/>
        </w:rPr>
        <w:t>Committee on Budget and Finance</w:t>
      </w:r>
      <w:r w:rsidRPr="000C3691">
        <w:rPr>
          <w:bCs/>
        </w:rPr>
        <w:t xml:space="preserve"> van 12 naar 17. Met het oog op de billijke geografische vertegenwoordiging heeft de Afrikaanse groep twee extra zetels gekregen. De overige groepen – met uitzondering van de groep West-Europese en Overige staten (WEOG) – hebben één extra zetel gekregen. In de omnibusresolutie is daarnaast een verzoek aan het Bureau opgenomen om een rapport te publiceren over de samenstelling van c.q. de zetelverdeling in het Bureau. De Vergadering heeft eveneens ingestemd met een nieuw beleid inzake de rechtsbijstand. Er bestond al jarenlang behoefte aan het herzien van belangrijke punten van dit beleid, zoals de samenstelling van de teams van de verdediging en de slachtoffers en de arbeidsvoorwaarden van de leden van deze teams. Tot slot is op voorstel van onder meer Nederland in de omnibusresolutie een paragraaf opgenomen over de steun van de verdragspartijen voor de jaarlijkse AVVN-resolutie inzake het ISH, waarover in 2023 voor het eerst werd gestemd. </w:t>
      </w:r>
    </w:p>
    <w:p w:rsidR="00410007" w:rsidP="003B6109" w:rsidRDefault="00410007" w14:paraId="06D2C75D" w14:textId="77777777">
      <w:pPr>
        <w:rPr>
          <w:b/>
        </w:rPr>
      </w:pPr>
    </w:p>
    <w:p w:rsidR="0052042F" w:rsidP="003B6109" w:rsidRDefault="0052042F" w14:paraId="5F36E68B" w14:textId="1D0D9CB9">
      <w:pPr>
        <w:rPr>
          <w:b/>
        </w:rPr>
      </w:pPr>
    </w:p>
    <w:p w:rsidRPr="00D057D9" w:rsidR="001E2FCA" w:rsidP="003B6109" w:rsidRDefault="001E2FCA" w14:paraId="2E422D5D" w14:textId="77777777">
      <w:pPr>
        <w:rPr>
          <w:b/>
        </w:rPr>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657D4A" w:rsidTr="004B169E" w14:paraId="4DE8F606" w14:textId="77777777">
        <w:trPr>
          <w:trHeight w:val="1095"/>
        </w:trPr>
        <w:sdt>
          <w:sdtPr>
            <w:alias w:val="Ondertekenaar 1"/>
            <w:tag w:val="Ondertekenaar_x0020_1"/>
            <w:id w:val="-1696076572"/>
            <w:placeholder>
              <w:docPart w:val="F1DD29A67AEE4F7CBD2D996F8D367083"/>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Content>
            <w:tc>
              <w:tcPr>
                <w:tcW w:w="2500" w:type="pct"/>
              </w:tcPr>
              <w:p w:rsidRPr="00C37FE1" w:rsidR="00657D4A" w:rsidP="000C3691" w:rsidRDefault="000C3691" w14:paraId="58373F55" w14:textId="35DC2B3D">
                <w:r w:rsidRPr="000C3691">
                  <w:t>De minister van Buitenlandse Zaken,</w:t>
                </w:r>
                <w:r>
                  <w:br/>
                </w:r>
                <w:r>
                  <w:br/>
                </w:r>
                <w:r>
                  <w:br/>
                </w:r>
                <w:r>
                  <w:br/>
                </w:r>
                <w:r>
                  <w:br/>
                </w:r>
                <w:r>
                  <w:br/>
                </w:r>
                <w:r w:rsidRPr="000C3691">
                  <w:t>Hanke Bruins Slot</w:t>
                </w:r>
              </w:p>
            </w:tc>
          </w:sdtContent>
        </w:sdt>
        <w:sdt>
          <w:sdtPr>
            <w:rPr>
              <w:rFonts w:cs="Verdana" w:eastAsiaTheme="minorHAnsi"/>
              <w:szCs w:val="18"/>
              <w:lang w:eastAsia="en-US"/>
            </w:rPr>
            <w:alias w:val="Ondertekenaar 2"/>
            <w:tag w:val="Ondertekenaar_x0020_2"/>
            <w:id w:val="2131046109"/>
            <w:placeholder>
              <w:docPart w:val="EA88E6D9ABBD466AB0ACF438F8943183"/>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Content>
            <w:tc>
              <w:tcPr>
                <w:tcW w:w="2500" w:type="pct"/>
              </w:tcPr>
              <w:p w:rsidRPr="00C37FE1" w:rsidR="00657D4A" w:rsidP="00062DDE" w:rsidRDefault="000C3691" w14:paraId="5A857BBD" w14:textId="5A739B0D">
                <w:r w:rsidRPr="000C3691">
                  <w:rPr>
                    <w:rFonts w:cs="Verdana" w:eastAsiaTheme="minorHAnsi"/>
                    <w:szCs w:val="18"/>
                    <w:lang w:eastAsia="en-US"/>
                  </w:rPr>
                  <w:t>De minister van Justitie en Veiligheid,</w:t>
                </w:r>
                <w:r>
                  <w:rPr>
                    <w:rFonts w:cs="Verdana" w:eastAsiaTheme="minorHAnsi"/>
                    <w:szCs w:val="18"/>
                    <w:lang w:eastAsia="en-US"/>
                  </w:rPr>
                  <w:br/>
                </w:r>
                <w:r>
                  <w:rPr>
                    <w:rFonts w:cs="Verdana" w:eastAsiaTheme="minorHAnsi"/>
                    <w:szCs w:val="18"/>
                    <w:lang w:eastAsia="en-US"/>
                  </w:rPr>
                  <w:br/>
                </w:r>
                <w:r>
                  <w:rPr>
                    <w:rFonts w:cs="Verdana" w:eastAsiaTheme="minorHAnsi"/>
                    <w:szCs w:val="18"/>
                    <w:lang w:eastAsia="en-US"/>
                  </w:rPr>
                  <w:br/>
                </w:r>
                <w:r>
                  <w:rPr>
                    <w:rFonts w:cs="Verdana" w:eastAsiaTheme="minorHAnsi"/>
                    <w:szCs w:val="18"/>
                    <w:lang w:eastAsia="en-US"/>
                  </w:rPr>
                  <w:br/>
                </w:r>
                <w:r>
                  <w:rPr>
                    <w:rFonts w:cs="Verdana" w:eastAsiaTheme="minorHAnsi"/>
                    <w:szCs w:val="18"/>
                    <w:lang w:eastAsia="en-US"/>
                  </w:rPr>
                  <w:br/>
                </w:r>
                <w:r>
                  <w:rPr>
                    <w:rFonts w:cs="Verdana" w:eastAsiaTheme="minorHAnsi"/>
                    <w:szCs w:val="18"/>
                    <w:lang w:eastAsia="en-US"/>
                  </w:rPr>
                  <w:br/>
                </w:r>
                <w:r w:rsidRPr="000C3691">
                  <w:rPr>
                    <w:rFonts w:cs="Verdana" w:eastAsiaTheme="minorHAnsi"/>
                    <w:szCs w:val="18"/>
                    <w:lang w:eastAsia="en-US"/>
                  </w:rPr>
                  <w:t>D. Yeşilgöz-Zegerius</w:t>
                </w:r>
                <w:r>
                  <w:rPr>
                    <w:rFonts w:cs="Verdana" w:eastAsiaTheme="minorHAnsi"/>
                    <w:szCs w:val="18"/>
                    <w:lang w:eastAsia="en-US"/>
                  </w:rPr>
                  <w:br/>
                </w:r>
              </w:p>
            </w:tc>
          </w:sdtContent>
        </w:sdt>
      </w:tr>
    </w:tbl>
    <w:p w:rsidRPr="00132F64" w:rsidR="005621ED" w:rsidP="003B6109" w:rsidRDefault="005621ED" w14:paraId="2F0CD743" w14:textId="77777777">
      <w:pPr>
        <w:spacing w:after="160" w:line="259" w:lineRule="auto"/>
      </w:pPr>
    </w:p>
    <w:sectPr w:rsidRPr="00132F64" w:rsidR="005621ED" w:rsidSect="00F77315">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37C6" w14:textId="77777777" w:rsidR="009D5416" w:rsidRDefault="009D5416" w:rsidP="004F2CD5">
      <w:pPr>
        <w:spacing w:line="240" w:lineRule="auto"/>
      </w:pPr>
      <w:r>
        <w:separator/>
      </w:r>
    </w:p>
  </w:endnote>
  <w:endnote w:type="continuationSeparator" w:id="0">
    <w:p w14:paraId="44A7E282" w14:textId="77777777" w:rsidR="009D5416" w:rsidRDefault="009D5416" w:rsidP="004F2CD5">
      <w:pPr>
        <w:spacing w:line="240" w:lineRule="auto"/>
      </w:pPr>
      <w:r>
        <w:continuationSeparator/>
      </w:r>
    </w:p>
  </w:endnote>
  <w:endnote w:type="continuationNotice" w:id="1">
    <w:p w14:paraId="37425170" w14:textId="77777777" w:rsidR="009D5416" w:rsidRDefault="009D54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BCC6" w14:textId="77777777" w:rsidR="007D55CC" w:rsidRDefault="007D5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65606"/>
      <w:docPartObj>
        <w:docPartGallery w:val="Page Numbers (Bottom of Page)"/>
        <w:docPartUnique/>
      </w:docPartObj>
    </w:sdtPr>
    <w:sdtContent>
      <w:p w14:paraId="7ED1292C" w14:textId="6EB08737" w:rsidR="00EA3995" w:rsidRDefault="00EA3995">
        <w:pPr>
          <w:pStyle w:val="Footer"/>
          <w:jc w:val="center"/>
        </w:pPr>
        <w:r>
          <w:fldChar w:fldCharType="begin"/>
        </w:r>
        <w:r>
          <w:instrText>PAGE   \* MERGEFORMAT</w:instrText>
        </w:r>
        <w:r>
          <w:fldChar w:fldCharType="separate"/>
        </w:r>
        <w:r>
          <w:t>2</w:t>
        </w:r>
        <w:r>
          <w:fldChar w:fldCharType="end"/>
        </w:r>
      </w:p>
    </w:sdtContent>
  </w:sdt>
  <w:p w14:paraId="64327576" w14:textId="77777777" w:rsidR="00EA3995" w:rsidRDefault="00EA3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146791"/>
      <w:docPartObj>
        <w:docPartGallery w:val="Page Numbers (Bottom of Page)"/>
        <w:docPartUnique/>
      </w:docPartObj>
    </w:sdtPr>
    <w:sdtContent>
      <w:p w14:paraId="6FB0D265" w14:textId="0D2CD51D" w:rsidR="002A4354" w:rsidRDefault="002A4354">
        <w:pPr>
          <w:pStyle w:val="Footer"/>
          <w:jc w:val="center"/>
        </w:pPr>
        <w:r>
          <w:fldChar w:fldCharType="begin"/>
        </w:r>
        <w:r>
          <w:instrText>PAGE   \* MERGEFORMAT</w:instrText>
        </w:r>
        <w:r>
          <w:fldChar w:fldCharType="separate"/>
        </w:r>
        <w:r>
          <w:t>2</w:t>
        </w:r>
        <w:r>
          <w:fldChar w:fldCharType="end"/>
        </w:r>
      </w:p>
    </w:sdtContent>
  </w:sdt>
  <w:p w14:paraId="70C6D7F8" w14:textId="77777777" w:rsidR="00D263F9" w:rsidRDefault="00D26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196BD" w14:textId="77777777" w:rsidR="009D5416" w:rsidRDefault="009D5416" w:rsidP="004F2CD5">
      <w:pPr>
        <w:spacing w:line="240" w:lineRule="auto"/>
      </w:pPr>
      <w:r>
        <w:separator/>
      </w:r>
    </w:p>
  </w:footnote>
  <w:footnote w:type="continuationSeparator" w:id="0">
    <w:p w14:paraId="52268D2E" w14:textId="77777777" w:rsidR="009D5416" w:rsidRDefault="009D5416" w:rsidP="004F2CD5">
      <w:pPr>
        <w:spacing w:line="240" w:lineRule="auto"/>
      </w:pPr>
      <w:r>
        <w:continuationSeparator/>
      </w:r>
    </w:p>
  </w:footnote>
  <w:footnote w:type="continuationNotice" w:id="1">
    <w:p w14:paraId="0A8EDA80" w14:textId="77777777" w:rsidR="009D5416" w:rsidRDefault="009D5416">
      <w:pPr>
        <w:spacing w:line="240" w:lineRule="auto"/>
      </w:pPr>
    </w:p>
  </w:footnote>
  <w:footnote w:id="2">
    <w:p w14:paraId="0DEF3718" w14:textId="15A7FCA9" w:rsidR="000C3691" w:rsidRPr="009F311D" w:rsidRDefault="000C3691" w:rsidP="000C3691">
      <w:pPr>
        <w:pStyle w:val="FootnoteText"/>
        <w:rPr>
          <w:rFonts w:ascii="Verdana" w:hAnsi="Verdana"/>
          <w:sz w:val="16"/>
          <w:szCs w:val="16"/>
          <w:lang w:val="nl-NL"/>
        </w:rPr>
      </w:pPr>
      <w:r w:rsidRPr="009F311D">
        <w:rPr>
          <w:rStyle w:val="FootnoteReference"/>
          <w:rFonts w:ascii="Verdana" w:hAnsi="Verdana"/>
          <w:sz w:val="16"/>
          <w:szCs w:val="16"/>
        </w:rPr>
        <w:footnoteRef/>
      </w:r>
      <w:r w:rsidRPr="009F311D">
        <w:rPr>
          <w:rFonts w:ascii="Verdana" w:hAnsi="Verdana"/>
          <w:sz w:val="16"/>
          <w:szCs w:val="16"/>
          <w:lang w:val="nl-NL"/>
        </w:rPr>
        <w:t xml:space="preserve"> Kamerstuk</w:t>
      </w:r>
      <w:r w:rsidR="00EA3995">
        <w:rPr>
          <w:rFonts w:ascii="Verdana" w:hAnsi="Verdana"/>
          <w:sz w:val="16"/>
          <w:szCs w:val="16"/>
          <w:lang w:val="nl-NL"/>
        </w:rPr>
        <w:t xml:space="preserve"> </w:t>
      </w:r>
      <w:r w:rsidRPr="009F311D">
        <w:rPr>
          <w:rFonts w:ascii="Verdana" w:hAnsi="Verdana"/>
          <w:sz w:val="16"/>
          <w:szCs w:val="16"/>
          <w:lang w:val="nl-NL"/>
        </w:rPr>
        <w:t>28</w:t>
      </w:r>
      <w:r w:rsidR="00EA3995">
        <w:rPr>
          <w:rFonts w:ascii="Verdana" w:hAnsi="Verdana"/>
          <w:sz w:val="16"/>
          <w:szCs w:val="16"/>
          <w:lang w:val="nl-NL"/>
        </w:rPr>
        <w:t xml:space="preserve"> </w:t>
      </w:r>
      <w:r w:rsidRPr="009F311D">
        <w:rPr>
          <w:rFonts w:ascii="Verdana" w:hAnsi="Verdana"/>
          <w:sz w:val="16"/>
          <w:szCs w:val="16"/>
          <w:lang w:val="nl-NL"/>
        </w:rPr>
        <w:t>498, nr. 5</w:t>
      </w:r>
      <w:r w:rsidR="00EA3995">
        <w:rPr>
          <w:rFonts w:ascii="Verdana" w:hAnsi="Verdana"/>
          <w:sz w:val="16"/>
          <w:szCs w:val="16"/>
          <w:lang w:val="nl-NL"/>
        </w:rPr>
        <w:t>2</w:t>
      </w:r>
      <w:r w:rsidRPr="009F311D">
        <w:rPr>
          <w:rFonts w:ascii="Verdana" w:hAnsi="Verdana"/>
          <w:sz w:val="16"/>
          <w:szCs w:val="16"/>
          <w:lang w:val="nl-NL"/>
        </w:rPr>
        <w:t xml:space="preserve">  </w:t>
      </w:r>
    </w:p>
  </w:footnote>
  <w:footnote w:id="3">
    <w:p w14:paraId="2D214061" w14:textId="77777777" w:rsidR="000C3691" w:rsidRPr="00F114CF" w:rsidRDefault="000C3691" w:rsidP="000C3691">
      <w:pPr>
        <w:pStyle w:val="FootnoteText"/>
        <w:rPr>
          <w:rFonts w:ascii="Verdana" w:hAnsi="Verdana"/>
          <w:sz w:val="16"/>
          <w:szCs w:val="16"/>
          <w:lang w:val="nl-NL"/>
        </w:rPr>
      </w:pPr>
      <w:r w:rsidRPr="00F114CF">
        <w:rPr>
          <w:rStyle w:val="FootnoteReference"/>
          <w:rFonts w:ascii="Verdana" w:hAnsi="Verdana"/>
          <w:sz w:val="16"/>
          <w:szCs w:val="16"/>
        </w:rPr>
        <w:footnoteRef/>
      </w:r>
      <w:r w:rsidRPr="00F114CF">
        <w:rPr>
          <w:rFonts w:ascii="Verdana" w:hAnsi="Verdana"/>
          <w:sz w:val="16"/>
          <w:szCs w:val="16"/>
          <w:lang w:val="nl-NL"/>
        </w:rPr>
        <w:t xml:space="preserve"> De meeste verklaringen die zijn afgelegd tijdens het Algemene Debat zijn te vinden op de website van de ASP: </w:t>
      </w:r>
      <w:r w:rsidR="00000000">
        <w:fldChar w:fldCharType="begin"/>
      </w:r>
      <w:r w:rsidR="00000000" w:rsidRPr="00606B15">
        <w:rPr>
          <w:lang w:val="nl-NL"/>
        </w:rPr>
        <w:instrText>HYPERLINK "https://asp.icc-cpi.int/sessions/general-debate/GeneralDebate_22nd_session"</w:instrText>
      </w:r>
      <w:r w:rsidR="00000000">
        <w:fldChar w:fldCharType="separate"/>
      </w:r>
      <w:r w:rsidRPr="00F114CF">
        <w:rPr>
          <w:rStyle w:val="Hyperlink"/>
          <w:rFonts w:ascii="Verdana" w:hAnsi="Verdana"/>
          <w:sz w:val="16"/>
          <w:szCs w:val="16"/>
          <w:lang w:val="nl-NL"/>
        </w:rPr>
        <w:t>GENERAL DEBATE - Twenty-second session (4 to 14 December 2023) | International Criminal Court (icc-cpi.int)</w:t>
      </w:r>
      <w:r w:rsidR="00000000">
        <w:rPr>
          <w:rStyle w:val="Hyperlink"/>
          <w:rFonts w:ascii="Verdana" w:hAnsi="Verdana"/>
          <w:sz w:val="16"/>
          <w:szCs w:val="16"/>
          <w:lang w:val="nl-NL"/>
        </w:rPr>
        <w:fldChar w:fldCharType="end"/>
      </w:r>
      <w:r w:rsidRPr="00F114CF">
        <w:rPr>
          <w:rFonts w:ascii="Verdana" w:hAnsi="Verdana"/>
          <w:sz w:val="16"/>
          <w:szCs w:val="16"/>
          <w:lang w:val="nl-NL"/>
        </w:rPr>
        <w:t>.</w:t>
      </w:r>
    </w:p>
  </w:footnote>
  <w:footnote w:id="4">
    <w:p w14:paraId="6FAF869A" w14:textId="77777777" w:rsidR="000C3691" w:rsidRPr="00F114CF" w:rsidRDefault="000C3691" w:rsidP="000C3691">
      <w:pPr>
        <w:pStyle w:val="FootnoteText"/>
        <w:rPr>
          <w:rFonts w:ascii="Verdana" w:hAnsi="Verdana"/>
          <w:sz w:val="16"/>
          <w:szCs w:val="16"/>
          <w:lang w:val="nl-NL"/>
        </w:rPr>
      </w:pPr>
      <w:r w:rsidRPr="00F114CF">
        <w:rPr>
          <w:rStyle w:val="FootnoteReference"/>
          <w:rFonts w:ascii="Verdana" w:hAnsi="Verdana"/>
          <w:sz w:val="16"/>
          <w:szCs w:val="16"/>
        </w:rPr>
        <w:footnoteRef/>
      </w:r>
      <w:r w:rsidRPr="00F114CF">
        <w:rPr>
          <w:rFonts w:ascii="Verdana" w:hAnsi="Verdana"/>
          <w:sz w:val="16"/>
          <w:szCs w:val="16"/>
          <w:lang w:val="nl-NL"/>
        </w:rPr>
        <w:t xml:space="preserve"> De resoluties zijn te vinden op de website van de ASP: </w:t>
      </w:r>
      <w:r w:rsidR="00000000">
        <w:fldChar w:fldCharType="begin"/>
      </w:r>
      <w:r w:rsidR="00000000" w:rsidRPr="00606B15">
        <w:rPr>
          <w:lang w:val="nl-NL"/>
        </w:rPr>
        <w:instrText>HYPERLINK "https://asp.icc-cpi.int/resolutions/sessions/2023-22nd-Session"</w:instrText>
      </w:r>
      <w:r w:rsidR="00000000">
        <w:fldChar w:fldCharType="separate"/>
      </w:r>
      <w:r w:rsidRPr="00F114CF">
        <w:rPr>
          <w:rStyle w:val="Hyperlink"/>
          <w:rFonts w:ascii="Verdana" w:hAnsi="Verdana"/>
          <w:sz w:val="16"/>
          <w:szCs w:val="16"/>
          <w:lang w:val="nl-NL"/>
        </w:rPr>
        <w:t>ICC -2023/2024 - Twenty-second Session - Resolutions | International Criminal Court (icc-cpi.int)</w:t>
      </w:r>
      <w:r w:rsidR="00000000">
        <w:rPr>
          <w:rStyle w:val="Hyperlink"/>
          <w:rFonts w:ascii="Verdana" w:hAnsi="Verdana"/>
          <w:sz w:val="16"/>
          <w:szCs w:val="16"/>
          <w:lang w:val="nl-NL"/>
        </w:rPr>
        <w:fldChar w:fldCharType="end"/>
      </w:r>
      <w:r w:rsidRPr="00F114CF">
        <w:rPr>
          <w:rFonts w:ascii="Verdana" w:hAnsi="Verdana"/>
          <w:sz w:val="16"/>
          <w:szCs w:val="16"/>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6F05" w14:textId="77777777" w:rsidR="007D55CC" w:rsidRDefault="007D5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7C31"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114335AE" wp14:editId="5A6F159F">
              <wp:simplePos x="0" y="0"/>
              <wp:positionH relativeFrom="column">
                <wp:posOffset>4831715</wp:posOffset>
              </wp:positionH>
              <wp:positionV relativeFrom="page">
                <wp:posOffset>1882775</wp:posOffset>
              </wp:positionV>
              <wp:extent cx="1494000" cy="8096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3CE632" w14:textId="1F78FB5D" w:rsidR="001B5575" w:rsidRPr="003A2FD6" w:rsidRDefault="001B5575" w:rsidP="00387071">
                          <w:pPr>
                            <w:rPr>
                              <w:b/>
                              <w:sz w:val="13"/>
                              <w:szCs w:val="13"/>
                            </w:rPr>
                          </w:pPr>
                        </w:p>
                        <w:p w14:paraId="7F57DA29" w14:textId="77777777" w:rsidR="001B5575" w:rsidRDefault="001B5575" w:rsidP="00387071">
                          <w:pPr>
                            <w:rPr>
                              <w:b/>
                              <w:sz w:val="13"/>
                              <w:szCs w:val="13"/>
                            </w:rPr>
                          </w:pPr>
                        </w:p>
                        <w:p w14:paraId="68595A77"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fe1ab701-fd77-441d-a7bf-eeb731bd67d0' " w:xpath="/ns0:properties[1]/documentManagement[1]/ns3:_dlc_DocId[1]" w:storeItemID="{81961AFE-0FF6-4063-9DD3-1D50F4EAA675}"/>
                            <w:text/>
                          </w:sdtPr>
                          <w:sdtContent>
                            <w:p w14:paraId="46F085EF" w14:textId="2C134D7B" w:rsidR="001B5575" w:rsidRPr="006B0BAF" w:rsidRDefault="000C3691" w:rsidP="00387071">
                              <w:pPr>
                                <w:rPr>
                                  <w:sz w:val="13"/>
                                  <w:szCs w:val="13"/>
                                </w:rPr>
                              </w:pPr>
                              <w:r>
                                <w:rPr>
                                  <w:sz w:val="13"/>
                                  <w:szCs w:val="13"/>
                                </w:rPr>
                                <w:t>BZDOC-855439098-33</w:t>
                              </w:r>
                            </w:p>
                          </w:sdtContent>
                        </w:sdt>
                        <w:p w14:paraId="144F0196"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335AE" id="_x0000_t202" coordsize="21600,21600" o:spt="202" path="m,l,21600r21600,l21600,xe">
              <v:stroke joinstyle="miter"/>
              <v:path gradientshapeok="t" o:connecttype="rect"/>
            </v:shapetype>
            <v:shape id="Text Box 4"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" filled="f" stroked="f">
              <v:textbox>
                <w:txbxContent>
                  <w:p w14:paraId="143CE632" w14:textId="1F78FB5D" w:rsidR="001B5575" w:rsidRPr="003A2FD6" w:rsidRDefault="001B5575" w:rsidP="00387071">
                    <w:pPr>
                      <w:rPr>
                        <w:b/>
                        <w:sz w:val="13"/>
                        <w:szCs w:val="13"/>
                      </w:rPr>
                    </w:pPr>
                  </w:p>
                  <w:p w14:paraId="7F57DA29" w14:textId="77777777" w:rsidR="001B5575" w:rsidRDefault="001B5575" w:rsidP="00387071">
                    <w:pPr>
                      <w:rPr>
                        <w:b/>
                        <w:sz w:val="13"/>
                        <w:szCs w:val="13"/>
                      </w:rPr>
                    </w:pPr>
                  </w:p>
                  <w:p w14:paraId="68595A77"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fe1ab701-fd77-441d-a7bf-eeb731bd67d0' " w:xpath="/ns0:properties[1]/documentManagement[1]/ns3:_dlc_DocId[1]" w:storeItemID="{81961AFE-0FF6-4063-9DD3-1D50F4EAA675}"/>
                      <w:text/>
                    </w:sdtPr>
                    <w:sdtContent>
                      <w:p w14:paraId="46F085EF" w14:textId="2C134D7B" w:rsidR="001B5575" w:rsidRPr="006B0BAF" w:rsidRDefault="000C3691" w:rsidP="00387071">
                        <w:pPr>
                          <w:rPr>
                            <w:sz w:val="13"/>
                            <w:szCs w:val="13"/>
                          </w:rPr>
                        </w:pPr>
                        <w:r>
                          <w:rPr>
                            <w:sz w:val="13"/>
                            <w:szCs w:val="13"/>
                          </w:rPr>
                          <w:t>BZDOC-855439098-33</w:t>
                        </w:r>
                      </w:p>
                    </w:sdtContent>
                  </w:sdt>
                  <w:p w14:paraId="144F0196" w14:textId="77777777" w:rsidR="001B5575" w:rsidRPr="005D7A68" w:rsidRDefault="001B5575"/>
                </w:txbxContent>
              </v:textbox>
              <w10:wrap anchory="page"/>
            </v:shape>
          </w:pict>
        </mc:Fallback>
      </mc:AlternateContent>
    </w:r>
    <w:r>
      <w:tab/>
    </w:r>
  </w:p>
  <w:p w14:paraId="693F1BEB" w14:textId="77777777" w:rsidR="001B5575" w:rsidRDefault="001B5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000E" w14:textId="77777777" w:rsidR="001B5575" w:rsidRDefault="001B5575">
    <w:pPr>
      <w:pStyle w:val="Header"/>
    </w:pPr>
  </w:p>
  <w:p w14:paraId="6308DCE5" w14:textId="77777777" w:rsidR="001B5575" w:rsidRDefault="001B5575">
    <w:pPr>
      <w:pStyle w:val="Header"/>
    </w:pPr>
  </w:p>
  <w:p w14:paraId="660F25CA" w14:textId="77777777" w:rsidR="001B5575" w:rsidRDefault="00596AD0">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729D648D" wp14:editId="1B2775BA">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fe1ab701-fd77-441d-a7bf-eeb731bd67d0' xmlns:ns4='a968f643-972d-4667-9c7d-fd76f2567ee3' " w:xpath="/ns0:properties[1]/documentManagement[1]/ns4:Geadresseerde_x0020_Kamer[1]" w:storeItemID="{81961AFE-0FF6-4063-9DD3-1D50F4EAA675}"/>
                            <w:text w:multiLine="1"/>
                          </w:sdtPr>
                          <w:sdtContent>
                            <w:p w14:paraId="353554B7" w14:textId="0B87B6B4" w:rsidR="00596AD0" w:rsidRDefault="009F311D" w:rsidP="00596AD0">
                              <w:pPr>
                                <w:pStyle w:val="Header"/>
                              </w:pPr>
                              <w:r>
                                <w:t xml:space="preserve">Aan de Voorzitter van de </w:t>
                              </w:r>
                              <w:r>
                                <w:br/>
                                <w:t>Tweede Kamer der Staten-Generaal</w:t>
                              </w:r>
                              <w:r>
                                <w:br/>
                                <w:t>Prinses Irenestraat 6</w:t>
                              </w:r>
                              <w:r>
                                <w:br/>
                                <w:t>Den Haag</w:t>
                              </w:r>
                            </w:p>
                          </w:sdtContent>
                        </w:sdt>
                        <w:p w14:paraId="59FFB5F0" w14:textId="5AB8D0E7"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648D"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fe1ab701-fd77-441d-a7bf-eeb731bd67d0' xmlns:ns4='a968f643-972d-4667-9c7d-fd76f2567ee3' " w:xpath="/ns0:properties[1]/documentManagement[1]/ns4:Geadresseerde_x0020_Kamer[1]" w:storeItemID="{81961AFE-0FF6-4063-9DD3-1D50F4EAA675}"/>
                      <w:text w:multiLine="1"/>
                    </w:sdtPr>
                    <w:sdtContent>
                      <w:p w14:paraId="353554B7" w14:textId="0B87B6B4" w:rsidR="00596AD0" w:rsidRDefault="009F311D" w:rsidP="00596AD0">
                        <w:pPr>
                          <w:pStyle w:val="Header"/>
                        </w:pPr>
                        <w:r>
                          <w:t xml:space="preserve">Aan de Voorzitter van de </w:t>
                        </w:r>
                        <w:r>
                          <w:br/>
                          <w:t>Tweede Kamer der Staten-Generaal</w:t>
                        </w:r>
                        <w:r>
                          <w:br/>
                          <w:t>Prinses Irenestraat 6</w:t>
                        </w:r>
                        <w:r>
                          <w:br/>
                          <w:t>Den Haag</w:t>
                        </w:r>
                      </w:p>
                    </w:sdtContent>
                  </w:sdt>
                  <w:p w14:paraId="59FFB5F0" w14:textId="5AB8D0E7" w:rsidR="001B5575" w:rsidRPr="00CF7C5C" w:rsidRDefault="001B5575" w:rsidP="00421A31"/>
                </w:txbxContent>
              </v:textbox>
              <w10:wrap anchorx="margin" anchory="page"/>
            </v:shape>
          </w:pict>
        </mc:Fallback>
      </mc:AlternateContent>
    </w:r>
  </w:p>
  <w:p w14:paraId="6E29A619" w14:textId="77777777" w:rsidR="001B5575" w:rsidRDefault="001B5575">
    <w:pPr>
      <w:pStyle w:val="Header"/>
    </w:pPr>
  </w:p>
  <w:p w14:paraId="4ED6069D" w14:textId="77777777" w:rsidR="001B5575" w:rsidRDefault="001B5575">
    <w:pPr>
      <w:pStyle w:val="Header"/>
    </w:pPr>
  </w:p>
  <w:p w14:paraId="03C8A6DB" w14:textId="77777777" w:rsidR="001B5575" w:rsidRDefault="001B5575">
    <w:pPr>
      <w:pStyle w:val="Header"/>
    </w:pPr>
  </w:p>
  <w:p w14:paraId="43B5CFAA" w14:textId="77777777" w:rsidR="001B5575" w:rsidRDefault="001B5575">
    <w:pPr>
      <w:pStyle w:val="Header"/>
    </w:pPr>
  </w:p>
  <w:p w14:paraId="30EC77C3" w14:textId="77777777" w:rsidR="001B5575" w:rsidRDefault="001B5575">
    <w:pPr>
      <w:pStyle w:val="Header"/>
    </w:pPr>
  </w:p>
  <w:p w14:paraId="7ABB46DB" w14:textId="77777777" w:rsidR="001B5575" w:rsidRDefault="001B5575">
    <w:pPr>
      <w:pStyle w:val="Header"/>
    </w:pPr>
  </w:p>
  <w:p w14:paraId="7D9A49A6" w14:textId="77777777" w:rsidR="001B5575" w:rsidRDefault="001B5575">
    <w:pPr>
      <w:pStyle w:val="Header"/>
    </w:pPr>
  </w:p>
  <w:p w14:paraId="23085C85" w14:textId="77777777" w:rsidR="001B5575" w:rsidRDefault="001B5575">
    <w:pPr>
      <w:pStyle w:val="Header"/>
    </w:pPr>
  </w:p>
  <w:p w14:paraId="12D20D7F" w14:textId="77777777" w:rsidR="001B5575" w:rsidRDefault="001B5575">
    <w:pPr>
      <w:pStyle w:val="Header"/>
    </w:pPr>
  </w:p>
  <w:p w14:paraId="1F5C76F0" w14:textId="77777777" w:rsidR="001B5575" w:rsidRDefault="001B5575">
    <w:pPr>
      <w:pStyle w:val="Header"/>
    </w:pPr>
  </w:p>
  <w:p w14:paraId="394B98B3" w14:textId="77777777" w:rsidR="001B5575" w:rsidRDefault="001B5575">
    <w:pPr>
      <w:pStyle w:val="Header"/>
    </w:pPr>
  </w:p>
  <w:p w14:paraId="242DD7C2" w14:textId="77777777" w:rsidR="001B5575" w:rsidRDefault="001B5575">
    <w:pPr>
      <w:pStyle w:val="Header"/>
    </w:pPr>
  </w:p>
  <w:p w14:paraId="0DBAE0F5" w14:textId="77777777" w:rsidR="001B5575" w:rsidRDefault="001B5575">
    <w:pPr>
      <w:pStyle w:val="Header"/>
    </w:pPr>
  </w:p>
  <w:p w14:paraId="5554C250" w14:textId="77777777" w:rsidR="001B5575" w:rsidRDefault="001B5575">
    <w:pPr>
      <w:pStyle w:val="Header"/>
    </w:pPr>
  </w:p>
  <w:p w14:paraId="2FAF5074" w14:textId="77777777" w:rsidR="001B5575" w:rsidRDefault="001B5575">
    <w:pPr>
      <w:pStyle w:val="Header"/>
    </w:pPr>
  </w:p>
  <w:p w14:paraId="73AE405D" w14:textId="77777777" w:rsidR="001B5575" w:rsidRDefault="001B5575">
    <w:pPr>
      <w:pStyle w:val="Header"/>
    </w:pPr>
  </w:p>
  <w:p w14:paraId="7EE821E6" w14:textId="77777777" w:rsidR="001B5575" w:rsidRDefault="001B5575">
    <w:pPr>
      <w:pStyle w:val="Header"/>
    </w:pPr>
  </w:p>
  <w:p w14:paraId="2A6966F9" w14:textId="77777777" w:rsidR="001B5575" w:rsidRDefault="001B5575">
    <w:pPr>
      <w:pStyle w:val="Header"/>
    </w:pPr>
  </w:p>
  <w:p w14:paraId="28A02005" w14:textId="77777777" w:rsidR="001B5575" w:rsidRDefault="001B5575">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53DC27D4" wp14:editId="3FF0BFE4">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66EFF" w14:textId="7ACB0084" w:rsidR="001B5575" w:rsidRPr="00F51C07" w:rsidRDefault="001B5575">
                          <w:r w:rsidRPr="00F51C07">
                            <w:t>Datum</w:t>
                          </w:r>
                          <w:r w:rsidR="007D55CC">
                            <w:t xml:space="preserve"> 12 </w:t>
                          </w:r>
                          <w:r w:rsidR="00F114CF">
                            <w:t xml:space="preserve">april </w:t>
                          </w:r>
                          <w:r w:rsidR="00926179">
                            <w:t>2024</w:t>
                          </w:r>
                        </w:p>
                        <w:p w14:paraId="06BD080E" w14:textId="082FCEB1" w:rsidR="001B5575" w:rsidRPr="00F51C07" w:rsidRDefault="001B5575">
                          <w:r w:rsidRPr="00E20D12">
                            <w:t>Betreft</w:t>
                          </w:r>
                          <w:r w:rsidR="007D55CC">
                            <w:t xml:space="preserve"> </w:t>
                          </w:r>
                          <w:r w:rsidR="000C3691" w:rsidRPr="000C3691">
                            <w:t xml:space="preserve">Verslag van de Vergadering van verdragspartijen van het </w:t>
                          </w:r>
                          <w:r w:rsidR="00142073">
                            <w:t>Statuut van Rome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27D4"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" fillcolor="white [3201]" stroked="f" strokeweight=".5pt">
              <v:textbox inset="0,0,0,0">
                <w:txbxContent>
                  <w:p w14:paraId="3A666EFF" w14:textId="7ACB0084" w:rsidR="001B5575" w:rsidRPr="00F51C07" w:rsidRDefault="001B5575">
                    <w:r w:rsidRPr="00F51C07">
                      <w:t>Datum</w:t>
                    </w:r>
                    <w:r w:rsidR="007D55CC">
                      <w:t xml:space="preserve"> 12 </w:t>
                    </w:r>
                    <w:r w:rsidR="00F114CF">
                      <w:t xml:space="preserve">april </w:t>
                    </w:r>
                    <w:r w:rsidR="00926179">
                      <w:t>2024</w:t>
                    </w:r>
                  </w:p>
                  <w:p w14:paraId="06BD080E" w14:textId="082FCEB1" w:rsidR="001B5575" w:rsidRPr="00F51C07" w:rsidRDefault="001B5575">
                    <w:r w:rsidRPr="00E20D12">
                      <w:t>Betreft</w:t>
                    </w:r>
                    <w:r w:rsidR="007D55CC">
                      <w:t xml:space="preserve"> </w:t>
                    </w:r>
                    <w:r w:rsidR="000C3691" w:rsidRPr="000C3691">
                      <w:t xml:space="preserve">Verslag van de Vergadering van verdragspartijen van het </w:t>
                    </w:r>
                    <w:r w:rsidR="00142073">
                      <w:t>Statuut van Rome</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11FE596F" wp14:editId="65B9B55D">
              <wp:simplePos x="0" y="0"/>
              <wp:positionH relativeFrom="page">
                <wp:posOffset>3540760</wp:posOffset>
              </wp:positionH>
              <wp:positionV relativeFrom="page">
                <wp:posOffset>162</wp:posOffset>
              </wp:positionV>
              <wp:extent cx="4013835" cy="1745615"/>
              <wp:effectExtent l="0" t="0" r="571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596F" id="Text Box 3"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DI3QEAAJkDAAAOAAAAZHJzL2Uyb0RvYy54bWysU9tu3CAQfa/Uf0C8d21ns2lk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206F99E9" wp14:editId="74705369">
              <wp:simplePos x="0" y="0"/>
              <wp:positionH relativeFrom="column">
                <wp:posOffset>4831715</wp:posOffset>
              </wp:positionH>
              <wp:positionV relativeFrom="page">
                <wp:posOffset>1882775</wp:posOffset>
              </wp:positionV>
              <wp:extent cx="1494000" cy="8096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4D44E5" w14:textId="16824AB7" w:rsidR="003573B1" w:rsidRPr="009F311D" w:rsidRDefault="009F311D" w:rsidP="00EE5E5D">
                          <w:pPr>
                            <w:rPr>
                              <w:b/>
                              <w:bCs/>
                              <w:sz w:val="13"/>
                              <w:szCs w:val="13"/>
                            </w:rPr>
                          </w:pPr>
                          <w:r w:rsidRPr="009F311D">
                            <w:rPr>
                              <w:b/>
                              <w:bCs/>
                              <w:sz w:val="13"/>
                              <w:szCs w:val="13"/>
                            </w:rPr>
                            <w:t>Ministerie van Buitenlandse Zaken</w:t>
                          </w:r>
                        </w:p>
                        <w:p w14:paraId="3858C87A" w14:textId="77777777" w:rsidR="001B5575" w:rsidRPr="00EE5E5D" w:rsidRDefault="00D263F9" w:rsidP="00EE5E5D">
                          <w:pPr>
                            <w:rPr>
                              <w:sz w:val="13"/>
                              <w:szCs w:val="13"/>
                            </w:rPr>
                          </w:pPr>
                          <w:r>
                            <w:rPr>
                              <w:sz w:val="13"/>
                              <w:szCs w:val="13"/>
                            </w:rPr>
                            <w:t>Rijnstraat 8</w:t>
                          </w:r>
                        </w:p>
                        <w:p w14:paraId="410FCE81" w14:textId="77777777" w:rsidR="00D263F9" w:rsidRPr="00635C91" w:rsidRDefault="00D263F9" w:rsidP="00EE5E5D">
                          <w:pPr>
                            <w:rPr>
                              <w:sz w:val="13"/>
                              <w:szCs w:val="13"/>
                              <w:lang w:val="de-DE"/>
                            </w:rPr>
                          </w:pPr>
                          <w:r w:rsidRPr="00635C91">
                            <w:rPr>
                              <w:sz w:val="13"/>
                              <w:szCs w:val="13"/>
                              <w:lang w:val="de-DE"/>
                            </w:rPr>
                            <w:t xml:space="preserve">2515 XP Den Haag </w:t>
                          </w:r>
                        </w:p>
                        <w:p w14:paraId="16721111" w14:textId="77777777" w:rsidR="001B5575" w:rsidRPr="00635C91" w:rsidRDefault="001B5575" w:rsidP="00EE5E5D">
                          <w:pPr>
                            <w:rPr>
                              <w:sz w:val="13"/>
                              <w:szCs w:val="13"/>
                              <w:lang w:val="de-DE"/>
                            </w:rPr>
                          </w:pPr>
                          <w:r w:rsidRPr="00635C91">
                            <w:rPr>
                              <w:sz w:val="13"/>
                              <w:szCs w:val="13"/>
                              <w:lang w:val="de-DE"/>
                            </w:rPr>
                            <w:t>Postbus 20061</w:t>
                          </w:r>
                        </w:p>
                        <w:p w14:paraId="310589BA" w14:textId="77777777" w:rsidR="001B5575" w:rsidRPr="002A4354" w:rsidRDefault="001B5575" w:rsidP="00EE5E5D">
                          <w:pPr>
                            <w:rPr>
                              <w:sz w:val="13"/>
                              <w:szCs w:val="13"/>
                              <w:lang w:val="de-DE"/>
                            </w:rPr>
                          </w:pPr>
                          <w:r w:rsidRPr="002A4354">
                            <w:rPr>
                              <w:sz w:val="13"/>
                              <w:szCs w:val="13"/>
                              <w:lang w:val="de-DE"/>
                            </w:rPr>
                            <w:t>Nederland</w:t>
                          </w:r>
                        </w:p>
                        <w:p w14:paraId="3C816229" w14:textId="77777777" w:rsidR="001B5575" w:rsidRPr="002A4354" w:rsidRDefault="001B5575" w:rsidP="00EE5E5D">
                          <w:pPr>
                            <w:rPr>
                              <w:sz w:val="13"/>
                              <w:szCs w:val="13"/>
                              <w:lang w:val="de-DE"/>
                            </w:rPr>
                          </w:pPr>
                          <w:r w:rsidRPr="002A4354">
                            <w:rPr>
                              <w:sz w:val="13"/>
                              <w:szCs w:val="13"/>
                              <w:lang w:val="de-DE"/>
                            </w:rPr>
                            <w:t>www.rijksoverheid.nl</w:t>
                          </w:r>
                        </w:p>
                        <w:p w14:paraId="4A9FA492" w14:textId="77777777" w:rsidR="001B5575" w:rsidRPr="002A4354" w:rsidRDefault="001B5575" w:rsidP="00EE5E5D">
                          <w:pPr>
                            <w:rPr>
                              <w:sz w:val="13"/>
                              <w:szCs w:val="13"/>
                              <w:lang w:val="de-DE"/>
                            </w:rPr>
                          </w:pPr>
                        </w:p>
                        <w:p w14:paraId="69796188" w14:textId="77777777" w:rsidR="001B5575" w:rsidRPr="002A4354" w:rsidRDefault="001B5575" w:rsidP="00EE5E5D">
                          <w:pPr>
                            <w:rPr>
                              <w:sz w:val="13"/>
                              <w:szCs w:val="13"/>
                              <w:lang w:val="de-DE"/>
                            </w:rPr>
                          </w:pPr>
                        </w:p>
                        <w:p w14:paraId="709F9F35" w14:textId="6709508A" w:rsidR="001B5575" w:rsidRPr="002A4354" w:rsidRDefault="001B5575" w:rsidP="00EE5E5D">
                          <w:pPr>
                            <w:rPr>
                              <w:sz w:val="13"/>
                              <w:szCs w:val="13"/>
                              <w:lang w:val="de-DE"/>
                            </w:rPr>
                          </w:pPr>
                          <w:r w:rsidRPr="002A4354">
                            <w:rPr>
                              <w:b/>
                              <w:sz w:val="13"/>
                              <w:szCs w:val="13"/>
                              <w:lang w:val="de-DE"/>
                            </w:rPr>
                            <w:t>Onze Referentie</w:t>
                          </w:r>
                          <w:r w:rsidRPr="002A4354">
                            <w:rPr>
                              <w:b/>
                              <w:sz w:val="13"/>
                              <w:szCs w:val="13"/>
                              <w:lang w:val="de-DE"/>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fe1ab701-fd77-441d-a7bf-eeb731bd67d0' xmlns:ns4='a968f643-972d-4667-9c7d-fd76f2567ee3' " w:xpath="/ns0:properties[1]/documentManagement[1]/ns3:_dlc_DocId[1]" w:storeItemID="{81961AFE-0FF6-4063-9DD3-1D50F4EAA675}"/>
                              <w:text/>
                            </w:sdtPr>
                            <w:sdtContent>
                              <w:r w:rsidR="000C3691">
                                <w:rPr>
                                  <w:sz w:val="13"/>
                                  <w:szCs w:val="13"/>
                                </w:rPr>
                                <w:t>BZDOC-855439098-33</w:t>
                              </w:r>
                            </w:sdtContent>
                          </w:sdt>
                        </w:p>
                        <w:p w14:paraId="36AB974F" w14:textId="77777777" w:rsidR="00410007" w:rsidRPr="002A4354" w:rsidRDefault="00410007" w:rsidP="00EE5E5D">
                          <w:pPr>
                            <w:rPr>
                              <w:b/>
                              <w:sz w:val="13"/>
                              <w:szCs w:val="13"/>
                              <w:lang w:val="de-DE"/>
                            </w:rPr>
                          </w:pPr>
                        </w:p>
                        <w:p w14:paraId="62317602" w14:textId="2BE40301" w:rsidR="001B5575" w:rsidRPr="00D46CB7" w:rsidRDefault="001B5575" w:rsidP="00EE5E5D">
                          <w:pPr>
                            <w:rPr>
                              <w:sz w:val="13"/>
                              <w:szCs w:val="13"/>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99E9" id="Text Box 2" o:sp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" filled="f" stroked="f">
              <v:textbox>
                <w:txbxContent>
                  <w:p w14:paraId="1D4D44E5" w14:textId="16824AB7" w:rsidR="003573B1" w:rsidRPr="009F311D" w:rsidRDefault="009F311D" w:rsidP="00EE5E5D">
                    <w:pPr>
                      <w:rPr>
                        <w:b/>
                        <w:bCs/>
                        <w:sz w:val="13"/>
                        <w:szCs w:val="13"/>
                      </w:rPr>
                    </w:pPr>
                    <w:r w:rsidRPr="009F311D">
                      <w:rPr>
                        <w:b/>
                        <w:bCs/>
                        <w:sz w:val="13"/>
                        <w:szCs w:val="13"/>
                      </w:rPr>
                      <w:t>Ministerie van Buitenlandse Zaken</w:t>
                    </w:r>
                  </w:p>
                  <w:p w14:paraId="3858C87A" w14:textId="77777777" w:rsidR="001B5575" w:rsidRPr="00EE5E5D" w:rsidRDefault="00D263F9" w:rsidP="00EE5E5D">
                    <w:pPr>
                      <w:rPr>
                        <w:sz w:val="13"/>
                        <w:szCs w:val="13"/>
                      </w:rPr>
                    </w:pPr>
                    <w:r>
                      <w:rPr>
                        <w:sz w:val="13"/>
                        <w:szCs w:val="13"/>
                      </w:rPr>
                      <w:t>Rijnstraat 8</w:t>
                    </w:r>
                  </w:p>
                  <w:p w14:paraId="410FCE81" w14:textId="77777777" w:rsidR="00D263F9" w:rsidRPr="00635C91" w:rsidRDefault="00D263F9" w:rsidP="00EE5E5D">
                    <w:pPr>
                      <w:rPr>
                        <w:sz w:val="13"/>
                        <w:szCs w:val="13"/>
                        <w:lang w:val="de-DE"/>
                      </w:rPr>
                    </w:pPr>
                    <w:r w:rsidRPr="00635C91">
                      <w:rPr>
                        <w:sz w:val="13"/>
                        <w:szCs w:val="13"/>
                        <w:lang w:val="de-DE"/>
                      </w:rPr>
                      <w:t xml:space="preserve">2515 XP Den Haag </w:t>
                    </w:r>
                  </w:p>
                  <w:p w14:paraId="16721111" w14:textId="77777777" w:rsidR="001B5575" w:rsidRPr="00635C91" w:rsidRDefault="001B5575" w:rsidP="00EE5E5D">
                    <w:pPr>
                      <w:rPr>
                        <w:sz w:val="13"/>
                        <w:szCs w:val="13"/>
                        <w:lang w:val="de-DE"/>
                      </w:rPr>
                    </w:pPr>
                    <w:r w:rsidRPr="00635C91">
                      <w:rPr>
                        <w:sz w:val="13"/>
                        <w:szCs w:val="13"/>
                        <w:lang w:val="de-DE"/>
                      </w:rPr>
                      <w:t>Postbus 20061</w:t>
                    </w:r>
                  </w:p>
                  <w:p w14:paraId="310589BA" w14:textId="77777777" w:rsidR="001B5575" w:rsidRPr="002A4354" w:rsidRDefault="001B5575" w:rsidP="00EE5E5D">
                    <w:pPr>
                      <w:rPr>
                        <w:sz w:val="13"/>
                        <w:szCs w:val="13"/>
                        <w:lang w:val="de-DE"/>
                      </w:rPr>
                    </w:pPr>
                    <w:r w:rsidRPr="002A4354">
                      <w:rPr>
                        <w:sz w:val="13"/>
                        <w:szCs w:val="13"/>
                        <w:lang w:val="de-DE"/>
                      </w:rPr>
                      <w:t>Nederland</w:t>
                    </w:r>
                  </w:p>
                  <w:p w14:paraId="3C816229" w14:textId="77777777" w:rsidR="001B5575" w:rsidRPr="002A4354" w:rsidRDefault="001B5575" w:rsidP="00EE5E5D">
                    <w:pPr>
                      <w:rPr>
                        <w:sz w:val="13"/>
                        <w:szCs w:val="13"/>
                        <w:lang w:val="de-DE"/>
                      </w:rPr>
                    </w:pPr>
                    <w:r w:rsidRPr="002A4354">
                      <w:rPr>
                        <w:sz w:val="13"/>
                        <w:szCs w:val="13"/>
                        <w:lang w:val="de-DE"/>
                      </w:rPr>
                      <w:t>www.rijksoverheid.nl</w:t>
                    </w:r>
                  </w:p>
                  <w:p w14:paraId="4A9FA492" w14:textId="77777777" w:rsidR="001B5575" w:rsidRPr="002A4354" w:rsidRDefault="001B5575" w:rsidP="00EE5E5D">
                    <w:pPr>
                      <w:rPr>
                        <w:sz w:val="13"/>
                        <w:szCs w:val="13"/>
                        <w:lang w:val="de-DE"/>
                      </w:rPr>
                    </w:pPr>
                  </w:p>
                  <w:p w14:paraId="69796188" w14:textId="77777777" w:rsidR="001B5575" w:rsidRPr="002A4354" w:rsidRDefault="001B5575" w:rsidP="00EE5E5D">
                    <w:pPr>
                      <w:rPr>
                        <w:sz w:val="13"/>
                        <w:szCs w:val="13"/>
                        <w:lang w:val="de-DE"/>
                      </w:rPr>
                    </w:pPr>
                  </w:p>
                  <w:p w14:paraId="709F9F35" w14:textId="6709508A" w:rsidR="001B5575" w:rsidRPr="002A4354" w:rsidRDefault="001B5575" w:rsidP="00EE5E5D">
                    <w:pPr>
                      <w:rPr>
                        <w:sz w:val="13"/>
                        <w:szCs w:val="13"/>
                        <w:lang w:val="de-DE"/>
                      </w:rPr>
                    </w:pPr>
                    <w:r w:rsidRPr="002A4354">
                      <w:rPr>
                        <w:b/>
                        <w:sz w:val="13"/>
                        <w:szCs w:val="13"/>
                        <w:lang w:val="de-DE"/>
                      </w:rPr>
                      <w:t>Onze Referentie</w:t>
                    </w:r>
                    <w:r w:rsidRPr="002A4354">
                      <w:rPr>
                        <w:b/>
                        <w:sz w:val="13"/>
                        <w:szCs w:val="13"/>
                        <w:lang w:val="de-DE"/>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fe1ab701-fd77-441d-a7bf-eeb731bd67d0' xmlns:ns4='a968f643-972d-4667-9c7d-fd76f2567ee3' " w:xpath="/ns0:properties[1]/documentManagement[1]/ns3:_dlc_DocId[1]" w:storeItemID="{81961AFE-0FF6-4063-9DD3-1D50F4EAA675}"/>
                        <w:text/>
                      </w:sdtPr>
                      <w:sdtContent>
                        <w:r w:rsidR="000C3691">
                          <w:rPr>
                            <w:sz w:val="13"/>
                            <w:szCs w:val="13"/>
                          </w:rPr>
                          <w:t>BZDOC-855439098-33</w:t>
                        </w:r>
                      </w:sdtContent>
                    </w:sdt>
                  </w:p>
                  <w:p w14:paraId="36AB974F" w14:textId="77777777" w:rsidR="00410007" w:rsidRPr="002A4354" w:rsidRDefault="00410007" w:rsidP="00EE5E5D">
                    <w:pPr>
                      <w:rPr>
                        <w:b/>
                        <w:sz w:val="13"/>
                        <w:szCs w:val="13"/>
                        <w:lang w:val="de-DE"/>
                      </w:rPr>
                    </w:pPr>
                  </w:p>
                  <w:p w14:paraId="62317602" w14:textId="2BE40301" w:rsidR="001B5575" w:rsidRPr="00D46CB7" w:rsidRDefault="001B5575" w:rsidP="00EE5E5D">
                    <w:pPr>
                      <w:rPr>
                        <w:sz w:val="13"/>
                        <w:szCs w:val="13"/>
                        <w:lang w:val="de-DE"/>
                      </w:rPr>
                    </w:pPr>
                  </w:p>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5C"/>
    <w:rsid w:val="00015841"/>
    <w:rsid w:val="00062DDE"/>
    <w:rsid w:val="00063F56"/>
    <w:rsid w:val="000648C1"/>
    <w:rsid w:val="000701F1"/>
    <w:rsid w:val="0007464A"/>
    <w:rsid w:val="000B3C75"/>
    <w:rsid w:val="000C05AC"/>
    <w:rsid w:val="000C3691"/>
    <w:rsid w:val="000D6C7A"/>
    <w:rsid w:val="000E6281"/>
    <w:rsid w:val="000F56CA"/>
    <w:rsid w:val="00130AB1"/>
    <w:rsid w:val="00132F64"/>
    <w:rsid w:val="001361B2"/>
    <w:rsid w:val="00142073"/>
    <w:rsid w:val="001428B6"/>
    <w:rsid w:val="00161332"/>
    <w:rsid w:val="0016460E"/>
    <w:rsid w:val="0019612F"/>
    <w:rsid w:val="001A60F3"/>
    <w:rsid w:val="001B5575"/>
    <w:rsid w:val="001D4B80"/>
    <w:rsid w:val="001E2FCA"/>
    <w:rsid w:val="001E4AF3"/>
    <w:rsid w:val="001E7644"/>
    <w:rsid w:val="001F626B"/>
    <w:rsid w:val="00202425"/>
    <w:rsid w:val="00205368"/>
    <w:rsid w:val="00221464"/>
    <w:rsid w:val="00223B8D"/>
    <w:rsid w:val="00270E07"/>
    <w:rsid w:val="00274149"/>
    <w:rsid w:val="002744AD"/>
    <w:rsid w:val="002751BE"/>
    <w:rsid w:val="002A4354"/>
    <w:rsid w:val="002B2C0A"/>
    <w:rsid w:val="002F34C0"/>
    <w:rsid w:val="002F508B"/>
    <w:rsid w:val="00310314"/>
    <w:rsid w:val="003107AE"/>
    <w:rsid w:val="003573B1"/>
    <w:rsid w:val="00360A38"/>
    <w:rsid w:val="003775E2"/>
    <w:rsid w:val="00387071"/>
    <w:rsid w:val="00392593"/>
    <w:rsid w:val="003A2FD6"/>
    <w:rsid w:val="003B6109"/>
    <w:rsid w:val="003C0D64"/>
    <w:rsid w:val="003C31F9"/>
    <w:rsid w:val="003D0FF6"/>
    <w:rsid w:val="003F4182"/>
    <w:rsid w:val="003F484D"/>
    <w:rsid w:val="00410007"/>
    <w:rsid w:val="00415C7A"/>
    <w:rsid w:val="00416284"/>
    <w:rsid w:val="00421A31"/>
    <w:rsid w:val="004305C5"/>
    <w:rsid w:val="00472954"/>
    <w:rsid w:val="00492A07"/>
    <w:rsid w:val="00493039"/>
    <w:rsid w:val="004A4D41"/>
    <w:rsid w:val="004B169E"/>
    <w:rsid w:val="004F2CD5"/>
    <w:rsid w:val="004F420B"/>
    <w:rsid w:val="0052042F"/>
    <w:rsid w:val="005239C8"/>
    <w:rsid w:val="0054710D"/>
    <w:rsid w:val="00561A0F"/>
    <w:rsid w:val="005621ED"/>
    <w:rsid w:val="0058359E"/>
    <w:rsid w:val="0059291A"/>
    <w:rsid w:val="00593A05"/>
    <w:rsid w:val="00596AD0"/>
    <w:rsid w:val="005970D9"/>
    <w:rsid w:val="005D3111"/>
    <w:rsid w:val="005D7A68"/>
    <w:rsid w:val="005E1186"/>
    <w:rsid w:val="005F0933"/>
    <w:rsid w:val="00600C30"/>
    <w:rsid w:val="006048AD"/>
    <w:rsid w:val="00606B15"/>
    <w:rsid w:val="0061364D"/>
    <w:rsid w:val="00635C91"/>
    <w:rsid w:val="0065127E"/>
    <w:rsid w:val="00657D4A"/>
    <w:rsid w:val="00662AC7"/>
    <w:rsid w:val="00684C0D"/>
    <w:rsid w:val="006A30EF"/>
    <w:rsid w:val="006B0BAF"/>
    <w:rsid w:val="006B66D8"/>
    <w:rsid w:val="006C0F3D"/>
    <w:rsid w:val="006C7A86"/>
    <w:rsid w:val="00710F1E"/>
    <w:rsid w:val="007428E9"/>
    <w:rsid w:val="007444D4"/>
    <w:rsid w:val="00756C82"/>
    <w:rsid w:val="00785D9D"/>
    <w:rsid w:val="007878EE"/>
    <w:rsid w:val="007A0C45"/>
    <w:rsid w:val="007C6A20"/>
    <w:rsid w:val="007D4D1F"/>
    <w:rsid w:val="007D55CC"/>
    <w:rsid w:val="00844B28"/>
    <w:rsid w:val="00861995"/>
    <w:rsid w:val="0087630E"/>
    <w:rsid w:val="008C6B9E"/>
    <w:rsid w:val="008D7803"/>
    <w:rsid w:val="008F194D"/>
    <w:rsid w:val="00906876"/>
    <w:rsid w:val="009156AA"/>
    <w:rsid w:val="00916257"/>
    <w:rsid w:val="00920092"/>
    <w:rsid w:val="00926179"/>
    <w:rsid w:val="009325F0"/>
    <w:rsid w:val="009B15C1"/>
    <w:rsid w:val="009C4211"/>
    <w:rsid w:val="009C52D4"/>
    <w:rsid w:val="009C7A2B"/>
    <w:rsid w:val="009D0042"/>
    <w:rsid w:val="009D5416"/>
    <w:rsid w:val="009E63EC"/>
    <w:rsid w:val="009F311D"/>
    <w:rsid w:val="00A10041"/>
    <w:rsid w:val="00A12033"/>
    <w:rsid w:val="00A23BDB"/>
    <w:rsid w:val="00A5065A"/>
    <w:rsid w:val="00A63980"/>
    <w:rsid w:val="00A811E4"/>
    <w:rsid w:val="00A93558"/>
    <w:rsid w:val="00A96E13"/>
    <w:rsid w:val="00A974F1"/>
    <w:rsid w:val="00AD0224"/>
    <w:rsid w:val="00B3225F"/>
    <w:rsid w:val="00B42BA6"/>
    <w:rsid w:val="00B435FC"/>
    <w:rsid w:val="00B91FC7"/>
    <w:rsid w:val="00BB6753"/>
    <w:rsid w:val="00BC0472"/>
    <w:rsid w:val="00BC1F6B"/>
    <w:rsid w:val="00BD2E80"/>
    <w:rsid w:val="00BD3958"/>
    <w:rsid w:val="00BD663C"/>
    <w:rsid w:val="00BE126B"/>
    <w:rsid w:val="00C02C3C"/>
    <w:rsid w:val="00C14C73"/>
    <w:rsid w:val="00C3667F"/>
    <w:rsid w:val="00C653A9"/>
    <w:rsid w:val="00C67524"/>
    <w:rsid w:val="00C7219A"/>
    <w:rsid w:val="00C741E6"/>
    <w:rsid w:val="00C768DA"/>
    <w:rsid w:val="00CF7C5C"/>
    <w:rsid w:val="00D01448"/>
    <w:rsid w:val="00D019E7"/>
    <w:rsid w:val="00D057D9"/>
    <w:rsid w:val="00D10505"/>
    <w:rsid w:val="00D1719A"/>
    <w:rsid w:val="00D253EA"/>
    <w:rsid w:val="00D263F9"/>
    <w:rsid w:val="00D43120"/>
    <w:rsid w:val="00D46CB7"/>
    <w:rsid w:val="00D53B8F"/>
    <w:rsid w:val="00D70D8C"/>
    <w:rsid w:val="00D775DB"/>
    <w:rsid w:val="00D80B2D"/>
    <w:rsid w:val="00D90701"/>
    <w:rsid w:val="00D90B04"/>
    <w:rsid w:val="00D942CB"/>
    <w:rsid w:val="00DA7B87"/>
    <w:rsid w:val="00DC53E2"/>
    <w:rsid w:val="00DC6907"/>
    <w:rsid w:val="00E20D12"/>
    <w:rsid w:val="00E729CC"/>
    <w:rsid w:val="00E90132"/>
    <w:rsid w:val="00E9038B"/>
    <w:rsid w:val="00EA3995"/>
    <w:rsid w:val="00EB0335"/>
    <w:rsid w:val="00EC2243"/>
    <w:rsid w:val="00EE1314"/>
    <w:rsid w:val="00EE5E5D"/>
    <w:rsid w:val="00F04567"/>
    <w:rsid w:val="00F114CF"/>
    <w:rsid w:val="00F122FE"/>
    <w:rsid w:val="00F16E5E"/>
    <w:rsid w:val="00F32765"/>
    <w:rsid w:val="00F330F2"/>
    <w:rsid w:val="00F51C07"/>
    <w:rsid w:val="00F534B6"/>
    <w:rsid w:val="00F662F7"/>
    <w:rsid w:val="00F71F1B"/>
    <w:rsid w:val="00F77315"/>
    <w:rsid w:val="00F81581"/>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C3691"/>
    <w:pPr>
      <w:spacing w:line="240" w:lineRule="auto"/>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0C3691"/>
    <w:rPr>
      <w:sz w:val="20"/>
      <w:szCs w:val="20"/>
      <w:lang w:val="en-US"/>
    </w:rPr>
  </w:style>
  <w:style w:type="character" w:styleId="FootnoteReference">
    <w:name w:val="footnote reference"/>
    <w:basedOn w:val="DefaultParagraphFont"/>
    <w:uiPriority w:val="99"/>
    <w:semiHidden/>
    <w:unhideWhenUsed/>
    <w:rsid w:val="000C3691"/>
    <w:rPr>
      <w:vertAlign w:val="superscript"/>
    </w:rPr>
  </w:style>
  <w:style w:type="paragraph" w:styleId="Revision">
    <w:name w:val="Revision"/>
    <w:hidden/>
    <w:uiPriority w:val="99"/>
    <w:semiHidden/>
    <w:rsid w:val="008F194D"/>
    <w:pPr>
      <w:spacing w:after="0" w:line="240" w:lineRule="auto"/>
    </w:pPr>
    <w:rPr>
      <w:rFonts w:ascii="Verdana" w:eastAsia="Times New Roman" w:hAnsi="Verdana" w:cs="Times New Roman"/>
      <w:sz w:val="18"/>
      <w:szCs w:val="24"/>
      <w:lang w:eastAsia="nl-NL"/>
    </w:rPr>
  </w:style>
  <w:style w:type="character" w:styleId="CommentReference">
    <w:name w:val="annotation reference"/>
    <w:basedOn w:val="DefaultParagraphFont"/>
    <w:uiPriority w:val="99"/>
    <w:semiHidden/>
    <w:unhideWhenUsed/>
    <w:rsid w:val="00D70D8C"/>
    <w:rPr>
      <w:sz w:val="16"/>
      <w:szCs w:val="16"/>
    </w:rPr>
  </w:style>
  <w:style w:type="paragraph" w:styleId="CommentText">
    <w:name w:val="annotation text"/>
    <w:basedOn w:val="Normal"/>
    <w:link w:val="CommentTextChar"/>
    <w:uiPriority w:val="99"/>
    <w:unhideWhenUsed/>
    <w:rsid w:val="00D70D8C"/>
    <w:pPr>
      <w:spacing w:line="240" w:lineRule="auto"/>
    </w:pPr>
    <w:rPr>
      <w:sz w:val="20"/>
      <w:szCs w:val="20"/>
    </w:rPr>
  </w:style>
  <w:style w:type="character" w:customStyle="1" w:styleId="CommentTextChar">
    <w:name w:val="Comment Text Char"/>
    <w:basedOn w:val="DefaultParagraphFont"/>
    <w:link w:val="CommentText"/>
    <w:uiPriority w:val="99"/>
    <w:rsid w:val="00D70D8C"/>
    <w:rPr>
      <w:rFonts w:ascii="Verdana" w:eastAsia="Times New Roman" w:hAnsi="Verdana"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D70D8C"/>
    <w:rPr>
      <w:b/>
      <w:bCs/>
    </w:rPr>
  </w:style>
  <w:style w:type="character" w:customStyle="1" w:styleId="CommentSubjectChar">
    <w:name w:val="Comment Subject Char"/>
    <w:basedOn w:val="CommentTextChar"/>
    <w:link w:val="CommentSubject"/>
    <w:uiPriority w:val="99"/>
    <w:semiHidden/>
    <w:rsid w:val="00D70D8C"/>
    <w:rPr>
      <w:rFonts w:ascii="Verdana" w:eastAsia="Times New Roman" w:hAnsi="Verdana"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E84179" w:rsidP="00E84179">
          <w:pPr>
            <w:pStyle w:val="EA88E6D9ABBD466AB0ACF438F89431833"/>
          </w:pPr>
          <w:r w:rsidRPr="0052042F">
            <w:rPr>
              <w:rStyle w:val="PlaceholderText"/>
              <w:rFonts w:eastAsiaTheme="minorHAnsi"/>
              <w:color w:val="FFFFFF" w:themeColor="background1"/>
            </w:rPr>
            <w:t>[Ondertekenaar 2]</w:t>
          </w:r>
        </w:p>
      </w:docPartBody>
    </w:docPart>
    <w:docPart>
      <w:docPartPr>
        <w:name w:val="F1DD29A67AEE4F7CBD2D996F8D367083"/>
        <w:category>
          <w:name w:val="General"/>
          <w:gallery w:val="placeholder"/>
        </w:category>
        <w:types>
          <w:type w:val="bbPlcHdr"/>
        </w:types>
        <w:behaviors>
          <w:behavior w:val="content"/>
        </w:behaviors>
        <w:guid w:val="{A35CF168-5C36-4AC2-9371-EF1046D6DEF2}"/>
      </w:docPartPr>
      <w:docPartBody>
        <w:p w:rsidR="005E1352" w:rsidRDefault="00E84179" w:rsidP="00E84179">
          <w:pPr>
            <w:pStyle w:val="F1DD29A67AEE4F7CBD2D996F8D3670832"/>
          </w:pPr>
          <w:r w:rsidRPr="0052042F">
            <w:rPr>
              <w:rStyle w:val="PlaceholderText"/>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612"/>
    <w:rsid w:val="00010996"/>
    <w:rsid w:val="00105612"/>
    <w:rsid w:val="00153654"/>
    <w:rsid w:val="0017162B"/>
    <w:rsid w:val="001946E4"/>
    <w:rsid w:val="001C018C"/>
    <w:rsid w:val="0025067D"/>
    <w:rsid w:val="00290699"/>
    <w:rsid w:val="002F2344"/>
    <w:rsid w:val="002F4B62"/>
    <w:rsid w:val="003A7592"/>
    <w:rsid w:val="003D41C9"/>
    <w:rsid w:val="00454848"/>
    <w:rsid w:val="00481709"/>
    <w:rsid w:val="004A5A7F"/>
    <w:rsid w:val="00513E81"/>
    <w:rsid w:val="0051548D"/>
    <w:rsid w:val="005E1352"/>
    <w:rsid w:val="00621129"/>
    <w:rsid w:val="0064468E"/>
    <w:rsid w:val="00734248"/>
    <w:rsid w:val="007371AC"/>
    <w:rsid w:val="00743E4C"/>
    <w:rsid w:val="00773139"/>
    <w:rsid w:val="007D5412"/>
    <w:rsid w:val="00845EDD"/>
    <w:rsid w:val="008B70A4"/>
    <w:rsid w:val="008C252F"/>
    <w:rsid w:val="008D513C"/>
    <w:rsid w:val="00944CB6"/>
    <w:rsid w:val="009D1F2A"/>
    <w:rsid w:val="00AC292E"/>
    <w:rsid w:val="00B4688D"/>
    <w:rsid w:val="00B856B5"/>
    <w:rsid w:val="00BD193A"/>
    <w:rsid w:val="00C61480"/>
    <w:rsid w:val="00C82FED"/>
    <w:rsid w:val="00CB4FB1"/>
    <w:rsid w:val="00E105F2"/>
    <w:rsid w:val="00E11559"/>
    <w:rsid w:val="00E84179"/>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179"/>
    <w:rPr>
      <w:color w:val="808080"/>
    </w:rPr>
  </w:style>
  <w:style w:type="paragraph" w:customStyle="1" w:styleId="F1DD29A67AEE4F7CBD2D996F8D3670832">
    <w:name w:val="F1DD29A67AEE4F7CBD2D996F8D3670832"/>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3">
    <w:name w:val="EA88E6D9ABBD466AB0ACF438F89431833"/>
    <w:rsid w:val="00E84179"/>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1544</ap:Words>
  <ap:Characters>8492</ap:Characters>
  <ap:DocSecurity>0</ap:DocSecurity>
  <ap:Lines>70</ap:Lines>
  <ap:Paragraphs>20</ap:Paragraphs>
  <ap:ScaleCrop>false</ap:ScaleCrop>
  <ap:HeadingPairs>
    <vt:vector baseType="variant" size="2">
      <vt:variant>
        <vt:lpstr>Title</vt:lpstr>
      </vt:variant>
      <vt:variant>
        <vt:i4>1</vt:i4>
      </vt:variant>
    </vt:vector>
  </ap:HeadingPairs>
  <ap:TitlesOfParts>
    <vt:vector baseType="lpstr" size="1">
      <vt:lpstr>Verslag-van-de-Vergadering-van-verdragspartijen-van-het-Statuut-van-Rome</vt:lpstr>
    </vt:vector>
  </ap:TitlesOfParts>
  <ap:LinksUpToDate>false</ap:LinksUpToDate>
  <ap:CharactersWithSpaces>10016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2018-09-17T07:07:00.0000000Z</dcterms:created>
  <dcterms:modified xsi:type="dcterms:W3CDTF">2024-04-12T15:30:00.0000000Z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0x0101009FFE7A2FBA144D4699EC54818DF680F2100002570A7D3F3CB240A538332650E87536</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31345c4a-8ce6-4e8a-b897-1820c7793ed1</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ies>
</file>