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4F7D" w:rsidR="009B29D0" w:rsidP="009B29D0" w:rsidRDefault="00AD56B1" w14:paraId="3E192AD5" w14:textId="7D483FCB">
      <w:pPr>
        <w:spacing w:after="0" w:line="240" w:lineRule="auto"/>
        <w:rPr>
          <w:rFonts w:ascii="Verdana" w:hAnsi="Verdana"/>
          <w:b/>
          <w:bCs/>
          <w:sz w:val="18"/>
          <w:szCs w:val="18"/>
        </w:rPr>
      </w:pPr>
      <w:bookmarkStart w:name="_Hlk161148923" w:id="0"/>
      <w:bookmarkStart w:name="_Hlk162506546" w:id="1"/>
      <w:r w:rsidRPr="00EE4F7D">
        <w:rPr>
          <w:rFonts w:ascii="Verdana" w:hAnsi="Verdana"/>
          <w:b/>
          <w:bCs/>
          <w:sz w:val="18"/>
          <w:szCs w:val="18"/>
        </w:rPr>
        <w:t xml:space="preserve">VERSLAG VAN DE </w:t>
      </w:r>
      <w:r w:rsidRPr="00EE4F7D" w:rsidR="009B29D0">
        <w:rPr>
          <w:rFonts w:ascii="Verdana" w:hAnsi="Verdana"/>
          <w:b/>
          <w:bCs/>
          <w:sz w:val="18"/>
          <w:szCs w:val="18"/>
        </w:rPr>
        <w:t>EUROPESE RAAD</w:t>
      </w:r>
      <w:r w:rsidRPr="00EE4F7D" w:rsidR="003C58AD">
        <w:rPr>
          <w:rFonts w:ascii="Verdana" w:hAnsi="Verdana"/>
          <w:b/>
          <w:bCs/>
          <w:sz w:val="18"/>
          <w:szCs w:val="18"/>
        </w:rPr>
        <w:t xml:space="preserve"> EN</w:t>
      </w:r>
      <w:r w:rsidRPr="00EE4F7D" w:rsidR="009B29D0">
        <w:rPr>
          <w:rFonts w:ascii="Verdana" w:hAnsi="Verdana"/>
          <w:b/>
          <w:bCs/>
          <w:sz w:val="18"/>
          <w:szCs w:val="18"/>
        </w:rPr>
        <w:t xml:space="preserve"> EUROZONETOP VAN 2</w:t>
      </w:r>
      <w:r w:rsidRPr="00EE4F7D" w:rsidR="00A069E8">
        <w:rPr>
          <w:rFonts w:ascii="Verdana" w:hAnsi="Verdana"/>
          <w:b/>
          <w:bCs/>
          <w:sz w:val="18"/>
          <w:szCs w:val="18"/>
        </w:rPr>
        <w:t>1</w:t>
      </w:r>
      <w:r w:rsidRPr="00EE4F7D" w:rsidR="009B29D0">
        <w:rPr>
          <w:rFonts w:ascii="Verdana" w:hAnsi="Verdana"/>
          <w:b/>
          <w:bCs/>
          <w:sz w:val="18"/>
          <w:szCs w:val="18"/>
        </w:rPr>
        <w:t xml:space="preserve"> EN 2</w:t>
      </w:r>
      <w:r w:rsidRPr="00EE4F7D" w:rsidR="00A069E8">
        <w:rPr>
          <w:rFonts w:ascii="Verdana" w:hAnsi="Verdana"/>
          <w:b/>
          <w:bCs/>
          <w:sz w:val="18"/>
          <w:szCs w:val="18"/>
        </w:rPr>
        <w:t>2</w:t>
      </w:r>
      <w:r w:rsidRPr="00EE4F7D" w:rsidR="009B29D0">
        <w:rPr>
          <w:rFonts w:ascii="Verdana" w:hAnsi="Verdana"/>
          <w:b/>
          <w:bCs/>
          <w:sz w:val="18"/>
          <w:szCs w:val="18"/>
        </w:rPr>
        <w:t xml:space="preserve"> MAART 2024</w:t>
      </w:r>
    </w:p>
    <w:p w:rsidRPr="00EE4F7D" w:rsidR="009B29D0" w:rsidP="009B29D0" w:rsidRDefault="009B29D0" w14:paraId="668D02B8" w14:textId="77777777">
      <w:pPr>
        <w:spacing w:after="0" w:line="240" w:lineRule="auto"/>
        <w:rPr>
          <w:rFonts w:ascii="Verdana" w:hAnsi="Verdana"/>
          <w:i/>
          <w:iCs/>
          <w:sz w:val="18"/>
          <w:szCs w:val="18"/>
        </w:rPr>
      </w:pPr>
    </w:p>
    <w:p w:rsidRPr="00224257" w:rsidR="009B29D0" w:rsidP="009B29D0" w:rsidRDefault="009B29D0" w14:paraId="1B2ABE68" w14:textId="6E5FB372">
      <w:pPr>
        <w:spacing w:after="0" w:line="240" w:lineRule="auto"/>
        <w:rPr>
          <w:rFonts w:ascii="Verdana" w:hAnsi="Verdana"/>
          <w:i/>
          <w:iCs/>
          <w:sz w:val="18"/>
          <w:szCs w:val="18"/>
        </w:rPr>
      </w:pPr>
      <w:bookmarkStart w:name="_Hlk161069264" w:id="2"/>
      <w:r w:rsidRPr="00EE4F7D">
        <w:rPr>
          <w:rFonts w:ascii="Verdana" w:hAnsi="Verdana"/>
          <w:sz w:val="18"/>
          <w:szCs w:val="18"/>
        </w:rPr>
        <w:t xml:space="preserve">Op donderdag 21 en vrijdag 22 maart </w:t>
      </w:r>
      <w:r w:rsidR="00A13437">
        <w:rPr>
          <w:rFonts w:ascii="Verdana" w:hAnsi="Verdana"/>
          <w:sz w:val="18"/>
          <w:szCs w:val="18"/>
        </w:rPr>
        <w:t xml:space="preserve">jl. </w:t>
      </w:r>
      <w:r w:rsidRPr="00EE4F7D" w:rsidR="00D165C4">
        <w:rPr>
          <w:rFonts w:ascii="Verdana" w:hAnsi="Verdana"/>
          <w:sz w:val="18"/>
          <w:szCs w:val="18"/>
        </w:rPr>
        <w:t>vond</w:t>
      </w:r>
      <w:r w:rsidRPr="00EE4F7D">
        <w:rPr>
          <w:rFonts w:ascii="Verdana" w:hAnsi="Verdana"/>
          <w:sz w:val="18"/>
          <w:szCs w:val="18"/>
        </w:rPr>
        <w:t xml:space="preserve"> een Europese Raad (ER) plaats in Brussel</w:t>
      </w:r>
      <w:r w:rsidR="00DE30EB">
        <w:rPr>
          <w:rFonts w:ascii="Verdana" w:hAnsi="Verdana"/>
          <w:sz w:val="18"/>
          <w:szCs w:val="18"/>
        </w:rPr>
        <w:t xml:space="preserve">. </w:t>
      </w:r>
      <w:r w:rsidRPr="00EE4F7D">
        <w:rPr>
          <w:rFonts w:ascii="Verdana" w:hAnsi="Verdana"/>
          <w:sz w:val="18"/>
          <w:szCs w:val="18"/>
        </w:rPr>
        <w:t xml:space="preserve">Aansluitend aan de ER </w:t>
      </w:r>
      <w:r w:rsidRPr="00EE4F7D" w:rsidR="00030F5A">
        <w:rPr>
          <w:rFonts w:ascii="Verdana" w:hAnsi="Verdana"/>
          <w:sz w:val="18"/>
          <w:szCs w:val="18"/>
        </w:rPr>
        <w:t xml:space="preserve">vond </w:t>
      </w:r>
      <w:r w:rsidRPr="00EE4F7D">
        <w:rPr>
          <w:rFonts w:ascii="Verdana" w:hAnsi="Verdana"/>
          <w:sz w:val="18"/>
          <w:szCs w:val="18"/>
        </w:rPr>
        <w:t xml:space="preserve">een Eurozonetop </w:t>
      </w:r>
      <w:r w:rsidRPr="00EE4F7D" w:rsidR="00030F5A">
        <w:rPr>
          <w:rFonts w:ascii="Verdana" w:hAnsi="Verdana"/>
          <w:sz w:val="18"/>
          <w:szCs w:val="18"/>
        </w:rPr>
        <w:t>plaats</w:t>
      </w:r>
      <w:r w:rsidRPr="00EE4F7D">
        <w:rPr>
          <w:rFonts w:ascii="Verdana" w:hAnsi="Verdana"/>
          <w:sz w:val="18"/>
          <w:szCs w:val="18"/>
        </w:rPr>
        <w:t xml:space="preserve">. </w:t>
      </w:r>
      <w:r w:rsidRPr="00EE4F7D" w:rsidR="00030F5A">
        <w:rPr>
          <w:rFonts w:ascii="Verdana" w:hAnsi="Verdana"/>
          <w:sz w:val="18"/>
          <w:szCs w:val="18"/>
        </w:rPr>
        <w:t xml:space="preserve">Voorafgaand aan de ER vond op 21 maart de eerste </w:t>
      </w:r>
      <w:r w:rsidRPr="00224257" w:rsidR="00030F5A">
        <w:rPr>
          <w:rFonts w:ascii="Verdana" w:hAnsi="Verdana"/>
          <w:sz w:val="18"/>
          <w:szCs w:val="18"/>
        </w:rPr>
        <w:t xml:space="preserve">Nucleaire Energietop plaats in Brussel. </w:t>
      </w:r>
      <w:r w:rsidRPr="00224257" w:rsidR="0053070A">
        <w:rPr>
          <w:rFonts w:ascii="Verdana" w:hAnsi="Verdana"/>
          <w:sz w:val="18"/>
          <w:szCs w:val="18"/>
        </w:rPr>
        <w:t xml:space="preserve">Op 22 maart vonden een korte bijeenkomst en een fotomoment plaats ter ere van het dertigjarig bestaan van de Europese Economische Ruimte (EER) in aanwezigheid van IJsland, Noorwegen en Liechtenstein. </w:t>
      </w:r>
      <w:r w:rsidRPr="00224257">
        <w:rPr>
          <w:rFonts w:ascii="Verdana" w:hAnsi="Verdana"/>
          <w:sz w:val="18"/>
          <w:szCs w:val="18"/>
        </w:rPr>
        <w:t xml:space="preserve">De minister-president </w:t>
      </w:r>
      <w:r w:rsidRPr="00224257" w:rsidR="00030F5A">
        <w:rPr>
          <w:rFonts w:ascii="Verdana" w:hAnsi="Verdana"/>
          <w:sz w:val="18"/>
          <w:szCs w:val="18"/>
        </w:rPr>
        <w:t xml:space="preserve">nam </w:t>
      </w:r>
      <w:r w:rsidRPr="00224257" w:rsidR="0053070A">
        <w:rPr>
          <w:rFonts w:ascii="Verdana" w:hAnsi="Verdana"/>
          <w:sz w:val="18"/>
          <w:szCs w:val="18"/>
        </w:rPr>
        <w:t xml:space="preserve">aan al deze bijeenkomsten </w:t>
      </w:r>
      <w:r w:rsidRPr="00224257" w:rsidR="00030F5A">
        <w:rPr>
          <w:rFonts w:ascii="Verdana" w:hAnsi="Verdana"/>
          <w:sz w:val="18"/>
          <w:szCs w:val="18"/>
        </w:rPr>
        <w:t>deel</w:t>
      </w:r>
      <w:r w:rsidRPr="00224257">
        <w:rPr>
          <w:rFonts w:ascii="Verdana" w:hAnsi="Verdana"/>
          <w:sz w:val="18"/>
          <w:szCs w:val="18"/>
        </w:rPr>
        <w:t>.</w:t>
      </w:r>
      <w:r w:rsidRPr="00224257" w:rsidR="00CD7899">
        <w:rPr>
          <w:rFonts w:ascii="Verdana" w:hAnsi="Verdana"/>
          <w:sz w:val="18"/>
          <w:szCs w:val="18"/>
        </w:rPr>
        <w:t xml:space="preserve"> </w:t>
      </w:r>
      <w:r w:rsidRPr="00224257" w:rsidR="008B6120">
        <w:rPr>
          <w:rFonts w:ascii="Verdana" w:hAnsi="Verdana"/>
          <w:sz w:val="18"/>
          <w:szCs w:val="18"/>
        </w:rPr>
        <w:t>M</w:t>
      </w:r>
      <w:r w:rsidRPr="00224257" w:rsidR="00CD7899">
        <w:rPr>
          <w:rFonts w:ascii="Verdana" w:hAnsi="Verdana"/>
          <w:sz w:val="18"/>
          <w:szCs w:val="18"/>
        </w:rPr>
        <w:t xml:space="preserve">iddels dit verslag </w:t>
      </w:r>
      <w:r w:rsidRPr="00224257" w:rsidR="008B6120">
        <w:rPr>
          <w:rFonts w:ascii="Verdana" w:hAnsi="Verdana"/>
          <w:sz w:val="18"/>
          <w:szCs w:val="18"/>
        </w:rPr>
        <w:t xml:space="preserve">ontvangt uw Kamer </w:t>
      </w:r>
      <w:r w:rsidRPr="00224257" w:rsidR="00425B7A">
        <w:rPr>
          <w:rFonts w:ascii="Verdana" w:hAnsi="Verdana"/>
          <w:sz w:val="18"/>
          <w:szCs w:val="18"/>
        </w:rPr>
        <w:t>opvolging</w:t>
      </w:r>
      <w:r w:rsidRPr="00224257" w:rsidR="00CD7899">
        <w:rPr>
          <w:rFonts w:ascii="Verdana" w:hAnsi="Verdana"/>
          <w:sz w:val="18"/>
          <w:szCs w:val="18"/>
        </w:rPr>
        <w:t xml:space="preserve"> </w:t>
      </w:r>
      <w:r w:rsidRPr="00224257" w:rsidR="00425B7A">
        <w:rPr>
          <w:rFonts w:ascii="Verdana" w:hAnsi="Verdana"/>
          <w:sz w:val="18"/>
          <w:szCs w:val="18"/>
        </w:rPr>
        <w:t>van</w:t>
      </w:r>
      <w:r w:rsidRPr="00224257" w:rsidR="00CD7899">
        <w:rPr>
          <w:rFonts w:ascii="Verdana" w:hAnsi="Verdana"/>
          <w:sz w:val="18"/>
          <w:szCs w:val="18"/>
        </w:rPr>
        <w:t xml:space="preserve"> de toezegging aan het lid</w:t>
      </w:r>
      <w:r w:rsidRPr="00224257" w:rsidR="00D61A33">
        <w:rPr>
          <w:rFonts w:ascii="Verdana" w:hAnsi="Verdana"/>
          <w:sz w:val="18"/>
          <w:szCs w:val="18"/>
        </w:rPr>
        <w:t xml:space="preserve"> </w:t>
      </w:r>
      <w:r w:rsidRPr="00224257" w:rsidR="00CD7899">
        <w:rPr>
          <w:rFonts w:ascii="Verdana" w:hAnsi="Verdana"/>
          <w:sz w:val="18"/>
          <w:szCs w:val="18"/>
        </w:rPr>
        <w:t>Tuinman</w:t>
      </w:r>
      <w:r w:rsidRPr="00224257" w:rsidR="006906C1">
        <w:rPr>
          <w:rFonts w:ascii="Verdana" w:hAnsi="Verdana"/>
          <w:sz w:val="18"/>
          <w:szCs w:val="18"/>
        </w:rPr>
        <w:t xml:space="preserve"> over de Europese defensie-industrie</w:t>
      </w:r>
      <w:r w:rsidRPr="00224257" w:rsidR="00425B7A">
        <w:rPr>
          <w:rFonts w:ascii="Verdana" w:hAnsi="Verdana"/>
          <w:sz w:val="18"/>
          <w:szCs w:val="18"/>
        </w:rPr>
        <w:t>.</w:t>
      </w:r>
      <w:r w:rsidRPr="00224257" w:rsidR="004853DA">
        <w:rPr>
          <w:rStyle w:val="FootnoteReference"/>
          <w:rFonts w:ascii="Verdana" w:hAnsi="Verdana"/>
          <w:sz w:val="18"/>
          <w:szCs w:val="18"/>
        </w:rPr>
        <w:footnoteReference w:id="2"/>
      </w:r>
      <w:r w:rsidRPr="00224257" w:rsidR="00CD7899">
        <w:rPr>
          <w:rFonts w:ascii="Verdana" w:hAnsi="Verdana"/>
          <w:sz w:val="18"/>
          <w:szCs w:val="18"/>
        </w:rPr>
        <w:br/>
      </w:r>
      <w:bookmarkEnd w:id="0"/>
      <w:bookmarkEnd w:id="2"/>
    </w:p>
    <w:p w:rsidRPr="004E0D4B" w:rsidR="00DE30EB" w:rsidP="00DE30EB" w:rsidRDefault="00DE30EB" w14:paraId="310D6B65" w14:textId="7F485CB4">
      <w:pPr>
        <w:rPr>
          <w:rFonts w:ascii="Verdana" w:hAnsi="Verdana"/>
          <w:i/>
          <w:sz w:val="18"/>
          <w:szCs w:val="18"/>
        </w:rPr>
      </w:pPr>
      <w:r w:rsidRPr="00224257">
        <w:rPr>
          <w:rFonts w:ascii="Verdana" w:hAnsi="Verdana"/>
          <w:i/>
          <w:sz w:val="18"/>
          <w:szCs w:val="18"/>
        </w:rPr>
        <w:t xml:space="preserve">Lunch met SGVN </w:t>
      </w:r>
      <w:proofErr w:type="spellStart"/>
      <w:r w:rsidRPr="00224257">
        <w:rPr>
          <w:rFonts w:ascii="Verdana" w:hAnsi="Verdana"/>
          <w:i/>
          <w:sz w:val="18"/>
          <w:szCs w:val="18"/>
        </w:rPr>
        <w:t>Guterres</w:t>
      </w:r>
      <w:proofErr w:type="spellEnd"/>
      <w:r w:rsidRPr="00224257">
        <w:rPr>
          <w:rFonts w:ascii="Verdana" w:hAnsi="Verdana"/>
          <w:i/>
          <w:sz w:val="18"/>
          <w:szCs w:val="18"/>
        </w:rPr>
        <w:br/>
      </w:r>
      <w:r w:rsidRPr="00224257">
        <w:rPr>
          <w:rFonts w:ascii="Verdana" w:hAnsi="Verdana"/>
          <w:bCs/>
          <w:sz w:val="18"/>
          <w:szCs w:val="18"/>
        </w:rPr>
        <w:t xml:space="preserve">Op uitnodiging van de voorzitter van de </w:t>
      </w:r>
      <w:r w:rsidRPr="00224257" w:rsidR="00C20C5B">
        <w:rPr>
          <w:rFonts w:ascii="Verdana" w:hAnsi="Verdana"/>
          <w:bCs/>
          <w:sz w:val="18"/>
          <w:szCs w:val="18"/>
        </w:rPr>
        <w:t>ER</w:t>
      </w:r>
      <w:r w:rsidRPr="00224257">
        <w:rPr>
          <w:rFonts w:ascii="Verdana" w:hAnsi="Verdana"/>
          <w:bCs/>
          <w:sz w:val="18"/>
          <w:szCs w:val="18"/>
        </w:rPr>
        <w:t>, Charles Michel, nam de Secretaris-Generaal van de Verenigde Naties (SGVN</w:t>
      </w:r>
      <w:r w:rsidRPr="004E0D4B">
        <w:rPr>
          <w:rFonts w:ascii="Verdana" w:hAnsi="Verdana"/>
          <w:bCs/>
          <w:sz w:val="18"/>
          <w:szCs w:val="18"/>
        </w:rPr>
        <w:t xml:space="preserve">), Antonio </w:t>
      </w:r>
      <w:proofErr w:type="spellStart"/>
      <w:r w:rsidRPr="004E0D4B">
        <w:rPr>
          <w:rFonts w:ascii="Verdana" w:hAnsi="Verdana"/>
          <w:bCs/>
          <w:sz w:val="18"/>
          <w:szCs w:val="18"/>
        </w:rPr>
        <w:t>Guterres</w:t>
      </w:r>
      <w:proofErr w:type="spellEnd"/>
      <w:r w:rsidRPr="004E0D4B">
        <w:rPr>
          <w:rFonts w:ascii="Verdana" w:hAnsi="Verdana"/>
          <w:bCs/>
          <w:sz w:val="18"/>
          <w:szCs w:val="18"/>
        </w:rPr>
        <w:t xml:space="preserve">, deel aan de lunch voorafgaand aan de </w:t>
      </w:r>
      <w:r w:rsidR="00CE5938">
        <w:rPr>
          <w:rFonts w:ascii="Verdana" w:hAnsi="Verdana"/>
          <w:bCs/>
          <w:sz w:val="18"/>
          <w:szCs w:val="18"/>
        </w:rPr>
        <w:t>ER</w:t>
      </w:r>
      <w:r w:rsidRPr="004E0D4B">
        <w:rPr>
          <w:rFonts w:ascii="Verdana" w:hAnsi="Verdana"/>
          <w:bCs/>
          <w:sz w:val="18"/>
          <w:szCs w:val="18"/>
        </w:rPr>
        <w:t>. Gesproken werd over de grote conflicten in de wereld, waaronder de oorlog in Oekraïne en het conflict in Gaza tussen Israël en Hamas, en de rol van de Verenigde Naties en het multilateralisme in de wereld.</w:t>
      </w:r>
    </w:p>
    <w:p w:rsidRPr="004E0D4B" w:rsidR="009B29D0" w:rsidP="009B29D0" w:rsidRDefault="009B29D0" w14:paraId="51D75387" w14:textId="77777777">
      <w:pPr>
        <w:spacing w:after="0" w:line="240" w:lineRule="auto"/>
        <w:rPr>
          <w:rFonts w:ascii="Verdana" w:hAnsi="Verdana"/>
          <w:i/>
          <w:sz w:val="18"/>
          <w:szCs w:val="18"/>
        </w:rPr>
      </w:pPr>
      <w:r w:rsidRPr="004E0D4B">
        <w:rPr>
          <w:rFonts w:ascii="Verdana" w:hAnsi="Verdana"/>
          <w:i/>
          <w:sz w:val="18"/>
          <w:szCs w:val="18"/>
        </w:rPr>
        <w:t>Oekraïne</w:t>
      </w:r>
    </w:p>
    <w:p w:rsidRPr="004E0D4B" w:rsidR="00934A1B" w:rsidP="0065107B" w:rsidRDefault="00B74354" w14:paraId="4CAC4147" w14:textId="7BCD3B3C">
      <w:pPr>
        <w:rPr>
          <w:rFonts w:ascii="Verdana" w:hAnsi="Verdana"/>
          <w:bCs/>
          <w:sz w:val="18"/>
          <w:szCs w:val="18"/>
        </w:rPr>
      </w:pPr>
      <w:r w:rsidRPr="004E0D4B">
        <w:rPr>
          <w:rFonts w:ascii="Verdana" w:hAnsi="Verdana"/>
          <w:sz w:val="18"/>
          <w:szCs w:val="18"/>
        </w:rPr>
        <w:t xml:space="preserve">De leden van de ER spraken over de ontwikkelingen van de Russische agressieoorlog tegen </w:t>
      </w:r>
      <w:r w:rsidRPr="004E0D4B" w:rsidR="003B370D">
        <w:rPr>
          <w:rFonts w:ascii="Verdana" w:hAnsi="Verdana"/>
          <w:sz w:val="18"/>
          <w:szCs w:val="18"/>
        </w:rPr>
        <w:t>Oekraïne</w:t>
      </w:r>
      <w:r w:rsidRPr="004E0D4B">
        <w:rPr>
          <w:rFonts w:ascii="Verdana" w:hAnsi="Verdana"/>
          <w:sz w:val="18"/>
          <w:szCs w:val="18"/>
        </w:rPr>
        <w:t xml:space="preserve">. President </w:t>
      </w:r>
      <w:proofErr w:type="spellStart"/>
      <w:r w:rsidRPr="004E0D4B">
        <w:rPr>
          <w:rFonts w:ascii="Verdana" w:hAnsi="Verdana"/>
          <w:sz w:val="18"/>
          <w:szCs w:val="18"/>
        </w:rPr>
        <w:t>Zelensky</w:t>
      </w:r>
      <w:proofErr w:type="spellEnd"/>
      <w:r w:rsidRPr="004E0D4B">
        <w:rPr>
          <w:rFonts w:ascii="Verdana" w:hAnsi="Verdana"/>
          <w:sz w:val="18"/>
          <w:szCs w:val="18"/>
        </w:rPr>
        <w:t xml:space="preserve"> sprak de leden van de ER via een videoverbinding toe.</w:t>
      </w:r>
      <w:r w:rsidRPr="004E0D4B">
        <w:rPr>
          <w:rFonts w:ascii="Verdana" w:hAnsi="Verdana"/>
          <w:bCs/>
          <w:sz w:val="18"/>
          <w:szCs w:val="18"/>
        </w:rPr>
        <w:t xml:space="preserve"> </w:t>
      </w:r>
      <w:r w:rsidRPr="004E0D4B" w:rsidR="00934A1B">
        <w:rPr>
          <w:rFonts w:ascii="Verdana" w:hAnsi="Verdana"/>
          <w:bCs/>
          <w:sz w:val="18"/>
          <w:szCs w:val="18"/>
        </w:rPr>
        <w:t xml:space="preserve">Twee jaar na het begin van de agressieoorlog van Rusland tegen Oekraïne en tien jaar na de illegale annexatie door Rusland van de Krim blijft de </w:t>
      </w:r>
      <w:r w:rsidRPr="004E0D4B" w:rsidR="00C20C5B">
        <w:rPr>
          <w:rFonts w:ascii="Verdana" w:hAnsi="Verdana"/>
          <w:bCs/>
          <w:sz w:val="18"/>
          <w:szCs w:val="18"/>
        </w:rPr>
        <w:t>ER</w:t>
      </w:r>
      <w:r w:rsidRPr="004E0D4B" w:rsidR="00934A1B">
        <w:rPr>
          <w:rFonts w:ascii="Verdana" w:hAnsi="Verdana"/>
          <w:bCs/>
          <w:sz w:val="18"/>
          <w:szCs w:val="18"/>
        </w:rPr>
        <w:t xml:space="preserve"> standvastig in </w:t>
      </w:r>
      <w:r w:rsidRPr="004E0D4B" w:rsidR="00A67759">
        <w:rPr>
          <w:rFonts w:ascii="Verdana" w:hAnsi="Verdana"/>
          <w:bCs/>
          <w:sz w:val="18"/>
          <w:szCs w:val="18"/>
        </w:rPr>
        <w:t xml:space="preserve">zijn </w:t>
      </w:r>
      <w:r w:rsidRPr="004E0D4B" w:rsidR="00934A1B">
        <w:rPr>
          <w:rFonts w:ascii="Verdana" w:hAnsi="Verdana"/>
          <w:bCs/>
          <w:sz w:val="18"/>
          <w:szCs w:val="18"/>
        </w:rPr>
        <w:t xml:space="preserve">steun voor de onafhankelijkheid, soevereiniteit en territoriale integriteit van Oekraïne binnen </w:t>
      </w:r>
      <w:r w:rsidRPr="004E0D4B" w:rsidR="00A67759">
        <w:rPr>
          <w:rFonts w:ascii="Verdana" w:hAnsi="Verdana"/>
          <w:bCs/>
          <w:sz w:val="18"/>
          <w:szCs w:val="18"/>
        </w:rPr>
        <w:t xml:space="preserve">de </w:t>
      </w:r>
      <w:r w:rsidRPr="004E0D4B" w:rsidR="00934A1B">
        <w:rPr>
          <w:rFonts w:ascii="Verdana" w:hAnsi="Verdana"/>
          <w:bCs/>
          <w:sz w:val="18"/>
          <w:szCs w:val="18"/>
        </w:rPr>
        <w:t xml:space="preserve">internationaal erkende grenzen. </w:t>
      </w:r>
      <w:r w:rsidRPr="004E0D4B" w:rsidR="007A3473">
        <w:rPr>
          <w:rFonts w:ascii="Verdana" w:hAnsi="Verdana"/>
          <w:bCs/>
          <w:sz w:val="18"/>
          <w:szCs w:val="18"/>
        </w:rPr>
        <w:t xml:space="preserve">Het fundament van de internationale rechtsorde staat daarmee onder druk: </w:t>
      </w:r>
      <w:r w:rsidRPr="004E0D4B" w:rsidR="0065107B">
        <w:rPr>
          <w:rFonts w:ascii="Verdana" w:hAnsi="Verdana"/>
          <w:bCs/>
          <w:sz w:val="18"/>
          <w:szCs w:val="18"/>
        </w:rPr>
        <w:t>Rusland kan niet beloond worden voor het met geweld herschikken van grenzen</w:t>
      </w:r>
      <w:r w:rsidRPr="004E0D4B" w:rsidR="00A67759">
        <w:rPr>
          <w:rFonts w:ascii="Verdana" w:hAnsi="Verdana"/>
          <w:bCs/>
          <w:sz w:val="18"/>
          <w:szCs w:val="18"/>
        </w:rPr>
        <w:t>.</w:t>
      </w:r>
      <w:r w:rsidRPr="004E0D4B" w:rsidR="00934A1B">
        <w:rPr>
          <w:rFonts w:ascii="Verdana" w:hAnsi="Verdana"/>
          <w:bCs/>
          <w:sz w:val="18"/>
          <w:szCs w:val="18"/>
        </w:rPr>
        <w:t xml:space="preserve"> De </w:t>
      </w:r>
      <w:r w:rsidRPr="004E0D4B" w:rsidR="00A2187C">
        <w:rPr>
          <w:rFonts w:ascii="Verdana" w:hAnsi="Verdana"/>
          <w:bCs/>
          <w:sz w:val="18"/>
          <w:szCs w:val="18"/>
        </w:rPr>
        <w:t>EU</w:t>
      </w:r>
      <w:r w:rsidRPr="004E0D4B" w:rsidR="00934A1B">
        <w:rPr>
          <w:rFonts w:ascii="Verdana" w:hAnsi="Verdana"/>
          <w:bCs/>
          <w:sz w:val="18"/>
          <w:szCs w:val="18"/>
        </w:rPr>
        <w:t xml:space="preserve"> is vastbesloten om Oekraïne en zijn bevolking alle noodzakelijke politieke, financiële, economische, humanitaire, militaire en diplomatieke steun te blijven bieden zo lang als nodig is. </w:t>
      </w:r>
    </w:p>
    <w:p w:rsidRPr="004E0D4B" w:rsidR="00857A8D" w:rsidP="00857A8D" w:rsidRDefault="00934A1B" w14:paraId="07511577" w14:textId="4D656939">
      <w:pPr>
        <w:spacing w:line="240" w:lineRule="auto"/>
        <w:rPr>
          <w:rFonts w:ascii="Verdana" w:hAnsi="Verdana"/>
          <w:sz w:val="18"/>
          <w:szCs w:val="18"/>
        </w:rPr>
      </w:pPr>
      <w:r w:rsidRPr="004E0D4B">
        <w:rPr>
          <w:rFonts w:ascii="Verdana" w:hAnsi="Verdana"/>
          <w:bCs/>
          <w:sz w:val="18"/>
          <w:szCs w:val="18"/>
        </w:rPr>
        <w:t>Bij het uitoefenen van het recht op zelfverdediging heeft Oekraïne dringend behoefte aan luchtverdedigingssystemen, munitie en raketten. De E</w:t>
      </w:r>
      <w:r w:rsidRPr="004E0D4B" w:rsidR="001F3CB9">
        <w:rPr>
          <w:rFonts w:ascii="Verdana" w:hAnsi="Verdana"/>
          <w:bCs/>
          <w:sz w:val="18"/>
          <w:szCs w:val="18"/>
        </w:rPr>
        <w:t>U</w:t>
      </w:r>
      <w:r w:rsidRPr="004E0D4B">
        <w:rPr>
          <w:rFonts w:ascii="Verdana" w:hAnsi="Verdana"/>
          <w:bCs/>
          <w:sz w:val="18"/>
          <w:szCs w:val="18"/>
        </w:rPr>
        <w:t xml:space="preserve"> en de lidstaten zullen de levering van militaire hulp </w:t>
      </w:r>
      <w:r w:rsidRPr="004E0D4B" w:rsidR="007B5F60">
        <w:rPr>
          <w:rFonts w:ascii="Verdana" w:hAnsi="Verdana"/>
          <w:bCs/>
          <w:sz w:val="18"/>
          <w:szCs w:val="18"/>
        </w:rPr>
        <w:t xml:space="preserve">zo veel mogelijk </w:t>
      </w:r>
      <w:r w:rsidRPr="004E0D4B">
        <w:rPr>
          <w:rFonts w:ascii="Verdana" w:hAnsi="Verdana"/>
          <w:bCs/>
          <w:sz w:val="18"/>
          <w:szCs w:val="18"/>
        </w:rPr>
        <w:t xml:space="preserve">versnellen en intensiveren. De </w:t>
      </w:r>
      <w:r w:rsidRPr="004E0D4B" w:rsidR="00C20C5B">
        <w:rPr>
          <w:rFonts w:ascii="Verdana" w:hAnsi="Verdana"/>
          <w:bCs/>
          <w:sz w:val="18"/>
          <w:szCs w:val="18"/>
        </w:rPr>
        <w:t>ER</w:t>
      </w:r>
      <w:r w:rsidRPr="004E0D4B">
        <w:rPr>
          <w:rFonts w:ascii="Verdana" w:hAnsi="Verdana"/>
          <w:bCs/>
          <w:sz w:val="18"/>
          <w:szCs w:val="18"/>
        </w:rPr>
        <w:t xml:space="preserve"> verwelkom</w:t>
      </w:r>
      <w:r w:rsidRPr="004E0D4B" w:rsidR="008E7355">
        <w:rPr>
          <w:rFonts w:ascii="Verdana" w:hAnsi="Verdana"/>
          <w:bCs/>
          <w:sz w:val="18"/>
          <w:szCs w:val="18"/>
        </w:rPr>
        <w:t>de</w:t>
      </w:r>
      <w:r w:rsidRPr="004E0D4B">
        <w:rPr>
          <w:rFonts w:ascii="Verdana" w:hAnsi="Verdana"/>
          <w:bCs/>
          <w:sz w:val="18"/>
          <w:szCs w:val="18"/>
        </w:rPr>
        <w:t xml:space="preserve"> alle recente initiatieven in dit verband, waaronder het initiatief van Tsjechië om met spoed munitie voor Oekraïne aan te schaffen in lijn met de belofte van de EU om Oekraïne te voorzien van een miljoen artilleriemunitie.</w:t>
      </w:r>
      <w:r w:rsidRPr="004E0D4B" w:rsidR="00857A8D">
        <w:rPr>
          <w:rFonts w:ascii="Verdana" w:hAnsi="Verdana"/>
          <w:sz w:val="18"/>
          <w:szCs w:val="18"/>
        </w:rPr>
        <w:t xml:space="preserve"> </w:t>
      </w:r>
      <w:r w:rsidRPr="004E0D4B" w:rsidR="00152181">
        <w:rPr>
          <w:rFonts w:ascii="Verdana" w:hAnsi="Verdana"/>
          <w:sz w:val="18"/>
          <w:szCs w:val="18"/>
        </w:rPr>
        <w:t xml:space="preserve">Nederland </w:t>
      </w:r>
      <w:r w:rsidRPr="004E0D4B" w:rsidR="00857A8D">
        <w:rPr>
          <w:rFonts w:ascii="Verdana" w:hAnsi="Verdana"/>
          <w:sz w:val="18"/>
          <w:szCs w:val="18"/>
        </w:rPr>
        <w:t>riep lidstaten op om militaire, en ook andere steun aan Oekraïne te intensiveren, zowel bilateraal als via de EU.</w:t>
      </w:r>
    </w:p>
    <w:p w:rsidRPr="004E0D4B" w:rsidR="00934A1B" w:rsidP="00934A1B" w:rsidRDefault="00934A1B" w14:paraId="4CB13372" w14:textId="106FBBD4">
      <w:pPr>
        <w:rPr>
          <w:rFonts w:ascii="Verdana" w:hAnsi="Verdana"/>
          <w:bCs/>
          <w:sz w:val="18"/>
          <w:szCs w:val="18"/>
        </w:rPr>
      </w:pPr>
      <w:r w:rsidRPr="004E0D4B">
        <w:rPr>
          <w:rFonts w:ascii="Verdana" w:hAnsi="Verdana"/>
          <w:bCs/>
          <w:sz w:val="18"/>
          <w:szCs w:val="18"/>
        </w:rPr>
        <w:t>De E</w:t>
      </w:r>
      <w:r w:rsidRPr="004E0D4B" w:rsidR="00152181">
        <w:rPr>
          <w:rFonts w:ascii="Verdana" w:hAnsi="Verdana"/>
          <w:bCs/>
          <w:sz w:val="18"/>
          <w:szCs w:val="18"/>
        </w:rPr>
        <w:t>R</w:t>
      </w:r>
      <w:r w:rsidRPr="004E0D4B">
        <w:rPr>
          <w:rFonts w:ascii="Verdana" w:hAnsi="Verdana"/>
          <w:bCs/>
          <w:sz w:val="18"/>
          <w:szCs w:val="18"/>
        </w:rPr>
        <w:t xml:space="preserve"> is verheugd met de bilaterale veiligheidsarrangementen die verschillende lidstaten en partners met Oekraïne hebben gesloten. Deze zullen Oekraïne helpen zichzelf te verdedigen, weerstand te bieden aan destabilisatie-inspanningen en daden van agressie in de toekomst te ontmoedigen. De </w:t>
      </w:r>
      <w:r w:rsidRPr="004E0D4B" w:rsidR="00C20C5B">
        <w:rPr>
          <w:rFonts w:ascii="Verdana" w:hAnsi="Verdana"/>
          <w:bCs/>
          <w:sz w:val="18"/>
          <w:szCs w:val="18"/>
        </w:rPr>
        <w:t>ER</w:t>
      </w:r>
      <w:r w:rsidRPr="004E0D4B">
        <w:rPr>
          <w:rFonts w:ascii="Verdana" w:hAnsi="Verdana"/>
          <w:bCs/>
          <w:sz w:val="18"/>
          <w:szCs w:val="18"/>
        </w:rPr>
        <w:t xml:space="preserve"> verwelkom</w:t>
      </w:r>
      <w:r w:rsidRPr="004E0D4B" w:rsidR="008E7355">
        <w:rPr>
          <w:rFonts w:ascii="Verdana" w:hAnsi="Verdana"/>
          <w:bCs/>
          <w:sz w:val="18"/>
          <w:szCs w:val="18"/>
        </w:rPr>
        <w:t>de</w:t>
      </w:r>
      <w:r w:rsidRPr="004E0D4B">
        <w:rPr>
          <w:rFonts w:ascii="Verdana" w:hAnsi="Verdana"/>
          <w:bCs/>
          <w:sz w:val="18"/>
          <w:szCs w:val="18"/>
        </w:rPr>
        <w:t xml:space="preserve"> ook het besluit van de Raad over het </w:t>
      </w:r>
      <w:r w:rsidRPr="004E0D4B">
        <w:rPr>
          <w:rFonts w:ascii="Verdana" w:hAnsi="Verdana"/>
          <w:bCs/>
          <w:i/>
          <w:iCs/>
          <w:sz w:val="18"/>
          <w:szCs w:val="18"/>
        </w:rPr>
        <w:t>Ukraine Assistance Fund</w:t>
      </w:r>
      <w:r w:rsidRPr="004E0D4B">
        <w:rPr>
          <w:rFonts w:ascii="Verdana" w:hAnsi="Verdana"/>
          <w:bCs/>
          <w:sz w:val="18"/>
          <w:szCs w:val="18"/>
        </w:rPr>
        <w:t xml:space="preserve"> dat de voortzetting van de militaire steun aan Oekraïne in het kader van de Europese Vredesfaciliteit waarborgt.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8E7355">
        <w:rPr>
          <w:rFonts w:ascii="Verdana" w:hAnsi="Verdana"/>
          <w:bCs/>
          <w:sz w:val="18"/>
          <w:szCs w:val="18"/>
        </w:rPr>
        <w:t>i</w:t>
      </w:r>
      <w:r w:rsidRPr="004E0D4B">
        <w:rPr>
          <w:rFonts w:ascii="Verdana" w:hAnsi="Verdana"/>
          <w:bCs/>
          <w:sz w:val="18"/>
          <w:szCs w:val="18"/>
        </w:rPr>
        <w:t xml:space="preserve">ep de Raad op om snel het besluit aan te nemen over het achtste steunpakket voor Oekraïne in het kader van de Europese Vredesfaciliteit en sprak haar steun uit voor de toegenomen capaciteit van de </w:t>
      </w:r>
      <w:r w:rsidRPr="004E0D4B">
        <w:rPr>
          <w:rFonts w:ascii="Verdana" w:hAnsi="Verdana"/>
          <w:bCs/>
          <w:i/>
          <w:iCs/>
          <w:sz w:val="18"/>
          <w:szCs w:val="18"/>
        </w:rPr>
        <w:t>EU Military Assi</w:t>
      </w:r>
      <w:r w:rsidRPr="004E0D4B" w:rsidR="00152181">
        <w:rPr>
          <w:rFonts w:ascii="Verdana" w:hAnsi="Verdana"/>
          <w:bCs/>
          <w:i/>
          <w:iCs/>
          <w:sz w:val="18"/>
          <w:szCs w:val="18"/>
        </w:rPr>
        <w:t>s</w:t>
      </w:r>
      <w:r w:rsidRPr="004E0D4B">
        <w:rPr>
          <w:rFonts w:ascii="Verdana" w:hAnsi="Verdana"/>
          <w:bCs/>
          <w:i/>
          <w:iCs/>
          <w:sz w:val="18"/>
          <w:szCs w:val="18"/>
        </w:rPr>
        <w:t>tance Mission</w:t>
      </w:r>
      <w:r w:rsidRPr="004E0D4B">
        <w:rPr>
          <w:rFonts w:ascii="Verdana" w:hAnsi="Verdana"/>
          <w:bCs/>
          <w:sz w:val="18"/>
          <w:szCs w:val="18"/>
        </w:rPr>
        <w:t>.</w:t>
      </w:r>
    </w:p>
    <w:p w:rsidRPr="004E0D4B" w:rsidR="00934A1B" w:rsidP="00934A1B" w:rsidRDefault="00934A1B" w14:paraId="450F859D" w14:textId="5FA8A88C">
      <w:pPr>
        <w:rPr>
          <w:rFonts w:ascii="Verdana" w:hAnsi="Verdana"/>
          <w:bCs/>
          <w:sz w:val="18"/>
          <w:szCs w:val="18"/>
        </w:rPr>
      </w:pPr>
      <w:r w:rsidRPr="004E0D4B">
        <w:rPr>
          <w:rFonts w:ascii="Verdana" w:hAnsi="Verdana"/>
          <w:bCs/>
          <w:sz w:val="18"/>
          <w:szCs w:val="18"/>
        </w:rPr>
        <w:t>De E</w:t>
      </w:r>
      <w:r w:rsidRPr="004E0D4B" w:rsidR="001F3CB9">
        <w:rPr>
          <w:rFonts w:ascii="Verdana" w:hAnsi="Verdana"/>
          <w:bCs/>
          <w:sz w:val="18"/>
          <w:szCs w:val="18"/>
        </w:rPr>
        <w:t>R</w:t>
      </w:r>
      <w:r w:rsidRPr="004E0D4B">
        <w:rPr>
          <w:rFonts w:ascii="Verdana" w:hAnsi="Verdana"/>
          <w:bCs/>
          <w:sz w:val="18"/>
          <w:szCs w:val="18"/>
        </w:rPr>
        <w:t xml:space="preserve"> besprak concrete stappen om de buitengewone inkomsten uit de geïmmobiliseerde Russische tegoeden ten goede te laten komen aan Oekraïne, inclusief de mogelijkheid om deze te gebruiken voor militaire steun. De ER verz</w:t>
      </w:r>
      <w:r w:rsidRPr="004E0D4B" w:rsidR="008E7355">
        <w:rPr>
          <w:rFonts w:ascii="Verdana" w:hAnsi="Verdana"/>
          <w:bCs/>
          <w:sz w:val="18"/>
          <w:szCs w:val="18"/>
        </w:rPr>
        <w:t>ocht</w:t>
      </w:r>
      <w:r w:rsidRPr="004E0D4B">
        <w:rPr>
          <w:rFonts w:ascii="Verdana" w:hAnsi="Verdana"/>
          <w:bCs/>
          <w:sz w:val="18"/>
          <w:szCs w:val="18"/>
        </w:rPr>
        <w:t xml:space="preserve"> de Raad recente voorstellen van de Hoge Vertegenwoordiger en de Commissie uit te werken.</w:t>
      </w:r>
      <w:r w:rsidRPr="004E0D4B" w:rsidR="000E6D38">
        <w:rPr>
          <w:rFonts w:ascii="Verdana" w:hAnsi="Verdana"/>
          <w:bCs/>
          <w:sz w:val="18"/>
          <w:szCs w:val="18"/>
        </w:rPr>
        <w:t xml:space="preserve"> </w:t>
      </w:r>
      <w:r w:rsidRPr="004E0D4B" w:rsidR="000E6D38">
        <w:rPr>
          <w:rFonts w:ascii="Verdana" w:hAnsi="Verdana"/>
          <w:sz w:val="18"/>
          <w:szCs w:val="18"/>
        </w:rPr>
        <w:t xml:space="preserve">Het kabinet verwelkomt deze opdracht van de </w:t>
      </w:r>
      <w:r w:rsidRPr="004E0D4B" w:rsidR="005E462A">
        <w:rPr>
          <w:rFonts w:ascii="Verdana" w:hAnsi="Verdana"/>
          <w:bCs/>
          <w:sz w:val="18"/>
          <w:szCs w:val="18"/>
        </w:rPr>
        <w:t>ER</w:t>
      </w:r>
      <w:r w:rsidRPr="004E0D4B" w:rsidR="000E6D38">
        <w:rPr>
          <w:rFonts w:ascii="Verdana" w:hAnsi="Verdana"/>
          <w:sz w:val="18"/>
          <w:szCs w:val="18"/>
        </w:rPr>
        <w:t xml:space="preserve"> aan de Raad om snel voortgang te boeken op de voorstellen van de HV en de Commissie. Het kabinet hanteert hierin een ambitieuze houding met aandacht voor financiële en juridische zorgvuldigheid en internationale samenwerking. Ook neemt het kabinet daarin de moties </w:t>
      </w:r>
      <w:r w:rsidRPr="004E0D4B" w:rsidR="00CA4952">
        <w:rPr>
          <w:rFonts w:ascii="Verdana" w:hAnsi="Verdana"/>
          <w:sz w:val="18"/>
          <w:szCs w:val="18"/>
        </w:rPr>
        <w:t xml:space="preserve">van de leden </w:t>
      </w:r>
      <w:r w:rsidRPr="004E0D4B" w:rsidR="000E6D38">
        <w:rPr>
          <w:rFonts w:ascii="Verdana" w:hAnsi="Verdana"/>
          <w:sz w:val="18"/>
          <w:szCs w:val="18"/>
        </w:rPr>
        <w:t>Krul</w:t>
      </w:r>
      <w:r w:rsidRPr="004E0D4B" w:rsidR="00A43D27">
        <w:rPr>
          <w:rStyle w:val="FootnoteReference"/>
          <w:rFonts w:ascii="Verdana" w:hAnsi="Verdana"/>
          <w:bCs/>
          <w:sz w:val="18"/>
          <w:szCs w:val="18"/>
        </w:rPr>
        <w:footnoteReference w:id="3"/>
      </w:r>
      <w:r w:rsidRPr="004E0D4B" w:rsidR="000E6D38">
        <w:rPr>
          <w:rFonts w:ascii="Verdana" w:hAnsi="Verdana"/>
          <w:sz w:val="18"/>
          <w:szCs w:val="18"/>
        </w:rPr>
        <w:t>, Dobbe</w:t>
      </w:r>
      <w:r w:rsidRPr="004E0D4B" w:rsidR="00A43D27">
        <w:rPr>
          <w:rStyle w:val="FootnoteReference"/>
          <w:rFonts w:ascii="Verdana" w:hAnsi="Verdana"/>
          <w:bCs/>
          <w:sz w:val="18"/>
          <w:szCs w:val="18"/>
        </w:rPr>
        <w:footnoteReference w:id="4"/>
      </w:r>
      <w:r w:rsidRPr="004E0D4B" w:rsidR="000E6D38">
        <w:rPr>
          <w:rFonts w:ascii="Verdana" w:hAnsi="Verdana"/>
          <w:sz w:val="18"/>
          <w:szCs w:val="18"/>
        </w:rPr>
        <w:t xml:space="preserve"> en Brekelmans</w:t>
      </w:r>
      <w:r w:rsidRPr="004E0D4B" w:rsidR="00A43D27">
        <w:rPr>
          <w:rStyle w:val="FootnoteReference"/>
          <w:rFonts w:ascii="Verdana" w:hAnsi="Verdana"/>
          <w:bCs/>
          <w:sz w:val="18"/>
          <w:szCs w:val="18"/>
        </w:rPr>
        <w:footnoteReference w:id="5"/>
      </w:r>
      <w:r w:rsidRPr="004E0D4B" w:rsidR="000E6D38">
        <w:rPr>
          <w:rFonts w:ascii="Verdana" w:hAnsi="Verdana"/>
          <w:sz w:val="18"/>
          <w:szCs w:val="18"/>
        </w:rPr>
        <w:t xml:space="preserve"> in ogenschouw. In dat licht is het kabinet positief over de voorstellen. Een concreet tijdpad van het vervolgproces is nog niet duidelijk, maar het kabinet zet in op verdere stappen richting de R</w:t>
      </w:r>
      <w:r w:rsidRPr="004E0D4B" w:rsidR="00023EB8">
        <w:rPr>
          <w:rFonts w:ascii="Verdana" w:hAnsi="Verdana"/>
          <w:bCs/>
          <w:sz w:val="18"/>
          <w:szCs w:val="18"/>
        </w:rPr>
        <w:t xml:space="preserve">aad </w:t>
      </w:r>
      <w:r w:rsidRPr="004E0D4B" w:rsidR="000E6D38">
        <w:rPr>
          <w:rFonts w:ascii="Verdana" w:hAnsi="Verdana"/>
          <w:sz w:val="18"/>
          <w:szCs w:val="18"/>
        </w:rPr>
        <w:t>B</w:t>
      </w:r>
      <w:r w:rsidRPr="004E0D4B" w:rsidR="00023EB8">
        <w:rPr>
          <w:rFonts w:ascii="Verdana" w:hAnsi="Verdana"/>
          <w:bCs/>
          <w:sz w:val="18"/>
          <w:szCs w:val="18"/>
        </w:rPr>
        <w:t xml:space="preserve">uitenlandse </w:t>
      </w:r>
      <w:r w:rsidRPr="004E0D4B" w:rsidR="000E6D38">
        <w:rPr>
          <w:rFonts w:ascii="Verdana" w:hAnsi="Verdana"/>
          <w:sz w:val="18"/>
          <w:szCs w:val="18"/>
        </w:rPr>
        <w:t>Z</w:t>
      </w:r>
      <w:r w:rsidRPr="004E0D4B" w:rsidR="00023EB8">
        <w:rPr>
          <w:rFonts w:ascii="Verdana" w:hAnsi="Verdana"/>
          <w:bCs/>
          <w:sz w:val="18"/>
          <w:szCs w:val="18"/>
        </w:rPr>
        <w:t>aken</w:t>
      </w:r>
      <w:r w:rsidRPr="004E0D4B" w:rsidR="000E6D38">
        <w:rPr>
          <w:rFonts w:ascii="Verdana" w:hAnsi="Verdana"/>
          <w:sz w:val="18"/>
          <w:szCs w:val="18"/>
        </w:rPr>
        <w:t xml:space="preserve"> van </w:t>
      </w:r>
      <w:r w:rsidRPr="004E0D4B" w:rsidR="00BD2FF0">
        <w:rPr>
          <w:rFonts w:ascii="Verdana" w:hAnsi="Verdana"/>
          <w:bCs/>
          <w:sz w:val="18"/>
          <w:szCs w:val="18"/>
        </w:rPr>
        <w:t xml:space="preserve">22 </w:t>
      </w:r>
      <w:r w:rsidRPr="004E0D4B" w:rsidR="000E6D38">
        <w:rPr>
          <w:rFonts w:ascii="Verdana" w:hAnsi="Verdana"/>
          <w:sz w:val="18"/>
          <w:szCs w:val="18"/>
        </w:rPr>
        <w:t>april</w:t>
      </w:r>
      <w:r w:rsidRPr="004E0D4B" w:rsidR="00023EB8">
        <w:rPr>
          <w:rFonts w:ascii="Verdana" w:hAnsi="Verdana"/>
          <w:bCs/>
          <w:sz w:val="18"/>
          <w:szCs w:val="18"/>
        </w:rPr>
        <w:t xml:space="preserve"> </w:t>
      </w:r>
      <w:r w:rsidRPr="004E0D4B" w:rsidR="00BD2FF0">
        <w:rPr>
          <w:rFonts w:ascii="Verdana" w:hAnsi="Verdana"/>
          <w:bCs/>
          <w:sz w:val="18"/>
          <w:szCs w:val="18"/>
        </w:rPr>
        <w:t>a.s</w:t>
      </w:r>
      <w:r w:rsidRPr="004E0D4B" w:rsidR="000E6D38">
        <w:rPr>
          <w:rFonts w:ascii="Verdana" w:hAnsi="Verdana"/>
          <w:sz w:val="18"/>
          <w:szCs w:val="18"/>
        </w:rPr>
        <w:t>. In het verslag van die Raad zal uw Kamer nader worden geïnformeerd over de stand van de discussie.</w:t>
      </w:r>
    </w:p>
    <w:p w:rsidRPr="004E0D4B" w:rsidR="00934A1B" w:rsidP="00934A1B" w:rsidRDefault="00934A1B" w14:paraId="7F85B2C5" w14:textId="43C43057">
      <w:pPr>
        <w:rPr>
          <w:rFonts w:ascii="Verdana" w:hAnsi="Verdana"/>
          <w:bCs/>
          <w:sz w:val="18"/>
          <w:szCs w:val="18"/>
        </w:rPr>
      </w:pPr>
      <w:r w:rsidRPr="004E0D4B">
        <w:rPr>
          <w:rFonts w:ascii="Verdana" w:hAnsi="Verdana"/>
          <w:bCs/>
          <w:sz w:val="18"/>
          <w:szCs w:val="18"/>
        </w:rPr>
        <w:lastRenderedPageBreak/>
        <w:t>De E</w:t>
      </w:r>
      <w:r w:rsidRPr="004E0D4B" w:rsidR="001F3CB9">
        <w:rPr>
          <w:rFonts w:ascii="Verdana" w:hAnsi="Verdana"/>
          <w:bCs/>
          <w:sz w:val="18"/>
          <w:szCs w:val="18"/>
        </w:rPr>
        <w:t>R</w:t>
      </w:r>
      <w:r w:rsidRPr="004E0D4B">
        <w:rPr>
          <w:rFonts w:ascii="Verdana" w:hAnsi="Verdana"/>
          <w:bCs/>
          <w:sz w:val="18"/>
          <w:szCs w:val="18"/>
        </w:rPr>
        <w:t xml:space="preserve"> verwelkom</w:t>
      </w:r>
      <w:r w:rsidRPr="004E0D4B" w:rsidR="008E7355">
        <w:rPr>
          <w:rFonts w:ascii="Verdana" w:hAnsi="Verdana"/>
          <w:bCs/>
          <w:sz w:val="18"/>
          <w:szCs w:val="18"/>
        </w:rPr>
        <w:t>de</w:t>
      </w:r>
      <w:r w:rsidRPr="004E0D4B">
        <w:rPr>
          <w:rFonts w:ascii="Verdana" w:hAnsi="Verdana"/>
          <w:bCs/>
          <w:sz w:val="18"/>
          <w:szCs w:val="18"/>
        </w:rPr>
        <w:t xml:space="preserve"> het dertiende sanctiepakket en r</w:t>
      </w:r>
      <w:r w:rsidRPr="004E0D4B" w:rsidR="008E7355">
        <w:rPr>
          <w:rFonts w:ascii="Verdana" w:hAnsi="Verdana"/>
          <w:bCs/>
          <w:sz w:val="18"/>
          <w:szCs w:val="18"/>
        </w:rPr>
        <w:t>i</w:t>
      </w:r>
      <w:r w:rsidRPr="004E0D4B">
        <w:rPr>
          <w:rFonts w:ascii="Verdana" w:hAnsi="Verdana"/>
          <w:bCs/>
          <w:sz w:val="18"/>
          <w:szCs w:val="18"/>
        </w:rPr>
        <w:t>ep op tot verdere stappen om het vermogen van Rusland om zijn agressieoorlog voort te zetten te verzwakken. Volledige en effectieve tenuitvoerlegging van sancties is van essentieel belang. De E</w:t>
      </w:r>
      <w:r w:rsidRPr="004E0D4B" w:rsidR="001F3CB9">
        <w:rPr>
          <w:rFonts w:ascii="Verdana" w:hAnsi="Verdana"/>
          <w:bCs/>
          <w:sz w:val="18"/>
          <w:szCs w:val="18"/>
        </w:rPr>
        <w:t>R</w:t>
      </w:r>
      <w:r w:rsidRPr="004E0D4B">
        <w:rPr>
          <w:rFonts w:ascii="Verdana" w:hAnsi="Verdana"/>
          <w:bCs/>
          <w:sz w:val="18"/>
          <w:szCs w:val="18"/>
        </w:rPr>
        <w:t xml:space="preserve"> verzo</w:t>
      </w:r>
      <w:r w:rsidRPr="004E0D4B" w:rsidR="00406E5C">
        <w:rPr>
          <w:rFonts w:ascii="Verdana" w:hAnsi="Verdana"/>
          <w:bCs/>
          <w:sz w:val="18"/>
          <w:szCs w:val="18"/>
        </w:rPr>
        <w:t>cht</w:t>
      </w:r>
      <w:r w:rsidRPr="004E0D4B">
        <w:rPr>
          <w:rFonts w:ascii="Verdana" w:hAnsi="Verdana"/>
          <w:bCs/>
          <w:sz w:val="18"/>
          <w:szCs w:val="18"/>
        </w:rPr>
        <w:t xml:space="preserve"> de Raad en de Commissie de uitwisseling van informatie te verbeteren, de uitvoering te versterken, de samenwerking van de EU en haar lidstaten met derde landen te versterken en mazen in de wet zowel binnen als buiten de Unie te dichten. Dit omvat onder meer het voorkomen van het omzeilen van sancties door derde landen ook als het dochterondernemingen van EU-bedrijven in het buitenland betreft. De toegang van Rusland tot gevoelige items en technologieën die relevant zijn voor het slagveld moet zoveel mogelijk worden beperkt, onder meer door zich te richten op entiteiten in derde landen die deze omzeiling mogelijk maken. De E</w:t>
      </w:r>
      <w:r w:rsidRPr="004E0D4B" w:rsidR="001F3CB9">
        <w:rPr>
          <w:rFonts w:ascii="Verdana" w:hAnsi="Verdana"/>
          <w:bCs/>
          <w:sz w:val="18"/>
          <w:szCs w:val="18"/>
        </w:rPr>
        <w:t>R</w:t>
      </w:r>
      <w:r w:rsidRPr="004E0D4B">
        <w:rPr>
          <w:rFonts w:ascii="Verdana" w:hAnsi="Verdana"/>
          <w:bCs/>
          <w:sz w:val="18"/>
          <w:szCs w:val="18"/>
        </w:rPr>
        <w:t xml:space="preserve"> r</w:t>
      </w:r>
      <w:r w:rsidRPr="004E0D4B" w:rsidR="00406E5C">
        <w:rPr>
          <w:rFonts w:ascii="Verdana" w:hAnsi="Verdana"/>
          <w:bCs/>
          <w:sz w:val="18"/>
          <w:szCs w:val="18"/>
        </w:rPr>
        <w:t>iep</w:t>
      </w:r>
      <w:r w:rsidRPr="004E0D4B">
        <w:rPr>
          <w:rFonts w:ascii="Verdana" w:hAnsi="Verdana"/>
          <w:bCs/>
          <w:sz w:val="18"/>
          <w:szCs w:val="18"/>
        </w:rPr>
        <w:t xml:space="preserve"> de Hoge Vertegenwoordiger en de Commissie op verdere sancties tegen </w:t>
      </w:r>
      <w:r w:rsidRPr="004E0D4B" w:rsidR="00635BFC">
        <w:rPr>
          <w:rFonts w:ascii="Verdana" w:hAnsi="Verdana"/>
          <w:bCs/>
          <w:sz w:val="18"/>
          <w:szCs w:val="18"/>
        </w:rPr>
        <w:t>Belarus</w:t>
      </w:r>
      <w:r w:rsidRPr="004E0D4B">
        <w:rPr>
          <w:rFonts w:ascii="Verdana" w:hAnsi="Verdana"/>
          <w:bCs/>
          <w:sz w:val="18"/>
          <w:szCs w:val="18"/>
        </w:rPr>
        <w:t>, Noord-Korea en Iran voor te bereiden.</w:t>
      </w:r>
    </w:p>
    <w:p w:rsidRPr="004E0D4B" w:rsidR="00934A1B" w:rsidP="00934A1B" w:rsidRDefault="00934A1B" w14:paraId="47282E7F" w14:textId="05202BA0">
      <w:pPr>
        <w:rPr>
          <w:rFonts w:ascii="Verdana" w:hAnsi="Verdana"/>
          <w:bCs/>
          <w:sz w:val="18"/>
          <w:szCs w:val="18"/>
        </w:rPr>
      </w:pPr>
      <w:r w:rsidRPr="004E0D4B">
        <w:rPr>
          <w:rFonts w:ascii="Verdana" w:hAnsi="Verdana"/>
          <w:bCs/>
          <w:sz w:val="18"/>
          <w:szCs w:val="18"/>
        </w:rPr>
        <w:t>De E</w:t>
      </w:r>
      <w:r w:rsidRPr="004E0D4B" w:rsidR="001F3CB9">
        <w:rPr>
          <w:rFonts w:ascii="Verdana" w:hAnsi="Verdana"/>
          <w:bCs/>
          <w:sz w:val="18"/>
          <w:szCs w:val="18"/>
        </w:rPr>
        <w:t>R</w:t>
      </w:r>
      <w:r w:rsidRPr="004E0D4B">
        <w:rPr>
          <w:rFonts w:ascii="Verdana" w:hAnsi="Verdana"/>
          <w:bCs/>
          <w:sz w:val="18"/>
          <w:szCs w:val="18"/>
        </w:rPr>
        <w:t xml:space="preserve"> r</w:t>
      </w:r>
      <w:r w:rsidRPr="004E0D4B" w:rsidR="00406E5C">
        <w:rPr>
          <w:rFonts w:ascii="Verdana" w:hAnsi="Verdana"/>
          <w:bCs/>
          <w:sz w:val="18"/>
          <w:szCs w:val="18"/>
        </w:rPr>
        <w:t>iep</w:t>
      </w:r>
      <w:r w:rsidRPr="004E0D4B">
        <w:rPr>
          <w:rFonts w:ascii="Verdana" w:hAnsi="Verdana"/>
          <w:bCs/>
          <w:sz w:val="18"/>
          <w:szCs w:val="18"/>
        </w:rPr>
        <w:t xml:space="preserve"> derde partijen op onmiddellijk te stoppen met het verlenen van materiële steun aan de Russische agressieoorlog tegen Oekraïne. Zij is uiterst bezorgd over berichten dat Iran ballistische raketten en aanverwante technologie aan Rusland zou kunnen overdragen voor gebruik tegen Oekraïne, zoals het onbemande luchtvaartuigen (</w:t>
      </w:r>
      <w:proofErr w:type="spellStart"/>
      <w:r w:rsidRPr="004E0D4B">
        <w:rPr>
          <w:rFonts w:ascii="Verdana" w:hAnsi="Verdana"/>
          <w:bCs/>
          <w:sz w:val="18"/>
          <w:szCs w:val="18"/>
        </w:rPr>
        <w:t>UAV's</w:t>
      </w:r>
      <w:proofErr w:type="spellEnd"/>
      <w:r w:rsidRPr="004E0D4B">
        <w:rPr>
          <w:rFonts w:ascii="Verdana" w:hAnsi="Verdana"/>
          <w:bCs/>
          <w:sz w:val="18"/>
          <w:szCs w:val="18"/>
        </w:rPr>
        <w:t>) heeft geleverd aan Rusland die worden gebruikt bij meedogenloze aanvallen op de burgerbevolking in Oekraïne. Mocht Iran dit doen, dan is de E</w:t>
      </w:r>
      <w:r w:rsidRPr="004E0D4B" w:rsidR="001F3CB9">
        <w:rPr>
          <w:rFonts w:ascii="Verdana" w:hAnsi="Verdana"/>
          <w:bCs/>
          <w:sz w:val="18"/>
          <w:szCs w:val="18"/>
        </w:rPr>
        <w:t>U</w:t>
      </w:r>
      <w:r w:rsidRPr="004E0D4B">
        <w:rPr>
          <w:rFonts w:ascii="Verdana" w:hAnsi="Verdana"/>
          <w:bCs/>
          <w:sz w:val="18"/>
          <w:szCs w:val="18"/>
        </w:rPr>
        <w:t xml:space="preserve"> bereid om samen met partners nieuwe en significante beperkende maatregelen tegen Iran te nemen.</w:t>
      </w:r>
    </w:p>
    <w:p w:rsidRPr="004E0D4B" w:rsidR="00934A1B" w:rsidP="00934A1B" w:rsidRDefault="00934A1B" w14:paraId="6B8C8C96" w14:textId="72626D8D">
      <w:pPr>
        <w:rPr>
          <w:rFonts w:ascii="Verdana" w:hAnsi="Verdana"/>
          <w:bCs/>
          <w:sz w:val="18"/>
          <w:szCs w:val="18"/>
        </w:rPr>
      </w:pPr>
      <w:r w:rsidRPr="004E0D4B">
        <w:rPr>
          <w:rFonts w:ascii="Verdana" w:hAnsi="Verdana"/>
          <w:bCs/>
          <w:sz w:val="18"/>
          <w:szCs w:val="18"/>
        </w:rPr>
        <w:t xml:space="preserve">De </w:t>
      </w:r>
      <w:r w:rsidRPr="004E0D4B" w:rsidR="00A114B0">
        <w:rPr>
          <w:rFonts w:ascii="Verdana" w:hAnsi="Verdana"/>
          <w:bCs/>
          <w:sz w:val="18"/>
          <w:szCs w:val="18"/>
        </w:rPr>
        <w:t>ER</w:t>
      </w:r>
      <w:r w:rsidRPr="004E0D4B">
        <w:rPr>
          <w:rFonts w:ascii="Verdana" w:hAnsi="Verdana"/>
          <w:bCs/>
          <w:sz w:val="18"/>
          <w:szCs w:val="18"/>
        </w:rPr>
        <w:t xml:space="preserve"> veroordeelt krachtig de voortdurende schendingen van de mensenrechten door Rusland in de </w:t>
      </w:r>
      <w:r w:rsidRPr="004E0D4B" w:rsidR="00EF4E7B">
        <w:rPr>
          <w:rFonts w:ascii="Verdana" w:hAnsi="Verdana"/>
          <w:sz w:val="18"/>
          <w:szCs w:val="18"/>
        </w:rPr>
        <w:t>tijdelijk</w:t>
      </w:r>
      <w:r w:rsidRPr="004E0D4B" w:rsidR="00EF4E7B">
        <w:rPr>
          <w:rFonts w:ascii="Verdana" w:hAnsi="Verdana"/>
          <w:bCs/>
          <w:sz w:val="18"/>
          <w:szCs w:val="18"/>
        </w:rPr>
        <w:t xml:space="preserve"> </w:t>
      </w:r>
      <w:r w:rsidRPr="004E0D4B">
        <w:rPr>
          <w:rFonts w:ascii="Verdana" w:hAnsi="Verdana"/>
          <w:bCs/>
          <w:sz w:val="18"/>
          <w:szCs w:val="18"/>
        </w:rPr>
        <w:t xml:space="preserve">bezette Oekraïense gebieden, waaronder de deportatie van kinderen. Zij verwerpt ook resoluut de illegale ‘verkiezingen’ die Rusland organiseert in de tijdelijk bezette Oekraïense gebieden van de Krim, Sebastopol, </w:t>
      </w:r>
      <w:proofErr w:type="spellStart"/>
      <w:r w:rsidRPr="004E0D4B">
        <w:rPr>
          <w:rFonts w:ascii="Verdana" w:hAnsi="Verdana"/>
          <w:bCs/>
          <w:sz w:val="18"/>
          <w:szCs w:val="18"/>
        </w:rPr>
        <w:t>Donetsk</w:t>
      </w:r>
      <w:proofErr w:type="spellEnd"/>
      <w:r w:rsidRPr="004E0D4B">
        <w:rPr>
          <w:rFonts w:ascii="Verdana" w:hAnsi="Verdana"/>
          <w:bCs/>
          <w:sz w:val="18"/>
          <w:szCs w:val="18"/>
        </w:rPr>
        <w:t xml:space="preserve">, </w:t>
      </w:r>
      <w:proofErr w:type="spellStart"/>
      <w:r w:rsidRPr="004E0D4B">
        <w:rPr>
          <w:rFonts w:ascii="Verdana" w:hAnsi="Verdana"/>
          <w:bCs/>
          <w:sz w:val="18"/>
          <w:szCs w:val="18"/>
        </w:rPr>
        <w:t>Loehansk</w:t>
      </w:r>
      <w:proofErr w:type="spellEnd"/>
      <w:r w:rsidRPr="004E0D4B">
        <w:rPr>
          <w:rFonts w:ascii="Verdana" w:hAnsi="Verdana"/>
          <w:bCs/>
          <w:sz w:val="18"/>
          <w:szCs w:val="18"/>
        </w:rPr>
        <w:t xml:space="preserve">, </w:t>
      </w:r>
      <w:proofErr w:type="spellStart"/>
      <w:r w:rsidRPr="004E0D4B">
        <w:rPr>
          <w:rFonts w:ascii="Verdana" w:hAnsi="Verdana"/>
          <w:bCs/>
          <w:sz w:val="18"/>
          <w:szCs w:val="18"/>
        </w:rPr>
        <w:t>Zaporizja</w:t>
      </w:r>
      <w:proofErr w:type="spellEnd"/>
      <w:r w:rsidRPr="004E0D4B">
        <w:rPr>
          <w:rFonts w:ascii="Verdana" w:hAnsi="Verdana"/>
          <w:bCs/>
          <w:sz w:val="18"/>
          <w:szCs w:val="18"/>
        </w:rPr>
        <w:t xml:space="preserve"> en </w:t>
      </w:r>
      <w:proofErr w:type="spellStart"/>
      <w:r w:rsidRPr="004E0D4B">
        <w:rPr>
          <w:rFonts w:ascii="Verdana" w:hAnsi="Verdana"/>
          <w:bCs/>
          <w:sz w:val="18"/>
          <w:szCs w:val="18"/>
        </w:rPr>
        <w:t>Kherson</w:t>
      </w:r>
      <w:proofErr w:type="spellEnd"/>
      <w:r w:rsidRPr="004E0D4B">
        <w:rPr>
          <w:rFonts w:ascii="Verdana" w:hAnsi="Verdana"/>
          <w:bCs/>
          <w:sz w:val="18"/>
          <w:szCs w:val="18"/>
        </w:rPr>
        <w:t>, en de resultaten daarvan, en zal deze</w:t>
      </w:r>
      <w:r w:rsidRPr="004E0D4B" w:rsidR="0065107B">
        <w:rPr>
          <w:rFonts w:ascii="Verdana" w:hAnsi="Verdana"/>
          <w:bCs/>
          <w:sz w:val="18"/>
          <w:szCs w:val="18"/>
        </w:rPr>
        <w:t xml:space="preserve"> schijnvertoning</w:t>
      </w:r>
      <w:r w:rsidRPr="004E0D4B">
        <w:rPr>
          <w:rFonts w:ascii="Verdana" w:hAnsi="Verdana"/>
          <w:bCs/>
          <w:sz w:val="18"/>
          <w:szCs w:val="18"/>
        </w:rPr>
        <w:t xml:space="preserve"> nooit </w:t>
      </w:r>
      <w:r w:rsidRPr="004E0D4B" w:rsidR="00632A60">
        <w:rPr>
          <w:rFonts w:ascii="Verdana" w:hAnsi="Verdana"/>
          <w:bCs/>
          <w:sz w:val="18"/>
          <w:szCs w:val="18"/>
        </w:rPr>
        <w:t>erkennen.</w:t>
      </w:r>
    </w:p>
    <w:p w:rsidRPr="004E0D4B" w:rsidR="00857A8D" w:rsidP="00857A8D" w:rsidRDefault="00934A1B" w14:paraId="09FA3727" w14:textId="4A0E6152">
      <w:pPr>
        <w:rPr>
          <w:rFonts w:ascii="Verdana" w:hAnsi="Verdana"/>
          <w:sz w:val="18"/>
          <w:szCs w:val="18"/>
        </w:rPr>
      </w:pPr>
      <w:r w:rsidRPr="004E0D4B">
        <w:rPr>
          <w:rFonts w:ascii="Verdana" w:hAnsi="Verdana"/>
          <w:bCs/>
          <w:sz w:val="18"/>
          <w:szCs w:val="18"/>
        </w:rPr>
        <w:t xml:space="preserve">Rusland en zijn leiders moeten volledig verantwoordelijk worden gehouden voor het voeren van een agressieoorlog tegen Oekraïne en voor andere zeer ernstige </w:t>
      </w:r>
      <w:r w:rsidRPr="004E0D4B" w:rsidR="00EF4E7B">
        <w:rPr>
          <w:rFonts w:ascii="Verdana" w:hAnsi="Verdana"/>
          <w:sz w:val="18"/>
          <w:szCs w:val="18"/>
        </w:rPr>
        <w:t>misdrijven</w:t>
      </w:r>
      <w:r w:rsidRPr="004E0D4B" w:rsidR="00EF4E7B">
        <w:rPr>
          <w:rFonts w:ascii="Verdana" w:hAnsi="Verdana"/>
          <w:bCs/>
          <w:sz w:val="18"/>
          <w:szCs w:val="18"/>
        </w:rPr>
        <w:t xml:space="preserve"> </w:t>
      </w:r>
      <w:r w:rsidRPr="004E0D4B">
        <w:rPr>
          <w:rFonts w:ascii="Verdana" w:hAnsi="Verdana"/>
          <w:bCs/>
          <w:sz w:val="18"/>
          <w:szCs w:val="18"/>
        </w:rPr>
        <w:t xml:space="preserve">onder het internationaal recht, evenals voor de enorme schade die door de oorlog wordt aangericht. De </w:t>
      </w:r>
      <w:r w:rsidRPr="004E0D4B" w:rsidR="00C20C5B">
        <w:rPr>
          <w:rFonts w:ascii="Verdana" w:hAnsi="Verdana"/>
          <w:bCs/>
          <w:sz w:val="18"/>
          <w:szCs w:val="18"/>
        </w:rPr>
        <w:t>ER</w:t>
      </w:r>
      <w:r w:rsidRPr="004E0D4B">
        <w:rPr>
          <w:rFonts w:ascii="Verdana" w:hAnsi="Verdana"/>
          <w:bCs/>
          <w:sz w:val="18"/>
          <w:szCs w:val="18"/>
        </w:rPr>
        <w:t xml:space="preserve"> steunt de inspanningen van de Kerngroep om een </w:t>
      </w:r>
      <w:r w:rsidRPr="004E0D4B">
        <w:rPr>
          <w:rFonts w:ascii="Arial" w:hAnsi="Arial" w:cs="Arial"/>
          <w:bCs/>
          <w:sz w:val="18"/>
          <w:szCs w:val="18"/>
        </w:rPr>
        <w:t>​​</w:t>
      </w:r>
      <w:r w:rsidRPr="004E0D4B">
        <w:rPr>
          <w:rFonts w:ascii="Verdana" w:hAnsi="Verdana"/>
          <w:bCs/>
          <w:sz w:val="18"/>
          <w:szCs w:val="18"/>
        </w:rPr>
        <w:t xml:space="preserve">tribunaal op te richten voor de vervolging van </w:t>
      </w:r>
      <w:r w:rsidRPr="004E0D4B" w:rsidR="00EF4E7B">
        <w:rPr>
          <w:rFonts w:ascii="Verdana" w:hAnsi="Verdana"/>
          <w:bCs/>
          <w:sz w:val="18"/>
          <w:szCs w:val="18"/>
        </w:rPr>
        <w:t>het</w:t>
      </w:r>
      <w:r w:rsidRPr="004E0D4B" w:rsidR="00EF4E7B">
        <w:rPr>
          <w:rFonts w:ascii="Verdana" w:hAnsi="Verdana"/>
          <w:sz w:val="18"/>
          <w:szCs w:val="18"/>
        </w:rPr>
        <w:t xml:space="preserve"> misdrijf</w:t>
      </w:r>
      <w:r w:rsidRPr="004E0D4B">
        <w:rPr>
          <w:rFonts w:ascii="Verdana" w:hAnsi="Verdana"/>
          <w:bCs/>
          <w:sz w:val="18"/>
          <w:szCs w:val="18"/>
        </w:rPr>
        <w:t xml:space="preserve"> van agressie tegen Oekra</w:t>
      </w:r>
      <w:r w:rsidRPr="004E0D4B">
        <w:rPr>
          <w:rFonts w:ascii="Verdana" w:hAnsi="Verdana" w:cs="Verdana"/>
          <w:bCs/>
          <w:sz w:val="18"/>
          <w:szCs w:val="18"/>
        </w:rPr>
        <w:t>ï</w:t>
      </w:r>
      <w:r w:rsidRPr="004E0D4B">
        <w:rPr>
          <w:rFonts w:ascii="Verdana" w:hAnsi="Verdana"/>
          <w:bCs/>
          <w:sz w:val="18"/>
          <w:szCs w:val="18"/>
        </w:rPr>
        <w:t>ne en een toekomstig compensatiemechanisme.</w:t>
      </w:r>
      <w:r w:rsidRPr="004E0D4B" w:rsidR="00857A8D">
        <w:rPr>
          <w:rFonts w:ascii="Verdana" w:hAnsi="Verdana"/>
          <w:bCs/>
          <w:sz w:val="18"/>
          <w:szCs w:val="18"/>
        </w:rPr>
        <w:t xml:space="preserve"> Het kabinet steun</w:t>
      </w:r>
      <w:r w:rsidRPr="004E0D4B" w:rsidR="009B48C0">
        <w:rPr>
          <w:rFonts w:ascii="Verdana" w:hAnsi="Verdana"/>
          <w:bCs/>
          <w:sz w:val="18"/>
          <w:szCs w:val="18"/>
        </w:rPr>
        <w:t>t</w:t>
      </w:r>
      <w:r w:rsidRPr="004E0D4B" w:rsidR="00857A8D">
        <w:rPr>
          <w:rFonts w:ascii="Verdana" w:hAnsi="Verdana"/>
          <w:bCs/>
          <w:sz w:val="18"/>
          <w:szCs w:val="18"/>
        </w:rPr>
        <w:t xml:space="preserve"> deze inspanningen </w:t>
      </w:r>
      <w:r w:rsidRPr="004E0D4B" w:rsidR="00384CD3">
        <w:rPr>
          <w:rFonts w:ascii="Verdana" w:hAnsi="Verdana"/>
          <w:bCs/>
          <w:sz w:val="18"/>
          <w:szCs w:val="18"/>
        </w:rPr>
        <w:t>onder andere met</w:t>
      </w:r>
      <w:r w:rsidR="005A0169">
        <w:rPr>
          <w:rFonts w:ascii="Verdana" w:hAnsi="Verdana"/>
          <w:bCs/>
          <w:sz w:val="18"/>
          <w:szCs w:val="18"/>
        </w:rPr>
        <w:t xml:space="preserve"> </w:t>
      </w:r>
      <w:r w:rsidRPr="004E0D4B" w:rsidR="00857A8D">
        <w:rPr>
          <w:rFonts w:ascii="Verdana" w:hAnsi="Verdana"/>
          <w:sz w:val="18"/>
          <w:szCs w:val="18"/>
        </w:rPr>
        <w:t xml:space="preserve">de </w:t>
      </w:r>
      <w:r w:rsidRPr="004E0D4B" w:rsidR="00857A8D">
        <w:rPr>
          <w:rFonts w:ascii="Verdana" w:hAnsi="Verdana"/>
          <w:i/>
          <w:sz w:val="18"/>
          <w:szCs w:val="18"/>
        </w:rPr>
        <w:t xml:space="preserve">Restoring </w:t>
      </w:r>
      <w:proofErr w:type="spellStart"/>
      <w:r w:rsidRPr="004E0D4B" w:rsidR="00857A8D">
        <w:rPr>
          <w:rFonts w:ascii="Verdana" w:hAnsi="Verdana"/>
          <w:i/>
          <w:sz w:val="18"/>
          <w:szCs w:val="18"/>
        </w:rPr>
        <w:t>Justice</w:t>
      </w:r>
      <w:proofErr w:type="spellEnd"/>
      <w:r w:rsidRPr="004E0D4B" w:rsidR="00857A8D">
        <w:rPr>
          <w:rFonts w:ascii="Verdana" w:hAnsi="Verdana"/>
          <w:i/>
          <w:sz w:val="18"/>
          <w:szCs w:val="18"/>
        </w:rPr>
        <w:t xml:space="preserve"> </w:t>
      </w:r>
      <w:proofErr w:type="spellStart"/>
      <w:r w:rsidRPr="004E0D4B" w:rsidR="00857A8D">
        <w:rPr>
          <w:rFonts w:ascii="Verdana" w:hAnsi="Verdana"/>
          <w:i/>
          <w:sz w:val="18"/>
          <w:szCs w:val="18"/>
        </w:rPr>
        <w:t>for</w:t>
      </w:r>
      <w:proofErr w:type="spellEnd"/>
      <w:r w:rsidRPr="004E0D4B" w:rsidR="00857A8D">
        <w:rPr>
          <w:rFonts w:ascii="Verdana" w:hAnsi="Verdana"/>
          <w:i/>
          <w:sz w:val="18"/>
          <w:szCs w:val="18"/>
        </w:rPr>
        <w:t xml:space="preserve"> Ukraine</w:t>
      </w:r>
      <w:r w:rsidRPr="004E0D4B" w:rsidR="00857A8D">
        <w:rPr>
          <w:rFonts w:ascii="Verdana" w:hAnsi="Verdana"/>
          <w:sz w:val="18"/>
          <w:szCs w:val="18"/>
        </w:rPr>
        <w:t xml:space="preserve"> conferentie </w:t>
      </w:r>
      <w:r w:rsidRPr="004E0D4B" w:rsidR="009B48C0">
        <w:rPr>
          <w:rFonts w:ascii="Verdana" w:hAnsi="Verdana"/>
          <w:sz w:val="18"/>
          <w:szCs w:val="18"/>
        </w:rPr>
        <w:t xml:space="preserve">die </w:t>
      </w:r>
      <w:r w:rsidRPr="004E0D4B" w:rsidR="00857A8D">
        <w:rPr>
          <w:rFonts w:ascii="Verdana" w:hAnsi="Verdana"/>
          <w:sz w:val="18"/>
          <w:szCs w:val="18"/>
        </w:rPr>
        <w:t xml:space="preserve">op 2 april in Den Haag </w:t>
      </w:r>
      <w:r w:rsidR="005A0169">
        <w:rPr>
          <w:rFonts w:ascii="Verdana" w:hAnsi="Verdana"/>
          <w:sz w:val="18"/>
          <w:szCs w:val="18"/>
        </w:rPr>
        <w:t>heeft plaatsgevonden</w:t>
      </w:r>
      <w:r w:rsidRPr="004E0D4B" w:rsidR="00857A8D">
        <w:rPr>
          <w:rFonts w:ascii="Verdana" w:hAnsi="Verdana"/>
          <w:sz w:val="18"/>
          <w:szCs w:val="18"/>
        </w:rPr>
        <w:t>.</w:t>
      </w:r>
    </w:p>
    <w:p w:rsidRPr="004E0D4B" w:rsidR="00934A1B" w:rsidP="00934A1B" w:rsidRDefault="00934A1B" w14:paraId="5F2292EE" w14:textId="75194167">
      <w:pPr>
        <w:rPr>
          <w:rFonts w:ascii="Verdana" w:hAnsi="Verdana"/>
          <w:bCs/>
          <w:sz w:val="18"/>
          <w:szCs w:val="18"/>
        </w:rPr>
      </w:pPr>
      <w:r w:rsidRPr="004E0D4B">
        <w:rPr>
          <w:rFonts w:ascii="Verdana" w:hAnsi="Verdana"/>
          <w:bCs/>
          <w:sz w:val="18"/>
          <w:szCs w:val="18"/>
        </w:rPr>
        <w:t xml:space="preserve">De </w:t>
      </w:r>
      <w:r w:rsidRPr="004E0D4B" w:rsidR="00A2187C">
        <w:rPr>
          <w:rFonts w:ascii="Verdana" w:hAnsi="Verdana"/>
          <w:bCs/>
          <w:sz w:val="18"/>
          <w:szCs w:val="18"/>
        </w:rPr>
        <w:t>EU</w:t>
      </w:r>
      <w:r w:rsidRPr="004E0D4B">
        <w:rPr>
          <w:rFonts w:ascii="Verdana" w:hAnsi="Verdana"/>
          <w:bCs/>
          <w:sz w:val="18"/>
          <w:szCs w:val="18"/>
        </w:rPr>
        <w:t xml:space="preserve"> steunt het herstel en de wederopbouw van Oekraïne in coördinatie met internationale partners. De </w:t>
      </w:r>
      <w:r w:rsidRPr="004E0D4B" w:rsidR="00C20C5B">
        <w:rPr>
          <w:rFonts w:ascii="Verdana" w:hAnsi="Verdana"/>
          <w:bCs/>
          <w:sz w:val="18"/>
          <w:szCs w:val="18"/>
        </w:rPr>
        <w:t>ER</w:t>
      </w:r>
      <w:r w:rsidRPr="004E0D4B">
        <w:rPr>
          <w:rFonts w:ascii="Verdana" w:hAnsi="Verdana"/>
          <w:bCs/>
          <w:sz w:val="18"/>
          <w:szCs w:val="18"/>
        </w:rPr>
        <w:t xml:space="preserve"> verwelkomt de versterking van de adviesmissie van de </w:t>
      </w:r>
      <w:r w:rsidRPr="004E0D4B" w:rsidR="00A2187C">
        <w:rPr>
          <w:rFonts w:ascii="Verdana" w:hAnsi="Verdana"/>
          <w:bCs/>
          <w:sz w:val="18"/>
          <w:szCs w:val="18"/>
        </w:rPr>
        <w:t>EU</w:t>
      </w:r>
      <w:r w:rsidRPr="004E0D4B">
        <w:rPr>
          <w:rFonts w:ascii="Verdana" w:hAnsi="Verdana"/>
          <w:bCs/>
          <w:sz w:val="18"/>
          <w:szCs w:val="18"/>
        </w:rPr>
        <w:t xml:space="preserve"> (EUAM) voor Oekraïne waarmee overheidsinstanties worden ondersteund en aan hervormingen wordt bijgedragen in het kader van het EU-toetredingsproces.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1F5728">
        <w:rPr>
          <w:rFonts w:ascii="Verdana" w:hAnsi="Verdana"/>
          <w:bCs/>
          <w:sz w:val="18"/>
          <w:szCs w:val="18"/>
        </w:rPr>
        <w:t>i</w:t>
      </w:r>
      <w:r w:rsidRPr="004E0D4B">
        <w:rPr>
          <w:rFonts w:ascii="Verdana" w:hAnsi="Verdana"/>
          <w:bCs/>
          <w:sz w:val="18"/>
          <w:szCs w:val="18"/>
        </w:rPr>
        <w:t>ep op tot verdere steun voor psychologische en psychosociale rehabilitatie en tot meer hulp bij het opruimen van mijnen.</w:t>
      </w:r>
    </w:p>
    <w:p w:rsidRPr="004E0D4B" w:rsidR="00934A1B" w:rsidP="00934A1B" w:rsidRDefault="00934A1B" w14:paraId="4C6BA467" w14:textId="69AC78A4">
      <w:pPr>
        <w:rPr>
          <w:rFonts w:ascii="Verdana" w:hAnsi="Verdana"/>
          <w:bCs/>
          <w:sz w:val="18"/>
          <w:szCs w:val="18"/>
        </w:rPr>
      </w:pPr>
      <w:r w:rsidRPr="004E0D4B">
        <w:rPr>
          <w:rFonts w:ascii="Verdana" w:hAnsi="Verdana"/>
          <w:bCs/>
          <w:sz w:val="18"/>
          <w:szCs w:val="18"/>
        </w:rPr>
        <w:t xml:space="preserve">De </w:t>
      </w:r>
      <w:r w:rsidRPr="004E0D4B" w:rsidR="00A2187C">
        <w:rPr>
          <w:rFonts w:ascii="Verdana" w:hAnsi="Verdana"/>
          <w:bCs/>
          <w:sz w:val="18"/>
          <w:szCs w:val="18"/>
        </w:rPr>
        <w:t>EU</w:t>
      </w:r>
      <w:r w:rsidRPr="004E0D4B">
        <w:rPr>
          <w:rFonts w:ascii="Verdana" w:hAnsi="Verdana"/>
          <w:bCs/>
          <w:sz w:val="18"/>
          <w:szCs w:val="18"/>
        </w:rPr>
        <w:t xml:space="preserve"> en haar lidstaten zullen hun inspanningen voortzetten om de breedst mogelijke internationale steun te verzekeren voor een alomvattende, rechtvaardige en duurzame vrede op basis van de Oekraïense Vredesformule.</w:t>
      </w:r>
    </w:p>
    <w:p w:rsidRPr="004E0D4B" w:rsidR="00934A1B" w:rsidP="00934A1B" w:rsidRDefault="00934A1B" w14:paraId="588EEB7E" w14:textId="64EEEFD9">
      <w:pPr>
        <w:rPr>
          <w:rFonts w:ascii="Verdana" w:hAnsi="Verdana"/>
          <w:bCs/>
          <w:sz w:val="18"/>
          <w:szCs w:val="18"/>
        </w:rPr>
      </w:pPr>
      <w:r w:rsidRPr="004E0D4B">
        <w:rPr>
          <w:rFonts w:ascii="Verdana" w:hAnsi="Verdana"/>
          <w:bCs/>
          <w:sz w:val="18"/>
          <w:szCs w:val="18"/>
        </w:rPr>
        <w:t xml:space="preserve">De </w:t>
      </w:r>
      <w:r w:rsidRPr="004E0D4B" w:rsidR="00C20C5B">
        <w:rPr>
          <w:rFonts w:ascii="Verdana" w:hAnsi="Verdana"/>
          <w:bCs/>
          <w:sz w:val="18"/>
          <w:szCs w:val="18"/>
        </w:rPr>
        <w:t>ER</w:t>
      </w:r>
      <w:r w:rsidRPr="004E0D4B">
        <w:rPr>
          <w:rFonts w:ascii="Verdana" w:hAnsi="Verdana"/>
          <w:bCs/>
          <w:sz w:val="18"/>
          <w:szCs w:val="18"/>
        </w:rPr>
        <w:t xml:space="preserve"> benadrukt</w:t>
      </w:r>
      <w:r w:rsidRPr="004E0D4B" w:rsidR="001F5728">
        <w:rPr>
          <w:rFonts w:ascii="Verdana" w:hAnsi="Verdana"/>
          <w:bCs/>
          <w:sz w:val="18"/>
          <w:szCs w:val="18"/>
        </w:rPr>
        <w:t>e</w:t>
      </w:r>
      <w:r w:rsidRPr="004E0D4B">
        <w:rPr>
          <w:rFonts w:ascii="Verdana" w:hAnsi="Verdana"/>
          <w:bCs/>
          <w:sz w:val="18"/>
          <w:szCs w:val="18"/>
        </w:rPr>
        <w:t xml:space="preserve"> het strategische belang van veiligheid en stabiliteit in het Zwarte-Zeegebied en de noodzaak om Oekraïne te helpen bij het opnieuw opbouwen van zijn positie op traditionele exportmarkten, met name in het Midden-Oosten en Afrika.</w:t>
      </w:r>
    </w:p>
    <w:p w:rsidRPr="004E0D4B" w:rsidR="00934A1B" w:rsidP="00934A1B" w:rsidRDefault="00934A1B" w14:paraId="7DED2613" w14:textId="495BD2B6">
      <w:pPr>
        <w:rPr>
          <w:rFonts w:ascii="Verdana" w:hAnsi="Verdana"/>
          <w:bCs/>
          <w:sz w:val="18"/>
          <w:szCs w:val="18"/>
        </w:rPr>
      </w:pPr>
      <w:r w:rsidRPr="004E0D4B">
        <w:rPr>
          <w:rFonts w:ascii="Verdana" w:hAnsi="Verdana"/>
          <w:bCs/>
          <w:sz w:val="18"/>
          <w:szCs w:val="18"/>
        </w:rPr>
        <w:t xml:space="preserve">De </w:t>
      </w:r>
      <w:r w:rsidRPr="004E0D4B" w:rsidR="00A2187C">
        <w:rPr>
          <w:rFonts w:ascii="Verdana" w:hAnsi="Verdana"/>
          <w:bCs/>
          <w:sz w:val="18"/>
          <w:szCs w:val="18"/>
        </w:rPr>
        <w:t>EU</w:t>
      </w:r>
      <w:r w:rsidRPr="004E0D4B">
        <w:rPr>
          <w:rFonts w:ascii="Verdana" w:hAnsi="Verdana"/>
          <w:bCs/>
          <w:sz w:val="18"/>
          <w:szCs w:val="18"/>
        </w:rPr>
        <w:t xml:space="preserve"> zal Moldavië blijven steunen bij het aanpakken van de uitdagingen waarmee zij wordt geconfronteerd als gevolg van de Russische agressie tegen Oekraïne, onder meer in het licht van de destabiliserende activiteiten van </w:t>
      </w:r>
      <w:r w:rsidRPr="004E0D4B" w:rsidR="00384CD3">
        <w:rPr>
          <w:rFonts w:ascii="Verdana" w:hAnsi="Verdana"/>
          <w:bCs/>
          <w:sz w:val="18"/>
          <w:szCs w:val="18"/>
        </w:rPr>
        <w:t>Rusland.</w:t>
      </w:r>
      <w:r w:rsidRPr="004E0D4B">
        <w:rPr>
          <w:rFonts w:ascii="Verdana" w:hAnsi="Verdana"/>
          <w:bCs/>
          <w:sz w:val="18"/>
          <w:szCs w:val="18"/>
        </w:rPr>
        <w:t xml:space="preserve"> De </w:t>
      </w:r>
      <w:r w:rsidRPr="004E0D4B" w:rsidR="00C20C5B">
        <w:rPr>
          <w:rFonts w:ascii="Verdana" w:hAnsi="Verdana"/>
          <w:bCs/>
          <w:sz w:val="18"/>
          <w:szCs w:val="18"/>
        </w:rPr>
        <w:t>ER</w:t>
      </w:r>
      <w:r w:rsidRPr="004E0D4B">
        <w:rPr>
          <w:rFonts w:ascii="Verdana" w:hAnsi="Verdana"/>
          <w:bCs/>
          <w:sz w:val="18"/>
          <w:szCs w:val="18"/>
        </w:rPr>
        <w:t xml:space="preserve"> verwelkom</w:t>
      </w:r>
      <w:r w:rsidRPr="004E0D4B" w:rsidR="001F5728">
        <w:rPr>
          <w:rFonts w:ascii="Verdana" w:hAnsi="Verdana"/>
          <w:bCs/>
          <w:sz w:val="18"/>
          <w:szCs w:val="18"/>
        </w:rPr>
        <w:t>de</w:t>
      </w:r>
      <w:r w:rsidRPr="004E0D4B">
        <w:rPr>
          <w:rFonts w:ascii="Verdana" w:hAnsi="Verdana"/>
          <w:bCs/>
          <w:sz w:val="18"/>
          <w:szCs w:val="18"/>
        </w:rPr>
        <w:t xml:space="preserve"> bilaterale toezeggingen van lidstaten om de </w:t>
      </w:r>
      <w:r w:rsidRPr="004E0D4B">
        <w:rPr>
          <w:rFonts w:ascii="Verdana" w:hAnsi="Verdana"/>
          <w:bCs/>
          <w:i/>
          <w:iCs/>
          <w:sz w:val="18"/>
          <w:szCs w:val="18"/>
        </w:rPr>
        <w:t>EU Partnerschip Mission</w:t>
      </w:r>
      <w:r w:rsidRPr="004E0D4B">
        <w:rPr>
          <w:rFonts w:ascii="Verdana" w:hAnsi="Verdana"/>
          <w:bCs/>
          <w:sz w:val="18"/>
          <w:szCs w:val="18"/>
        </w:rPr>
        <w:t xml:space="preserve"> (EUPM) in Moldavië te ondersteunen.</w:t>
      </w:r>
      <w:r w:rsidRPr="004E0D4B" w:rsidR="00C063A2">
        <w:rPr>
          <w:rFonts w:ascii="Verdana" w:hAnsi="Verdana"/>
          <w:bCs/>
          <w:sz w:val="18"/>
          <w:szCs w:val="18"/>
        </w:rPr>
        <w:t xml:space="preserve"> Het kabinet onderzoekt momenteel de mogelijkhed</w:t>
      </w:r>
      <w:r w:rsidRPr="004E0D4B" w:rsidR="00E90C4D">
        <w:rPr>
          <w:rFonts w:ascii="Verdana" w:hAnsi="Verdana"/>
          <w:bCs/>
          <w:sz w:val="18"/>
          <w:szCs w:val="18"/>
        </w:rPr>
        <w:t xml:space="preserve">en tot nadere veiligheidssamenwerking met Moldavië, waaronder </w:t>
      </w:r>
      <w:r w:rsidRPr="004E0D4B" w:rsidR="003315CC">
        <w:rPr>
          <w:rFonts w:ascii="Verdana" w:hAnsi="Verdana"/>
          <w:bCs/>
          <w:sz w:val="18"/>
          <w:szCs w:val="18"/>
        </w:rPr>
        <w:t xml:space="preserve">een mogelijke aanvullende </w:t>
      </w:r>
      <w:r w:rsidRPr="004E0D4B" w:rsidR="00E90C4D">
        <w:rPr>
          <w:rFonts w:ascii="Verdana" w:hAnsi="Verdana"/>
          <w:bCs/>
          <w:sz w:val="18"/>
          <w:szCs w:val="18"/>
        </w:rPr>
        <w:t xml:space="preserve">bijdrage aan </w:t>
      </w:r>
      <w:r w:rsidRPr="004E0D4B" w:rsidR="00C063A2">
        <w:rPr>
          <w:rFonts w:ascii="Verdana" w:hAnsi="Verdana"/>
          <w:bCs/>
          <w:sz w:val="18"/>
          <w:szCs w:val="18"/>
        </w:rPr>
        <w:t>EUPM</w:t>
      </w:r>
      <w:r w:rsidRPr="004E0D4B" w:rsidR="002A3D6D">
        <w:rPr>
          <w:rFonts w:ascii="Verdana" w:hAnsi="Verdana"/>
          <w:bCs/>
          <w:sz w:val="18"/>
          <w:szCs w:val="18"/>
        </w:rPr>
        <w:t xml:space="preserve"> in lijn met de motie van de leden </w:t>
      </w:r>
      <w:proofErr w:type="spellStart"/>
      <w:r w:rsidRPr="004E0D4B" w:rsidR="002A3D6D">
        <w:rPr>
          <w:rFonts w:ascii="Verdana" w:hAnsi="Verdana"/>
          <w:bCs/>
          <w:sz w:val="18"/>
          <w:szCs w:val="18"/>
        </w:rPr>
        <w:t>Paternotte</w:t>
      </w:r>
      <w:proofErr w:type="spellEnd"/>
      <w:r w:rsidRPr="004E0D4B" w:rsidR="002A3D6D">
        <w:rPr>
          <w:rFonts w:ascii="Verdana" w:hAnsi="Verdana"/>
          <w:bCs/>
          <w:sz w:val="18"/>
          <w:szCs w:val="18"/>
        </w:rPr>
        <w:t xml:space="preserve"> en Brekelmans</w:t>
      </w:r>
      <w:r w:rsidRPr="004E0D4B" w:rsidR="00C063A2">
        <w:rPr>
          <w:rFonts w:ascii="Verdana" w:hAnsi="Verdana"/>
          <w:bCs/>
          <w:sz w:val="18"/>
          <w:szCs w:val="18"/>
        </w:rPr>
        <w:t>.</w:t>
      </w:r>
      <w:r w:rsidRPr="004E0D4B" w:rsidR="00E90C4D">
        <w:rPr>
          <w:rStyle w:val="FootnoteReference"/>
          <w:rFonts w:ascii="Verdana" w:hAnsi="Verdana"/>
          <w:bCs/>
          <w:sz w:val="18"/>
          <w:szCs w:val="18"/>
        </w:rPr>
        <w:footnoteReference w:id="6"/>
      </w:r>
    </w:p>
    <w:p w:rsidRPr="004E0D4B" w:rsidR="00934A1B" w:rsidP="00934A1B" w:rsidRDefault="00934A1B" w14:paraId="0DDA96EC" w14:textId="737F5DDC">
      <w:pPr>
        <w:rPr>
          <w:rFonts w:ascii="Verdana" w:hAnsi="Verdana"/>
          <w:bCs/>
          <w:sz w:val="18"/>
          <w:szCs w:val="18"/>
        </w:rPr>
      </w:pPr>
      <w:r w:rsidRPr="004E0D4B">
        <w:rPr>
          <w:rFonts w:ascii="Verdana" w:hAnsi="Verdana"/>
          <w:bCs/>
          <w:sz w:val="18"/>
          <w:szCs w:val="18"/>
        </w:rPr>
        <w:lastRenderedPageBreak/>
        <w:t xml:space="preserve">De </w:t>
      </w:r>
      <w:r w:rsidRPr="004E0D4B" w:rsidR="00A2187C">
        <w:rPr>
          <w:rFonts w:ascii="Verdana" w:hAnsi="Verdana"/>
          <w:bCs/>
          <w:sz w:val="18"/>
          <w:szCs w:val="18"/>
        </w:rPr>
        <w:t>EU</w:t>
      </w:r>
      <w:r w:rsidRPr="004E0D4B">
        <w:rPr>
          <w:rFonts w:ascii="Verdana" w:hAnsi="Verdana"/>
          <w:bCs/>
          <w:sz w:val="18"/>
          <w:szCs w:val="18"/>
        </w:rPr>
        <w:t xml:space="preserve"> zal Georgië blijven steunen bij het versterken van de weerbaarheid van het land in het licht van de Russische acties tegen de territoriale integriteit van Georgië en de gevolgen van de Russische agressieoorlog tegen Oekraïne voor Georgië.</w:t>
      </w:r>
    </w:p>
    <w:p w:rsidRPr="004E0D4B" w:rsidR="009B29D0" w:rsidP="009B29D0" w:rsidRDefault="009B29D0" w14:paraId="15DCA47E" w14:textId="77777777">
      <w:pPr>
        <w:spacing w:after="0" w:line="240" w:lineRule="auto"/>
        <w:rPr>
          <w:rFonts w:ascii="Verdana" w:hAnsi="Verdana"/>
          <w:sz w:val="18"/>
          <w:szCs w:val="18"/>
        </w:rPr>
      </w:pPr>
      <w:r w:rsidRPr="004E0D4B">
        <w:rPr>
          <w:rFonts w:ascii="Verdana" w:hAnsi="Verdana"/>
          <w:i/>
          <w:sz w:val="18"/>
          <w:szCs w:val="18"/>
        </w:rPr>
        <w:t>Veiligheid en Defensie</w:t>
      </w:r>
    </w:p>
    <w:p w:rsidRPr="004E0D4B" w:rsidR="00F115C9" w:rsidP="00F411B6" w:rsidRDefault="00F411B6" w14:paraId="4C9F378F" w14:textId="5691F286">
      <w:pPr>
        <w:rPr>
          <w:rFonts w:ascii="Verdana" w:hAnsi="Verdana"/>
          <w:bCs/>
          <w:sz w:val="18"/>
          <w:szCs w:val="18"/>
        </w:rPr>
      </w:pPr>
      <w:r w:rsidRPr="004E0D4B">
        <w:rPr>
          <w:rFonts w:ascii="Verdana" w:hAnsi="Verdana"/>
          <w:bCs/>
          <w:sz w:val="18"/>
          <w:szCs w:val="18"/>
        </w:rPr>
        <w:t xml:space="preserve">Voortbouwend op de Verklaring van Versailles en het Strategisch Kompas en in de context van toenemende dreigingen en veiligheidsuitdagingen is de </w:t>
      </w:r>
      <w:r w:rsidRPr="004E0D4B" w:rsidR="00A2187C">
        <w:rPr>
          <w:rFonts w:ascii="Verdana" w:hAnsi="Verdana"/>
          <w:bCs/>
          <w:sz w:val="18"/>
          <w:szCs w:val="18"/>
        </w:rPr>
        <w:t>EU</w:t>
      </w:r>
      <w:r w:rsidRPr="004E0D4B">
        <w:rPr>
          <w:rFonts w:ascii="Verdana" w:hAnsi="Verdana"/>
          <w:bCs/>
          <w:sz w:val="18"/>
          <w:szCs w:val="18"/>
        </w:rPr>
        <w:t xml:space="preserve"> vastbesloten om haar defensieparaatheid en -capaciteiten te vergroten en strategische afhankelijkheden te verminderen. De Europese technologische en industriële defensiebasis moet daarom in de hele Unie worden versterkt. </w:t>
      </w:r>
    </w:p>
    <w:p w:rsidRPr="004E0D4B" w:rsidR="00F411B6" w:rsidP="00F411B6" w:rsidRDefault="00F411B6" w14:paraId="13235539" w14:textId="77777777">
      <w:pPr>
        <w:rPr>
          <w:rFonts w:ascii="Verdana" w:hAnsi="Verdana"/>
          <w:bCs/>
          <w:sz w:val="18"/>
          <w:szCs w:val="18"/>
        </w:rPr>
      </w:pPr>
      <w:r w:rsidRPr="004E0D4B">
        <w:rPr>
          <w:rFonts w:ascii="Verdana" w:hAnsi="Verdana"/>
          <w:bCs/>
          <w:sz w:val="18"/>
          <w:szCs w:val="18"/>
        </w:rPr>
        <w:t xml:space="preserve">In overeenstemming met de bevoegdheden van de lidstaten </w:t>
      </w:r>
      <w:r w:rsidRPr="004E0D4B" w:rsidR="00F115C9">
        <w:rPr>
          <w:rFonts w:ascii="Verdana" w:hAnsi="Verdana"/>
          <w:bCs/>
          <w:sz w:val="18"/>
          <w:szCs w:val="18"/>
        </w:rPr>
        <w:t>sprak de ER over</w:t>
      </w:r>
      <w:r w:rsidRPr="004E0D4B">
        <w:rPr>
          <w:rFonts w:ascii="Verdana" w:hAnsi="Verdana"/>
          <w:bCs/>
          <w:sz w:val="18"/>
          <w:szCs w:val="18"/>
        </w:rPr>
        <w:t xml:space="preserve"> de volgende aanvullende inspanningen:</w:t>
      </w:r>
    </w:p>
    <w:p w:rsidRPr="004E0D4B" w:rsidR="00F411B6" w:rsidP="00F411B6" w:rsidRDefault="00F411B6" w14:paraId="4D89313D" w14:textId="735A3360">
      <w:pPr>
        <w:rPr>
          <w:rFonts w:ascii="Verdana" w:hAnsi="Verdana"/>
          <w:bCs/>
          <w:sz w:val="18"/>
          <w:szCs w:val="18"/>
        </w:rPr>
      </w:pPr>
      <w:r w:rsidRPr="004E0D4B">
        <w:rPr>
          <w:rFonts w:ascii="Verdana" w:hAnsi="Verdana"/>
          <w:bCs/>
          <w:sz w:val="18"/>
          <w:szCs w:val="18"/>
        </w:rPr>
        <w:t>a) het substantieel verhogen van de defensie-uitgaven en samen beter en sneller investeren;</w:t>
      </w:r>
    </w:p>
    <w:p w:rsidRPr="004E0D4B" w:rsidR="00F411B6" w:rsidP="00F411B6" w:rsidRDefault="00F411B6" w14:paraId="2332E095" w14:textId="1E15158E">
      <w:pPr>
        <w:rPr>
          <w:rFonts w:ascii="Verdana" w:hAnsi="Verdana"/>
          <w:bCs/>
          <w:sz w:val="18"/>
          <w:szCs w:val="18"/>
        </w:rPr>
      </w:pPr>
      <w:r w:rsidRPr="004E0D4B">
        <w:rPr>
          <w:rFonts w:ascii="Verdana" w:hAnsi="Verdana"/>
          <w:bCs/>
          <w:sz w:val="18"/>
          <w:szCs w:val="18"/>
        </w:rPr>
        <w:t>b) het verbeteren van de toegang van de Europese defensie-industrie tot publieke en private financiering. In deze context verzo</w:t>
      </w:r>
      <w:r w:rsidRPr="004E0D4B" w:rsidR="001F5728">
        <w:rPr>
          <w:rFonts w:ascii="Verdana" w:hAnsi="Verdana"/>
          <w:bCs/>
          <w:sz w:val="18"/>
          <w:szCs w:val="18"/>
        </w:rPr>
        <w:t>cht</w:t>
      </w:r>
      <w:r w:rsidRPr="004E0D4B">
        <w:rPr>
          <w:rFonts w:ascii="Verdana" w:hAnsi="Verdana"/>
          <w:bCs/>
          <w:sz w:val="18"/>
          <w:szCs w:val="18"/>
        </w:rPr>
        <w:t xml:space="preserve"> de </w:t>
      </w:r>
      <w:r w:rsidRPr="004E0D4B" w:rsidR="00C20C5B">
        <w:rPr>
          <w:rFonts w:ascii="Verdana" w:hAnsi="Verdana"/>
          <w:bCs/>
          <w:sz w:val="18"/>
          <w:szCs w:val="18"/>
        </w:rPr>
        <w:t>ER</w:t>
      </w:r>
      <w:r w:rsidRPr="004E0D4B">
        <w:rPr>
          <w:rFonts w:ascii="Verdana" w:hAnsi="Verdana"/>
          <w:bCs/>
          <w:sz w:val="18"/>
          <w:szCs w:val="18"/>
        </w:rPr>
        <w:t xml:space="preserve"> de Raad en de Commissie om opties voor het mobiliseren van financiering te onderzoeken en uiterlijk in juni verslag uit te brengen. Bovendien wordt de Europese Investeringsbank verzocht haar beleid voor kredietverlening aan de defensie-industrie en haar huidige definitie van </w:t>
      </w:r>
      <w:proofErr w:type="spellStart"/>
      <w:r w:rsidRPr="004E0D4B">
        <w:rPr>
          <w:rFonts w:ascii="Verdana" w:hAnsi="Verdana"/>
          <w:bCs/>
          <w:i/>
          <w:iCs/>
          <w:sz w:val="18"/>
          <w:szCs w:val="18"/>
        </w:rPr>
        <w:t>dual</w:t>
      </w:r>
      <w:proofErr w:type="spellEnd"/>
      <w:r w:rsidRPr="004E0D4B">
        <w:rPr>
          <w:rFonts w:ascii="Verdana" w:hAnsi="Verdana"/>
          <w:bCs/>
          <w:i/>
          <w:iCs/>
          <w:sz w:val="18"/>
          <w:szCs w:val="18"/>
        </w:rPr>
        <w:t xml:space="preserve"> </w:t>
      </w:r>
      <w:proofErr w:type="spellStart"/>
      <w:r w:rsidRPr="004E0D4B">
        <w:rPr>
          <w:rFonts w:ascii="Verdana" w:hAnsi="Verdana"/>
          <w:bCs/>
          <w:i/>
          <w:iCs/>
          <w:sz w:val="18"/>
          <w:szCs w:val="18"/>
        </w:rPr>
        <w:t>use</w:t>
      </w:r>
      <w:proofErr w:type="spellEnd"/>
      <w:r w:rsidRPr="004E0D4B">
        <w:rPr>
          <w:rFonts w:ascii="Verdana" w:hAnsi="Verdana"/>
          <w:bCs/>
          <w:i/>
          <w:iCs/>
          <w:sz w:val="18"/>
          <w:szCs w:val="18"/>
        </w:rPr>
        <w:t xml:space="preserve"> </w:t>
      </w:r>
      <w:r w:rsidRPr="004E0D4B">
        <w:rPr>
          <w:rFonts w:ascii="Verdana" w:hAnsi="Verdana"/>
          <w:bCs/>
          <w:sz w:val="18"/>
          <w:szCs w:val="18"/>
        </w:rPr>
        <w:t>goederen te herzien en tegelijkertijd haar financieringscapaciteit veilig te stellen;</w:t>
      </w:r>
    </w:p>
    <w:p w:rsidRPr="004E0D4B" w:rsidR="00F411B6" w:rsidP="00F411B6" w:rsidRDefault="00F411B6" w14:paraId="71DE6B6C" w14:textId="77777777">
      <w:pPr>
        <w:rPr>
          <w:rFonts w:ascii="Verdana" w:hAnsi="Verdana"/>
          <w:bCs/>
          <w:sz w:val="18"/>
          <w:szCs w:val="18"/>
        </w:rPr>
      </w:pPr>
      <w:r w:rsidRPr="004E0D4B">
        <w:rPr>
          <w:rFonts w:ascii="Verdana" w:hAnsi="Verdana"/>
          <w:bCs/>
          <w:sz w:val="18"/>
          <w:szCs w:val="18"/>
        </w:rPr>
        <w:t xml:space="preserve">c) het stimuleren van gezamenlijke aanbestedingen om tekortkomingen in essentiële defensiecapaciteiten in de EU aan te pakken, met name op het gebied van strategische </w:t>
      </w:r>
      <w:proofErr w:type="spellStart"/>
      <w:r w:rsidRPr="004E0D4B">
        <w:rPr>
          <w:rFonts w:ascii="Verdana" w:hAnsi="Verdana"/>
          <w:bCs/>
          <w:i/>
          <w:iCs/>
          <w:sz w:val="18"/>
          <w:szCs w:val="18"/>
        </w:rPr>
        <w:t>enablers</w:t>
      </w:r>
      <w:proofErr w:type="spellEnd"/>
      <w:r w:rsidRPr="004E0D4B">
        <w:rPr>
          <w:rFonts w:ascii="Verdana" w:hAnsi="Verdana"/>
          <w:bCs/>
          <w:sz w:val="18"/>
          <w:szCs w:val="18"/>
        </w:rPr>
        <w:t>, en beter gebruik te maken van de synergiën tussen nationale en Europese defensieplanningsprocessen;</w:t>
      </w:r>
    </w:p>
    <w:p w:rsidRPr="004E0D4B" w:rsidR="00F411B6" w:rsidP="00F411B6" w:rsidRDefault="00F411B6" w14:paraId="7CCC1062" w14:textId="7EEFE5C0">
      <w:pPr>
        <w:rPr>
          <w:rFonts w:ascii="Verdana" w:hAnsi="Verdana"/>
          <w:bCs/>
          <w:sz w:val="18"/>
          <w:szCs w:val="18"/>
        </w:rPr>
      </w:pPr>
      <w:r w:rsidRPr="004E0D4B">
        <w:rPr>
          <w:rFonts w:ascii="Verdana" w:hAnsi="Verdana"/>
          <w:bCs/>
          <w:sz w:val="18"/>
          <w:szCs w:val="18"/>
        </w:rPr>
        <w:t>d) het vergroten van gezamenlijke defensie</w:t>
      </w:r>
      <w:r w:rsidRPr="004E0D4B" w:rsidR="00A261B2">
        <w:rPr>
          <w:rFonts w:ascii="Verdana" w:hAnsi="Verdana"/>
          <w:bCs/>
          <w:sz w:val="18"/>
          <w:szCs w:val="18"/>
        </w:rPr>
        <w:t>-</w:t>
      </w:r>
      <w:r w:rsidRPr="004E0D4B">
        <w:rPr>
          <w:rFonts w:ascii="Verdana" w:hAnsi="Verdana"/>
          <w:bCs/>
          <w:sz w:val="18"/>
          <w:szCs w:val="18"/>
        </w:rPr>
        <w:t>investeringen en het verbeteren van de voorspelbaarheid, bijvoorbeeld via meerjarige vaste contracten;</w:t>
      </w:r>
    </w:p>
    <w:p w:rsidRPr="004E0D4B" w:rsidR="00F411B6" w:rsidP="00F411B6" w:rsidRDefault="00F411B6" w14:paraId="3B9D6D13" w14:textId="77777777">
      <w:pPr>
        <w:rPr>
          <w:rFonts w:ascii="Verdana" w:hAnsi="Verdana"/>
          <w:bCs/>
          <w:sz w:val="18"/>
          <w:szCs w:val="18"/>
        </w:rPr>
      </w:pPr>
      <w:r w:rsidRPr="004E0D4B">
        <w:rPr>
          <w:rFonts w:ascii="Verdana" w:hAnsi="Verdana"/>
          <w:bCs/>
          <w:sz w:val="18"/>
          <w:szCs w:val="18"/>
        </w:rPr>
        <w:t>e) het vergroten van de veerkracht van de Europese defensie-industrie, haar flexibiliteit en haar vermogen om innovatieve defensieproducten te ontwikkelen en te produceren, de interoperabiliteit en uitwisselbaarheid ervan te vergroten en de beschikbaarheid ervan voor de lidstaten te waarborgen;</w:t>
      </w:r>
    </w:p>
    <w:p w:rsidRPr="004E0D4B" w:rsidR="00F411B6" w:rsidP="00F411B6" w:rsidRDefault="00F411B6" w14:paraId="216E33EB" w14:textId="77777777">
      <w:pPr>
        <w:rPr>
          <w:rFonts w:ascii="Verdana" w:hAnsi="Verdana"/>
          <w:bCs/>
          <w:sz w:val="18"/>
          <w:szCs w:val="18"/>
        </w:rPr>
      </w:pPr>
      <w:r w:rsidRPr="004E0D4B">
        <w:rPr>
          <w:rFonts w:ascii="Verdana" w:hAnsi="Verdana"/>
          <w:bCs/>
          <w:sz w:val="18"/>
          <w:szCs w:val="18"/>
        </w:rPr>
        <w:t>f) het stimuleren van verdere integratie van de Europese defensiemarkt door de toegang tot defensietoeleveringsketens te vergemakkelijken en door administratieve lasten terug te dringen;</w:t>
      </w:r>
    </w:p>
    <w:p w:rsidRPr="004E0D4B" w:rsidR="00F411B6" w:rsidP="00F411B6" w:rsidRDefault="00F411B6" w14:paraId="1BCA72D3" w14:textId="77777777">
      <w:pPr>
        <w:rPr>
          <w:rFonts w:ascii="Verdana" w:hAnsi="Verdana"/>
          <w:bCs/>
          <w:sz w:val="18"/>
          <w:szCs w:val="18"/>
        </w:rPr>
      </w:pPr>
      <w:r w:rsidRPr="004E0D4B">
        <w:rPr>
          <w:rFonts w:ascii="Verdana" w:hAnsi="Verdana"/>
          <w:bCs/>
          <w:sz w:val="18"/>
          <w:szCs w:val="18"/>
        </w:rPr>
        <w:t>g) snelle identificatie van knelpunten in de toeleveringsketens voor de defensiemarkt te bevorderen en ervoor te zorgen dat de EU-regelgeving geen belemmering vormt voor de ontwikkeling van de Europese defensie-industrie;</w:t>
      </w:r>
    </w:p>
    <w:p w:rsidRPr="004E0D4B" w:rsidR="00F411B6" w:rsidP="00F411B6" w:rsidRDefault="00F411B6" w14:paraId="40A3C1D3" w14:textId="77777777">
      <w:pPr>
        <w:rPr>
          <w:rFonts w:ascii="Verdana" w:hAnsi="Verdana"/>
          <w:bCs/>
          <w:sz w:val="18"/>
          <w:szCs w:val="18"/>
        </w:rPr>
      </w:pPr>
      <w:r w:rsidRPr="004E0D4B">
        <w:rPr>
          <w:rFonts w:ascii="Verdana" w:hAnsi="Verdana"/>
          <w:bCs/>
          <w:sz w:val="18"/>
          <w:szCs w:val="18"/>
        </w:rPr>
        <w:t>h) initiatieven ondersteunen om te blijven investeren in geschoolde arbeidskrachten om tekorten aan arbeidskrachten en vaardigheden in de defensie-industrie aan te pakken.</w:t>
      </w:r>
    </w:p>
    <w:p w:rsidRPr="004E0D4B" w:rsidR="00F411B6" w:rsidP="00F411B6" w:rsidRDefault="00F411B6" w14:paraId="654F85D4" w14:textId="3BBE9B0D">
      <w:pPr>
        <w:rPr>
          <w:rFonts w:ascii="Verdana" w:hAnsi="Verdana"/>
          <w:bCs/>
          <w:sz w:val="18"/>
          <w:szCs w:val="18"/>
        </w:rPr>
      </w:pPr>
      <w:r w:rsidRPr="004E0D4B">
        <w:rPr>
          <w:rFonts w:ascii="Verdana" w:hAnsi="Verdana"/>
          <w:bCs/>
          <w:sz w:val="18"/>
          <w:szCs w:val="18"/>
        </w:rPr>
        <w:t xml:space="preserve">De </w:t>
      </w:r>
      <w:r w:rsidRPr="004E0D4B" w:rsidR="00C20C5B">
        <w:rPr>
          <w:rFonts w:ascii="Verdana" w:hAnsi="Verdana"/>
          <w:bCs/>
          <w:sz w:val="18"/>
          <w:szCs w:val="18"/>
        </w:rPr>
        <w:t>ER</w:t>
      </w:r>
      <w:r w:rsidRPr="004E0D4B">
        <w:rPr>
          <w:rFonts w:ascii="Verdana" w:hAnsi="Verdana"/>
          <w:bCs/>
          <w:sz w:val="18"/>
          <w:szCs w:val="18"/>
        </w:rPr>
        <w:t xml:space="preserve"> verzo</w:t>
      </w:r>
      <w:r w:rsidRPr="004E0D4B" w:rsidR="00070F24">
        <w:rPr>
          <w:rFonts w:ascii="Verdana" w:hAnsi="Verdana"/>
          <w:bCs/>
          <w:sz w:val="18"/>
          <w:szCs w:val="18"/>
        </w:rPr>
        <w:t>cht</w:t>
      </w:r>
      <w:r w:rsidRPr="004E0D4B">
        <w:rPr>
          <w:rFonts w:ascii="Verdana" w:hAnsi="Verdana"/>
          <w:bCs/>
          <w:sz w:val="18"/>
          <w:szCs w:val="18"/>
        </w:rPr>
        <w:t xml:space="preserve"> de Raad, de Hoge Vertegenwoordiger en de Commissie snel voortgang te boeken met de werkzaamheden aan de gezamenlijke mededeling over een Europese defensie-industriestrategie (EDIS). Ook verzo</w:t>
      </w:r>
      <w:r w:rsidRPr="004E0D4B" w:rsidR="00070F24">
        <w:rPr>
          <w:rFonts w:ascii="Verdana" w:hAnsi="Verdana"/>
          <w:bCs/>
          <w:sz w:val="18"/>
          <w:szCs w:val="18"/>
        </w:rPr>
        <w:t>cht</w:t>
      </w:r>
      <w:r w:rsidRPr="004E0D4B">
        <w:rPr>
          <w:rFonts w:ascii="Verdana" w:hAnsi="Verdana"/>
          <w:bCs/>
          <w:sz w:val="18"/>
          <w:szCs w:val="18"/>
        </w:rPr>
        <w:t xml:space="preserve"> de ER de Raad onverwijld werk te maken van het begeleidende voorstel voor een Europees Defensie-industrieprogramma (EDIP).</w:t>
      </w:r>
    </w:p>
    <w:p w:rsidRPr="004E0D4B" w:rsidR="00F115C9" w:rsidP="00F411B6" w:rsidRDefault="001F3CB9" w14:paraId="36CE0F7A" w14:textId="5D53B32E">
      <w:pPr>
        <w:rPr>
          <w:rFonts w:ascii="Verdana" w:hAnsi="Verdana"/>
          <w:bCs/>
          <w:sz w:val="18"/>
          <w:szCs w:val="18"/>
        </w:rPr>
      </w:pPr>
      <w:r w:rsidRPr="004E0D4B">
        <w:rPr>
          <w:rFonts w:ascii="Verdana" w:hAnsi="Verdana"/>
          <w:sz w:val="18"/>
          <w:szCs w:val="18"/>
        </w:rPr>
        <w:t>Nederland</w:t>
      </w:r>
      <w:r w:rsidRPr="004E0D4B" w:rsidR="00E92910">
        <w:rPr>
          <w:rFonts w:ascii="Verdana" w:hAnsi="Verdana"/>
          <w:sz w:val="18"/>
          <w:szCs w:val="18"/>
        </w:rPr>
        <w:t xml:space="preserve"> gaf aan met een positieve </w:t>
      </w:r>
      <w:r w:rsidRPr="004E0D4B" w:rsidR="00A52B44">
        <w:rPr>
          <w:rFonts w:ascii="Verdana" w:hAnsi="Verdana"/>
          <w:sz w:val="18"/>
          <w:szCs w:val="18"/>
        </w:rPr>
        <w:t>blik</w:t>
      </w:r>
      <w:r w:rsidRPr="004E0D4B" w:rsidR="00E92910">
        <w:rPr>
          <w:rFonts w:ascii="Verdana" w:hAnsi="Verdana"/>
          <w:sz w:val="18"/>
          <w:szCs w:val="18"/>
        </w:rPr>
        <w:t xml:space="preserve"> te </w:t>
      </w:r>
      <w:r w:rsidRPr="004E0D4B" w:rsidR="00A52B44">
        <w:rPr>
          <w:rFonts w:ascii="Verdana" w:hAnsi="Verdana"/>
          <w:sz w:val="18"/>
          <w:szCs w:val="18"/>
        </w:rPr>
        <w:t xml:space="preserve">zullen </w:t>
      </w:r>
      <w:r w:rsidRPr="004E0D4B" w:rsidR="00E92910">
        <w:rPr>
          <w:rFonts w:ascii="Verdana" w:hAnsi="Verdana"/>
          <w:sz w:val="18"/>
          <w:szCs w:val="18"/>
        </w:rPr>
        <w:t xml:space="preserve">kijken naar </w:t>
      </w:r>
      <w:r w:rsidRPr="004E0D4B" w:rsidR="00A52B44">
        <w:rPr>
          <w:rFonts w:ascii="Verdana" w:hAnsi="Verdana"/>
          <w:sz w:val="18"/>
          <w:szCs w:val="18"/>
        </w:rPr>
        <w:t xml:space="preserve">de voorstellen </w:t>
      </w:r>
      <w:r w:rsidRPr="004E0D4B" w:rsidR="00E92910">
        <w:rPr>
          <w:rFonts w:ascii="Verdana" w:hAnsi="Verdana"/>
          <w:sz w:val="18"/>
          <w:szCs w:val="18"/>
        </w:rPr>
        <w:t xml:space="preserve">en onderstreepte dat het versterken van de Europese defensie-industrie noodzakelijk is om de militaire steun aan Oekraïne te kunnen voortzetten. Het </w:t>
      </w:r>
      <w:r w:rsidRPr="004E0D4B" w:rsidR="00A52B44">
        <w:rPr>
          <w:rFonts w:ascii="Verdana" w:hAnsi="Verdana"/>
          <w:sz w:val="18"/>
          <w:szCs w:val="18"/>
        </w:rPr>
        <w:t xml:space="preserve">kan </w:t>
      </w:r>
      <w:r w:rsidRPr="004E0D4B" w:rsidR="00E92910">
        <w:rPr>
          <w:rFonts w:ascii="Verdana" w:hAnsi="Verdana"/>
          <w:sz w:val="18"/>
          <w:szCs w:val="18"/>
        </w:rPr>
        <w:t xml:space="preserve">ook </w:t>
      </w:r>
      <w:r w:rsidRPr="004E0D4B" w:rsidR="00A52B44">
        <w:rPr>
          <w:rFonts w:ascii="Verdana" w:hAnsi="Verdana"/>
          <w:sz w:val="18"/>
          <w:szCs w:val="18"/>
        </w:rPr>
        <w:t>een belangrijke bijdrage leveren aan de</w:t>
      </w:r>
      <w:r w:rsidRPr="004E0D4B" w:rsidR="00E92910">
        <w:rPr>
          <w:rFonts w:ascii="Verdana" w:hAnsi="Verdana"/>
          <w:sz w:val="18"/>
          <w:szCs w:val="18"/>
        </w:rPr>
        <w:t xml:space="preserve"> </w:t>
      </w:r>
      <w:proofErr w:type="spellStart"/>
      <w:r w:rsidRPr="004E0D4B" w:rsidR="00E92910">
        <w:rPr>
          <w:rFonts w:ascii="Verdana" w:hAnsi="Verdana"/>
          <w:sz w:val="18"/>
          <w:szCs w:val="18"/>
        </w:rPr>
        <w:t>gereed</w:t>
      </w:r>
      <w:r w:rsidRPr="004E0D4B" w:rsidR="00A52B44">
        <w:rPr>
          <w:rFonts w:ascii="Verdana" w:hAnsi="Verdana"/>
          <w:sz w:val="18"/>
          <w:szCs w:val="18"/>
        </w:rPr>
        <w:t>s</w:t>
      </w:r>
      <w:r w:rsidRPr="004E0D4B" w:rsidR="00E92910">
        <w:rPr>
          <w:rFonts w:ascii="Verdana" w:hAnsi="Verdana"/>
          <w:sz w:val="18"/>
          <w:szCs w:val="18"/>
        </w:rPr>
        <w:t>telling</w:t>
      </w:r>
      <w:proofErr w:type="spellEnd"/>
      <w:r w:rsidRPr="004E0D4B" w:rsidR="00E92910">
        <w:rPr>
          <w:rFonts w:ascii="Verdana" w:hAnsi="Verdana"/>
          <w:sz w:val="18"/>
          <w:szCs w:val="18"/>
        </w:rPr>
        <w:t xml:space="preserve"> en slagkracht van de eigen </w:t>
      </w:r>
      <w:r w:rsidRPr="004E0D4B" w:rsidR="00A52B44">
        <w:rPr>
          <w:rFonts w:ascii="Verdana" w:hAnsi="Verdana"/>
          <w:sz w:val="18"/>
          <w:szCs w:val="18"/>
        </w:rPr>
        <w:t xml:space="preserve">Europese </w:t>
      </w:r>
      <w:r w:rsidRPr="004E0D4B" w:rsidR="00E92910">
        <w:rPr>
          <w:rFonts w:ascii="Verdana" w:hAnsi="Verdana"/>
          <w:sz w:val="18"/>
          <w:szCs w:val="18"/>
        </w:rPr>
        <w:t>strijdkrachten in het licht van de verslechterde veiligheidssituatie.</w:t>
      </w:r>
    </w:p>
    <w:p w:rsidRPr="004E0D4B" w:rsidR="00F411B6" w:rsidP="00F411B6" w:rsidRDefault="00F411B6" w14:paraId="1A347FA8" w14:textId="77777777">
      <w:pPr>
        <w:rPr>
          <w:rFonts w:ascii="Verdana" w:hAnsi="Verdana"/>
          <w:bCs/>
          <w:sz w:val="18"/>
          <w:szCs w:val="18"/>
        </w:rPr>
      </w:pPr>
      <w:r w:rsidRPr="004E0D4B">
        <w:rPr>
          <w:rFonts w:ascii="Verdana" w:hAnsi="Verdana"/>
          <w:bCs/>
          <w:sz w:val="18"/>
          <w:szCs w:val="18"/>
        </w:rPr>
        <w:t xml:space="preserve">De </w:t>
      </w:r>
      <w:r w:rsidRPr="004E0D4B" w:rsidR="00A52B44">
        <w:rPr>
          <w:rFonts w:ascii="Verdana" w:hAnsi="Verdana"/>
          <w:bCs/>
          <w:sz w:val="18"/>
          <w:szCs w:val="18"/>
        </w:rPr>
        <w:t>ER benadrukte dat de</w:t>
      </w:r>
      <w:r w:rsidRPr="004E0D4B">
        <w:rPr>
          <w:rFonts w:ascii="Verdana" w:hAnsi="Verdana"/>
          <w:bCs/>
          <w:sz w:val="18"/>
          <w:szCs w:val="18"/>
        </w:rPr>
        <w:t xml:space="preserve"> implementatie van het Strategisch Kompas op het gebied van het vergroten van de Europese defensieparaatheid moet worden versneld. De </w:t>
      </w:r>
      <w:r w:rsidRPr="004E0D4B">
        <w:rPr>
          <w:rFonts w:ascii="Verdana" w:hAnsi="Verdana"/>
          <w:bCs/>
          <w:i/>
          <w:iCs/>
          <w:sz w:val="18"/>
          <w:szCs w:val="18"/>
        </w:rPr>
        <w:t xml:space="preserve">Rapid Deployment </w:t>
      </w:r>
      <w:proofErr w:type="spellStart"/>
      <w:r w:rsidRPr="004E0D4B">
        <w:rPr>
          <w:rFonts w:ascii="Verdana" w:hAnsi="Verdana"/>
          <w:bCs/>
          <w:i/>
          <w:iCs/>
          <w:sz w:val="18"/>
          <w:szCs w:val="18"/>
        </w:rPr>
        <w:t>Capacity</w:t>
      </w:r>
      <w:proofErr w:type="spellEnd"/>
      <w:r w:rsidRPr="004E0D4B">
        <w:rPr>
          <w:rFonts w:ascii="Verdana" w:hAnsi="Verdana"/>
          <w:bCs/>
          <w:sz w:val="18"/>
          <w:szCs w:val="18"/>
        </w:rPr>
        <w:t xml:space="preserve"> van de EU, de militaire mobiliteit, live-oefeningen, het verbeteren van de ruimteveiligheid, het tegengaan van cyber- en hybride dreigingen en het aanpakken van </w:t>
      </w:r>
      <w:proofErr w:type="spellStart"/>
      <w:r w:rsidRPr="004E0D4B">
        <w:rPr>
          <w:rFonts w:ascii="Verdana" w:hAnsi="Verdana"/>
          <w:bCs/>
          <w:i/>
          <w:iCs/>
          <w:sz w:val="18"/>
          <w:szCs w:val="18"/>
        </w:rPr>
        <w:t>Foreign</w:t>
      </w:r>
      <w:proofErr w:type="spellEnd"/>
      <w:r w:rsidRPr="004E0D4B">
        <w:rPr>
          <w:rFonts w:ascii="Verdana" w:hAnsi="Verdana"/>
          <w:bCs/>
          <w:i/>
          <w:iCs/>
          <w:sz w:val="18"/>
          <w:szCs w:val="18"/>
        </w:rPr>
        <w:t xml:space="preserve"> Information </w:t>
      </w:r>
      <w:proofErr w:type="spellStart"/>
      <w:r w:rsidRPr="004E0D4B">
        <w:rPr>
          <w:rFonts w:ascii="Verdana" w:hAnsi="Verdana"/>
          <w:bCs/>
          <w:i/>
          <w:iCs/>
          <w:sz w:val="18"/>
          <w:szCs w:val="18"/>
        </w:rPr>
        <w:t>Manipulation</w:t>
      </w:r>
      <w:proofErr w:type="spellEnd"/>
      <w:r w:rsidRPr="004E0D4B">
        <w:rPr>
          <w:rFonts w:ascii="Verdana" w:hAnsi="Verdana"/>
          <w:bCs/>
          <w:i/>
          <w:iCs/>
          <w:sz w:val="18"/>
          <w:szCs w:val="18"/>
        </w:rPr>
        <w:t xml:space="preserve"> </w:t>
      </w:r>
      <w:proofErr w:type="spellStart"/>
      <w:r w:rsidRPr="004E0D4B">
        <w:rPr>
          <w:rFonts w:ascii="Verdana" w:hAnsi="Verdana"/>
          <w:bCs/>
          <w:i/>
          <w:iCs/>
          <w:sz w:val="18"/>
          <w:szCs w:val="18"/>
        </w:rPr>
        <w:t>and</w:t>
      </w:r>
      <w:proofErr w:type="spellEnd"/>
      <w:r w:rsidRPr="004E0D4B">
        <w:rPr>
          <w:rFonts w:ascii="Verdana" w:hAnsi="Verdana"/>
          <w:bCs/>
          <w:i/>
          <w:iCs/>
          <w:sz w:val="18"/>
          <w:szCs w:val="18"/>
        </w:rPr>
        <w:t xml:space="preserve"> </w:t>
      </w:r>
      <w:proofErr w:type="spellStart"/>
      <w:r w:rsidRPr="004E0D4B">
        <w:rPr>
          <w:rFonts w:ascii="Verdana" w:hAnsi="Verdana"/>
          <w:bCs/>
          <w:i/>
          <w:iCs/>
          <w:sz w:val="18"/>
          <w:szCs w:val="18"/>
        </w:rPr>
        <w:t>Interference</w:t>
      </w:r>
      <w:proofErr w:type="spellEnd"/>
      <w:r w:rsidRPr="004E0D4B">
        <w:rPr>
          <w:rFonts w:ascii="Verdana" w:hAnsi="Verdana"/>
          <w:bCs/>
          <w:sz w:val="18"/>
          <w:szCs w:val="18"/>
        </w:rPr>
        <w:t xml:space="preserve"> (FIMI) zijn in dat opzicht van bijzonder belang.</w:t>
      </w:r>
    </w:p>
    <w:p w:rsidRPr="004E0D4B" w:rsidR="00F411B6" w:rsidP="00F411B6" w:rsidRDefault="00F411B6" w14:paraId="6B121CAE" w14:textId="36E65F0A">
      <w:pPr>
        <w:rPr>
          <w:rFonts w:ascii="Verdana" w:hAnsi="Verdana"/>
          <w:bCs/>
          <w:sz w:val="18"/>
          <w:szCs w:val="18"/>
        </w:rPr>
      </w:pPr>
      <w:r w:rsidRPr="004E0D4B">
        <w:rPr>
          <w:rFonts w:ascii="Verdana" w:hAnsi="Verdana"/>
          <w:bCs/>
          <w:sz w:val="18"/>
          <w:szCs w:val="18"/>
        </w:rPr>
        <w:lastRenderedPageBreak/>
        <w:t xml:space="preserve">De </w:t>
      </w:r>
      <w:r w:rsidRPr="004E0D4B" w:rsidR="00C20C5B">
        <w:rPr>
          <w:rFonts w:ascii="Verdana" w:hAnsi="Verdana"/>
          <w:bCs/>
          <w:sz w:val="18"/>
          <w:szCs w:val="18"/>
        </w:rPr>
        <w:t>ER</w:t>
      </w:r>
      <w:r w:rsidRPr="004E0D4B">
        <w:rPr>
          <w:rFonts w:ascii="Verdana" w:hAnsi="Verdana"/>
          <w:bCs/>
          <w:sz w:val="18"/>
          <w:szCs w:val="18"/>
        </w:rPr>
        <w:t xml:space="preserve"> benadrukt</w:t>
      </w:r>
      <w:r w:rsidRPr="004E0D4B" w:rsidR="00070F24">
        <w:rPr>
          <w:rFonts w:ascii="Verdana" w:hAnsi="Verdana"/>
          <w:bCs/>
          <w:sz w:val="18"/>
          <w:szCs w:val="18"/>
        </w:rPr>
        <w:t>e</w:t>
      </w:r>
      <w:r w:rsidRPr="004E0D4B">
        <w:rPr>
          <w:rFonts w:ascii="Verdana" w:hAnsi="Verdana"/>
          <w:bCs/>
          <w:sz w:val="18"/>
          <w:szCs w:val="18"/>
        </w:rPr>
        <w:t xml:space="preserve"> de noodzaak van een beter gecoördineerde militaire en civiele paraatheid en strategische crisisbeheersing. De ER verzo</w:t>
      </w:r>
      <w:r w:rsidRPr="004E0D4B" w:rsidR="00070F24">
        <w:rPr>
          <w:rFonts w:ascii="Verdana" w:hAnsi="Verdana"/>
          <w:bCs/>
          <w:sz w:val="18"/>
          <w:szCs w:val="18"/>
        </w:rPr>
        <w:t>cht</w:t>
      </w:r>
      <w:r w:rsidRPr="004E0D4B">
        <w:rPr>
          <w:rFonts w:ascii="Verdana" w:hAnsi="Verdana"/>
          <w:bCs/>
          <w:sz w:val="18"/>
          <w:szCs w:val="18"/>
        </w:rPr>
        <w:t xml:space="preserve"> de Commissie om samen met de Hoge Vertegenwoordiger maatregelen voor te stellen om de paraatheid en crisisrespons op EU-niveau te versterken rekening houdend met de verantwoordelijkheden en bevoegdheden van de lidstaten.</w:t>
      </w:r>
    </w:p>
    <w:p w:rsidRPr="004E0D4B" w:rsidR="00F411B6" w:rsidP="00F411B6" w:rsidRDefault="00F411B6" w14:paraId="30E33872" w14:textId="4C34CB12">
      <w:pPr>
        <w:rPr>
          <w:rFonts w:ascii="Verdana" w:hAnsi="Verdana"/>
          <w:bCs/>
          <w:sz w:val="18"/>
          <w:szCs w:val="18"/>
        </w:rPr>
      </w:pPr>
      <w:r w:rsidRPr="004E0D4B">
        <w:rPr>
          <w:rFonts w:ascii="Verdana" w:hAnsi="Verdana"/>
          <w:bCs/>
          <w:sz w:val="18"/>
          <w:szCs w:val="18"/>
        </w:rPr>
        <w:t xml:space="preserve">Een sterkere en capabelere </w:t>
      </w:r>
      <w:r w:rsidRPr="004E0D4B" w:rsidR="00A2187C">
        <w:rPr>
          <w:rFonts w:ascii="Verdana" w:hAnsi="Verdana"/>
          <w:bCs/>
          <w:sz w:val="18"/>
          <w:szCs w:val="18"/>
        </w:rPr>
        <w:t>EU</w:t>
      </w:r>
      <w:r w:rsidRPr="004E0D4B">
        <w:rPr>
          <w:rFonts w:ascii="Verdana" w:hAnsi="Verdana"/>
          <w:bCs/>
          <w:sz w:val="18"/>
          <w:szCs w:val="18"/>
        </w:rPr>
        <w:t xml:space="preserve"> op het gebied van veiligheid en defensie zal een positieve bijdrage leveren aan de mondiale en trans-Atlantische veiligheid en is complementair aan de NAVO die voor haar leden de basis blijft van de collectieve defensie.</w:t>
      </w:r>
    </w:p>
    <w:p w:rsidRPr="004E0D4B" w:rsidR="0059710E" w:rsidP="0059710E" w:rsidRDefault="006667AC" w14:paraId="4EAD587B" w14:textId="07F9C767">
      <w:pPr>
        <w:rPr>
          <w:rFonts w:ascii="Verdana" w:hAnsi="Verdana"/>
          <w:i/>
          <w:sz w:val="18"/>
          <w:szCs w:val="18"/>
        </w:rPr>
      </w:pPr>
      <w:r w:rsidRPr="004E0D4B">
        <w:rPr>
          <w:rFonts w:ascii="Verdana" w:hAnsi="Verdana"/>
          <w:i/>
          <w:iCs/>
          <w:sz w:val="18"/>
          <w:szCs w:val="18"/>
        </w:rPr>
        <w:t>Toezegging aan</w:t>
      </w:r>
      <w:r w:rsidRPr="004E0D4B" w:rsidR="007A380D">
        <w:rPr>
          <w:rFonts w:ascii="Verdana" w:hAnsi="Verdana"/>
          <w:i/>
          <w:iCs/>
          <w:sz w:val="18"/>
          <w:szCs w:val="18"/>
        </w:rPr>
        <w:t xml:space="preserve"> het</w:t>
      </w:r>
      <w:r w:rsidRPr="004E0D4B">
        <w:rPr>
          <w:rFonts w:ascii="Verdana" w:hAnsi="Verdana"/>
          <w:i/>
          <w:iCs/>
          <w:sz w:val="18"/>
          <w:szCs w:val="18"/>
        </w:rPr>
        <w:t xml:space="preserve"> lid</w:t>
      </w:r>
      <w:r w:rsidR="00AF0430">
        <w:rPr>
          <w:rFonts w:ascii="Verdana" w:hAnsi="Verdana"/>
          <w:i/>
          <w:iCs/>
          <w:sz w:val="18"/>
          <w:szCs w:val="18"/>
        </w:rPr>
        <w:t xml:space="preserve"> </w:t>
      </w:r>
      <w:r w:rsidRPr="004E0D4B">
        <w:rPr>
          <w:rFonts w:ascii="Verdana" w:hAnsi="Verdana"/>
          <w:i/>
          <w:iCs/>
          <w:sz w:val="18"/>
          <w:szCs w:val="18"/>
        </w:rPr>
        <w:t>Tuinman n</w:t>
      </w:r>
      <w:r w:rsidRPr="004E0D4B" w:rsidR="00271018">
        <w:rPr>
          <w:rFonts w:ascii="Verdana" w:hAnsi="Verdana"/>
          <w:i/>
          <w:iCs/>
          <w:sz w:val="18"/>
          <w:szCs w:val="18"/>
        </w:rPr>
        <w:t xml:space="preserve">aar </w:t>
      </w:r>
      <w:r w:rsidRPr="004E0D4B">
        <w:rPr>
          <w:rFonts w:ascii="Verdana" w:hAnsi="Verdana"/>
          <w:i/>
          <w:iCs/>
          <w:sz w:val="18"/>
          <w:szCs w:val="18"/>
        </w:rPr>
        <w:t>a</w:t>
      </w:r>
      <w:r w:rsidRPr="004E0D4B" w:rsidR="00271018">
        <w:rPr>
          <w:rFonts w:ascii="Verdana" w:hAnsi="Verdana"/>
          <w:i/>
          <w:iCs/>
          <w:sz w:val="18"/>
          <w:szCs w:val="18"/>
        </w:rPr>
        <w:t xml:space="preserve">anleiding </w:t>
      </w:r>
      <w:r w:rsidRPr="004E0D4B">
        <w:rPr>
          <w:rFonts w:ascii="Verdana" w:hAnsi="Verdana"/>
          <w:i/>
          <w:iCs/>
          <w:sz w:val="18"/>
          <w:szCs w:val="18"/>
        </w:rPr>
        <w:t>v</w:t>
      </w:r>
      <w:r w:rsidRPr="004E0D4B" w:rsidR="00271018">
        <w:rPr>
          <w:rFonts w:ascii="Verdana" w:hAnsi="Verdana"/>
          <w:i/>
          <w:iCs/>
          <w:sz w:val="18"/>
          <w:szCs w:val="18"/>
        </w:rPr>
        <w:t>an</w:t>
      </w:r>
      <w:r w:rsidRPr="004E0D4B">
        <w:rPr>
          <w:rFonts w:ascii="Verdana" w:hAnsi="Verdana"/>
          <w:i/>
          <w:iCs/>
          <w:sz w:val="18"/>
          <w:szCs w:val="18"/>
        </w:rPr>
        <w:t xml:space="preserve"> plenair debat ER d.d. 19 maart jl.</w:t>
      </w:r>
      <w:r w:rsidRPr="004E0D4B">
        <w:rPr>
          <w:rFonts w:ascii="Verdana" w:hAnsi="Verdana"/>
          <w:i/>
          <w:iCs/>
          <w:sz w:val="18"/>
          <w:szCs w:val="18"/>
        </w:rPr>
        <w:br/>
      </w:r>
      <w:r w:rsidRPr="004E0D4B" w:rsidR="0059710E">
        <w:rPr>
          <w:rFonts w:ascii="Verdana" w:hAnsi="Verdana"/>
          <w:sz w:val="18"/>
          <w:szCs w:val="18"/>
        </w:rPr>
        <w:t>Het kabinet zal zich in het kader van de mededeling (Europese Defensie-Industrie Strategie) en de verordening (Europese Defensie-Industrie Programma) hard maken voor de positionering van de Nederlandse Technologische en Industriële Basis, conform de Defensie-Industrie Strategie.</w:t>
      </w:r>
      <w:r w:rsidRPr="004E0D4B" w:rsidR="0059710E">
        <w:rPr>
          <w:rStyle w:val="FootnoteReference"/>
          <w:rFonts w:ascii="Verdana" w:hAnsi="Verdana"/>
          <w:sz w:val="18"/>
          <w:szCs w:val="18"/>
        </w:rPr>
        <w:footnoteReference w:id="7"/>
      </w:r>
      <w:r w:rsidRPr="004E0D4B" w:rsidR="0059710E">
        <w:rPr>
          <w:rFonts w:ascii="Verdana" w:hAnsi="Verdana"/>
          <w:sz w:val="18"/>
          <w:szCs w:val="18"/>
        </w:rPr>
        <w:t xml:space="preserve"> Nederland heeft een hoogtechnologische en innovatieve defensie-industrie die bestaat uit een aantal </w:t>
      </w:r>
      <w:r w:rsidRPr="004E0D4B" w:rsidR="0059710E">
        <w:rPr>
          <w:rFonts w:ascii="Verdana" w:hAnsi="Verdana"/>
          <w:i/>
          <w:iCs/>
          <w:sz w:val="18"/>
          <w:szCs w:val="18"/>
        </w:rPr>
        <w:t xml:space="preserve">Original Equipment </w:t>
      </w:r>
      <w:proofErr w:type="spellStart"/>
      <w:r w:rsidRPr="004E0D4B" w:rsidR="0059710E">
        <w:rPr>
          <w:rFonts w:ascii="Verdana" w:hAnsi="Verdana"/>
          <w:i/>
          <w:iCs/>
          <w:sz w:val="18"/>
          <w:szCs w:val="18"/>
        </w:rPr>
        <w:t>Manufacturers</w:t>
      </w:r>
      <w:proofErr w:type="spellEnd"/>
      <w:r w:rsidRPr="004E0D4B" w:rsidR="0059710E">
        <w:rPr>
          <w:rFonts w:ascii="Verdana" w:hAnsi="Verdana"/>
          <w:i/>
          <w:iCs/>
          <w:sz w:val="18"/>
          <w:szCs w:val="18"/>
        </w:rPr>
        <w:t xml:space="preserve"> </w:t>
      </w:r>
      <w:r w:rsidRPr="004E0D4B" w:rsidR="0059710E">
        <w:rPr>
          <w:rFonts w:ascii="Verdana" w:hAnsi="Verdana"/>
          <w:sz w:val="18"/>
          <w:szCs w:val="18"/>
        </w:rPr>
        <w:t>(</w:t>
      </w:r>
      <w:proofErr w:type="spellStart"/>
      <w:r w:rsidRPr="004E0D4B" w:rsidR="0059710E">
        <w:rPr>
          <w:rFonts w:ascii="Verdana" w:hAnsi="Verdana"/>
          <w:sz w:val="18"/>
          <w:szCs w:val="18"/>
        </w:rPr>
        <w:t>OEMs</w:t>
      </w:r>
      <w:proofErr w:type="spellEnd"/>
      <w:r w:rsidRPr="004E0D4B" w:rsidR="0059710E">
        <w:rPr>
          <w:rFonts w:ascii="Verdana" w:hAnsi="Verdana"/>
          <w:sz w:val="18"/>
          <w:szCs w:val="18"/>
        </w:rPr>
        <w:t>), maar vooral uit toeleverende (middel- en klein)bedrijven. Voor Nederlandse bedrijven is het essentieel om een eerlijke kans te krijgen om toe te kunnen treden tot de toeleveringsketens van grote Europese producenten van eindproducten. Over het algemeen hebben de ketens nu nog een nationaal en gesloten karakter. Het kabinet acht het in het kader van de mededeling en de verordening daarom van belang dat grensoverschrijdende industriële samenwerking een centraal element vormt in de initiatieven die worden ontplooid op het gebied van gezamenlijke aanschaf, capaciteitsontwikkeling, materieelsamenwerking, productiecapaciteit en leveringszekerheid. Uiteindelijk moet dit leiden tot het Europeaniseren van defensietoeleveringsketens, meer concurrentie en een gelijk speelveld.</w:t>
      </w:r>
    </w:p>
    <w:p w:rsidRPr="004E0D4B" w:rsidR="009B29D0" w:rsidP="009B29D0" w:rsidRDefault="009B29D0" w14:paraId="17F9435C" w14:textId="77777777">
      <w:pPr>
        <w:spacing w:after="0" w:line="240" w:lineRule="auto"/>
        <w:rPr>
          <w:rFonts w:ascii="Verdana" w:hAnsi="Verdana"/>
          <w:i/>
          <w:sz w:val="18"/>
          <w:szCs w:val="18"/>
        </w:rPr>
      </w:pPr>
      <w:r w:rsidRPr="004E0D4B">
        <w:rPr>
          <w:rFonts w:ascii="Verdana" w:hAnsi="Verdana"/>
          <w:i/>
          <w:sz w:val="18"/>
          <w:szCs w:val="18"/>
        </w:rPr>
        <w:t>Midden-Oosten</w:t>
      </w:r>
    </w:p>
    <w:p w:rsidRPr="004E0D4B" w:rsidR="00402052" w:rsidP="00402052" w:rsidRDefault="00402052" w14:paraId="5099E102" w14:textId="7A7FFEAC">
      <w:pPr>
        <w:rPr>
          <w:rFonts w:ascii="Verdana" w:hAnsi="Verdana"/>
          <w:bCs/>
          <w:sz w:val="18"/>
          <w:szCs w:val="18"/>
        </w:rPr>
      </w:pPr>
      <w:r w:rsidRPr="004E0D4B">
        <w:rPr>
          <w:rFonts w:ascii="Verdana" w:hAnsi="Verdana"/>
          <w:bCs/>
          <w:sz w:val="18"/>
          <w:szCs w:val="18"/>
        </w:rPr>
        <w:t>De E</w:t>
      </w:r>
      <w:r w:rsidRPr="004E0D4B" w:rsidR="00152181">
        <w:rPr>
          <w:rFonts w:ascii="Verdana" w:hAnsi="Verdana"/>
          <w:bCs/>
          <w:sz w:val="18"/>
          <w:szCs w:val="18"/>
        </w:rPr>
        <w:t>R</w:t>
      </w:r>
      <w:r w:rsidRPr="004E0D4B">
        <w:rPr>
          <w:rFonts w:ascii="Verdana" w:hAnsi="Verdana"/>
          <w:bCs/>
          <w:sz w:val="18"/>
          <w:szCs w:val="18"/>
        </w:rPr>
        <w:t xml:space="preserve"> besprak de recente ontwikkelingen in het Midden-Oosten en sprak uit geschokt te zijn door het ongekende verlies aan burgerlevens en de kritieke humanitaire situatie.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070F24">
        <w:rPr>
          <w:rFonts w:ascii="Verdana" w:hAnsi="Verdana"/>
          <w:bCs/>
          <w:sz w:val="18"/>
          <w:szCs w:val="18"/>
        </w:rPr>
        <w:t>iep</w:t>
      </w:r>
      <w:r w:rsidRPr="004E0D4B">
        <w:rPr>
          <w:rFonts w:ascii="Verdana" w:hAnsi="Verdana"/>
          <w:bCs/>
          <w:sz w:val="18"/>
          <w:szCs w:val="18"/>
        </w:rPr>
        <w:t xml:space="preserve"> op tot een onmiddellijke humanitaire pauze die moet leiden tot een duurzaam staakt-het-vuren, de onvoorwaardelijke vrijlating van alle gijzelaars en het verlenen van </w:t>
      </w:r>
      <w:r w:rsidRPr="004E0D4B" w:rsidR="00795C69">
        <w:rPr>
          <w:rFonts w:ascii="Verdana" w:hAnsi="Verdana"/>
          <w:sz w:val="18"/>
          <w:szCs w:val="18"/>
        </w:rPr>
        <w:t>volledige en ongehinderde toegang van</w:t>
      </w:r>
      <w:r w:rsidRPr="004E0D4B" w:rsidR="00795C69">
        <w:rPr>
          <w:rFonts w:ascii="Verdana" w:hAnsi="Verdana"/>
          <w:bCs/>
          <w:sz w:val="18"/>
          <w:szCs w:val="18"/>
        </w:rPr>
        <w:t xml:space="preserve"> </w:t>
      </w:r>
      <w:r w:rsidRPr="004E0D4B">
        <w:rPr>
          <w:rFonts w:ascii="Verdana" w:hAnsi="Verdana"/>
          <w:bCs/>
          <w:sz w:val="18"/>
          <w:szCs w:val="18"/>
        </w:rPr>
        <w:t>humanitaire hulp.</w:t>
      </w:r>
    </w:p>
    <w:p w:rsidRPr="004E0D4B" w:rsidR="00402052" w:rsidP="00402052" w:rsidRDefault="00402052" w14:paraId="3A59F998" w14:textId="19250740">
      <w:pPr>
        <w:rPr>
          <w:rFonts w:ascii="Verdana" w:hAnsi="Verdana"/>
          <w:bCs/>
          <w:sz w:val="18"/>
          <w:szCs w:val="18"/>
        </w:rPr>
      </w:pPr>
      <w:r w:rsidRPr="004E0D4B">
        <w:rPr>
          <w:rFonts w:ascii="Verdana" w:hAnsi="Verdana"/>
          <w:bCs/>
          <w:sz w:val="18"/>
          <w:szCs w:val="18"/>
        </w:rPr>
        <w:t>De E</w:t>
      </w:r>
      <w:r w:rsidRPr="004E0D4B" w:rsidR="00152181">
        <w:rPr>
          <w:rFonts w:ascii="Verdana" w:hAnsi="Verdana"/>
          <w:bCs/>
          <w:sz w:val="18"/>
          <w:szCs w:val="18"/>
        </w:rPr>
        <w:t>R</w:t>
      </w:r>
      <w:r w:rsidRPr="004E0D4B">
        <w:rPr>
          <w:rFonts w:ascii="Verdana" w:hAnsi="Verdana"/>
          <w:bCs/>
          <w:sz w:val="18"/>
          <w:szCs w:val="18"/>
        </w:rPr>
        <w:t xml:space="preserve"> bevestigde de eerdere conclusies, waarin Hamas in de sterkst mogelijke bewoordingen wordt veroordeeld voor zijn brute terroristische aanslagen in Israël op 7 oktober 2023, waarbij het recht van Israël wordt erkend om zichzelf te verdedigen in overeenstemming met het internationaal recht en het internationaal humanitair recht, en wordt opgeroepen tot de onmiddellijke vrijlating van alle gijzelaars zonder enige voorafgaande voorwaarde. Hun veiligheid en welzijn zijn van groot belang.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070F24">
        <w:rPr>
          <w:rFonts w:ascii="Verdana" w:hAnsi="Verdana"/>
          <w:bCs/>
          <w:sz w:val="18"/>
          <w:szCs w:val="18"/>
        </w:rPr>
        <w:t>iep</w:t>
      </w:r>
      <w:r w:rsidRPr="004E0D4B">
        <w:rPr>
          <w:rFonts w:ascii="Verdana" w:hAnsi="Verdana"/>
          <w:bCs/>
          <w:sz w:val="18"/>
          <w:szCs w:val="18"/>
        </w:rPr>
        <w:t xml:space="preserve"> de Raad op om de werkzaamheden voor verdere beperkende maatregelen tegen Hamas te bespoedigen.</w:t>
      </w:r>
    </w:p>
    <w:p w:rsidRPr="004E0D4B" w:rsidR="00402052" w:rsidP="00402052" w:rsidRDefault="00402052" w14:paraId="28C91D54" w14:textId="720322AB">
      <w:pPr>
        <w:rPr>
          <w:rFonts w:ascii="Verdana" w:hAnsi="Verdana"/>
          <w:bCs/>
          <w:sz w:val="18"/>
          <w:szCs w:val="18"/>
        </w:rPr>
      </w:pPr>
      <w:r w:rsidRPr="004E0D4B">
        <w:rPr>
          <w:rFonts w:ascii="Verdana" w:hAnsi="Verdana"/>
          <w:bCs/>
          <w:sz w:val="18"/>
          <w:szCs w:val="18"/>
        </w:rPr>
        <w:t xml:space="preserve">De </w:t>
      </w:r>
      <w:r w:rsidRPr="004E0D4B" w:rsidR="00C20C5B">
        <w:rPr>
          <w:rFonts w:ascii="Verdana" w:hAnsi="Verdana"/>
          <w:bCs/>
          <w:sz w:val="18"/>
          <w:szCs w:val="18"/>
        </w:rPr>
        <w:t>ER</w:t>
      </w:r>
      <w:r w:rsidRPr="004E0D4B">
        <w:rPr>
          <w:rFonts w:ascii="Verdana" w:hAnsi="Verdana"/>
          <w:bCs/>
          <w:sz w:val="18"/>
          <w:szCs w:val="18"/>
        </w:rPr>
        <w:t xml:space="preserve"> is ernstig bezorgd over de catastrofale humanitaire situatie in Gaza en de onevenredige gevolgen daarvan voor burgers, met name kinderen, en over het onmiddellijke gevaar van hongersnood. Volledige, snelle, veilige en ongehinderde humanitaire toegang tot en door de Gazastrook via alle toegangen is essentieel om de burgerbevolking op grote schaal te kunnen voorzien van voedsel, levensreddende hulp en basisdiensten. De </w:t>
      </w:r>
      <w:r w:rsidRPr="004E0D4B" w:rsidR="00C20C5B">
        <w:rPr>
          <w:rFonts w:ascii="Verdana" w:hAnsi="Verdana"/>
          <w:bCs/>
          <w:sz w:val="18"/>
          <w:szCs w:val="18"/>
        </w:rPr>
        <w:t>ER</w:t>
      </w:r>
      <w:r w:rsidRPr="004E0D4B">
        <w:rPr>
          <w:rFonts w:ascii="Verdana" w:hAnsi="Verdana"/>
          <w:bCs/>
          <w:sz w:val="18"/>
          <w:szCs w:val="18"/>
        </w:rPr>
        <w:t xml:space="preserve"> sprak steun uit voor het </w:t>
      </w:r>
      <w:proofErr w:type="spellStart"/>
      <w:r w:rsidRPr="004E0D4B">
        <w:rPr>
          <w:rFonts w:ascii="Verdana" w:hAnsi="Verdana"/>
          <w:bCs/>
          <w:sz w:val="18"/>
          <w:szCs w:val="18"/>
        </w:rPr>
        <w:t>Amalthea</w:t>
      </w:r>
      <w:proofErr w:type="spellEnd"/>
      <w:r w:rsidRPr="004E0D4B">
        <w:rPr>
          <w:rFonts w:ascii="Verdana" w:hAnsi="Verdana"/>
          <w:bCs/>
          <w:sz w:val="18"/>
          <w:szCs w:val="18"/>
        </w:rPr>
        <w:t xml:space="preserve">-initiatief, dat een maritieme route opent voor noodhulp van Cyprus naar Gaza, als aanvulling op de landroutes die de belangrijkste manier blijven om de benodigde volumes te leveren. </w:t>
      </w:r>
    </w:p>
    <w:p w:rsidRPr="004E0D4B" w:rsidR="00402052" w:rsidP="00402052" w:rsidRDefault="00402052" w14:paraId="4676E294" w14:textId="62780BDA">
      <w:pPr>
        <w:rPr>
          <w:rFonts w:ascii="Verdana" w:hAnsi="Verdana"/>
          <w:bCs/>
          <w:sz w:val="18"/>
          <w:szCs w:val="18"/>
        </w:rPr>
      </w:pPr>
      <w:r w:rsidRPr="004E0D4B">
        <w:rPr>
          <w:rFonts w:ascii="Verdana" w:hAnsi="Verdana"/>
          <w:bCs/>
          <w:sz w:val="18"/>
          <w:szCs w:val="18"/>
        </w:rPr>
        <w:t xml:space="preserve">Er moeten onmiddellijk maatregelen worden genomen om verdere ontheemding van de bevolking te voorkomen, veilig onderdak te bieden aan mensen die hun huis hebben moeten verlaten en ervoor te zorgen dat burgers te allen tijde worden beschermd. De </w:t>
      </w:r>
      <w:r w:rsidRPr="004E0D4B" w:rsidR="00C20C5B">
        <w:rPr>
          <w:rFonts w:ascii="Verdana" w:hAnsi="Verdana"/>
          <w:bCs/>
          <w:sz w:val="18"/>
          <w:szCs w:val="18"/>
        </w:rPr>
        <w:t>ER</w:t>
      </w:r>
      <w:r w:rsidRPr="004E0D4B">
        <w:rPr>
          <w:rFonts w:ascii="Verdana" w:hAnsi="Verdana"/>
          <w:bCs/>
          <w:sz w:val="18"/>
          <w:szCs w:val="18"/>
        </w:rPr>
        <w:t xml:space="preserve"> dringt er bij de Israëlische regering op aan geen grondoperatie in Rafah uit te voeren, die de toch al catastrofale humanitaire situatie zou verergeren en de dringend noodzakelijke verstrekking van basisdiensten en humanitaire hulp zou verhinderen. Meer dan een miljoen Palestijnen zoeken momenteel veiligheid tegen de gevechten en toegang tot humanitaire hulp daar.</w:t>
      </w:r>
    </w:p>
    <w:p w:rsidRPr="004E0D4B" w:rsidR="00402052" w:rsidP="00402052" w:rsidRDefault="00402052" w14:paraId="59DF110B" w14:textId="70A627BF">
      <w:pPr>
        <w:rPr>
          <w:rFonts w:ascii="Verdana" w:hAnsi="Verdana"/>
          <w:bCs/>
          <w:sz w:val="18"/>
          <w:szCs w:val="18"/>
        </w:rPr>
      </w:pPr>
      <w:r w:rsidRPr="004E0D4B">
        <w:rPr>
          <w:rFonts w:ascii="Verdana" w:hAnsi="Verdana"/>
          <w:bCs/>
          <w:sz w:val="18"/>
          <w:szCs w:val="18"/>
        </w:rPr>
        <w:t xml:space="preserve">Alle partijen moeten het internationaal recht respecteren, inclusief het internationaal humanitair recht en het internationaal recht op het gebied van de mensenrechten. De </w:t>
      </w:r>
      <w:r w:rsidRPr="004E0D4B" w:rsidR="00C20C5B">
        <w:rPr>
          <w:rFonts w:ascii="Verdana" w:hAnsi="Verdana"/>
          <w:bCs/>
          <w:sz w:val="18"/>
          <w:szCs w:val="18"/>
        </w:rPr>
        <w:t>ER</w:t>
      </w:r>
      <w:r w:rsidRPr="004E0D4B">
        <w:rPr>
          <w:rFonts w:ascii="Verdana" w:hAnsi="Verdana"/>
          <w:bCs/>
          <w:sz w:val="18"/>
          <w:szCs w:val="18"/>
        </w:rPr>
        <w:t xml:space="preserve"> benadrukt</w:t>
      </w:r>
      <w:r w:rsidRPr="004E0D4B" w:rsidR="00070F24">
        <w:rPr>
          <w:rFonts w:ascii="Verdana" w:hAnsi="Verdana"/>
          <w:bCs/>
          <w:sz w:val="18"/>
          <w:szCs w:val="18"/>
        </w:rPr>
        <w:t>e</w:t>
      </w:r>
      <w:r w:rsidRPr="004E0D4B">
        <w:rPr>
          <w:rFonts w:ascii="Verdana" w:hAnsi="Verdana"/>
          <w:bCs/>
          <w:sz w:val="18"/>
          <w:szCs w:val="18"/>
        </w:rPr>
        <w:t xml:space="preserve"> het </w:t>
      </w:r>
      <w:r w:rsidRPr="004E0D4B">
        <w:rPr>
          <w:rFonts w:ascii="Verdana" w:hAnsi="Verdana"/>
          <w:bCs/>
          <w:sz w:val="18"/>
          <w:szCs w:val="18"/>
        </w:rPr>
        <w:lastRenderedPageBreak/>
        <w:t xml:space="preserve">belang van het respecteren en uitvoeren van </w:t>
      </w:r>
      <w:r w:rsidRPr="004E0D4B" w:rsidR="00954422">
        <w:rPr>
          <w:rFonts w:ascii="Verdana" w:hAnsi="Verdana"/>
          <w:bCs/>
          <w:sz w:val="18"/>
          <w:szCs w:val="18"/>
        </w:rPr>
        <w:t>de uitspraak</w:t>
      </w:r>
      <w:r w:rsidRPr="004E0D4B">
        <w:rPr>
          <w:rFonts w:ascii="Verdana" w:hAnsi="Verdana"/>
          <w:bCs/>
          <w:sz w:val="18"/>
          <w:szCs w:val="18"/>
        </w:rPr>
        <w:t xml:space="preserve"> van het Internationaal Gerechtshof van 26 januari 2024, d</w:t>
      </w:r>
      <w:r w:rsidRPr="004E0D4B" w:rsidR="00954422">
        <w:rPr>
          <w:rFonts w:ascii="Verdana" w:hAnsi="Verdana"/>
          <w:bCs/>
          <w:sz w:val="18"/>
          <w:szCs w:val="18"/>
        </w:rPr>
        <w:t>ie</w:t>
      </w:r>
      <w:r w:rsidRPr="004E0D4B">
        <w:rPr>
          <w:rFonts w:ascii="Verdana" w:hAnsi="Verdana"/>
          <w:bCs/>
          <w:sz w:val="18"/>
          <w:szCs w:val="18"/>
        </w:rPr>
        <w:t xml:space="preserve"> juridisch bindend is. Schendingen van het internationaal humanitair recht moeten grondig en onafhankelijk worden onderzocht. De </w:t>
      </w:r>
      <w:r w:rsidRPr="004E0D4B" w:rsidR="00C20C5B">
        <w:rPr>
          <w:rFonts w:ascii="Verdana" w:hAnsi="Verdana"/>
          <w:bCs/>
          <w:sz w:val="18"/>
          <w:szCs w:val="18"/>
        </w:rPr>
        <w:t>ER</w:t>
      </w:r>
      <w:r w:rsidRPr="004E0D4B">
        <w:rPr>
          <w:rFonts w:ascii="Verdana" w:hAnsi="Verdana"/>
          <w:bCs/>
          <w:sz w:val="18"/>
          <w:szCs w:val="18"/>
        </w:rPr>
        <w:t xml:space="preserve"> neemt met grote bezorgdheid nota van de rapporten van de speciale vertegenwoordiger van de VN, </w:t>
      </w:r>
      <w:proofErr w:type="spellStart"/>
      <w:r w:rsidRPr="004E0D4B">
        <w:rPr>
          <w:rFonts w:ascii="Verdana" w:hAnsi="Verdana"/>
          <w:bCs/>
          <w:sz w:val="18"/>
          <w:szCs w:val="18"/>
        </w:rPr>
        <w:t>Pramila</w:t>
      </w:r>
      <w:proofErr w:type="spellEnd"/>
      <w:r w:rsidRPr="004E0D4B">
        <w:rPr>
          <w:rFonts w:ascii="Verdana" w:hAnsi="Verdana"/>
          <w:bCs/>
          <w:sz w:val="18"/>
          <w:szCs w:val="18"/>
        </w:rPr>
        <w:t xml:space="preserve"> Patten, en is geschokt door het seksuele geweld tijdens en na de aanslagen van 7 oktober. De </w:t>
      </w:r>
      <w:r w:rsidRPr="004E0D4B" w:rsidR="00A2187C">
        <w:rPr>
          <w:rFonts w:ascii="Verdana" w:hAnsi="Verdana"/>
          <w:bCs/>
          <w:sz w:val="18"/>
          <w:szCs w:val="18"/>
        </w:rPr>
        <w:t>EU</w:t>
      </w:r>
      <w:r w:rsidRPr="004E0D4B">
        <w:rPr>
          <w:rFonts w:ascii="Verdana" w:hAnsi="Verdana"/>
          <w:bCs/>
          <w:sz w:val="18"/>
          <w:szCs w:val="18"/>
        </w:rPr>
        <w:t xml:space="preserve"> steunt onafhankelijke onderzoeken naar alle beschuldigingen van seksueel geweld.</w:t>
      </w:r>
    </w:p>
    <w:p w:rsidRPr="004E0D4B" w:rsidR="00402052" w:rsidP="00402052" w:rsidRDefault="00402052" w14:paraId="5D9DC58F" w14:textId="39ABD365">
      <w:pPr>
        <w:rPr>
          <w:rFonts w:ascii="Verdana" w:hAnsi="Verdana"/>
          <w:bCs/>
          <w:sz w:val="18"/>
          <w:szCs w:val="18"/>
        </w:rPr>
      </w:pPr>
      <w:r w:rsidRPr="004E0D4B">
        <w:rPr>
          <w:rFonts w:ascii="Verdana" w:hAnsi="Verdana"/>
          <w:bCs/>
          <w:sz w:val="18"/>
          <w:szCs w:val="18"/>
        </w:rPr>
        <w:t xml:space="preserve">De </w:t>
      </w:r>
      <w:r w:rsidRPr="004E0D4B" w:rsidR="00C20C5B">
        <w:rPr>
          <w:rFonts w:ascii="Verdana" w:hAnsi="Verdana"/>
          <w:bCs/>
          <w:sz w:val="18"/>
          <w:szCs w:val="18"/>
        </w:rPr>
        <w:t>ER</w:t>
      </w:r>
      <w:r w:rsidRPr="004E0D4B">
        <w:rPr>
          <w:rFonts w:ascii="Verdana" w:hAnsi="Verdana"/>
          <w:bCs/>
          <w:sz w:val="18"/>
          <w:szCs w:val="18"/>
        </w:rPr>
        <w:t xml:space="preserve"> benadrukt</w:t>
      </w:r>
      <w:r w:rsidRPr="004E0D4B" w:rsidR="00070F24">
        <w:rPr>
          <w:rFonts w:ascii="Verdana" w:hAnsi="Verdana"/>
          <w:bCs/>
          <w:sz w:val="18"/>
          <w:szCs w:val="18"/>
        </w:rPr>
        <w:t>e</w:t>
      </w:r>
      <w:r w:rsidRPr="004E0D4B">
        <w:rPr>
          <w:rFonts w:ascii="Verdana" w:hAnsi="Verdana"/>
          <w:bCs/>
          <w:sz w:val="18"/>
          <w:szCs w:val="18"/>
        </w:rPr>
        <w:t xml:space="preserve"> dat de diensten die UNRWA in Gaza en in de hele regio levert, essentieel zijn. De </w:t>
      </w:r>
      <w:r w:rsidRPr="004E0D4B" w:rsidR="00C20C5B">
        <w:rPr>
          <w:rFonts w:ascii="Verdana" w:hAnsi="Verdana"/>
          <w:bCs/>
          <w:sz w:val="18"/>
          <w:szCs w:val="18"/>
        </w:rPr>
        <w:t>ER</w:t>
      </w:r>
      <w:r w:rsidRPr="004E0D4B">
        <w:rPr>
          <w:rFonts w:ascii="Verdana" w:hAnsi="Verdana"/>
          <w:bCs/>
          <w:sz w:val="18"/>
          <w:szCs w:val="18"/>
        </w:rPr>
        <w:t xml:space="preserve"> neemt nota van de recente EU-maatregelen en de financiële steun. Zij verwelkom</w:t>
      </w:r>
      <w:r w:rsidRPr="004E0D4B" w:rsidR="00070F24">
        <w:rPr>
          <w:rFonts w:ascii="Verdana" w:hAnsi="Verdana"/>
          <w:bCs/>
          <w:sz w:val="18"/>
          <w:szCs w:val="18"/>
        </w:rPr>
        <w:t>de</w:t>
      </w:r>
      <w:r w:rsidRPr="004E0D4B">
        <w:rPr>
          <w:rFonts w:ascii="Verdana" w:hAnsi="Verdana"/>
          <w:bCs/>
          <w:sz w:val="18"/>
          <w:szCs w:val="18"/>
        </w:rPr>
        <w:t xml:space="preserve"> de snelle start door de VN van een intern onderzoek en externe evaluatie naar aanleiding van de ernstige beschuldigingen tegen twaalf medewerkers van de UNRWA over hun vermeende deelname aan de terroristische aanslagen van 7 oktober. Zij kijkt uit naar de resultaten van het onderzoek en naar de maatregelen van de VN om de verantwoordingsplicht te waarborgen en de controle en het toezicht te versterken.</w:t>
      </w:r>
    </w:p>
    <w:p w:rsidRPr="004E0D4B" w:rsidR="00402052" w:rsidP="00402052" w:rsidRDefault="00402052" w14:paraId="08B0F4BD" w14:textId="033D6AD6">
      <w:pPr>
        <w:rPr>
          <w:rFonts w:ascii="Verdana" w:hAnsi="Verdana"/>
          <w:bCs/>
          <w:sz w:val="18"/>
          <w:szCs w:val="18"/>
        </w:rPr>
      </w:pPr>
      <w:r w:rsidRPr="004E0D4B">
        <w:rPr>
          <w:rFonts w:ascii="Verdana" w:hAnsi="Verdana"/>
          <w:bCs/>
          <w:sz w:val="18"/>
          <w:szCs w:val="18"/>
        </w:rPr>
        <w:t xml:space="preserve">De </w:t>
      </w:r>
      <w:r w:rsidRPr="004E0D4B" w:rsidR="00C20C5B">
        <w:rPr>
          <w:rFonts w:ascii="Verdana" w:hAnsi="Verdana"/>
          <w:bCs/>
          <w:sz w:val="18"/>
          <w:szCs w:val="18"/>
        </w:rPr>
        <w:t>ER</w:t>
      </w:r>
      <w:r w:rsidRPr="004E0D4B">
        <w:rPr>
          <w:rFonts w:ascii="Verdana" w:hAnsi="Verdana"/>
          <w:bCs/>
          <w:sz w:val="18"/>
          <w:szCs w:val="18"/>
        </w:rPr>
        <w:t xml:space="preserve"> r</w:t>
      </w:r>
      <w:r w:rsidRPr="004E0D4B" w:rsidR="00070F24">
        <w:rPr>
          <w:rFonts w:ascii="Verdana" w:hAnsi="Verdana"/>
          <w:bCs/>
          <w:sz w:val="18"/>
          <w:szCs w:val="18"/>
        </w:rPr>
        <w:t>iep</w:t>
      </w:r>
      <w:r w:rsidRPr="004E0D4B">
        <w:rPr>
          <w:rFonts w:ascii="Verdana" w:hAnsi="Verdana"/>
          <w:bCs/>
          <w:sz w:val="18"/>
          <w:szCs w:val="18"/>
        </w:rPr>
        <w:t xml:space="preserve"> op tot een onmiddellijke stopzetting van het geweld op de Westelijke Jordaanoever en in Oost-Jeruzalem en tot het waarborgen van een veilige toegang tot de heilige plaatsen. De </w:t>
      </w:r>
      <w:r w:rsidRPr="004E0D4B" w:rsidR="00C20C5B">
        <w:rPr>
          <w:rFonts w:ascii="Verdana" w:hAnsi="Verdana"/>
          <w:bCs/>
          <w:sz w:val="18"/>
          <w:szCs w:val="18"/>
        </w:rPr>
        <w:t>ER</w:t>
      </w:r>
      <w:r w:rsidRPr="004E0D4B">
        <w:rPr>
          <w:rFonts w:ascii="Verdana" w:hAnsi="Verdana"/>
          <w:bCs/>
          <w:sz w:val="18"/>
          <w:szCs w:val="18"/>
        </w:rPr>
        <w:t xml:space="preserve"> veroordeelt het geweld van extremistische kolonisten krachtig. Daders moeten ter verantwoording worden geroepen.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070F24">
        <w:rPr>
          <w:rFonts w:ascii="Verdana" w:hAnsi="Verdana"/>
          <w:bCs/>
          <w:sz w:val="18"/>
          <w:szCs w:val="18"/>
        </w:rPr>
        <w:t>iep</w:t>
      </w:r>
      <w:r w:rsidRPr="004E0D4B">
        <w:rPr>
          <w:rFonts w:ascii="Verdana" w:hAnsi="Verdana"/>
          <w:bCs/>
          <w:sz w:val="18"/>
          <w:szCs w:val="18"/>
        </w:rPr>
        <w:t xml:space="preserve"> de Raad op om de werkzaamheden voor gerichte beperkende maatregelen te bespoedigen. De </w:t>
      </w:r>
      <w:r w:rsidRPr="004E0D4B" w:rsidR="00C20C5B">
        <w:rPr>
          <w:rFonts w:ascii="Verdana" w:hAnsi="Verdana"/>
          <w:bCs/>
          <w:sz w:val="18"/>
          <w:szCs w:val="18"/>
        </w:rPr>
        <w:t>ER</w:t>
      </w:r>
      <w:r w:rsidRPr="004E0D4B">
        <w:rPr>
          <w:rFonts w:ascii="Verdana" w:hAnsi="Verdana"/>
          <w:bCs/>
          <w:sz w:val="18"/>
          <w:szCs w:val="18"/>
        </w:rPr>
        <w:t xml:space="preserve"> veroordeel</w:t>
      </w:r>
      <w:r w:rsidRPr="004E0D4B" w:rsidR="00070F24">
        <w:rPr>
          <w:rFonts w:ascii="Verdana" w:hAnsi="Verdana"/>
          <w:bCs/>
          <w:sz w:val="18"/>
          <w:szCs w:val="18"/>
        </w:rPr>
        <w:t>de</w:t>
      </w:r>
      <w:r w:rsidRPr="004E0D4B">
        <w:rPr>
          <w:rFonts w:ascii="Verdana" w:hAnsi="Verdana"/>
          <w:bCs/>
          <w:sz w:val="18"/>
          <w:szCs w:val="18"/>
        </w:rPr>
        <w:t xml:space="preserve"> de besluiten van de Israëlische regering om de illegale nederzettingen op de bezette Westelijke Jordaanoever verder uit te breiden. Het dringt er bij Israël op aan deze besluiten terug te draaien.</w:t>
      </w:r>
    </w:p>
    <w:p w:rsidRPr="004E0D4B" w:rsidR="00402052" w:rsidP="00402052" w:rsidRDefault="00402052" w14:paraId="07A9BED2" w14:textId="79D9196A">
      <w:pPr>
        <w:rPr>
          <w:rFonts w:ascii="Verdana" w:hAnsi="Verdana"/>
          <w:bCs/>
          <w:sz w:val="18"/>
          <w:szCs w:val="18"/>
        </w:rPr>
      </w:pPr>
      <w:r w:rsidRPr="004E0D4B">
        <w:rPr>
          <w:rFonts w:ascii="Verdana" w:hAnsi="Verdana"/>
          <w:bCs/>
          <w:sz w:val="18"/>
          <w:szCs w:val="18"/>
        </w:rPr>
        <w:t xml:space="preserve">De </w:t>
      </w:r>
      <w:r w:rsidRPr="004E0D4B" w:rsidR="00C20C5B">
        <w:rPr>
          <w:rFonts w:ascii="Verdana" w:hAnsi="Verdana"/>
          <w:bCs/>
          <w:sz w:val="18"/>
          <w:szCs w:val="18"/>
        </w:rPr>
        <w:t>EU</w:t>
      </w:r>
      <w:r w:rsidRPr="004E0D4B">
        <w:rPr>
          <w:rFonts w:ascii="Verdana" w:hAnsi="Verdana"/>
          <w:bCs/>
          <w:sz w:val="18"/>
          <w:szCs w:val="18"/>
        </w:rPr>
        <w:t xml:space="preserve"> zal intensief blijven samenwerken met regionale en internationale partners om verdere regionale escalatie te voorkomen, met name in Libanon en de Rode Zee.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070F24">
        <w:rPr>
          <w:rFonts w:ascii="Verdana" w:hAnsi="Verdana"/>
          <w:bCs/>
          <w:sz w:val="18"/>
          <w:szCs w:val="18"/>
        </w:rPr>
        <w:t>iep</w:t>
      </w:r>
      <w:r w:rsidRPr="004E0D4B">
        <w:rPr>
          <w:rFonts w:ascii="Verdana" w:hAnsi="Verdana"/>
          <w:bCs/>
          <w:sz w:val="18"/>
          <w:szCs w:val="18"/>
        </w:rPr>
        <w:t xml:space="preserve"> alle actoren, en met name Iran, op zich te onthouden van escalerende acties. </w:t>
      </w:r>
      <w:r w:rsidRPr="004E0D4B" w:rsidR="00FC7A3D">
        <w:rPr>
          <w:rFonts w:ascii="Verdana" w:hAnsi="Verdana"/>
          <w:bCs/>
          <w:sz w:val="18"/>
          <w:szCs w:val="18"/>
        </w:rPr>
        <w:t>Zij</w:t>
      </w:r>
      <w:r w:rsidRPr="004E0D4B">
        <w:rPr>
          <w:rFonts w:ascii="Verdana" w:hAnsi="Verdana"/>
          <w:bCs/>
          <w:sz w:val="18"/>
          <w:szCs w:val="18"/>
        </w:rPr>
        <w:t xml:space="preserve"> verwelkomt de lancering van EU-operatie ASPIDES om de vrijheid van navigatie en de veiligheid van zeevarenden in de Rode Zee, de Golf van Aden en de bredere regio te waarborgen.</w:t>
      </w:r>
    </w:p>
    <w:p w:rsidRPr="004E0D4B" w:rsidR="00402052" w:rsidP="00402052" w:rsidRDefault="00402052" w14:paraId="160A2EB2" w14:textId="0E45492F">
      <w:pPr>
        <w:rPr>
          <w:rFonts w:ascii="Verdana" w:hAnsi="Verdana"/>
          <w:bCs/>
          <w:sz w:val="18"/>
          <w:szCs w:val="18"/>
        </w:rPr>
      </w:pPr>
      <w:r w:rsidRPr="004E0D4B">
        <w:rPr>
          <w:rFonts w:ascii="Verdana" w:hAnsi="Verdana"/>
          <w:bCs/>
          <w:sz w:val="18"/>
          <w:szCs w:val="18"/>
        </w:rPr>
        <w:t xml:space="preserve">De </w:t>
      </w:r>
      <w:r w:rsidRPr="004E0D4B" w:rsidR="00703364">
        <w:rPr>
          <w:rFonts w:ascii="Verdana" w:hAnsi="Verdana"/>
          <w:bCs/>
          <w:sz w:val="18"/>
          <w:szCs w:val="18"/>
        </w:rPr>
        <w:t>EU</w:t>
      </w:r>
      <w:r w:rsidRPr="004E0D4B">
        <w:rPr>
          <w:rFonts w:ascii="Verdana" w:hAnsi="Verdana"/>
          <w:bCs/>
          <w:sz w:val="18"/>
          <w:szCs w:val="18"/>
        </w:rPr>
        <w:t xml:space="preserve"> blijft zich inzetten voor een duurzame vrede op basis van de </w:t>
      </w:r>
      <w:proofErr w:type="spellStart"/>
      <w:r w:rsidRPr="004E0D4B">
        <w:rPr>
          <w:rFonts w:ascii="Verdana" w:hAnsi="Verdana"/>
          <w:bCs/>
          <w:sz w:val="18"/>
          <w:szCs w:val="18"/>
        </w:rPr>
        <w:t>tweestatenoplossing</w:t>
      </w:r>
      <w:proofErr w:type="spellEnd"/>
      <w:r w:rsidRPr="004E0D4B">
        <w:rPr>
          <w:rFonts w:ascii="Verdana" w:hAnsi="Verdana"/>
          <w:bCs/>
          <w:sz w:val="18"/>
          <w:szCs w:val="18"/>
        </w:rPr>
        <w:t xml:space="preserve">. Palestijnen en Israëliërs hebben een gelijk recht om in veiligheid, waardigheid en vrede te leven. De </w:t>
      </w:r>
      <w:r w:rsidRPr="004E0D4B" w:rsidR="00C20C5B">
        <w:rPr>
          <w:rFonts w:ascii="Verdana" w:hAnsi="Verdana"/>
          <w:bCs/>
          <w:sz w:val="18"/>
          <w:szCs w:val="18"/>
        </w:rPr>
        <w:t>ER</w:t>
      </w:r>
      <w:r w:rsidRPr="004E0D4B">
        <w:rPr>
          <w:rFonts w:ascii="Verdana" w:hAnsi="Verdana"/>
          <w:bCs/>
          <w:sz w:val="18"/>
          <w:szCs w:val="18"/>
        </w:rPr>
        <w:t xml:space="preserve"> roept alle partijen op zich te onthouden van acties die het beginsel van de </w:t>
      </w:r>
      <w:proofErr w:type="spellStart"/>
      <w:r w:rsidRPr="004E0D4B">
        <w:rPr>
          <w:rFonts w:ascii="Verdana" w:hAnsi="Verdana"/>
          <w:bCs/>
          <w:sz w:val="18"/>
          <w:szCs w:val="18"/>
        </w:rPr>
        <w:t>tweestatenoplossing</w:t>
      </w:r>
      <w:proofErr w:type="spellEnd"/>
      <w:r w:rsidRPr="004E0D4B">
        <w:rPr>
          <w:rFonts w:ascii="Verdana" w:hAnsi="Verdana"/>
          <w:bCs/>
          <w:sz w:val="18"/>
          <w:szCs w:val="18"/>
        </w:rPr>
        <w:t xml:space="preserve"> en de levensvatbaarheid van een toekomstige Palestijnse staat ondermijnen. De ER herinnert eraan dat de twee GVDB-missies – de politiemissie van de </w:t>
      </w:r>
      <w:r w:rsidRPr="004E0D4B" w:rsidR="00703364">
        <w:rPr>
          <w:rFonts w:ascii="Verdana" w:hAnsi="Verdana"/>
          <w:bCs/>
          <w:sz w:val="18"/>
          <w:szCs w:val="18"/>
        </w:rPr>
        <w:t>EU</w:t>
      </w:r>
      <w:r w:rsidRPr="004E0D4B">
        <w:rPr>
          <w:rFonts w:ascii="Verdana" w:hAnsi="Verdana"/>
          <w:bCs/>
          <w:sz w:val="18"/>
          <w:szCs w:val="18"/>
        </w:rPr>
        <w:t xml:space="preserve"> voor de Palestijnse Gebieden (EUPOL COPPS) en de grensbijstandsmissie van de </w:t>
      </w:r>
      <w:r w:rsidRPr="004E0D4B" w:rsidR="00703364">
        <w:rPr>
          <w:rFonts w:ascii="Verdana" w:hAnsi="Verdana"/>
          <w:bCs/>
          <w:sz w:val="18"/>
          <w:szCs w:val="18"/>
        </w:rPr>
        <w:t>EU</w:t>
      </w:r>
      <w:r w:rsidRPr="004E0D4B">
        <w:rPr>
          <w:rFonts w:ascii="Verdana" w:hAnsi="Verdana"/>
          <w:bCs/>
          <w:sz w:val="18"/>
          <w:szCs w:val="18"/>
        </w:rPr>
        <w:t xml:space="preserve"> bij de grensovergang bij Rafah (EUBAM Rafah) – op basis van dit beginsel een belangrijke rol kunnen spelen ter ondersteuning van een toekomstige Palestijnse staat. De </w:t>
      </w:r>
      <w:r w:rsidRPr="004E0D4B" w:rsidR="00A2187C">
        <w:rPr>
          <w:rFonts w:ascii="Verdana" w:hAnsi="Verdana"/>
          <w:bCs/>
          <w:sz w:val="18"/>
          <w:szCs w:val="18"/>
        </w:rPr>
        <w:t>EU</w:t>
      </w:r>
      <w:r w:rsidRPr="004E0D4B">
        <w:rPr>
          <w:rFonts w:ascii="Verdana" w:hAnsi="Verdana"/>
          <w:bCs/>
          <w:sz w:val="18"/>
          <w:szCs w:val="18"/>
        </w:rPr>
        <w:t xml:space="preserve"> staat klaar om samen te werken met Israël, de Palestijnse Autoriteit en regionale en internationale partijen om bij te dragen aan het opnieuw leven inblazen van een politiek proces, onder meer via het </w:t>
      </w:r>
      <w:proofErr w:type="spellStart"/>
      <w:r w:rsidRPr="004E0D4B">
        <w:rPr>
          <w:rFonts w:ascii="Verdana" w:hAnsi="Verdana"/>
          <w:bCs/>
          <w:sz w:val="18"/>
          <w:szCs w:val="18"/>
        </w:rPr>
        <w:t>Peace</w:t>
      </w:r>
      <w:proofErr w:type="spellEnd"/>
      <w:r w:rsidRPr="004E0D4B">
        <w:rPr>
          <w:rFonts w:ascii="Verdana" w:hAnsi="Verdana"/>
          <w:bCs/>
          <w:sz w:val="18"/>
          <w:szCs w:val="18"/>
        </w:rPr>
        <w:t xml:space="preserve"> Day-initiatief en een vredesconferentie die zo snel mogelijk bijeen moet worden geroepen. Het steunt de </w:t>
      </w:r>
      <w:r w:rsidRPr="004E0D4B" w:rsidR="001E3F11">
        <w:rPr>
          <w:rFonts w:ascii="Verdana" w:hAnsi="Verdana"/>
          <w:bCs/>
          <w:sz w:val="18"/>
          <w:szCs w:val="18"/>
        </w:rPr>
        <w:t>Palestijnse</w:t>
      </w:r>
      <w:r w:rsidRPr="004E0D4B">
        <w:rPr>
          <w:rFonts w:ascii="Verdana" w:hAnsi="Verdana"/>
          <w:bCs/>
          <w:sz w:val="18"/>
          <w:szCs w:val="18"/>
        </w:rPr>
        <w:t xml:space="preserve"> Autoriteit terwijl het de noodzakelijke hervormingen doorvoert. De </w:t>
      </w:r>
      <w:r w:rsidRPr="004E0D4B" w:rsidR="00A2187C">
        <w:rPr>
          <w:rFonts w:ascii="Verdana" w:hAnsi="Verdana"/>
          <w:bCs/>
          <w:sz w:val="18"/>
          <w:szCs w:val="18"/>
        </w:rPr>
        <w:t>EU</w:t>
      </w:r>
      <w:r w:rsidRPr="004E0D4B">
        <w:rPr>
          <w:rFonts w:ascii="Verdana" w:hAnsi="Verdana"/>
          <w:bCs/>
          <w:sz w:val="18"/>
          <w:szCs w:val="18"/>
        </w:rPr>
        <w:t xml:space="preserve"> staat klaar om een </w:t>
      </w:r>
      <w:r w:rsidRPr="004E0D4B">
        <w:rPr>
          <w:rFonts w:ascii="Arial" w:hAnsi="Arial" w:cs="Arial"/>
          <w:bCs/>
          <w:sz w:val="18"/>
          <w:szCs w:val="18"/>
        </w:rPr>
        <w:t>​​</w:t>
      </w:r>
      <w:r w:rsidRPr="004E0D4B">
        <w:rPr>
          <w:rFonts w:ascii="Verdana" w:hAnsi="Verdana"/>
          <w:bCs/>
          <w:sz w:val="18"/>
          <w:szCs w:val="18"/>
        </w:rPr>
        <w:t>geco</w:t>
      </w:r>
      <w:r w:rsidRPr="004E0D4B">
        <w:rPr>
          <w:rFonts w:ascii="Verdana" w:hAnsi="Verdana" w:cs="Verdana"/>
          <w:bCs/>
          <w:sz w:val="18"/>
          <w:szCs w:val="18"/>
        </w:rPr>
        <w:t>ö</w:t>
      </w:r>
      <w:r w:rsidRPr="004E0D4B">
        <w:rPr>
          <w:rFonts w:ascii="Verdana" w:hAnsi="Verdana"/>
          <w:bCs/>
          <w:sz w:val="18"/>
          <w:szCs w:val="18"/>
        </w:rPr>
        <w:t>rdineerde internationale inspanning voor de wederopbouw van Gaza te steunen.</w:t>
      </w:r>
    </w:p>
    <w:p w:rsidRPr="004E0D4B" w:rsidR="009B29D0" w:rsidP="00384526" w:rsidRDefault="00152181" w14:paraId="1FAE232E" w14:textId="6E585566">
      <w:pPr>
        <w:rPr>
          <w:rFonts w:ascii="Verdana" w:hAnsi="Verdana"/>
          <w:i/>
          <w:sz w:val="18"/>
          <w:szCs w:val="18"/>
        </w:rPr>
      </w:pPr>
      <w:r w:rsidRPr="004E0D4B">
        <w:rPr>
          <w:rFonts w:ascii="Verdana" w:hAnsi="Verdana"/>
          <w:sz w:val="18"/>
          <w:szCs w:val="18"/>
        </w:rPr>
        <w:t>Nederland</w:t>
      </w:r>
      <w:r w:rsidRPr="004E0D4B" w:rsidR="009B29D0">
        <w:rPr>
          <w:rFonts w:ascii="Verdana" w:hAnsi="Verdana"/>
          <w:sz w:val="18"/>
          <w:szCs w:val="18"/>
        </w:rPr>
        <w:t xml:space="preserve"> </w:t>
      </w:r>
      <w:r w:rsidRPr="004E0D4B" w:rsidR="00070F24">
        <w:rPr>
          <w:rFonts w:ascii="Verdana" w:hAnsi="Verdana"/>
          <w:sz w:val="18"/>
          <w:szCs w:val="18"/>
        </w:rPr>
        <w:t>sprak steun uit</w:t>
      </w:r>
      <w:r w:rsidRPr="004E0D4B" w:rsidR="00402052">
        <w:rPr>
          <w:rFonts w:ascii="Verdana" w:hAnsi="Verdana"/>
          <w:sz w:val="18"/>
          <w:szCs w:val="18"/>
        </w:rPr>
        <w:t xml:space="preserve"> voor</w:t>
      </w:r>
      <w:r w:rsidRPr="004E0D4B" w:rsidR="009B29D0">
        <w:rPr>
          <w:rFonts w:ascii="Verdana" w:hAnsi="Verdana"/>
          <w:sz w:val="18"/>
          <w:szCs w:val="18"/>
        </w:rPr>
        <w:t xml:space="preserve"> een onmiddellijk humanitair staakt-het-vuren dat moet leiden tot het vrijlaten van alle gegijzelden en op een drastische toename van humanitaire hulp aan Gaza. </w:t>
      </w:r>
      <w:r w:rsidRPr="004E0D4B">
        <w:rPr>
          <w:rFonts w:ascii="Verdana" w:hAnsi="Verdana"/>
          <w:sz w:val="18"/>
          <w:szCs w:val="18"/>
        </w:rPr>
        <w:t>Nederland</w:t>
      </w:r>
      <w:r w:rsidRPr="004E0D4B" w:rsidR="009B29D0">
        <w:rPr>
          <w:rFonts w:ascii="Verdana" w:hAnsi="Verdana"/>
          <w:sz w:val="18"/>
          <w:szCs w:val="18"/>
        </w:rPr>
        <w:t xml:space="preserve"> </w:t>
      </w:r>
      <w:r w:rsidRPr="004E0D4B" w:rsidR="00402052">
        <w:rPr>
          <w:rFonts w:ascii="Verdana" w:hAnsi="Verdana"/>
          <w:sz w:val="18"/>
          <w:szCs w:val="18"/>
        </w:rPr>
        <w:t xml:space="preserve">steunde ook </w:t>
      </w:r>
      <w:r w:rsidRPr="004E0D4B" w:rsidR="00795C69">
        <w:rPr>
          <w:rFonts w:ascii="Verdana" w:hAnsi="Verdana"/>
          <w:sz w:val="18"/>
          <w:szCs w:val="18"/>
        </w:rPr>
        <w:t>nadrukkelijk</w:t>
      </w:r>
      <w:r w:rsidRPr="004E0D4B" w:rsidR="00402052">
        <w:rPr>
          <w:rFonts w:ascii="Verdana" w:hAnsi="Verdana"/>
          <w:sz w:val="18"/>
          <w:szCs w:val="18"/>
        </w:rPr>
        <w:t xml:space="preserve"> de oproep aan</w:t>
      </w:r>
      <w:r w:rsidRPr="004E0D4B" w:rsidR="009B29D0">
        <w:rPr>
          <w:rFonts w:ascii="Verdana" w:hAnsi="Verdana"/>
          <w:sz w:val="18"/>
          <w:szCs w:val="18"/>
        </w:rPr>
        <w:t xml:space="preserve"> Israël </w:t>
      </w:r>
      <w:r w:rsidRPr="004E0D4B" w:rsidR="00402052">
        <w:rPr>
          <w:rFonts w:ascii="Verdana" w:hAnsi="Verdana"/>
          <w:sz w:val="18"/>
          <w:szCs w:val="18"/>
        </w:rPr>
        <w:t>om</w:t>
      </w:r>
      <w:r w:rsidRPr="004E0D4B" w:rsidR="009B29D0">
        <w:rPr>
          <w:rFonts w:ascii="Verdana" w:hAnsi="Verdana"/>
          <w:sz w:val="18"/>
          <w:szCs w:val="18"/>
        </w:rPr>
        <w:t xml:space="preserve"> af te zien van een grootschalig grondoffensief in Rafah</w:t>
      </w:r>
      <w:r w:rsidRPr="004E0D4B" w:rsidR="009B48C0">
        <w:rPr>
          <w:rFonts w:ascii="Verdana" w:hAnsi="Verdana"/>
          <w:sz w:val="18"/>
          <w:szCs w:val="18"/>
        </w:rPr>
        <w:t xml:space="preserve"> en </w:t>
      </w:r>
      <w:r w:rsidRPr="004E0D4B" w:rsidR="009B29D0">
        <w:rPr>
          <w:rFonts w:ascii="Verdana" w:hAnsi="Verdana"/>
          <w:sz w:val="18"/>
          <w:szCs w:val="18"/>
        </w:rPr>
        <w:t>onderstreept</w:t>
      </w:r>
      <w:r w:rsidRPr="004E0D4B" w:rsidR="00402052">
        <w:rPr>
          <w:rFonts w:ascii="Verdana" w:hAnsi="Verdana"/>
          <w:sz w:val="18"/>
          <w:szCs w:val="18"/>
        </w:rPr>
        <w:t>e</w:t>
      </w:r>
      <w:r w:rsidRPr="004E0D4B" w:rsidR="009B29D0">
        <w:rPr>
          <w:rFonts w:ascii="Verdana" w:hAnsi="Verdana"/>
          <w:sz w:val="18"/>
          <w:szCs w:val="18"/>
        </w:rPr>
        <w:t xml:space="preserve"> dat regionale escalatie voorkomen moet worden en dat er met Libanon tot een diplomatieke oplossing dient te worden gekomen. </w:t>
      </w:r>
      <w:r w:rsidRPr="004E0D4B">
        <w:rPr>
          <w:rFonts w:ascii="Verdana" w:hAnsi="Verdana"/>
          <w:sz w:val="18"/>
          <w:szCs w:val="18"/>
        </w:rPr>
        <w:t>Nederland</w:t>
      </w:r>
      <w:r w:rsidRPr="004E0D4B" w:rsidR="00A80CEF">
        <w:rPr>
          <w:rFonts w:ascii="Verdana" w:hAnsi="Verdana"/>
          <w:sz w:val="18"/>
          <w:szCs w:val="18"/>
        </w:rPr>
        <w:t xml:space="preserve"> </w:t>
      </w:r>
      <w:r w:rsidRPr="004E0D4B" w:rsidR="00402052">
        <w:rPr>
          <w:rFonts w:ascii="Verdana" w:hAnsi="Verdana"/>
          <w:sz w:val="18"/>
          <w:szCs w:val="18"/>
        </w:rPr>
        <w:t>sprak zich ook ui</w:t>
      </w:r>
      <w:r w:rsidRPr="004E0D4B" w:rsidR="00A80CEF">
        <w:rPr>
          <w:rFonts w:ascii="Verdana" w:hAnsi="Verdana"/>
          <w:sz w:val="18"/>
          <w:szCs w:val="18"/>
        </w:rPr>
        <w:t>t</w:t>
      </w:r>
      <w:r w:rsidRPr="004E0D4B" w:rsidR="00402052">
        <w:rPr>
          <w:rFonts w:ascii="Verdana" w:hAnsi="Verdana"/>
          <w:sz w:val="18"/>
          <w:szCs w:val="18"/>
        </w:rPr>
        <w:t xml:space="preserve"> voor</w:t>
      </w:r>
      <w:r w:rsidRPr="004E0D4B" w:rsidR="00A80CEF">
        <w:rPr>
          <w:rFonts w:ascii="Verdana" w:hAnsi="Verdana"/>
          <w:sz w:val="18"/>
          <w:szCs w:val="18"/>
        </w:rPr>
        <w:t xml:space="preserve"> een dringend beroep op Israël om recent aangekondigde plannen voor de uitbreiding van nederzettingen terug te draaien.</w:t>
      </w:r>
      <w:r w:rsidRPr="004E0D4B" w:rsidR="009B29D0">
        <w:rPr>
          <w:rFonts w:ascii="Verdana" w:hAnsi="Verdana"/>
          <w:sz w:val="18"/>
          <w:szCs w:val="18"/>
        </w:rPr>
        <w:t xml:space="preserve"> Het </w:t>
      </w:r>
      <w:r w:rsidRPr="004E0D4B" w:rsidR="009B29D0">
        <w:rPr>
          <w:rFonts w:ascii="Verdana" w:hAnsi="Verdana" w:cstheme="minorHAnsi"/>
          <w:sz w:val="18"/>
          <w:szCs w:val="18"/>
        </w:rPr>
        <w:t xml:space="preserve">kabinet </w:t>
      </w:r>
      <w:r w:rsidRPr="004E0D4B" w:rsidR="009B29D0">
        <w:rPr>
          <w:rFonts w:ascii="Verdana" w:hAnsi="Verdana"/>
          <w:sz w:val="18"/>
          <w:szCs w:val="18"/>
        </w:rPr>
        <w:t>steun</w:t>
      </w:r>
      <w:r w:rsidRPr="004E0D4B" w:rsidR="00953177">
        <w:rPr>
          <w:rFonts w:ascii="Verdana" w:hAnsi="Verdana"/>
          <w:sz w:val="18"/>
          <w:szCs w:val="18"/>
        </w:rPr>
        <w:t>de</w:t>
      </w:r>
      <w:r w:rsidRPr="004E0D4B" w:rsidR="009B29D0">
        <w:rPr>
          <w:rFonts w:ascii="Verdana" w:hAnsi="Verdana"/>
          <w:sz w:val="18"/>
          <w:szCs w:val="18"/>
        </w:rPr>
        <w:t xml:space="preserve"> het initiatief voor het tot stand brengen van een </w:t>
      </w:r>
      <w:r w:rsidRPr="004B04DF" w:rsidR="009B29D0">
        <w:rPr>
          <w:rFonts w:ascii="Verdana" w:hAnsi="Verdana"/>
          <w:sz w:val="18"/>
          <w:szCs w:val="18"/>
        </w:rPr>
        <w:t>humanitaire corridor over zee via Cyprus</w:t>
      </w:r>
      <w:r w:rsidRPr="004B04DF" w:rsidR="00D01C93">
        <w:rPr>
          <w:rFonts w:ascii="Verdana" w:hAnsi="Verdana"/>
          <w:sz w:val="18"/>
          <w:szCs w:val="18"/>
        </w:rPr>
        <w:t xml:space="preserve"> </w:t>
      </w:r>
      <w:r w:rsidRPr="004B04DF" w:rsidR="00687417">
        <w:rPr>
          <w:rFonts w:ascii="Verdana" w:hAnsi="Verdana"/>
          <w:sz w:val="18"/>
          <w:szCs w:val="18"/>
        </w:rPr>
        <w:t>en onderzoekt, in lijn met de motie</w:t>
      </w:r>
      <w:r w:rsidRPr="004B04DF" w:rsidR="00CA4952">
        <w:rPr>
          <w:rFonts w:ascii="Verdana" w:hAnsi="Verdana"/>
          <w:sz w:val="18"/>
          <w:szCs w:val="18"/>
        </w:rPr>
        <w:t xml:space="preserve"> van het lid </w:t>
      </w:r>
      <w:proofErr w:type="spellStart"/>
      <w:r w:rsidRPr="004B04DF" w:rsidR="00687417">
        <w:rPr>
          <w:rFonts w:ascii="Verdana" w:hAnsi="Verdana"/>
          <w:sz w:val="18"/>
          <w:szCs w:val="18"/>
        </w:rPr>
        <w:t>Boswijk</w:t>
      </w:r>
      <w:proofErr w:type="spellEnd"/>
      <w:r w:rsidRPr="004B04DF" w:rsidR="00687417">
        <w:rPr>
          <w:rFonts w:ascii="Verdana" w:hAnsi="Verdana"/>
          <w:sz w:val="18"/>
          <w:szCs w:val="18"/>
        </w:rPr>
        <w:t xml:space="preserve"> </w:t>
      </w:r>
      <w:proofErr w:type="spellStart"/>
      <w:r w:rsidRPr="004B04DF" w:rsidR="00687417">
        <w:rPr>
          <w:rFonts w:ascii="Verdana" w:hAnsi="Verdana"/>
          <w:sz w:val="18"/>
          <w:szCs w:val="18"/>
        </w:rPr>
        <w:t>cs</w:t>
      </w:r>
      <w:proofErr w:type="spellEnd"/>
      <w:r w:rsidRPr="004B04DF" w:rsidR="00687417">
        <w:rPr>
          <w:rFonts w:ascii="Verdana" w:hAnsi="Verdana"/>
          <w:sz w:val="18"/>
          <w:szCs w:val="18"/>
        </w:rPr>
        <w:t>.</w:t>
      </w:r>
      <w:r w:rsidRPr="004B04DF" w:rsidR="007B19D2">
        <w:rPr>
          <w:rStyle w:val="FootnoteReference"/>
          <w:rFonts w:ascii="Verdana" w:hAnsi="Verdana"/>
          <w:sz w:val="18"/>
          <w:szCs w:val="18"/>
        </w:rPr>
        <w:footnoteReference w:id="8"/>
      </w:r>
      <w:r w:rsidRPr="004B04DF" w:rsidR="00687417">
        <w:rPr>
          <w:rFonts w:ascii="Verdana" w:hAnsi="Verdana"/>
          <w:sz w:val="18"/>
          <w:szCs w:val="18"/>
        </w:rPr>
        <w:t xml:space="preserve">, </w:t>
      </w:r>
      <w:r w:rsidRPr="004B04DF" w:rsidR="00795C69">
        <w:rPr>
          <w:rFonts w:ascii="Verdana" w:hAnsi="Verdana"/>
          <w:sz w:val="18"/>
          <w:szCs w:val="18"/>
        </w:rPr>
        <w:t>op welke wijze Nederland hieraan kan bijdragen</w:t>
      </w:r>
      <w:r w:rsidRPr="004B04DF" w:rsidR="00687417">
        <w:rPr>
          <w:rFonts w:ascii="Verdana" w:hAnsi="Verdana"/>
          <w:sz w:val="18"/>
          <w:szCs w:val="18"/>
        </w:rPr>
        <w:t xml:space="preserve"> </w:t>
      </w:r>
      <w:r w:rsidRPr="004B04DF" w:rsidR="00953177">
        <w:rPr>
          <w:rFonts w:ascii="Verdana" w:hAnsi="Verdana"/>
          <w:sz w:val="18"/>
          <w:szCs w:val="18"/>
        </w:rPr>
        <w:t xml:space="preserve">en riep ook op om tot </w:t>
      </w:r>
      <w:proofErr w:type="spellStart"/>
      <w:r w:rsidRPr="004B04DF" w:rsidR="00953177">
        <w:rPr>
          <w:rFonts w:ascii="Verdana" w:hAnsi="Verdana"/>
          <w:sz w:val="18"/>
          <w:szCs w:val="18"/>
        </w:rPr>
        <w:t>fast</w:t>
      </w:r>
      <w:proofErr w:type="spellEnd"/>
      <w:r w:rsidRPr="004B04DF" w:rsidR="00953177">
        <w:rPr>
          <w:rFonts w:ascii="Verdana" w:hAnsi="Verdana"/>
          <w:sz w:val="18"/>
          <w:szCs w:val="18"/>
        </w:rPr>
        <w:t xml:space="preserve">-track toegang te komen </w:t>
      </w:r>
      <w:r w:rsidRPr="004B04DF" w:rsidR="002A3D6D">
        <w:rPr>
          <w:rFonts w:ascii="Verdana" w:hAnsi="Verdana"/>
          <w:sz w:val="18"/>
          <w:szCs w:val="18"/>
        </w:rPr>
        <w:t xml:space="preserve">in lijn met </w:t>
      </w:r>
      <w:r w:rsidRPr="004B04DF" w:rsidR="00953177">
        <w:rPr>
          <w:rFonts w:ascii="Verdana" w:hAnsi="Verdana"/>
          <w:sz w:val="18"/>
          <w:szCs w:val="18"/>
        </w:rPr>
        <w:t>de motie</w:t>
      </w:r>
      <w:r w:rsidRPr="004B04DF" w:rsidR="00CA4952">
        <w:rPr>
          <w:rFonts w:ascii="Verdana" w:hAnsi="Verdana"/>
          <w:sz w:val="18"/>
          <w:szCs w:val="18"/>
        </w:rPr>
        <w:t xml:space="preserve"> van de leden</w:t>
      </w:r>
      <w:r w:rsidRPr="004B04DF" w:rsidR="00953177">
        <w:rPr>
          <w:rFonts w:ascii="Verdana" w:hAnsi="Verdana"/>
          <w:sz w:val="18"/>
          <w:szCs w:val="18"/>
        </w:rPr>
        <w:t xml:space="preserve"> </w:t>
      </w:r>
      <w:proofErr w:type="spellStart"/>
      <w:r w:rsidRPr="004B04DF" w:rsidR="00953177">
        <w:rPr>
          <w:rFonts w:ascii="Verdana" w:hAnsi="Verdana"/>
          <w:sz w:val="18"/>
          <w:szCs w:val="18"/>
        </w:rPr>
        <w:t>Paternotte</w:t>
      </w:r>
      <w:proofErr w:type="spellEnd"/>
      <w:r w:rsidRPr="004B04DF" w:rsidR="00CA4952">
        <w:rPr>
          <w:rFonts w:ascii="Verdana" w:hAnsi="Verdana"/>
          <w:sz w:val="18"/>
          <w:szCs w:val="18"/>
        </w:rPr>
        <w:t xml:space="preserve"> en </w:t>
      </w:r>
      <w:r w:rsidRPr="004B04DF" w:rsidR="00953177">
        <w:rPr>
          <w:rFonts w:ascii="Verdana" w:hAnsi="Verdana"/>
          <w:sz w:val="18"/>
          <w:szCs w:val="18"/>
        </w:rPr>
        <w:t>Klaver.</w:t>
      </w:r>
      <w:r w:rsidRPr="004B04DF" w:rsidR="00C0665C">
        <w:rPr>
          <w:rStyle w:val="FootnoteReference"/>
          <w:rFonts w:ascii="Verdana" w:hAnsi="Verdana"/>
          <w:sz w:val="18"/>
          <w:szCs w:val="18"/>
        </w:rPr>
        <w:footnoteReference w:id="9"/>
      </w:r>
      <w:r w:rsidRPr="004B04DF" w:rsidR="00687417">
        <w:rPr>
          <w:rFonts w:ascii="Verdana" w:hAnsi="Verdana"/>
          <w:sz w:val="18"/>
          <w:szCs w:val="18"/>
        </w:rPr>
        <w:t xml:space="preserve"> </w:t>
      </w:r>
      <w:r w:rsidRPr="004B04DF" w:rsidR="006E14E3">
        <w:rPr>
          <w:rFonts w:ascii="Verdana" w:hAnsi="Verdana"/>
          <w:sz w:val="18"/>
          <w:szCs w:val="18"/>
        </w:rPr>
        <w:t>Nederland zet zich in EU-verband en in samenwerking met VN-coördinator voor Gaza Sigrid Kaag op alle mogelijke manieren in om toegang voor humanitaire hulp tot Gaza te versnellen.</w:t>
      </w:r>
      <w:r w:rsidRPr="004B04DF" w:rsidR="0057249B">
        <w:rPr>
          <w:rFonts w:ascii="Verdana" w:hAnsi="Verdana"/>
          <w:sz w:val="18"/>
          <w:szCs w:val="18"/>
        </w:rPr>
        <w:t xml:space="preserve"> </w:t>
      </w:r>
      <w:r w:rsidRPr="004B04DF" w:rsidR="00F02049">
        <w:rPr>
          <w:rFonts w:ascii="Verdana" w:hAnsi="Verdana"/>
          <w:sz w:val="18"/>
          <w:szCs w:val="18"/>
        </w:rPr>
        <w:t xml:space="preserve">In lijn met de motie Van </w:t>
      </w:r>
      <w:r w:rsidRPr="004B04DF" w:rsidR="00F02049">
        <w:rPr>
          <w:rFonts w:ascii="Verdana" w:hAnsi="Verdana"/>
          <w:sz w:val="18"/>
          <w:szCs w:val="18"/>
        </w:rPr>
        <w:lastRenderedPageBreak/>
        <w:t xml:space="preserve">Baarle </w:t>
      </w:r>
      <w:proofErr w:type="spellStart"/>
      <w:r w:rsidRPr="004B04DF" w:rsidR="00F02049">
        <w:rPr>
          <w:rFonts w:ascii="Verdana" w:hAnsi="Verdana"/>
          <w:sz w:val="18"/>
          <w:szCs w:val="18"/>
        </w:rPr>
        <w:t>cs</w:t>
      </w:r>
      <w:proofErr w:type="spellEnd"/>
      <w:r w:rsidRPr="004B04DF" w:rsidR="00F02049">
        <w:rPr>
          <w:rFonts w:ascii="Verdana" w:hAnsi="Verdana"/>
          <w:sz w:val="18"/>
          <w:szCs w:val="18"/>
        </w:rPr>
        <w:t>.</w:t>
      </w:r>
      <w:r w:rsidRPr="004B04DF" w:rsidR="00F02049">
        <w:rPr>
          <w:rStyle w:val="FootnoteReference"/>
          <w:rFonts w:ascii="Verdana" w:hAnsi="Verdana"/>
          <w:sz w:val="18"/>
          <w:szCs w:val="18"/>
        </w:rPr>
        <w:footnoteReference w:id="10"/>
      </w:r>
      <w:r w:rsidRPr="004B04DF" w:rsidR="00F02049">
        <w:rPr>
          <w:rFonts w:ascii="Verdana" w:hAnsi="Verdana"/>
          <w:sz w:val="18"/>
          <w:szCs w:val="18"/>
        </w:rPr>
        <w:t xml:space="preserve"> pleitte Nederland daarnaast voor onafhankelijke waarnemers bij de controle op toegang van humanitaire hulpmiddelen.</w:t>
      </w:r>
    </w:p>
    <w:p w:rsidRPr="004E0D4B" w:rsidR="0064073C" w:rsidP="00C22428" w:rsidRDefault="0064073C" w14:paraId="76885E3F" w14:textId="77777777">
      <w:pPr>
        <w:spacing w:after="0" w:line="240" w:lineRule="auto"/>
        <w:rPr>
          <w:rFonts w:ascii="Verdana" w:hAnsi="Verdana"/>
          <w:sz w:val="18"/>
          <w:szCs w:val="18"/>
        </w:rPr>
      </w:pPr>
    </w:p>
    <w:p w:rsidRPr="004E0D4B" w:rsidR="00B60556" w:rsidP="00B60556" w:rsidRDefault="009B29D0" w14:paraId="68947C1D" w14:textId="77777777">
      <w:pPr>
        <w:rPr>
          <w:rFonts w:ascii="Verdana" w:hAnsi="Verdana"/>
          <w:b/>
          <w:bCs/>
          <w:sz w:val="18"/>
          <w:szCs w:val="18"/>
        </w:rPr>
      </w:pPr>
      <w:r w:rsidRPr="004E0D4B">
        <w:rPr>
          <w:rFonts w:ascii="Verdana" w:hAnsi="Verdana"/>
          <w:b/>
          <w:bCs/>
          <w:i/>
          <w:sz w:val="18"/>
          <w:szCs w:val="18"/>
        </w:rPr>
        <w:t>Externe relaties</w:t>
      </w:r>
    </w:p>
    <w:p w:rsidRPr="004E0D4B" w:rsidR="00B60556" w:rsidP="00B60556" w:rsidRDefault="00B60556" w14:paraId="236A4DA9" w14:textId="378FF6A2">
      <w:pPr>
        <w:rPr>
          <w:rFonts w:ascii="Verdana" w:hAnsi="Verdana"/>
          <w:i/>
          <w:sz w:val="18"/>
          <w:szCs w:val="18"/>
        </w:rPr>
      </w:pPr>
      <w:r w:rsidRPr="004E0D4B">
        <w:rPr>
          <w:rFonts w:ascii="Verdana" w:hAnsi="Verdana"/>
          <w:i/>
          <w:sz w:val="18"/>
          <w:szCs w:val="18"/>
        </w:rPr>
        <w:t>Rusland</w:t>
      </w:r>
      <w:r w:rsidRPr="004E0D4B" w:rsidR="00B7227D">
        <w:rPr>
          <w:rFonts w:ascii="Verdana" w:hAnsi="Verdana"/>
          <w:i/>
          <w:sz w:val="18"/>
          <w:szCs w:val="18"/>
        </w:rPr>
        <w:br/>
      </w:r>
      <w:r w:rsidRPr="004E0D4B">
        <w:rPr>
          <w:rFonts w:ascii="Verdana" w:hAnsi="Verdana"/>
          <w:bCs/>
          <w:sz w:val="18"/>
          <w:szCs w:val="18"/>
        </w:rPr>
        <w:t xml:space="preserve">De </w:t>
      </w:r>
      <w:r w:rsidRPr="004E0D4B" w:rsidR="00C20C5B">
        <w:rPr>
          <w:rFonts w:ascii="Verdana" w:hAnsi="Verdana"/>
          <w:bCs/>
          <w:sz w:val="18"/>
          <w:szCs w:val="18"/>
        </w:rPr>
        <w:t>ER</w:t>
      </w:r>
      <w:r w:rsidRPr="004E0D4B">
        <w:rPr>
          <w:rFonts w:ascii="Verdana" w:hAnsi="Verdana"/>
          <w:bCs/>
          <w:sz w:val="18"/>
          <w:szCs w:val="18"/>
        </w:rPr>
        <w:t xml:space="preserve"> r</w:t>
      </w:r>
      <w:r w:rsidRPr="004E0D4B" w:rsidR="00BC15AC">
        <w:rPr>
          <w:rFonts w:ascii="Verdana" w:hAnsi="Verdana"/>
          <w:bCs/>
          <w:sz w:val="18"/>
          <w:szCs w:val="18"/>
        </w:rPr>
        <w:t>iep</w:t>
      </w:r>
      <w:r w:rsidRPr="004E0D4B">
        <w:rPr>
          <w:rFonts w:ascii="Verdana" w:hAnsi="Verdana"/>
          <w:bCs/>
          <w:sz w:val="18"/>
          <w:szCs w:val="18"/>
        </w:rPr>
        <w:t xml:space="preserve"> op tot de onmiddellijke en onvoorwaardelijke vrijlating van alle politieke gevangenen in Rusland en het beëindigen van de vervolging van oppositieleden. De uiteindelijke verantwoordelijkheid voor de dood van </w:t>
      </w:r>
      <w:proofErr w:type="spellStart"/>
      <w:r w:rsidRPr="004E0D4B">
        <w:rPr>
          <w:rFonts w:ascii="Verdana" w:hAnsi="Verdana"/>
          <w:bCs/>
          <w:sz w:val="18"/>
          <w:szCs w:val="18"/>
        </w:rPr>
        <w:t>Alexei</w:t>
      </w:r>
      <w:proofErr w:type="spellEnd"/>
      <w:r w:rsidRPr="004E0D4B">
        <w:rPr>
          <w:rFonts w:ascii="Verdana" w:hAnsi="Verdana"/>
          <w:bCs/>
          <w:sz w:val="18"/>
          <w:szCs w:val="18"/>
        </w:rPr>
        <w:t xml:space="preserve"> </w:t>
      </w:r>
      <w:proofErr w:type="spellStart"/>
      <w:r w:rsidRPr="004E0D4B">
        <w:rPr>
          <w:rFonts w:ascii="Verdana" w:hAnsi="Verdana"/>
          <w:bCs/>
          <w:sz w:val="18"/>
          <w:szCs w:val="18"/>
        </w:rPr>
        <w:t>Navalny</w:t>
      </w:r>
      <w:proofErr w:type="spellEnd"/>
      <w:r w:rsidRPr="004E0D4B">
        <w:rPr>
          <w:rFonts w:ascii="Verdana" w:hAnsi="Verdana"/>
          <w:bCs/>
          <w:sz w:val="18"/>
          <w:szCs w:val="18"/>
        </w:rPr>
        <w:t xml:space="preserve"> ligt bij de Russische autoriteiten en het is belangrijk dat er onafhankelijk onderzoek plaatsvindt naar de exacte omstandigheden van zijn dood. De ER verwelkom</w:t>
      </w:r>
      <w:r w:rsidRPr="004E0D4B" w:rsidR="00BC15AC">
        <w:rPr>
          <w:rFonts w:ascii="Verdana" w:hAnsi="Verdana"/>
          <w:bCs/>
          <w:sz w:val="18"/>
          <w:szCs w:val="18"/>
        </w:rPr>
        <w:t>de</w:t>
      </w:r>
      <w:r w:rsidRPr="004E0D4B">
        <w:rPr>
          <w:rFonts w:ascii="Verdana" w:hAnsi="Verdana"/>
          <w:bCs/>
          <w:sz w:val="18"/>
          <w:szCs w:val="18"/>
        </w:rPr>
        <w:t xml:space="preserve"> nieuwe beperkende maatregelen tegen de verantwoordelijken voor ernstige schendingen van de mensenrechten en r</w:t>
      </w:r>
      <w:r w:rsidRPr="004E0D4B" w:rsidR="00BC15AC">
        <w:rPr>
          <w:rFonts w:ascii="Verdana" w:hAnsi="Verdana"/>
          <w:bCs/>
          <w:sz w:val="18"/>
          <w:szCs w:val="18"/>
        </w:rPr>
        <w:t>iep</w:t>
      </w:r>
      <w:r w:rsidRPr="004E0D4B">
        <w:rPr>
          <w:rFonts w:ascii="Verdana" w:hAnsi="Verdana"/>
          <w:bCs/>
          <w:sz w:val="18"/>
          <w:szCs w:val="18"/>
        </w:rPr>
        <w:t xml:space="preserve"> de Raad op om hiervoor een </w:t>
      </w:r>
      <w:r w:rsidRPr="004E0D4B">
        <w:rPr>
          <w:rFonts w:ascii="Arial" w:hAnsi="Arial" w:cs="Arial"/>
          <w:bCs/>
          <w:sz w:val="18"/>
          <w:szCs w:val="18"/>
        </w:rPr>
        <w:t>​​</w:t>
      </w:r>
      <w:r w:rsidRPr="004E0D4B">
        <w:rPr>
          <w:rFonts w:ascii="Verdana" w:hAnsi="Verdana"/>
          <w:bCs/>
          <w:sz w:val="18"/>
          <w:szCs w:val="18"/>
        </w:rPr>
        <w:t xml:space="preserve">nieuw sanctieregime in het leven te roepen. </w:t>
      </w:r>
    </w:p>
    <w:p w:rsidRPr="004E0D4B" w:rsidR="009874D9" w:rsidP="00B60556" w:rsidRDefault="000B43DF" w14:paraId="4032202A" w14:textId="1D50DE42">
      <w:pPr>
        <w:rPr>
          <w:rFonts w:ascii="Verdana" w:hAnsi="Verdana"/>
          <w:i/>
          <w:sz w:val="18"/>
          <w:szCs w:val="18"/>
        </w:rPr>
      </w:pPr>
      <w:r w:rsidRPr="004E0D4B">
        <w:rPr>
          <w:rFonts w:ascii="Verdana" w:hAnsi="Verdana"/>
          <w:bCs/>
          <w:i/>
          <w:iCs/>
          <w:sz w:val="18"/>
          <w:szCs w:val="18"/>
        </w:rPr>
        <w:t>Haïti</w:t>
      </w:r>
      <w:r w:rsidRPr="004E0D4B" w:rsidR="00B7227D">
        <w:rPr>
          <w:rFonts w:ascii="Verdana" w:hAnsi="Verdana"/>
          <w:i/>
          <w:sz w:val="18"/>
          <w:szCs w:val="18"/>
        </w:rPr>
        <w:br/>
      </w:r>
      <w:r w:rsidRPr="004E0D4B" w:rsidR="009874D9">
        <w:rPr>
          <w:rFonts w:ascii="Verdana" w:hAnsi="Verdana"/>
          <w:bCs/>
          <w:sz w:val="18"/>
          <w:szCs w:val="18"/>
        </w:rPr>
        <w:t>De E</w:t>
      </w:r>
      <w:r w:rsidRPr="004E0D4B" w:rsidR="00152181">
        <w:rPr>
          <w:rFonts w:ascii="Verdana" w:hAnsi="Verdana"/>
          <w:bCs/>
          <w:sz w:val="18"/>
          <w:szCs w:val="18"/>
        </w:rPr>
        <w:t>R</w:t>
      </w:r>
      <w:r w:rsidRPr="004E0D4B" w:rsidR="009874D9">
        <w:rPr>
          <w:rFonts w:ascii="Verdana" w:hAnsi="Verdana"/>
          <w:bCs/>
          <w:sz w:val="18"/>
          <w:szCs w:val="18"/>
        </w:rPr>
        <w:t xml:space="preserve"> sprak haar grote bezorgdheid uit </w:t>
      </w:r>
      <w:r w:rsidRPr="004E0D4B" w:rsidR="00954422">
        <w:rPr>
          <w:rFonts w:ascii="Verdana" w:hAnsi="Verdana"/>
          <w:bCs/>
          <w:sz w:val="18"/>
          <w:szCs w:val="18"/>
        </w:rPr>
        <w:t xml:space="preserve">over </w:t>
      </w:r>
      <w:r w:rsidRPr="004E0D4B" w:rsidR="009874D9">
        <w:rPr>
          <w:rFonts w:ascii="Verdana" w:hAnsi="Verdana"/>
          <w:bCs/>
          <w:sz w:val="18"/>
          <w:szCs w:val="18"/>
        </w:rPr>
        <w:t xml:space="preserve">de verslechterende situatie in </w:t>
      </w:r>
      <w:r w:rsidRPr="004E0D4B" w:rsidR="00021AFC">
        <w:rPr>
          <w:rFonts w:ascii="Verdana" w:hAnsi="Verdana"/>
          <w:bCs/>
          <w:sz w:val="18"/>
          <w:szCs w:val="18"/>
        </w:rPr>
        <w:t>Haïti</w:t>
      </w:r>
      <w:r w:rsidRPr="004E0D4B" w:rsidR="009874D9">
        <w:rPr>
          <w:rFonts w:ascii="Verdana" w:hAnsi="Verdana"/>
          <w:bCs/>
          <w:sz w:val="18"/>
          <w:szCs w:val="18"/>
        </w:rPr>
        <w:t xml:space="preserve">, de golf van geweld die sinds eind februari was ontstaan en het lijden van de bevolking als gevolg daarvan in het land. Het verwelkomde de humanitaire hulp van EUR 20 miljoen die de EU beschikbaar had gesteld. De </w:t>
      </w:r>
      <w:r w:rsidRPr="004E0D4B" w:rsidR="00C20C5B">
        <w:rPr>
          <w:rFonts w:ascii="Verdana" w:hAnsi="Verdana"/>
          <w:bCs/>
          <w:sz w:val="18"/>
          <w:szCs w:val="18"/>
        </w:rPr>
        <w:t>ER</w:t>
      </w:r>
      <w:r w:rsidRPr="004E0D4B" w:rsidR="009874D9">
        <w:rPr>
          <w:rFonts w:ascii="Verdana" w:hAnsi="Verdana"/>
          <w:bCs/>
          <w:sz w:val="18"/>
          <w:szCs w:val="18"/>
        </w:rPr>
        <w:t xml:space="preserve"> riep op te komen tot een duurzaam plan voor politieke transitie en riep de verantwoordelijke politici</w:t>
      </w:r>
      <w:r w:rsidRPr="004E0D4B" w:rsidR="00954422">
        <w:rPr>
          <w:rFonts w:ascii="Verdana" w:hAnsi="Verdana"/>
          <w:bCs/>
          <w:sz w:val="18"/>
          <w:szCs w:val="18"/>
        </w:rPr>
        <w:t xml:space="preserve"> op</w:t>
      </w:r>
      <w:r w:rsidRPr="004E0D4B" w:rsidR="009874D9">
        <w:rPr>
          <w:rFonts w:ascii="Verdana" w:hAnsi="Verdana"/>
          <w:bCs/>
          <w:sz w:val="18"/>
          <w:szCs w:val="18"/>
        </w:rPr>
        <w:t xml:space="preserve"> tot een akkoord te komen in het belang van het land en de bevolking. </w:t>
      </w:r>
      <w:r w:rsidRPr="004E0D4B" w:rsidR="00C268D5">
        <w:rPr>
          <w:rFonts w:ascii="Verdana" w:hAnsi="Verdana"/>
          <w:bCs/>
          <w:sz w:val="18"/>
          <w:szCs w:val="18"/>
        </w:rPr>
        <w:t xml:space="preserve">De ER verwelkomde VN veiligheidsraadsresolutie 2699 die pleit voor de creatie van een </w:t>
      </w:r>
      <w:r w:rsidRPr="004E0D4B" w:rsidR="00C268D5">
        <w:rPr>
          <w:rFonts w:ascii="Verdana" w:hAnsi="Verdana"/>
          <w:bCs/>
          <w:i/>
          <w:iCs/>
          <w:sz w:val="18"/>
          <w:szCs w:val="18"/>
        </w:rPr>
        <w:t>Multinational Security Support</w:t>
      </w:r>
      <w:r w:rsidRPr="004E0D4B" w:rsidR="00954422">
        <w:rPr>
          <w:rFonts w:ascii="Verdana" w:hAnsi="Verdana"/>
          <w:bCs/>
          <w:i/>
          <w:iCs/>
          <w:sz w:val="18"/>
          <w:szCs w:val="18"/>
        </w:rPr>
        <w:t xml:space="preserve"> </w:t>
      </w:r>
      <w:r w:rsidRPr="004E0D4B" w:rsidR="00954422">
        <w:rPr>
          <w:rFonts w:ascii="Verdana" w:hAnsi="Verdana"/>
          <w:bCs/>
          <w:sz w:val="18"/>
          <w:szCs w:val="18"/>
        </w:rPr>
        <w:t>missie</w:t>
      </w:r>
      <w:r w:rsidRPr="004E0D4B" w:rsidR="00C268D5">
        <w:rPr>
          <w:rFonts w:ascii="Verdana" w:hAnsi="Verdana"/>
          <w:bCs/>
          <w:sz w:val="18"/>
          <w:szCs w:val="18"/>
        </w:rPr>
        <w:t xml:space="preserve">. </w:t>
      </w:r>
    </w:p>
    <w:p w:rsidRPr="004E0D4B" w:rsidR="00B60556" w:rsidP="00B60556" w:rsidRDefault="00B60556" w14:paraId="5E08C7F1" w14:textId="5DF36AFA">
      <w:pPr>
        <w:rPr>
          <w:rFonts w:ascii="Verdana" w:hAnsi="Verdana"/>
          <w:i/>
          <w:sz w:val="18"/>
          <w:szCs w:val="18"/>
        </w:rPr>
      </w:pPr>
      <w:r w:rsidRPr="004E0D4B">
        <w:rPr>
          <w:rFonts w:ascii="Verdana" w:hAnsi="Verdana"/>
          <w:i/>
          <w:sz w:val="18"/>
          <w:szCs w:val="18"/>
        </w:rPr>
        <w:t>Belarus</w:t>
      </w:r>
      <w:r w:rsidRPr="004E0D4B" w:rsidR="00B7227D">
        <w:rPr>
          <w:rFonts w:ascii="Verdana" w:hAnsi="Verdana"/>
          <w:i/>
          <w:sz w:val="18"/>
          <w:szCs w:val="18"/>
        </w:rPr>
        <w:br/>
      </w:r>
      <w:r w:rsidRPr="004E0D4B">
        <w:rPr>
          <w:rFonts w:ascii="Verdana" w:hAnsi="Verdana"/>
          <w:bCs/>
          <w:sz w:val="18"/>
          <w:szCs w:val="18"/>
        </w:rPr>
        <w:t>De E</w:t>
      </w:r>
      <w:r w:rsidRPr="004E0D4B" w:rsidR="00152181">
        <w:rPr>
          <w:rFonts w:ascii="Verdana" w:hAnsi="Verdana"/>
          <w:bCs/>
          <w:sz w:val="18"/>
          <w:szCs w:val="18"/>
        </w:rPr>
        <w:t>R</w:t>
      </w:r>
      <w:r w:rsidRPr="004E0D4B">
        <w:rPr>
          <w:rFonts w:ascii="Verdana" w:hAnsi="Verdana"/>
          <w:bCs/>
          <w:sz w:val="18"/>
          <w:szCs w:val="18"/>
        </w:rPr>
        <w:t xml:space="preserve"> sprak haar bezorgdheid uit over de verslechterende mensenrechtensituatie in </w:t>
      </w:r>
      <w:r w:rsidRPr="004E0D4B" w:rsidR="001C4AAF">
        <w:rPr>
          <w:rFonts w:ascii="Verdana" w:hAnsi="Verdana"/>
          <w:bCs/>
          <w:sz w:val="18"/>
          <w:szCs w:val="18"/>
        </w:rPr>
        <w:t>Belarus</w:t>
      </w:r>
      <w:r w:rsidRPr="004E0D4B">
        <w:rPr>
          <w:rFonts w:ascii="Verdana" w:hAnsi="Verdana"/>
          <w:bCs/>
          <w:sz w:val="18"/>
          <w:szCs w:val="18"/>
        </w:rPr>
        <w:t>. Mensenrechtenschendingen, beperk</w:t>
      </w:r>
      <w:r w:rsidRPr="004E0D4B" w:rsidR="001C4AAF">
        <w:rPr>
          <w:rFonts w:ascii="Verdana" w:hAnsi="Verdana"/>
          <w:bCs/>
          <w:sz w:val="18"/>
          <w:szCs w:val="18"/>
        </w:rPr>
        <w:t>ingen</w:t>
      </w:r>
      <w:r w:rsidRPr="004E0D4B" w:rsidR="001C4AAF">
        <w:rPr>
          <w:rFonts w:ascii="Verdana" w:hAnsi="Verdana"/>
          <w:sz w:val="18"/>
          <w:szCs w:val="18"/>
        </w:rPr>
        <w:t xml:space="preserve"> met betrekking tot</w:t>
      </w:r>
      <w:r w:rsidRPr="004E0D4B" w:rsidR="001C4AAF">
        <w:rPr>
          <w:rFonts w:ascii="Verdana" w:hAnsi="Verdana"/>
          <w:bCs/>
          <w:sz w:val="18"/>
          <w:szCs w:val="18"/>
        </w:rPr>
        <w:t xml:space="preserve"> </w:t>
      </w:r>
      <w:r w:rsidRPr="004E0D4B">
        <w:rPr>
          <w:rFonts w:ascii="Verdana" w:hAnsi="Verdana"/>
          <w:bCs/>
          <w:sz w:val="18"/>
          <w:szCs w:val="18"/>
        </w:rPr>
        <w:t xml:space="preserve">politieke participatie en gebrek aan toegang tot onafhankelijke media in </w:t>
      </w:r>
      <w:r w:rsidRPr="004E0D4B" w:rsidR="001C4AAF">
        <w:rPr>
          <w:rFonts w:ascii="Verdana" w:hAnsi="Verdana"/>
          <w:bCs/>
          <w:sz w:val="18"/>
          <w:szCs w:val="18"/>
        </w:rPr>
        <w:t>Belarus</w:t>
      </w:r>
      <w:r w:rsidRPr="004E0D4B">
        <w:rPr>
          <w:rFonts w:ascii="Verdana" w:hAnsi="Verdana"/>
          <w:bCs/>
          <w:sz w:val="18"/>
          <w:szCs w:val="18"/>
        </w:rPr>
        <w:t xml:space="preserve"> bereikten een ongekend niveau in de aanloop naar de parlements- en lokale verkiezingen van 25 februari, die niet voldeden aan de fundamentele democratische normen. De </w:t>
      </w:r>
      <w:r w:rsidRPr="004E0D4B" w:rsidR="00C20C5B">
        <w:rPr>
          <w:rFonts w:ascii="Verdana" w:hAnsi="Verdana"/>
          <w:bCs/>
          <w:sz w:val="18"/>
          <w:szCs w:val="18"/>
        </w:rPr>
        <w:t>ER</w:t>
      </w:r>
      <w:r w:rsidRPr="004E0D4B">
        <w:rPr>
          <w:rFonts w:ascii="Verdana" w:hAnsi="Verdana"/>
          <w:bCs/>
          <w:sz w:val="18"/>
          <w:szCs w:val="18"/>
        </w:rPr>
        <w:t xml:space="preserve"> r</w:t>
      </w:r>
      <w:r w:rsidRPr="004E0D4B" w:rsidR="00BC15AC">
        <w:rPr>
          <w:rFonts w:ascii="Verdana" w:hAnsi="Verdana"/>
          <w:bCs/>
          <w:sz w:val="18"/>
          <w:szCs w:val="18"/>
        </w:rPr>
        <w:t>iep</w:t>
      </w:r>
      <w:r w:rsidRPr="004E0D4B">
        <w:rPr>
          <w:rFonts w:ascii="Verdana" w:hAnsi="Verdana"/>
          <w:bCs/>
          <w:sz w:val="18"/>
          <w:szCs w:val="18"/>
        </w:rPr>
        <w:t xml:space="preserve"> op tot de onmiddellijke en onvoorwaardelijke vrijlating van alle politieke gevangenen en herhaal</w:t>
      </w:r>
      <w:r w:rsidRPr="004E0D4B" w:rsidR="00B23C98">
        <w:rPr>
          <w:rFonts w:ascii="Verdana" w:hAnsi="Verdana"/>
          <w:bCs/>
          <w:sz w:val="18"/>
          <w:szCs w:val="18"/>
        </w:rPr>
        <w:t>de</w:t>
      </w:r>
      <w:r w:rsidRPr="004E0D4B">
        <w:rPr>
          <w:rFonts w:ascii="Verdana" w:hAnsi="Verdana"/>
          <w:bCs/>
          <w:sz w:val="18"/>
          <w:szCs w:val="18"/>
        </w:rPr>
        <w:t xml:space="preserve"> de solidariteit van de EU met het </w:t>
      </w:r>
      <w:r w:rsidRPr="004E0D4B" w:rsidR="001C4AAF">
        <w:rPr>
          <w:rFonts w:ascii="Verdana" w:hAnsi="Verdana"/>
          <w:bCs/>
          <w:sz w:val="18"/>
          <w:szCs w:val="18"/>
        </w:rPr>
        <w:t>Belarussische</w:t>
      </w:r>
      <w:r w:rsidRPr="004E0D4B">
        <w:rPr>
          <w:rFonts w:ascii="Verdana" w:hAnsi="Verdana"/>
          <w:bCs/>
          <w:sz w:val="18"/>
          <w:szCs w:val="18"/>
        </w:rPr>
        <w:t xml:space="preserve"> maatschappelijk middenveld en de democratische krachten.</w:t>
      </w:r>
    </w:p>
    <w:p w:rsidRPr="004E0D4B" w:rsidR="00835B54" w:rsidP="00B60556" w:rsidRDefault="00835B54" w14:paraId="0D557A5A" w14:textId="703EFCAB">
      <w:pPr>
        <w:rPr>
          <w:rFonts w:ascii="Verdana" w:hAnsi="Verdana"/>
          <w:i/>
          <w:sz w:val="18"/>
          <w:szCs w:val="18"/>
        </w:rPr>
      </w:pPr>
      <w:r w:rsidRPr="004E0D4B">
        <w:rPr>
          <w:rFonts w:ascii="Verdana" w:hAnsi="Verdana"/>
          <w:i/>
          <w:sz w:val="18"/>
          <w:szCs w:val="18"/>
        </w:rPr>
        <w:t>Uitbreiding en hervormingen</w:t>
      </w:r>
      <w:r w:rsidRPr="004E0D4B" w:rsidR="00B7227D">
        <w:rPr>
          <w:rFonts w:ascii="Verdana" w:hAnsi="Verdana"/>
          <w:i/>
          <w:sz w:val="18"/>
          <w:szCs w:val="18"/>
        </w:rPr>
        <w:br/>
      </w:r>
      <w:r w:rsidRPr="004E0D4B">
        <w:rPr>
          <w:rFonts w:ascii="Verdana" w:hAnsi="Verdana"/>
          <w:bCs/>
          <w:sz w:val="18"/>
          <w:szCs w:val="18"/>
        </w:rPr>
        <w:t xml:space="preserve">De ER stond stil bij de voortgang van de voorbereiding van uitbreiding aan de hand van twee parallelle sporen. Enerzijds zal de EU zichzelf moeten voorbereiden. </w:t>
      </w:r>
      <w:r w:rsidRPr="004E0D4B" w:rsidR="00743350">
        <w:rPr>
          <w:rFonts w:ascii="Verdana" w:hAnsi="Verdana"/>
          <w:bCs/>
          <w:sz w:val="18"/>
          <w:szCs w:val="18"/>
        </w:rPr>
        <w:t>De ER van 14</w:t>
      </w:r>
      <w:r w:rsidRPr="004E0D4B" w:rsidR="007F5ACF">
        <w:rPr>
          <w:rFonts w:ascii="Verdana" w:hAnsi="Verdana"/>
          <w:bCs/>
          <w:sz w:val="18"/>
          <w:szCs w:val="18"/>
        </w:rPr>
        <w:t xml:space="preserve"> en </w:t>
      </w:r>
      <w:r w:rsidRPr="004E0D4B" w:rsidR="00743350">
        <w:rPr>
          <w:rFonts w:ascii="Verdana" w:hAnsi="Verdana"/>
          <w:bCs/>
          <w:sz w:val="18"/>
          <w:szCs w:val="18"/>
        </w:rPr>
        <w:t xml:space="preserve">15 december jl. concludeerde dat de ER in de zomer van 2024 een routekaart zal aannemen om dit voorbereidende werk te structureren. </w:t>
      </w:r>
      <w:r w:rsidRPr="004E0D4B">
        <w:rPr>
          <w:rFonts w:ascii="Verdana" w:hAnsi="Verdana"/>
          <w:bCs/>
          <w:sz w:val="18"/>
          <w:szCs w:val="18"/>
        </w:rPr>
        <w:t xml:space="preserve">Anderzijds werd de geboekte voortgang van Oekraïne en Moldavië verwelkomd en </w:t>
      </w:r>
      <w:r w:rsidRPr="004E0D4B" w:rsidR="00875437">
        <w:rPr>
          <w:rFonts w:ascii="Verdana" w:hAnsi="Verdana"/>
          <w:bCs/>
          <w:sz w:val="18"/>
          <w:szCs w:val="18"/>
        </w:rPr>
        <w:t xml:space="preserve">vroeg </w:t>
      </w:r>
      <w:r w:rsidRPr="004E0D4B">
        <w:rPr>
          <w:rFonts w:ascii="Verdana" w:hAnsi="Verdana"/>
          <w:bCs/>
          <w:sz w:val="18"/>
          <w:szCs w:val="18"/>
        </w:rPr>
        <w:t xml:space="preserve">de ER de Raad het werk voort te zetten ter voorbereiding van de onderhandelingsraamwerken. Georgië werd aangemoedigd voortgang te boeken ten aanzien van de openstaande prioritaire hervormingen. </w:t>
      </w:r>
    </w:p>
    <w:p w:rsidRPr="004E0D4B" w:rsidR="006E3314" w:rsidP="006E3314" w:rsidRDefault="006E3314" w14:paraId="6993382A" w14:textId="77777777">
      <w:pPr>
        <w:spacing w:after="0" w:line="240" w:lineRule="auto"/>
        <w:rPr>
          <w:rFonts w:ascii="Verdana" w:hAnsi="Verdana"/>
          <w:i/>
          <w:iCs/>
          <w:sz w:val="18"/>
          <w:szCs w:val="18"/>
        </w:rPr>
      </w:pPr>
      <w:r w:rsidRPr="004E0D4B">
        <w:rPr>
          <w:rFonts w:ascii="Verdana" w:hAnsi="Verdana"/>
          <w:i/>
          <w:iCs/>
          <w:sz w:val="18"/>
          <w:szCs w:val="18"/>
        </w:rPr>
        <w:t>Bosnië en Herzegovina</w:t>
      </w:r>
    </w:p>
    <w:p w:rsidRPr="004E0D4B" w:rsidR="006E3314" w:rsidP="006E3314" w:rsidRDefault="006E3314" w14:paraId="4FDE88EF" w14:textId="77777777">
      <w:pPr>
        <w:spacing w:after="0" w:line="240" w:lineRule="auto"/>
        <w:rPr>
          <w:rFonts w:ascii="Verdana" w:hAnsi="Verdana"/>
          <w:sz w:val="18"/>
          <w:szCs w:val="18"/>
        </w:rPr>
      </w:pPr>
      <w:r w:rsidRPr="004E0D4B">
        <w:rPr>
          <w:rFonts w:ascii="Verdana" w:hAnsi="Verdana"/>
          <w:sz w:val="18"/>
          <w:szCs w:val="18"/>
        </w:rPr>
        <w:t>De ER sprak over Bosnië en Herzegovina op basis van de Commissierapportage van 12 maart jl.</w:t>
      </w:r>
      <w:r w:rsidRPr="004E0D4B">
        <w:rPr>
          <w:rStyle w:val="FootnoteReference"/>
          <w:rFonts w:ascii="Verdana" w:hAnsi="Verdana"/>
          <w:sz w:val="18"/>
          <w:szCs w:val="18"/>
        </w:rPr>
        <w:footnoteReference w:id="11"/>
      </w:r>
      <w:r w:rsidRPr="004E0D4B">
        <w:rPr>
          <w:rFonts w:ascii="Verdana" w:hAnsi="Verdana"/>
          <w:sz w:val="18"/>
          <w:szCs w:val="18"/>
        </w:rPr>
        <w:t xml:space="preserve">. </w:t>
      </w:r>
    </w:p>
    <w:p w:rsidRPr="004E0D4B" w:rsidR="006E3314" w:rsidP="006E3314" w:rsidRDefault="006E3314" w14:paraId="27382552" w14:textId="0AD6E938">
      <w:pPr>
        <w:rPr>
          <w:rFonts w:ascii="Verdana" w:hAnsi="Verdana"/>
          <w:sz w:val="18"/>
          <w:szCs w:val="18"/>
        </w:rPr>
      </w:pPr>
      <w:r w:rsidRPr="004E0D4B">
        <w:rPr>
          <w:rFonts w:ascii="Verdana" w:hAnsi="Verdana"/>
          <w:sz w:val="18"/>
          <w:szCs w:val="18"/>
        </w:rPr>
        <w:t xml:space="preserve">In lijn met de motie </w:t>
      </w:r>
      <w:r w:rsidRPr="004E0D4B" w:rsidR="00CA4952">
        <w:rPr>
          <w:rFonts w:ascii="Verdana" w:hAnsi="Verdana"/>
          <w:sz w:val="18"/>
          <w:szCs w:val="18"/>
        </w:rPr>
        <w:t xml:space="preserve">van de leden </w:t>
      </w:r>
      <w:r w:rsidRPr="004E0D4B">
        <w:rPr>
          <w:rFonts w:ascii="Verdana" w:hAnsi="Verdana"/>
          <w:sz w:val="18"/>
          <w:szCs w:val="18"/>
        </w:rPr>
        <w:t>Tuinman en Van Campen</w:t>
      </w:r>
      <w:r w:rsidRPr="004E0D4B">
        <w:rPr>
          <w:rStyle w:val="FootnoteReference"/>
          <w:rFonts w:ascii="Verdana" w:hAnsi="Verdana"/>
          <w:sz w:val="18"/>
          <w:szCs w:val="18"/>
        </w:rPr>
        <w:footnoteReference w:id="12"/>
      </w:r>
      <w:r w:rsidRPr="004E0D4B">
        <w:rPr>
          <w:rFonts w:ascii="Verdana" w:hAnsi="Verdana"/>
          <w:sz w:val="18"/>
          <w:szCs w:val="18"/>
        </w:rPr>
        <w:t xml:space="preserve"> heeft de minister-president gepleit voor een strikt en fair beleid en heeft benadrukt dat Bosnië en Herzegovina eerst aan alle acht criteria van de Commissieaanbeveling van 12 oktober 2022 moet voldoen voordat onderhandelingsgesprekken kunnen worden geopend. </w:t>
      </w:r>
      <w:r w:rsidRPr="004E0D4B" w:rsidR="003B370D">
        <w:rPr>
          <w:rFonts w:ascii="Verdana" w:hAnsi="Verdana"/>
          <w:sz w:val="18"/>
          <w:szCs w:val="18"/>
        </w:rPr>
        <w:t xml:space="preserve">Hij heeft aangegeven dat de </w:t>
      </w:r>
      <w:r w:rsidRPr="004E0D4B">
        <w:rPr>
          <w:rFonts w:ascii="Verdana" w:hAnsi="Verdana"/>
          <w:sz w:val="18"/>
          <w:szCs w:val="18"/>
        </w:rPr>
        <w:t xml:space="preserve">voorwaarden objectief en stevig </w:t>
      </w:r>
      <w:r w:rsidRPr="004E0D4B" w:rsidR="003B370D">
        <w:rPr>
          <w:rFonts w:ascii="Verdana" w:hAnsi="Verdana"/>
          <w:sz w:val="18"/>
          <w:szCs w:val="18"/>
        </w:rPr>
        <w:t xml:space="preserve">moeten </w:t>
      </w:r>
      <w:r w:rsidRPr="004E0D4B">
        <w:rPr>
          <w:rFonts w:ascii="Verdana" w:hAnsi="Verdana"/>
          <w:sz w:val="18"/>
          <w:szCs w:val="18"/>
        </w:rPr>
        <w:t>worden verankerd in het onderhandelingsraamwerk. Andere leden van de ER pleitten voor een meer ruimhartige benadering richting Bosnië en Herzegovina. Uiteindelijk kwam de ER overeen het signaal af te geven de onderhandelingen met Bosnië en Herzegovina te openen. De ER verzocht de Commissie het technische werk ter voorbereiding van het toekomstige onderhandelingsraamwerk te starten. Over de vaststelling van het onderhandelingsraamwerk zal met unanimiteit worden besloten. De vaststelling kan pas plaatsvinden als aan alle stappen uit de Commissieaanbeveling van 12 oktober 2022 is voldaan.</w:t>
      </w:r>
    </w:p>
    <w:p w:rsidRPr="004E0D4B" w:rsidR="00D57C61" w:rsidP="00D57C61" w:rsidRDefault="00D57C61" w14:paraId="11E41D8F" w14:textId="19399BA9">
      <w:pPr>
        <w:rPr>
          <w:rFonts w:ascii="Verdana" w:hAnsi="Verdana"/>
          <w:bCs/>
          <w:i/>
          <w:iCs/>
          <w:sz w:val="18"/>
          <w:szCs w:val="18"/>
        </w:rPr>
      </w:pPr>
      <w:r w:rsidRPr="004E0D4B">
        <w:rPr>
          <w:rFonts w:ascii="Verdana" w:hAnsi="Verdana"/>
          <w:bCs/>
          <w:i/>
          <w:iCs/>
          <w:sz w:val="18"/>
          <w:szCs w:val="18"/>
        </w:rPr>
        <w:lastRenderedPageBreak/>
        <w:t>Partnerschappen met derde landen</w:t>
      </w:r>
      <w:r w:rsidRPr="004E0D4B" w:rsidR="00B7227D">
        <w:rPr>
          <w:rFonts w:ascii="Verdana" w:hAnsi="Verdana"/>
          <w:bCs/>
          <w:i/>
          <w:iCs/>
          <w:sz w:val="18"/>
          <w:szCs w:val="18"/>
        </w:rPr>
        <w:br/>
      </w:r>
      <w:r w:rsidRPr="004E0D4B">
        <w:rPr>
          <w:rFonts w:ascii="Verdana" w:hAnsi="Verdana"/>
          <w:bCs/>
          <w:sz w:val="18"/>
          <w:szCs w:val="18"/>
        </w:rPr>
        <w:t>De E</w:t>
      </w:r>
      <w:r w:rsidRPr="004E0D4B" w:rsidR="00152181">
        <w:rPr>
          <w:rFonts w:ascii="Verdana" w:hAnsi="Verdana"/>
          <w:bCs/>
          <w:sz w:val="18"/>
          <w:szCs w:val="18"/>
        </w:rPr>
        <w:t>R</w:t>
      </w:r>
      <w:r w:rsidRPr="004E0D4B">
        <w:rPr>
          <w:rFonts w:ascii="Verdana" w:hAnsi="Verdana"/>
          <w:bCs/>
          <w:sz w:val="18"/>
          <w:szCs w:val="18"/>
        </w:rPr>
        <w:t xml:space="preserve"> verwelkomde de gezamenlijke verklaring over het partnerschap tussen de </w:t>
      </w:r>
      <w:r w:rsidRPr="004E0D4B" w:rsidR="00A2187C">
        <w:rPr>
          <w:rFonts w:ascii="Verdana" w:hAnsi="Verdana"/>
          <w:bCs/>
          <w:sz w:val="18"/>
          <w:szCs w:val="18"/>
        </w:rPr>
        <w:t>EU</w:t>
      </w:r>
      <w:r w:rsidRPr="004E0D4B">
        <w:rPr>
          <w:rFonts w:ascii="Verdana" w:hAnsi="Verdana"/>
          <w:bCs/>
          <w:sz w:val="18"/>
          <w:szCs w:val="18"/>
        </w:rPr>
        <w:t xml:space="preserve"> en Egypte. </w:t>
      </w:r>
      <w:r w:rsidRPr="004E0D4B" w:rsidR="00943F60">
        <w:rPr>
          <w:rFonts w:ascii="Verdana" w:hAnsi="Verdana"/>
          <w:bCs/>
          <w:sz w:val="18"/>
          <w:szCs w:val="18"/>
        </w:rPr>
        <w:t>In het verslag</w:t>
      </w:r>
      <w:r w:rsidRPr="004E0D4B">
        <w:rPr>
          <w:rFonts w:ascii="Verdana" w:hAnsi="Verdana"/>
          <w:bCs/>
          <w:sz w:val="18"/>
          <w:szCs w:val="18"/>
        </w:rPr>
        <w:t xml:space="preserve"> van de Raad Buitenlandse Zaken van 18 maart 2024</w:t>
      </w:r>
      <w:r w:rsidRPr="004E0D4B" w:rsidR="00943F60">
        <w:rPr>
          <w:rFonts w:ascii="Verdana" w:hAnsi="Verdana"/>
          <w:bCs/>
          <w:sz w:val="18"/>
          <w:szCs w:val="18"/>
        </w:rPr>
        <w:t xml:space="preserve"> is </w:t>
      </w:r>
      <w:r w:rsidRPr="004E0D4B">
        <w:rPr>
          <w:rFonts w:ascii="Verdana" w:hAnsi="Verdana"/>
          <w:bCs/>
          <w:sz w:val="18"/>
          <w:szCs w:val="18"/>
        </w:rPr>
        <w:t>de Kamer hierover nader geïnformeerd.</w:t>
      </w:r>
      <w:r w:rsidRPr="004E0D4B" w:rsidR="00097CFF">
        <w:rPr>
          <w:rStyle w:val="FootnoteReference"/>
          <w:rFonts w:ascii="Verdana" w:hAnsi="Verdana"/>
          <w:bCs/>
          <w:sz w:val="18"/>
          <w:szCs w:val="18"/>
        </w:rPr>
        <w:footnoteReference w:id="13"/>
      </w:r>
      <w:r w:rsidRPr="004E0D4B">
        <w:rPr>
          <w:rFonts w:ascii="Verdana" w:hAnsi="Verdana"/>
          <w:bCs/>
          <w:sz w:val="18"/>
          <w:szCs w:val="18"/>
        </w:rPr>
        <w:t xml:space="preserve"> </w:t>
      </w:r>
    </w:p>
    <w:p w:rsidRPr="004E0D4B" w:rsidR="00B60556" w:rsidP="00C22428" w:rsidRDefault="00B60556" w14:paraId="774EBA9B" w14:textId="77777777">
      <w:pPr>
        <w:spacing w:after="0" w:line="240" w:lineRule="auto"/>
        <w:rPr>
          <w:rFonts w:ascii="Verdana" w:hAnsi="Verdana"/>
          <w:b/>
          <w:bCs/>
          <w:i/>
          <w:iCs/>
          <w:sz w:val="18"/>
          <w:szCs w:val="18"/>
        </w:rPr>
      </w:pPr>
      <w:r w:rsidRPr="004E0D4B">
        <w:rPr>
          <w:rFonts w:ascii="Verdana" w:hAnsi="Verdana"/>
          <w:b/>
          <w:bCs/>
          <w:i/>
          <w:iCs/>
          <w:sz w:val="18"/>
          <w:szCs w:val="18"/>
        </w:rPr>
        <w:t>O</w:t>
      </w:r>
      <w:r w:rsidRPr="004E0D4B" w:rsidR="00C22428">
        <w:rPr>
          <w:rFonts w:ascii="Verdana" w:hAnsi="Verdana"/>
          <w:b/>
          <w:bCs/>
          <w:i/>
          <w:iCs/>
          <w:sz w:val="18"/>
          <w:szCs w:val="18"/>
        </w:rPr>
        <w:t>verig</w:t>
      </w:r>
    </w:p>
    <w:p w:rsidRPr="004E0D4B" w:rsidR="00B60556" w:rsidP="00C22428" w:rsidRDefault="00B60556" w14:paraId="2259CD56" w14:textId="77777777">
      <w:pPr>
        <w:spacing w:after="0" w:line="240" w:lineRule="auto"/>
        <w:rPr>
          <w:rFonts w:ascii="Verdana" w:hAnsi="Verdana"/>
          <w:b/>
          <w:bCs/>
          <w:i/>
          <w:iCs/>
          <w:sz w:val="18"/>
          <w:szCs w:val="18"/>
        </w:rPr>
      </w:pPr>
    </w:p>
    <w:p w:rsidRPr="004E0D4B" w:rsidR="00C22428" w:rsidP="00C22428" w:rsidRDefault="00C22428" w14:paraId="6A272DFD" w14:textId="77777777">
      <w:pPr>
        <w:spacing w:after="0" w:line="240" w:lineRule="auto"/>
        <w:rPr>
          <w:rFonts w:ascii="Verdana" w:hAnsi="Verdana"/>
          <w:bCs/>
          <w:i/>
          <w:iCs/>
          <w:sz w:val="18"/>
          <w:szCs w:val="18"/>
        </w:rPr>
      </w:pPr>
      <w:r w:rsidRPr="004E0D4B">
        <w:rPr>
          <w:rFonts w:ascii="Verdana" w:hAnsi="Verdana"/>
          <w:bCs/>
          <w:i/>
          <w:iCs/>
          <w:sz w:val="18"/>
          <w:szCs w:val="18"/>
        </w:rPr>
        <w:t>Landbouw</w:t>
      </w:r>
    </w:p>
    <w:p w:rsidRPr="004E0D4B" w:rsidR="00824A8B" w:rsidP="00C22428" w:rsidRDefault="00C22428" w14:paraId="7C1C2344" w14:textId="39981136">
      <w:pPr>
        <w:spacing w:after="0" w:line="240" w:lineRule="auto"/>
        <w:rPr>
          <w:rFonts w:ascii="Verdana" w:hAnsi="Verdana"/>
          <w:sz w:val="18"/>
          <w:szCs w:val="18"/>
        </w:rPr>
      </w:pPr>
      <w:bookmarkStart w:name="_Hlk160788223" w:id="3"/>
      <w:r w:rsidRPr="004E0D4B">
        <w:rPr>
          <w:rFonts w:ascii="Verdana" w:hAnsi="Verdana"/>
          <w:sz w:val="18"/>
          <w:szCs w:val="18"/>
        </w:rPr>
        <w:t xml:space="preserve">De ER </w:t>
      </w:r>
      <w:r w:rsidRPr="004E0D4B" w:rsidR="00824A8B">
        <w:rPr>
          <w:rFonts w:ascii="Verdana" w:hAnsi="Verdana"/>
          <w:sz w:val="18"/>
          <w:szCs w:val="18"/>
        </w:rPr>
        <w:t xml:space="preserve">onderstreepte het belang van een weerbare en duurzame landbouwsector voor onder meer de </w:t>
      </w:r>
      <w:r w:rsidRPr="004E0D4B" w:rsidR="00860144">
        <w:rPr>
          <w:rFonts w:ascii="Verdana" w:hAnsi="Verdana"/>
          <w:sz w:val="18"/>
          <w:szCs w:val="18"/>
        </w:rPr>
        <w:t xml:space="preserve">voedselzekerheid </w:t>
      </w:r>
      <w:r w:rsidRPr="004E0D4B" w:rsidR="00824A8B">
        <w:rPr>
          <w:rFonts w:ascii="Verdana" w:hAnsi="Verdana"/>
          <w:sz w:val="18"/>
          <w:szCs w:val="18"/>
        </w:rPr>
        <w:t xml:space="preserve">in de EU. Het gemeenschappelijk landbouwbeleid heeft daarin een essentiële rol. Erkend werd dat boeren een stabiel en voorspelbaar kader nodig hebben </w:t>
      </w:r>
      <w:r w:rsidRPr="004E0D4B" w:rsidR="00860144">
        <w:rPr>
          <w:rFonts w:ascii="Verdana" w:hAnsi="Verdana"/>
          <w:sz w:val="18"/>
          <w:szCs w:val="18"/>
        </w:rPr>
        <w:t xml:space="preserve">waarmee ze </w:t>
      </w:r>
      <w:r w:rsidRPr="004E0D4B" w:rsidR="00824A8B">
        <w:rPr>
          <w:rFonts w:ascii="Verdana" w:hAnsi="Verdana"/>
          <w:sz w:val="18"/>
          <w:szCs w:val="18"/>
        </w:rPr>
        <w:t>begeleid worden bij het beantwoorden van milieu</w:t>
      </w:r>
      <w:r w:rsidRPr="004E0D4B" w:rsidR="00860144">
        <w:rPr>
          <w:rFonts w:ascii="Verdana" w:hAnsi="Verdana"/>
          <w:sz w:val="18"/>
          <w:szCs w:val="18"/>
        </w:rPr>
        <w:t>-</w:t>
      </w:r>
      <w:r w:rsidRPr="004E0D4B" w:rsidR="00824A8B">
        <w:rPr>
          <w:rFonts w:ascii="Verdana" w:hAnsi="Verdana"/>
          <w:sz w:val="18"/>
          <w:szCs w:val="18"/>
        </w:rPr>
        <w:t xml:space="preserve"> en klimaatuitdagingen.</w:t>
      </w:r>
    </w:p>
    <w:p w:rsidRPr="004E0D4B" w:rsidR="00824A8B" w:rsidP="00C22428" w:rsidRDefault="00824A8B" w14:paraId="5E81D82B" w14:textId="77777777">
      <w:pPr>
        <w:spacing w:after="0" w:line="240" w:lineRule="auto"/>
        <w:rPr>
          <w:rFonts w:ascii="Verdana" w:hAnsi="Verdana"/>
          <w:sz w:val="18"/>
          <w:szCs w:val="18"/>
        </w:rPr>
      </w:pPr>
    </w:p>
    <w:p w:rsidRPr="004E0D4B" w:rsidR="00E25581" w:rsidP="00C22428" w:rsidRDefault="00824A8B" w14:paraId="364EDC30" w14:textId="2AC9BAB2">
      <w:pPr>
        <w:spacing w:after="0" w:line="240" w:lineRule="auto"/>
        <w:rPr>
          <w:rFonts w:ascii="Verdana" w:hAnsi="Verdana"/>
          <w:strike/>
          <w:sz w:val="18"/>
          <w:szCs w:val="18"/>
        </w:rPr>
      </w:pPr>
      <w:r w:rsidRPr="004E0D4B">
        <w:rPr>
          <w:rFonts w:ascii="Verdana" w:hAnsi="Verdana"/>
          <w:sz w:val="18"/>
          <w:szCs w:val="18"/>
        </w:rPr>
        <w:t xml:space="preserve">De leden van de </w:t>
      </w:r>
      <w:r w:rsidRPr="004E0D4B" w:rsidR="00C20C5B">
        <w:rPr>
          <w:rFonts w:ascii="Verdana" w:hAnsi="Verdana"/>
          <w:sz w:val="18"/>
          <w:szCs w:val="18"/>
        </w:rPr>
        <w:t>ER</w:t>
      </w:r>
      <w:r w:rsidRPr="004E0D4B">
        <w:rPr>
          <w:rFonts w:ascii="Verdana" w:hAnsi="Verdana"/>
          <w:sz w:val="18"/>
          <w:szCs w:val="18"/>
        </w:rPr>
        <w:t xml:space="preserve"> stonden stil bij de zorgen die zijn geuit door de landbouwsector en het werk dat op Europees niveau wordt verricht om daarop stappen te zetten. </w:t>
      </w:r>
      <w:r w:rsidRPr="004E0D4B" w:rsidR="00E25581">
        <w:rPr>
          <w:rFonts w:ascii="Verdana" w:hAnsi="Verdana"/>
          <w:sz w:val="18"/>
          <w:szCs w:val="18"/>
        </w:rPr>
        <w:t>De minister-president benadrukte het belang van het verminderen van regeldruk en administratieve lasten</w:t>
      </w:r>
      <w:r w:rsidRPr="004E0D4B" w:rsidR="00BF75F9">
        <w:rPr>
          <w:rFonts w:ascii="Verdana" w:hAnsi="Verdana"/>
          <w:sz w:val="18"/>
          <w:szCs w:val="18"/>
        </w:rPr>
        <w:t xml:space="preserve">. Ook benadrukte </w:t>
      </w:r>
      <w:r w:rsidRPr="004E0D4B" w:rsidR="00152181">
        <w:rPr>
          <w:rFonts w:ascii="Verdana" w:hAnsi="Verdana"/>
          <w:sz w:val="18"/>
          <w:szCs w:val="18"/>
        </w:rPr>
        <w:t>Nederland</w:t>
      </w:r>
      <w:r w:rsidRPr="004E0D4B" w:rsidR="00BF75F9">
        <w:rPr>
          <w:rFonts w:ascii="Verdana" w:hAnsi="Verdana"/>
          <w:sz w:val="18"/>
          <w:szCs w:val="18"/>
        </w:rPr>
        <w:t xml:space="preserve"> het belang van het bevorderen van innovatieve </w:t>
      </w:r>
      <w:r w:rsidRPr="004E0D4B" w:rsidR="00860144">
        <w:rPr>
          <w:rFonts w:ascii="Verdana" w:hAnsi="Verdana"/>
          <w:sz w:val="18"/>
          <w:szCs w:val="18"/>
        </w:rPr>
        <w:t>oplossingen voor de uitdagingen van de boeren</w:t>
      </w:r>
      <w:r w:rsidRPr="004E0D4B" w:rsidR="00840CD4">
        <w:rPr>
          <w:rFonts w:ascii="Verdana" w:hAnsi="Verdana"/>
          <w:sz w:val="18"/>
          <w:szCs w:val="18"/>
        </w:rPr>
        <w:t>.</w:t>
      </w:r>
      <w:r w:rsidRPr="004E0D4B" w:rsidR="00860144">
        <w:rPr>
          <w:rFonts w:ascii="Verdana" w:hAnsi="Verdana"/>
          <w:sz w:val="18"/>
          <w:szCs w:val="18"/>
        </w:rPr>
        <w:t xml:space="preserve"> In dat kader heeft Nederland de afgelopen tijd voor het toestaan van RENURE</w:t>
      </w:r>
      <w:r w:rsidR="00D9229C">
        <w:rPr>
          <w:rStyle w:val="FootnoteReference"/>
          <w:rFonts w:ascii="Verdana" w:hAnsi="Verdana"/>
          <w:sz w:val="18"/>
          <w:szCs w:val="18"/>
        </w:rPr>
        <w:footnoteReference w:id="14"/>
      </w:r>
      <w:r w:rsidRPr="004E0D4B" w:rsidR="00860144">
        <w:rPr>
          <w:rFonts w:ascii="Verdana" w:hAnsi="Verdana"/>
          <w:sz w:val="18"/>
          <w:szCs w:val="18"/>
        </w:rPr>
        <w:t xml:space="preserve"> gepleit.</w:t>
      </w:r>
    </w:p>
    <w:p w:rsidRPr="004E0D4B" w:rsidR="00E25581" w:rsidP="00C22428" w:rsidRDefault="00E25581" w14:paraId="0A61ECDD" w14:textId="77777777">
      <w:pPr>
        <w:spacing w:after="0" w:line="240" w:lineRule="auto"/>
        <w:rPr>
          <w:rFonts w:ascii="Verdana" w:hAnsi="Verdana"/>
          <w:sz w:val="18"/>
          <w:szCs w:val="18"/>
        </w:rPr>
      </w:pPr>
    </w:p>
    <w:p w:rsidRPr="004E0D4B" w:rsidR="00E25581" w:rsidP="00C22428" w:rsidRDefault="00824A8B" w14:paraId="69C8A270" w14:textId="77777777">
      <w:pPr>
        <w:spacing w:after="0" w:line="240" w:lineRule="auto"/>
        <w:rPr>
          <w:rFonts w:ascii="Verdana" w:hAnsi="Verdana"/>
          <w:sz w:val="18"/>
          <w:szCs w:val="18"/>
        </w:rPr>
      </w:pPr>
      <w:r w:rsidRPr="004E0D4B">
        <w:rPr>
          <w:rFonts w:ascii="Verdana" w:hAnsi="Verdana"/>
          <w:sz w:val="18"/>
          <w:szCs w:val="18"/>
        </w:rPr>
        <w:t>De ER nodigde de Commissie en de Raad uit om snelle voortgang te boeken ten aanzien van</w:t>
      </w:r>
      <w:r w:rsidRPr="004E0D4B" w:rsidR="00E25581">
        <w:rPr>
          <w:rFonts w:ascii="Verdana" w:hAnsi="Verdana"/>
          <w:sz w:val="18"/>
          <w:szCs w:val="18"/>
        </w:rPr>
        <w:t>:</w:t>
      </w:r>
    </w:p>
    <w:p w:rsidRPr="004E0D4B" w:rsidR="00E25581" w:rsidP="000669DF" w:rsidRDefault="008658B3" w14:paraId="510C9FD1" w14:textId="77777777">
      <w:pPr>
        <w:pStyle w:val="ListParagraph"/>
        <w:numPr>
          <w:ilvl w:val="0"/>
          <w:numId w:val="5"/>
        </w:numPr>
        <w:rPr>
          <w:rFonts w:ascii="Verdana" w:hAnsi="Verdana"/>
          <w:sz w:val="18"/>
          <w:szCs w:val="18"/>
        </w:rPr>
      </w:pPr>
      <w:r w:rsidRPr="004E0D4B">
        <w:rPr>
          <w:rFonts w:ascii="Verdana" w:hAnsi="Verdana"/>
          <w:sz w:val="18"/>
          <w:szCs w:val="18"/>
        </w:rPr>
        <w:t>a</w:t>
      </w:r>
      <w:r w:rsidRPr="004E0D4B" w:rsidR="00660245">
        <w:rPr>
          <w:rFonts w:ascii="Verdana" w:hAnsi="Verdana"/>
          <w:sz w:val="18"/>
          <w:szCs w:val="18"/>
        </w:rPr>
        <w:t xml:space="preserve">lle mogelijke korte en middellange termijn maatregelen, zoals </w:t>
      </w:r>
      <w:r w:rsidRPr="004E0D4B" w:rsidR="00824A8B">
        <w:rPr>
          <w:rFonts w:ascii="Verdana" w:hAnsi="Verdana"/>
          <w:sz w:val="18"/>
          <w:szCs w:val="18"/>
        </w:rPr>
        <w:t>het verminderen van</w:t>
      </w:r>
      <w:r w:rsidRPr="004E0D4B" w:rsidR="00C22428">
        <w:rPr>
          <w:rFonts w:ascii="Verdana" w:hAnsi="Verdana"/>
          <w:sz w:val="18"/>
          <w:szCs w:val="18"/>
        </w:rPr>
        <w:t xml:space="preserve"> regeldruk en administratieve lasten</w:t>
      </w:r>
      <w:r w:rsidRPr="004E0D4B" w:rsidR="00660245">
        <w:rPr>
          <w:rFonts w:ascii="Verdana" w:hAnsi="Verdana"/>
          <w:sz w:val="18"/>
          <w:szCs w:val="18"/>
        </w:rPr>
        <w:t xml:space="preserve"> en het doorvoeren van innovatieve oplossingen</w:t>
      </w:r>
      <w:r w:rsidRPr="004E0D4B" w:rsidR="00167A12">
        <w:rPr>
          <w:rFonts w:ascii="Verdana" w:hAnsi="Verdana"/>
          <w:sz w:val="18"/>
          <w:szCs w:val="18"/>
        </w:rPr>
        <w:t>,</w:t>
      </w:r>
    </w:p>
    <w:p w:rsidRPr="004E0D4B" w:rsidR="00E25581" w:rsidP="000669DF" w:rsidRDefault="00E25581" w14:paraId="6C5BFBCD" w14:textId="77777777">
      <w:pPr>
        <w:pStyle w:val="ListParagraph"/>
        <w:numPr>
          <w:ilvl w:val="0"/>
          <w:numId w:val="5"/>
        </w:numPr>
        <w:rPr>
          <w:rFonts w:ascii="Verdana" w:hAnsi="Verdana"/>
          <w:sz w:val="18"/>
          <w:szCs w:val="18"/>
        </w:rPr>
      </w:pPr>
      <w:r w:rsidRPr="004E0D4B">
        <w:rPr>
          <w:rFonts w:ascii="Verdana" w:hAnsi="Verdana"/>
          <w:sz w:val="18"/>
          <w:szCs w:val="18"/>
        </w:rPr>
        <w:t xml:space="preserve">het versterken van de positie van boeren in de voedselproductieketen, mede met het oog op een eerlijk inkomen, </w:t>
      </w:r>
    </w:p>
    <w:p w:rsidRPr="004E0D4B" w:rsidR="00844410" w:rsidP="000669DF" w:rsidRDefault="009049BE" w14:paraId="1FD7D060" w14:textId="77777777">
      <w:pPr>
        <w:pStyle w:val="ListParagraph"/>
        <w:numPr>
          <w:ilvl w:val="0"/>
          <w:numId w:val="5"/>
        </w:numPr>
        <w:rPr>
          <w:rFonts w:ascii="Verdana" w:hAnsi="Verdana"/>
          <w:sz w:val="18"/>
          <w:szCs w:val="18"/>
        </w:rPr>
      </w:pPr>
      <w:r w:rsidRPr="004E0D4B">
        <w:rPr>
          <w:rFonts w:ascii="Verdana" w:hAnsi="Verdana"/>
          <w:sz w:val="18"/>
          <w:szCs w:val="18"/>
        </w:rPr>
        <w:t>het verlichten van</w:t>
      </w:r>
      <w:r w:rsidRPr="004E0D4B" w:rsidR="00844410">
        <w:rPr>
          <w:rFonts w:ascii="Verdana" w:hAnsi="Verdana"/>
          <w:sz w:val="18"/>
          <w:szCs w:val="18"/>
        </w:rPr>
        <w:t xml:space="preserve"> financiële druk op boeren te verminderen</w:t>
      </w:r>
      <w:r w:rsidRPr="004E0D4B">
        <w:rPr>
          <w:rFonts w:ascii="Verdana" w:hAnsi="Verdana"/>
          <w:sz w:val="18"/>
          <w:szCs w:val="18"/>
        </w:rPr>
        <w:t xml:space="preserve"> door </w:t>
      </w:r>
      <w:r w:rsidRPr="004E0D4B" w:rsidR="00D939A9">
        <w:rPr>
          <w:rFonts w:ascii="Verdana" w:hAnsi="Verdana"/>
          <w:sz w:val="18"/>
          <w:szCs w:val="18"/>
        </w:rPr>
        <w:t xml:space="preserve">het in kaart brengen van mogelijkheden voor additionele steun, bijvoorbeeld door het verlengen van het tijdelijke staatssteunkader, </w:t>
      </w:r>
    </w:p>
    <w:p w:rsidRPr="004E0D4B" w:rsidR="00824A8B" w:rsidP="000669DF" w:rsidRDefault="00E25581" w14:paraId="3561B1BE" w14:textId="77777777">
      <w:pPr>
        <w:pStyle w:val="ListParagraph"/>
        <w:numPr>
          <w:ilvl w:val="0"/>
          <w:numId w:val="5"/>
        </w:numPr>
        <w:rPr>
          <w:rFonts w:ascii="Verdana" w:hAnsi="Verdana"/>
          <w:sz w:val="18"/>
          <w:szCs w:val="18"/>
        </w:rPr>
      </w:pPr>
      <w:r w:rsidRPr="004E0D4B">
        <w:rPr>
          <w:rFonts w:ascii="Verdana" w:hAnsi="Verdana"/>
          <w:sz w:val="18"/>
          <w:szCs w:val="18"/>
        </w:rPr>
        <w:t>het verzekeren van eerlijke concurrentie binnen de interne markt en op wereldschaal,</w:t>
      </w:r>
    </w:p>
    <w:p w:rsidRPr="004E0D4B" w:rsidR="00E25581" w:rsidP="000669DF" w:rsidRDefault="00E25581" w14:paraId="7FEC88B5" w14:textId="77777777">
      <w:pPr>
        <w:pStyle w:val="ListParagraph"/>
        <w:numPr>
          <w:ilvl w:val="0"/>
          <w:numId w:val="5"/>
        </w:numPr>
        <w:rPr>
          <w:rFonts w:ascii="Verdana" w:hAnsi="Verdana"/>
          <w:sz w:val="18"/>
          <w:szCs w:val="18"/>
        </w:rPr>
      </w:pPr>
      <w:r w:rsidRPr="004E0D4B">
        <w:rPr>
          <w:rFonts w:ascii="Verdana" w:hAnsi="Verdana"/>
          <w:sz w:val="18"/>
          <w:szCs w:val="18"/>
        </w:rPr>
        <w:t>en het op eerlijke en gebalanceerde wijze adresseren van de vraagstukken rond de autonome handelsmaatregelen voor Oekraïne</w:t>
      </w:r>
      <w:r w:rsidRPr="004E0D4B" w:rsidR="00844410">
        <w:rPr>
          <w:rFonts w:ascii="Verdana" w:hAnsi="Verdana"/>
          <w:sz w:val="18"/>
          <w:szCs w:val="18"/>
        </w:rPr>
        <w:t xml:space="preserve"> waarbij het doel is op termijn terug te keren naar de EU-Oekraïne handelsrelaties in het kader van het AA/DCFTA (</w:t>
      </w:r>
      <w:r w:rsidRPr="004E0D4B" w:rsidR="00844410">
        <w:rPr>
          <w:rFonts w:ascii="Verdana" w:hAnsi="Verdana"/>
          <w:i/>
          <w:iCs/>
          <w:sz w:val="18"/>
          <w:szCs w:val="18"/>
        </w:rPr>
        <w:t xml:space="preserve">Association Agreement / </w:t>
      </w:r>
      <w:proofErr w:type="spellStart"/>
      <w:r w:rsidRPr="004E0D4B" w:rsidR="00844410">
        <w:rPr>
          <w:rFonts w:ascii="Verdana" w:hAnsi="Verdana"/>
          <w:i/>
          <w:iCs/>
          <w:sz w:val="18"/>
          <w:szCs w:val="18"/>
        </w:rPr>
        <w:t>Deep</w:t>
      </w:r>
      <w:proofErr w:type="spellEnd"/>
      <w:r w:rsidRPr="004E0D4B" w:rsidR="00844410">
        <w:rPr>
          <w:rFonts w:ascii="Verdana" w:hAnsi="Verdana"/>
          <w:i/>
          <w:iCs/>
          <w:sz w:val="18"/>
          <w:szCs w:val="18"/>
        </w:rPr>
        <w:t xml:space="preserve"> </w:t>
      </w:r>
      <w:proofErr w:type="spellStart"/>
      <w:r w:rsidRPr="004E0D4B" w:rsidR="00844410">
        <w:rPr>
          <w:rFonts w:ascii="Verdana" w:hAnsi="Verdana"/>
          <w:i/>
          <w:iCs/>
          <w:sz w:val="18"/>
          <w:szCs w:val="18"/>
        </w:rPr>
        <w:t>and</w:t>
      </w:r>
      <w:proofErr w:type="spellEnd"/>
      <w:r w:rsidRPr="004E0D4B" w:rsidR="00844410">
        <w:rPr>
          <w:rFonts w:ascii="Verdana" w:hAnsi="Verdana"/>
          <w:i/>
          <w:iCs/>
          <w:sz w:val="18"/>
          <w:szCs w:val="18"/>
        </w:rPr>
        <w:t xml:space="preserve"> Comprehensive Free Trade Area</w:t>
      </w:r>
      <w:r w:rsidRPr="004E0D4B" w:rsidR="00844410">
        <w:rPr>
          <w:rFonts w:ascii="Verdana" w:hAnsi="Verdana"/>
          <w:sz w:val="18"/>
          <w:szCs w:val="18"/>
        </w:rPr>
        <w:t>)</w:t>
      </w:r>
      <w:r w:rsidRPr="004E0D4B">
        <w:rPr>
          <w:rFonts w:ascii="Verdana" w:hAnsi="Verdana"/>
          <w:sz w:val="18"/>
          <w:szCs w:val="18"/>
        </w:rPr>
        <w:t xml:space="preserve">. </w:t>
      </w:r>
    </w:p>
    <w:p w:rsidRPr="004E0D4B" w:rsidR="00C22428" w:rsidP="00C22428" w:rsidRDefault="00E25581" w14:paraId="30457AEC" w14:textId="40030191">
      <w:pPr>
        <w:spacing w:after="0" w:line="240" w:lineRule="auto"/>
        <w:rPr>
          <w:rFonts w:ascii="Verdana" w:hAnsi="Verdana"/>
          <w:sz w:val="18"/>
          <w:szCs w:val="18"/>
        </w:rPr>
      </w:pPr>
      <w:r w:rsidRPr="004E0D4B">
        <w:rPr>
          <w:rFonts w:ascii="Verdana" w:hAnsi="Verdana"/>
          <w:sz w:val="18"/>
          <w:szCs w:val="18"/>
        </w:rPr>
        <w:t xml:space="preserve">De ER zal vinger aan de pols houden ten aanzien van de voortgang. </w:t>
      </w:r>
      <w:r w:rsidRPr="004E0D4B" w:rsidR="00BF75F9">
        <w:rPr>
          <w:rFonts w:ascii="Verdana" w:hAnsi="Verdana"/>
          <w:sz w:val="18"/>
          <w:szCs w:val="18"/>
        </w:rPr>
        <w:t xml:space="preserve">Tijdens </w:t>
      </w:r>
      <w:r w:rsidRPr="004E0D4B" w:rsidR="00C22428">
        <w:rPr>
          <w:rFonts w:ascii="Verdana" w:hAnsi="Verdana"/>
          <w:sz w:val="18"/>
          <w:szCs w:val="18"/>
        </w:rPr>
        <w:t xml:space="preserve">de Landbouw- en Visserijraad van 26 maart </w:t>
      </w:r>
      <w:r w:rsidRPr="004E0D4B" w:rsidR="00A505DE">
        <w:rPr>
          <w:rFonts w:ascii="Verdana" w:hAnsi="Verdana"/>
          <w:sz w:val="18"/>
          <w:szCs w:val="18"/>
        </w:rPr>
        <w:t>jl.</w:t>
      </w:r>
      <w:r w:rsidRPr="004E0D4B" w:rsidR="00C22428">
        <w:rPr>
          <w:rStyle w:val="FootnoteReference"/>
          <w:rFonts w:ascii="Verdana" w:hAnsi="Verdana"/>
          <w:sz w:val="18"/>
          <w:szCs w:val="18"/>
        </w:rPr>
        <w:footnoteReference w:id="15"/>
      </w:r>
      <w:r w:rsidRPr="004E0D4B" w:rsidR="00BF75F9">
        <w:rPr>
          <w:rFonts w:ascii="Verdana" w:hAnsi="Verdana"/>
          <w:sz w:val="18"/>
          <w:szCs w:val="18"/>
        </w:rPr>
        <w:t xml:space="preserve"> </w:t>
      </w:r>
      <w:r w:rsidRPr="004E0D4B" w:rsidR="00A505DE">
        <w:rPr>
          <w:rFonts w:ascii="Verdana" w:hAnsi="Verdana"/>
          <w:sz w:val="18"/>
          <w:szCs w:val="18"/>
        </w:rPr>
        <w:t xml:space="preserve">is </w:t>
      </w:r>
      <w:r w:rsidRPr="004E0D4B" w:rsidR="00BF75F9">
        <w:rPr>
          <w:rFonts w:ascii="Verdana" w:hAnsi="Verdana"/>
          <w:sz w:val="18"/>
          <w:szCs w:val="18"/>
        </w:rPr>
        <w:t xml:space="preserve">het werk hieraan voortgezet.  </w:t>
      </w:r>
    </w:p>
    <w:bookmarkEnd w:id="3"/>
    <w:p w:rsidRPr="004E0D4B" w:rsidR="003E456F" w:rsidP="00A826DB" w:rsidRDefault="003E456F" w14:paraId="74896A40" w14:textId="77777777">
      <w:pPr>
        <w:spacing w:after="0" w:line="240" w:lineRule="auto"/>
        <w:rPr>
          <w:rFonts w:ascii="Verdana" w:hAnsi="Verdana"/>
          <w:i/>
          <w:iCs/>
          <w:sz w:val="18"/>
          <w:szCs w:val="18"/>
        </w:rPr>
      </w:pPr>
    </w:p>
    <w:p w:rsidRPr="004E0D4B" w:rsidR="00A826DB" w:rsidP="00A826DB" w:rsidRDefault="00A826DB" w14:paraId="56BE1422" w14:textId="77777777">
      <w:pPr>
        <w:spacing w:after="0" w:line="240" w:lineRule="auto"/>
        <w:rPr>
          <w:rFonts w:ascii="Verdana" w:hAnsi="Verdana"/>
          <w:i/>
          <w:iCs/>
          <w:sz w:val="18"/>
          <w:szCs w:val="18"/>
        </w:rPr>
      </w:pPr>
      <w:r w:rsidRPr="004E0D4B">
        <w:rPr>
          <w:rFonts w:ascii="Verdana" w:hAnsi="Verdana"/>
          <w:i/>
          <w:iCs/>
          <w:sz w:val="18"/>
          <w:szCs w:val="18"/>
        </w:rPr>
        <w:t>Migratie</w:t>
      </w:r>
      <w:r w:rsidRPr="004E0D4B" w:rsidR="00DC35D9">
        <w:rPr>
          <w:rFonts w:ascii="Verdana" w:hAnsi="Verdana"/>
          <w:i/>
          <w:iCs/>
          <w:sz w:val="18"/>
          <w:szCs w:val="18"/>
        </w:rPr>
        <w:t xml:space="preserve"> </w:t>
      </w:r>
      <w:r w:rsidRPr="004E0D4B" w:rsidR="00C86BFD">
        <w:rPr>
          <w:rFonts w:ascii="Verdana" w:hAnsi="Verdana"/>
          <w:i/>
          <w:iCs/>
          <w:sz w:val="18"/>
          <w:szCs w:val="18"/>
        </w:rPr>
        <w:t xml:space="preserve"> </w:t>
      </w:r>
    </w:p>
    <w:p w:rsidRPr="004E0D4B" w:rsidR="00E71BEB" w:rsidP="00E71BEB" w:rsidRDefault="00A826DB" w14:paraId="551731FE" w14:textId="4E968B18">
      <w:pPr>
        <w:spacing w:line="240" w:lineRule="auto"/>
        <w:rPr>
          <w:rFonts w:ascii="Verdana" w:hAnsi="Verdana"/>
          <w:sz w:val="18"/>
          <w:szCs w:val="18"/>
        </w:rPr>
      </w:pPr>
      <w:bookmarkStart w:name="_Hlk161141735" w:id="4"/>
      <w:bookmarkStart w:name="_Hlk161219304" w:id="5"/>
      <w:bookmarkStart w:name="_Hlk161058364" w:id="6"/>
      <w:r w:rsidRPr="004E0D4B">
        <w:rPr>
          <w:rFonts w:ascii="Verdana" w:hAnsi="Verdana"/>
          <w:sz w:val="18"/>
          <w:szCs w:val="18"/>
        </w:rPr>
        <w:t xml:space="preserve">De ER </w:t>
      </w:r>
      <w:r w:rsidRPr="004E0D4B" w:rsidR="0064073C">
        <w:rPr>
          <w:rFonts w:ascii="Verdana" w:hAnsi="Verdana"/>
          <w:sz w:val="18"/>
          <w:szCs w:val="18"/>
        </w:rPr>
        <w:t xml:space="preserve">stond kort stil bij </w:t>
      </w:r>
      <w:r w:rsidRPr="004E0D4B">
        <w:rPr>
          <w:rFonts w:ascii="Verdana" w:hAnsi="Verdana"/>
          <w:sz w:val="18"/>
          <w:szCs w:val="18"/>
        </w:rPr>
        <w:t>de stand van zaken ten aanzien van migratie</w:t>
      </w:r>
      <w:r w:rsidRPr="004E0D4B" w:rsidR="00084B6E">
        <w:rPr>
          <w:rFonts w:ascii="Verdana" w:hAnsi="Verdana"/>
          <w:sz w:val="18"/>
          <w:szCs w:val="18"/>
        </w:rPr>
        <w:t xml:space="preserve"> op basis van de </w:t>
      </w:r>
      <w:bookmarkStart w:name="_Hlk161065950" w:id="7"/>
      <w:r w:rsidRPr="004E0D4B">
        <w:rPr>
          <w:rFonts w:ascii="Verdana" w:hAnsi="Verdana"/>
          <w:sz w:val="18"/>
          <w:szCs w:val="18"/>
        </w:rPr>
        <w:t xml:space="preserve">mededeling van de Europese Commissie </w:t>
      </w:r>
      <w:r w:rsidRPr="004E0D4B" w:rsidR="006203BF">
        <w:rPr>
          <w:rFonts w:ascii="Verdana" w:hAnsi="Verdana"/>
          <w:sz w:val="18"/>
          <w:szCs w:val="18"/>
        </w:rPr>
        <w:t>waarin wordt teruggeblikt op de belangrijke behaalde mijlpalen op het gebied</w:t>
      </w:r>
      <w:r w:rsidRPr="004E0D4B">
        <w:rPr>
          <w:rFonts w:ascii="Verdana" w:hAnsi="Verdana"/>
          <w:sz w:val="18"/>
          <w:szCs w:val="18"/>
        </w:rPr>
        <w:t xml:space="preserve"> van </w:t>
      </w:r>
      <w:bookmarkEnd w:id="7"/>
      <w:r w:rsidRPr="004E0D4B" w:rsidR="006203BF">
        <w:rPr>
          <w:rFonts w:ascii="Verdana" w:hAnsi="Verdana"/>
          <w:sz w:val="18"/>
          <w:szCs w:val="18"/>
        </w:rPr>
        <w:t>migratie</w:t>
      </w:r>
      <w:r w:rsidRPr="004E0D4B">
        <w:rPr>
          <w:rFonts w:ascii="Verdana" w:hAnsi="Verdana"/>
          <w:sz w:val="18"/>
          <w:szCs w:val="18"/>
        </w:rPr>
        <w:t xml:space="preserve"> van de </w:t>
      </w:r>
      <w:r w:rsidRPr="004E0D4B" w:rsidR="006203BF">
        <w:rPr>
          <w:rFonts w:ascii="Verdana" w:hAnsi="Verdana"/>
          <w:sz w:val="18"/>
          <w:szCs w:val="18"/>
        </w:rPr>
        <w:t>afgelopen vier jaar</w:t>
      </w:r>
      <w:r w:rsidRPr="004E0D4B" w:rsidR="001030C1">
        <w:rPr>
          <w:rFonts w:ascii="Verdana" w:hAnsi="Verdana"/>
          <w:sz w:val="18"/>
          <w:szCs w:val="18"/>
        </w:rPr>
        <w:t>.</w:t>
      </w:r>
      <w:r w:rsidRPr="004E0D4B" w:rsidR="006203BF">
        <w:rPr>
          <w:rStyle w:val="FootnoteReference"/>
          <w:rFonts w:ascii="Verdana" w:hAnsi="Verdana"/>
          <w:sz w:val="18"/>
          <w:szCs w:val="18"/>
        </w:rPr>
        <w:footnoteReference w:id="16"/>
      </w:r>
      <w:r w:rsidRPr="004E0D4B" w:rsidR="006203BF">
        <w:rPr>
          <w:rFonts w:ascii="Verdana" w:hAnsi="Verdana"/>
          <w:sz w:val="18"/>
          <w:szCs w:val="18"/>
        </w:rPr>
        <w:t xml:space="preserve"> </w:t>
      </w:r>
      <w:bookmarkEnd w:id="4"/>
      <w:r w:rsidRPr="004E0D4B" w:rsidR="00E71BEB">
        <w:rPr>
          <w:rFonts w:ascii="Verdana" w:hAnsi="Verdana"/>
          <w:sz w:val="18"/>
          <w:szCs w:val="18"/>
        </w:rPr>
        <w:t xml:space="preserve">De leden van de ER waren het eens dat verder gewerkt moet worden aan een geïntegreerde benadering van migratie, in lijn met de ER conclusies van december 2023. Ook werd steun uitgesproken voor het versterken van het EU instrumentarium om mensenhandel en -smokkel tegen te gaan, evenals </w:t>
      </w:r>
      <w:r w:rsidRPr="004E0D4B" w:rsidR="00E061B6">
        <w:rPr>
          <w:rFonts w:ascii="Verdana" w:hAnsi="Verdana"/>
          <w:sz w:val="18"/>
          <w:szCs w:val="18"/>
        </w:rPr>
        <w:t xml:space="preserve">de </w:t>
      </w:r>
      <w:r w:rsidRPr="004E0D4B" w:rsidR="00E71BEB">
        <w:rPr>
          <w:rFonts w:ascii="Verdana" w:hAnsi="Verdana"/>
          <w:sz w:val="18"/>
          <w:szCs w:val="18"/>
        </w:rPr>
        <w:t>lancer</w:t>
      </w:r>
      <w:r w:rsidRPr="004E0D4B" w:rsidR="00E061B6">
        <w:rPr>
          <w:rFonts w:ascii="Verdana" w:hAnsi="Verdana"/>
          <w:sz w:val="18"/>
          <w:szCs w:val="18"/>
        </w:rPr>
        <w:t>ing</w:t>
      </w:r>
      <w:r w:rsidRPr="004E0D4B" w:rsidR="00E71BEB">
        <w:rPr>
          <w:rFonts w:ascii="Verdana" w:hAnsi="Verdana"/>
          <w:sz w:val="18"/>
          <w:szCs w:val="18"/>
        </w:rPr>
        <w:t xml:space="preserve"> van een Global Alliance.</w:t>
      </w:r>
    </w:p>
    <w:bookmarkEnd w:id="5"/>
    <w:bookmarkEnd w:id="6"/>
    <w:p w:rsidRPr="004E0D4B" w:rsidR="00A826DB" w:rsidP="00A826DB" w:rsidRDefault="00A826DB" w14:paraId="75E5CEB6" w14:textId="77777777">
      <w:pPr>
        <w:spacing w:after="0" w:line="240" w:lineRule="auto"/>
        <w:rPr>
          <w:rFonts w:ascii="Verdana" w:hAnsi="Verdana"/>
          <w:i/>
          <w:iCs/>
          <w:sz w:val="18"/>
          <w:szCs w:val="18"/>
        </w:rPr>
      </w:pPr>
      <w:r w:rsidRPr="004E0D4B">
        <w:rPr>
          <w:rFonts w:ascii="Verdana" w:hAnsi="Verdana"/>
          <w:i/>
          <w:iCs/>
          <w:sz w:val="18"/>
          <w:szCs w:val="18"/>
        </w:rPr>
        <w:t>Europees semester</w:t>
      </w:r>
    </w:p>
    <w:p w:rsidRPr="004E0D4B" w:rsidR="00A826DB" w:rsidP="00A826DB" w:rsidRDefault="00E71BEB" w14:paraId="0C381C79" w14:textId="77777777">
      <w:pPr>
        <w:spacing w:after="0" w:line="240" w:lineRule="auto"/>
        <w:rPr>
          <w:rFonts w:ascii="Verdana" w:hAnsi="Verdana"/>
          <w:sz w:val="18"/>
          <w:szCs w:val="18"/>
        </w:rPr>
      </w:pPr>
      <w:r w:rsidRPr="004E0D4B">
        <w:rPr>
          <w:rFonts w:ascii="Verdana" w:hAnsi="Verdana"/>
          <w:sz w:val="18"/>
          <w:szCs w:val="18"/>
        </w:rPr>
        <w:t xml:space="preserve">De </w:t>
      </w:r>
      <w:r w:rsidRPr="004E0D4B" w:rsidR="00A826DB">
        <w:rPr>
          <w:rFonts w:ascii="Verdana" w:hAnsi="Verdana"/>
          <w:sz w:val="18"/>
          <w:szCs w:val="18"/>
        </w:rPr>
        <w:t xml:space="preserve">ER </w:t>
      </w:r>
      <w:r w:rsidRPr="004E0D4B">
        <w:rPr>
          <w:rFonts w:ascii="Verdana" w:hAnsi="Verdana"/>
          <w:sz w:val="18"/>
          <w:szCs w:val="18"/>
        </w:rPr>
        <w:t xml:space="preserve">omarmde </w:t>
      </w:r>
      <w:r w:rsidRPr="004E0D4B" w:rsidR="00A826DB">
        <w:rPr>
          <w:rFonts w:ascii="Verdana" w:hAnsi="Verdana"/>
          <w:sz w:val="18"/>
          <w:szCs w:val="18"/>
        </w:rPr>
        <w:t xml:space="preserve">zowel de beleidsprioriteiten uit de </w:t>
      </w:r>
      <w:proofErr w:type="spellStart"/>
      <w:r w:rsidRPr="004E0D4B" w:rsidR="00A826DB">
        <w:rPr>
          <w:rFonts w:ascii="Verdana" w:hAnsi="Verdana"/>
          <w:i/>
          <w:iCs/>
          <w:sz w:val="18"/>
          <w:szCs w:val="18"/>
        </w:rPr>
        <w:t>Annual</w:t>
      </w:r>
      <w:proofErr w:type="spellEnd"/>
      <w:r w:rsidRPr="004E0D4B" w:rsidR="00A826DB">
        <w:rPr>
          <w:rFonts w:ascii="Verdana" w:hAnsi="Verdana"/>
          <w:i/>
          <w:iCs/>
          <w:sz w:val="18"/>
          <w:szCs w:val="18"/>
        </w:rPr>
        <w:t xml:space="preserve"> </w:t>
      </w:r>
      <w:proofErr w:type="spellStart"/>
      <w:r w:rsidRPr="004E0D4B" w:rsidR="00A826DB">
        <w:rPr>
          <w:rFonts w:ascii="Verdana" w:hAnsi="Verdana"/>
          <w:i/>
          <w:iCs/>
          <w:sz w:val="18"/>
          <w:szCs w:val="18"/>
        </w:rPr>
        <w:t>Sustainable</w:t>
      </w:r>
      <w:proofErr w:type="spellEnd"/>
      <w:r w:rsidRPr="004E0D4B" w:rsidR="00A826DB">
        <w:rPr>
          <w:rFonts w:ascii="Verdana" w:hAnsi="Verdana"/>
          <w:i/>
          <w:iCs/>
          <w:sz w:val="18"/>
          <w:szCs w:val="18"/>
        </w:rPr>
        <w:t xml:space="preserve"> </w:t>
      </w:r>
      <w:proofErr w:type="spellStart"/>
      <w:r w:rsidRPr="004E0D4B" w:rsidR="00A826DB">
        <w:rPr>
          <w:rFonts w:ascii="Verdana" w:hAnsi="Verdana"/>
          <w:i/>
          <w:iCs/>
          <w:sz w:val="18"/>
          <w:szCs w:val="18"/>
        </w:rPr>
        <w:t>Growth</w:t>
      </w:r>
      <w:proofErr w:type="spellEnd"/>
      <w:r w:rsidRPr="004E0D4B" w:rsidR="00A826DB">
        <w:rPr>
          <w:rFonts w:ascii="Verdana" w:hAnsi="Verdana"/>
          <w:i/>
          <w:iCs/>
          <w:sz w:val="18"/>
          <w:szCs w:val="18"/>
        </w:rPr>
        <w:t xml:space="preserve"> Survey</w:t>
      </w:r>
      <w:r w:rsidRPr="004E0D4B" w:rsidR="00A826DB">
        <w:rPr>
          <w:rFonts w:ascii="Verdana" w:hAnsi="Verdana"/>
          <w:sz w:val="18"/>
          <w:szCs w:val="18"/>
        </w:rPr>
        <w:t xml:space="preserve"> </w:t>
      </w:r>
      <w:r w:rsidRPr="004E0D4B" w:rsidR="009112E2">
        <w:rPr>
          <w:rFonts w:ascii="Verdana" w:hAnsi="Verdana"/>
          <w:sz w:val="18"/>
          <w:szCs w:val="18"/>
        </w:rPr>
        <w:t xml:space="preserve">2024 </w:t>
      </w:r>
      <w:r w:rsidRPr="004E0D4B" w:rsidR="00A826DB">
        <w:rPr>
          <w:rFonts w:ascii="Verdana" w:hAnsi="Verdana"/>
          <w:sz w:val="18"/>
          <w:szCs w:val="18"/>
        </w:rPr>
        <w:t>(ASGS)</w:t>
      </w:r>
      <w:r w:rsidRPr="004E0D4B" w:rsidR="00202A4F">
        <w:rPr>
          <w:rStyle w:val="FootnoteReference"/>
          <w:rFonts w:ascii="Verdana" w:hAnsi="Verdana"/>
          <w:sz w:val="18"/>
          <w:szCs w:val="18"/>
        </w:rPr>
        <w:footnoteReference w:id="17"/>
      </w:r>
      <w:r w:rsidRPr="004E0D4B" w:rsidR="00202A4F">
        <w:rPr>
          <w:rFonts w:ascii="Verdana" w:hAnsi="Verdana"/>
          <w:sz w:val="18"/>
          <w:szCs w:val="18"/>
        </w:rPr>
        <w:t xml:space="preserve"> </w:t>
      </w:r>
      <w:r w:rsidRPr="004E0D4B" w:rsidR="00A826DB">
        <w:rPr>
          <w:rFonts w:ascii="Verdana" w:hAnsi="Verdana"/>
          <w:sz w:val="18"/>
          <w:szCs w:val="18"/>
        </w:rPr>
        <w:t>als de raadsaanbevelingen over het economisch beleid voor de eurozone</w:t>
      </w:r>
      <w:r w:rsidRPr="004E0D4B" w:rsidR="00A826DB">
        <w:rPr>
          <w:rFonts w:ascii="Verdana" w:hAnsi="Verdana" w:cs="Calibri"/>
          <w:sz w:val="18"/>
          <w:szCs w:val="18"/>
        </w:rPr>
        <w:t>.</w:t>
      </w:r>
      <w:r w:rsidRPr="004E0D4B" w:rsidR="004C43CB">
        <w:rPr>
          <w:rStyle w:val="FootnoteReference"/>
          <w:rFonts w:ascii="Verdana" w:hAnsi="Verdana" w:cs="Calibri"/>
          <w:sz w:val="18"/>
          <w:szCs w:val="18"/>
        </w:rPr>
        <w:footnoteReference w:id="18"/>
      </w:r>
      <w:r w:rsidRPr="004E0D4B" w:rsidR="004C43CB">
        <w:rPr>
          <w:rFonts w:ascii="Verdana" w:hAnsi="Verdana"/>
          <w:sz w:val="18"/>
          <w:szCs w:val="18"/>
        </w:rPr>
        <w:t> </w:t>
      </w:r>
    </w:p>
    <w:p w:rsidRPr="004E0D4B" w:rsidR="00A826DB" w:rsidP="00A826DB" w:rsidRDefault="00A826DB" w14:paraId="5FA90747" w14:textId="77777777">
      <w:pPr>
        <w:spacing w:after="0" w:line="240" w:lineRule="auto"/>
        <w:rPr>
          <w:rFonts w:ascii="Verdana" w:hAnsi="Verdana"/>
          <w:sz w:val="18"/>
          <w:szCs w:val="18"/>
        </w:rPr>
      </w:pPr>
    </w:p>
    <w:p w:rsidRPr="004E0D4B" w:rsidR="00A826DB" w:rsidP="00A826DB" w:rsidRDefault="00A826DB" w14:paraId="728906E8" w14:textId="77777777">
      <w:pPr>
        <w:spacing w:after="0" w:line="240" w:lineRule="auto"/>
        <w:rPr>
          <w:rFonts w:ascii="Verdana" w:hAnsi="Verdana"/>
          <w:i/>
          <w:sz w:val="18"/>
          <w:szCs w:val="18"/>
        </w:rPr>
      </w:pPr>
      <w:r w:rsidRPr="004E0D4B">
        <w:rPr>
          <w:rFonts w:ascii="Verdana" w:hAnsi="Verdana"/>
          <w:i/>
          <w:sz w:val="18"/>
          <w:szCs w:val="18"/>
        </w:rPr>
        <w:t>Strategische Agenda</w:t>
      </w:r>
    </w:p>
    <w:p w:rsidRPr="004E0D4B" w:rsidR="00A826DB" w:rsidP="00A826DB" w:rsidRDefault="00E71BEB" w14:paraId="0DDAE380" w14:textId="29DF8396">
      <w:pPr>
        <w:spacing w:after="0" w:line="240" w:lineRule="auto"/>
        <w:rPr>
          <w:rFonts w:ascii="Verdana" w:hAnsi="Verdana"/>
          <w:i/>
          <w:iCs/>
          <w:sz w:val="18"/>
          <w:szCs w:val="18"/>
        </w:rPr>
      </w:pPr>
      <w:r w:rsidRPr="004E0D4B">
        <w:rPr>
          <w:rFonts w:ascii="Verdana" w:hAnsi="Verdana"/>
          <w:sz w:val="18"/>
          <w:szCs w:val="18"/>
        </w:rPr>
        <w:t xml:space="preserve">De leden </w:t>
      </w:r>
      <w:r w:rsidRPr="004E0D4B" w:rsidR="00EC0772">
        <w:rPr>
          <w:rFonts w:ascii="Verdana" w:hAnsi="Verdana"/>
          <w:sz w:val="18"/>
          <w:szCs w:val="18"/>
        </w:rPr>
        <w:t>kregen een procesmatige update van</w:t>
      </w:r>
      <w:r w:rsidRPr="004E0D4B">
        <w:rPr>
          <w:rFonts w:ascii="Verdana" w:hAnsi="Verdana"/>
          <w:sz w:val="18"/>
          <w:szCs w:val="18"/>
        </w:rPr>
        <w:t xml:space="preserve"> de voorbereidingen van de nieuwe Strategische </w:t>
      </w:r>
      <w:r w:rsidRPr="004E0D4B" w:rsidR="00A826DB">
        <w:rPr>
          <w:rFonts w:ascii="Verdana" w:hAnsi="Verdana"/>
          <w:sz w:val="18"/>
          <w:szCs w:val="18"/>
        </w:rPr>
        <w:t xml:space="preserve">Agenda van 2024 tot en met 2029. </w:t>
      </w:r>
      <w:r w:rsidRPr="004E0D4B" w:rsidR="00EC0772">
        <w:rPr>
          <w:rFonts w:ascii="Verdana" w:hAnsi="Verdana"/>
          <w:sz w:val="18"/>
          <w:szCs w:val="18"/>
        </w:rPr>
        <w:t xml:space="preserve">De voorzitter van de </w:t>
      </w:r>
      <w:r w:rsidRPr="004E0D4B" w:rsidR="00C20C5B">
        <w:rPr>
          <w:rFonts w:ascii="Verdana" w:hAnsi="Verdana"/>
          <w:sz w:val="18"/>
          <w:szCs w:val="18"/>
        </w:rPr>
        <w:t>ER</w:t>
      </w:r>
      <w:r w:rsidRPr="004E0D4B" w:rsidR="00EC0772">
        <w:rPr>
          <w:rFonts w:ascii="Verdana" w:hAnsi="Verdana"/>
          <w:sz w:val="18"/>
          <w:szCs w:val="18"/>
        </w:rPr>
        <w:t xml:space="preserve"> is voornemens staatshoofden en regeringsleiders</w:t>
      </w:r>
      <w:r w:rsidRPr="004E0D4B" w:rsidR="00D57C61">
        <w:rPr>
          <w:rFonts w:ascii="Verdana" w:hAnsi="Verdana"/>
          <w:sz w:val="18"/>
          <w:szCs w:val="18"/>
        </w:rPr>
        <w:t xml:space="preserve"> in kleine groepen</w:t>
      </w:r>
      <w:r w:rsidRPr="004E0D4B" w:rsidR="00EC0772">
        <w:rPr>
          <w:rFonts w:ascii="Verdana" w:hAnsi="Verdana"/>
          <w:sz w:val="18"/>
          <w:szCs w:val="18"/>
        </w:rPr>
        <w:t xml:space="preserve"> te consulteren voordat dit terugkomt in de ER van juni. </w:t>
      </w:r>
    </w:p>
    <w:p w:rsidRPr="004E0D4B" w:rsidR="00E65D8E" w:rsidP="00803853" w:rsidRDefault="00E65D8E" w14:paraId="21566AA9" w14:textId="77777777">
      <w:pPr>
        <w:spacing w:after="0" w:line="240" w:lineRule="auto"/>
        <w:rPr>
          <w:rFonts w:ascii="Verdana" w:hAnsi="Verdana"/>
          <w:sz w:val="18"/>
          <w:szCs w:val="18"/>
        </w:rPr>
      </w:pPr>
    </w:p>
    <w:p w:rsidR="009F6911" w:rsidP="00A826DB" w:rsidRDefault="009F6911" w14:paraId="23C0B4F9" w14:textId="77777777">
      <w:pPr>
        <w:spacing w:after="0" w:line="240" w:lineRule="auto"/>
        <w:rPr>
          <w:rFonts w:ascii="Verdana" w:hAnsi="Verdana"/>
          <w:b/>
          <w:bCs/>
          <w:sz w:val="18"/>
          <w:szCs w:val="18"/>
        </w:rPr>
      </w:pPr>
    </w:p>
    <w:p w:rsidRPr="004E0D4B" w:rsidR="00A826DB" w:rsidP="00A826DB" w:rsidRDefault="00A826DB" w14:paraId="0B46A1FA" w14:textId="77777777">
      <w:pPr>
        <w:spacing w:after="0" w:line="240" w:lineRule="auto"/>
        <w:rPr>
          <w:rFonts w:ascii="Verdana" w:hAnsi="Verdana"/>
          <w:b/>
          <w:bCs/>
          <w:sz w:val="18"/>
          <w:szCs w:val="18"/>
        </w:rPr>
      </w:pPr>
      <w:r w:rsidRPr="004E0D4B">
        <w:rPr>
          <w:rFonts w:ascii="Verdana" w:hAnsi="Verdana"/>
          <w:b/>
          <w:bCs/>
          <w:sz w:val="18"/>
          <w:szCs w:val="18"/>
        </w:rPr>
        <w:lastRenderedPageBreak/>
        <w:t>Eurozonetop</w:t>
      </w:r>
    </w:p>
    <w:p w:rsidRPr="004E0D4B" w:rsidR="00410DB4" w:rsidP="00410DB4" w:rsidRDefault="00A826DB" w14:paraId="0AC83857" w14:textId="77777777">
      <w:pPr>
        <w:spacing w:line="240" w:lineRule="auto"/>
        <w:rPr>
          <w:rFonts w:ascii="Verdana" w:hAnsi="Verdana"/>
          <w:sz w:val="18"/>
          <w:szCs w:val="18"/>
        </w:rPr>
      </w:pPr>
      <w:r w:rsidRPr="004E0D4B">
        <w:rPr>
          <w:rFonts w:ascii="Verdana" w:hAnsi="Verdana"/>
          <w:sz w:val="18"/>
          <w:szCs w:val="18"/>
        </w:rPr>
        <w:t xml:space="preserve">Na afloop van de ER </w:t>
      </w:r>
      <w:r w:rsidRPr="004E0D4B" w:rsidR="0064073C">
        <w:rPr>
          <w:rFonts w:ascii="Verdana" w:hAnsi="Verdana"/>
          <w:sz w:val="18"/>
          <w:szCs w:val="18"/>
        </w:rPr>
        <w:t>vond</w:t>
      </w:r>
      <w:r w:rsidRPr="004E0D4B">
        <w:rPr>
          <w:rFonts w:ascii="Verdana" w:hAnsi="Verdana"/>
          <w:sz w:val="18"/>
          <w:szCs w:val="18"/>
        </w:rPr>
        <w:t xml:space="preserve"> een Eurozonetop (EZT) plaats. </w:t>
      </w:r>
      <w:r w:rsidRPr="004E0D4B" w:rsidR="00410DB4">
        <w:rPr>
          <w:rFonts w:ascii="Verdana" w:hAnsi="Verdana"/>
          <w:sz w:val="18"/>
          <w:szCs w:val="18"/>
        </w:rPr>
        <w:t xml:space="preserve">Tijdens de EZT kwamen de economische situatie in de eurozone, een verklaring over de coördinatie van het begrotingsbeleid, de eurozonetoetreding van Bulgarije, concurrentievermogen en de toekomst van de Europese kapitaalmarkt aan de orde. De voorzitter van de Eurogroep, </w:t>
      </w:r>
      <w:proofErr w:type="spellStart"/>
      <w:r w:rsidRPr="004E0D4B" w:rsidR="00410DB4">
        <w:rPr>
          <w:rFonts w:ascii="Verdana" w:hAnsi="Verdana"/>
          <w:sz w:val="18"/>
          <w:szCs w:val="18"/>
        </w:rPr>
        <w:t>Paschal</w:t>
      </w:r>
      <w:proofErr w:type="spellEnd"/>
      <w:r w:rsidRPr="004E0D4B" w:rsidR="00410DB4">
        <w:rPr>
          <w:rFonts w:ascii="Verdana" w:hAnsi="Verdana"/>
          <w:sz w:val="18"/>
          <w:szCs w:val="18"/>
        </w:rPr>
        <w:t xml:space="preserve"> </w:t>
      </w:r>
      <w:proofErr w:type="spellStart"/>
      <w:r w:rsidRPr="004E0D4B" w:rsidR="00410DB4">
        <w:rPr>
          <w:rFonts w:ascii="Verdana" w:hAnsi="Verdana"/>
          <w:sz w:val="18"/>
          <w:szCs w:val="18"/>
        </w:rPr>
        <w:t>Donohoe</w:t>
      </w:r>
      <w:proofErr w:type="spellEnd"/>
      <w:r w:rsidRPr="004E0D4B" w:rsidR="00410DB4">
        <w:rPr>
          <w:rFonts w:ascii="Verdana" w:hAnsi="Verdana"/>
          <w:sz w:val="18"/>
          <w:szCs w:val="18"/>
        </w:rPr>
        <w:t>, had voorafgaand aan de ER in een brief aan de voorzitter van de ER de stand van zaken van deze onderwerpen al toegelicht. </w:t>
      </w:r>
    </w:p>
    <w:p w:rsidRPr="004E0D4B" w:rsidR="00410DB4" w:rsidP="00410DB4" w:rsidRDefault="00410DB4" w14:paraId="3E2613E2" w14:textId="77777777">
      <w:pPr>
        <w:pStyle w:val="default"/>
        <w:spacing w:before="0" w:beforeAutospacing="0" w:after="0" w:afterAutospacing="0"/>
        <w:rPr>
          <w:rFonts w:ascii="Verdana" w:hAnsi="Verdana"/>
          <w:sz w:val="18"/>
          <w:szCs w:val="18"/>
        </w:rPr>
      </w:pPr>
      <w:r w:rsidRPr="004E0D4B">
        <w:rPr>
          <w:rFonts w:ascii="Verdana" w:hAnsi="Verdana"/>
          <w:i/>
          <w:iCs/>
          <w:sz w:val="18"/>
          <w:szCs w:val="18"/>
        </w:rPr>
        <w:t>Verklaring coördinatie begrotingsbeleid Eurozone</w:t>
      </w:r>
    </w:p>
    <w:p w:rsidRPr="004E0D4B" w:rsidR="00410DB4" w:rsidP="00410DB4" w:rsidRDefault="00410DB4" w14:paraId="55D59A5E" w14:textId="071844B9">
      <w:pPr>
        <w:pStyle w:val="default"/>
        <w:spacing w:before="0" w:beforeAutospacing="0" w:after="0" w:afterAutospacing="0"/>
        <w:rPr>
          <w:rFonts w:ascii="Verdana" w:hAnsi="Verdana"/>
          <w:sz w:val="18"/>
          <w:szCs w:val="18"/>
        </w:rPr>
      </w:pPr>
      <w:r w:rsidRPr="004E0D4B">
        <w:rPr>
          <w:rFonts w:ascii="Verdana" w:hAnsi="Verdana"/>
          <w:sz w:val="18"/>
          <w:szCs w:val="18"/>
        </w:rPr>
        <w:t>De EZT bekrachtigde een gezamenlijke verklaring over oriëntatie van het begrotingsbeleid (</w:t>
      </w:r>
      <w:proofErr w:type="spellStart"/>
      <w:r w:rsidRPr="004E0D4B">
        <w:rPr>
          <w:rFonts w:ascii="Verdana" w:hAnsi="Verdana"/>
          <w:i/>
          <w:iCs/>
          <w:sz w:val="18"/>
          <w:szCs w:val="18"/>
        </w:rPr>
        <w:t>fiscal</w:t>
      </w:r>
      <w:proofErr w:type="spellEnd"/>
      <w:r w:rsidRPr="004E0D4B">
        <w:rPr>
          <w:rFonts w:ascii="Verdana" w:hAnsi="Verdana"/>
          <w:i/>
          <w:iCs/>
          <w:sz w:val="18"/>
          <w:szCs w:val="18"/>
        </w:rPr>
        <w:t xml:space="preserve"> stance</w:t>
      </w:r>
      <w:r w:rsidRPr="004E0D4B">
        <w:rPr>
          <w:rFonts w:ascii="Verdana" w:hAnsi="Verdana"/>
          <w:sz w:val="18"/>
          <w:szCs w:val="18"/>
        </w:rPr>
        <w:t>) in de Eurozone voor 2025. Deze verklaring is reeds aangenomen tijdens de Eurogroep op 11 maart jl.</w:t>
      </w:r>
      <w:r w:rsidR="001B323C">
        <w:rPr>
          <w:rStyle w:val="FootnoteReference"/>
          <w:rFonts w:ascii="Verdana" w:hAnsi="Verdana"/>
          <w:sz w:val="18"/>
          <w:szCs w:val="18"/>
        </w:rPr>
        <w:footnoteReference w:id="19"/>
      </w:r>
      <w:r w:rsidRPr="004E0D4B">
        <w:rPr>
          <w:rFonts w:ascii="Verdana" w:hAnsi="Verdana"/>
          <w:sz w:val="18"/>
          <w:szCs w:val="18"/>
        </w:rPr>
        <w:t> </w:t>
      </w:r>
      <w:r w:rsidR="009F6911">
        <w:rPr>
          <w:rFonts w:ascii="Verdana" w:hAnsi="Verdana"/>
          <w:sz w:val="18"/>
          <w:szCs w:val="18"/>
        </w:rPr>
        <w:t xml:space="preserve"> </w:t>
      </w:r>
      <w:r w:rsidRPr="004E0D4B">
        <w:rPr>
          <w:rFonts w:ascii="Verdana" w:hAnsi="Verdana"/>
          <w:sz w:val="18"/>
          <w:szCs w:val="18"/>
        </w:rPr>
        <w:t>De verklaring geeft aan dat een licht verkrappend begrotingsbeleid passend is voor het bevorderen van schuldhoudbaarheid en het verder terugdringen van inflatie. Daarnaast benadrukt de verklaring het belang van investeringen en hervormingen en van implementatie en handhaving van de herziene Europese begrotingsregels. De EZT onderschreef deze verklaring. De president van de Europese Centrale Bank, Christine Lagarde, onderschreef de verklaring eveneens. Ze wees op de vergelijking met onder andere de VS, waarbij de EU minder goed presteert als het gaat om economische groei, met name als gevolg van een lage productiviteitsgroei in de EU. Daarnaast benoemde Lagarde de uitdagingen rond inflatie. </w:t>
      </w:r>
    </w:p>
    <w:p w:rsidRPr="004E0D4B" w:rsidR="00410DB4" w:rsidP="00410DB4" w:rsidRDefault="00410DB4" w14:paraId="7E8FFD1C" w14:textId="77777777">
      <w:pPr>
        <w:pStyle w:val="default"/>
        <w:spacing w:before="0" w:beforeAutospacing="0" w:after="0" w:afterAutospacing="0"/>
        <w:rPr>
          <w:rFonts w:ascii="Verdana" w:hAnsi="Verdana"/>
          <w:sz w:val="18"/>
          <w:szCs w:val="18"/>
        </w:rPr>
      </w:pPr>
    </w:p>
    <w:p w:rsidRPr="004E0D4B" w:rsidR="00410DB4" w:rsidP="00410DB4" w:rsidRDefault="00410DB4" w14:paraId="74EE09C3" w14:textId="77777777">
      <w:pPr>
        <w:pStyle w:val="default"/>
        <w:spacing w:before="0" w:beforeAutospacing="0" w:after="0" w:afterAutospacing="0"/>
        <w:rPr>
          <w:rFonts w:ascii="Verdana" w:hAnsi="Verdana"/>
          <w:sz w:val="18"/>
          <w:szCs w:val="18"/>
        </w:rPr>
      </w:pPr>
      <w:r w:rsidRPr="004E0D4B">
        <w:rPr>
          <w:rFonts w:ascii="Verdana" w:hAnsi="Verdana"/>
          <w:i/>
          <w:iCs/>
          <w:sz w:val="18"/>
          <w:szCs w:val="18"/>
        </w:rPr>
        <w:t>Financiële en kapitaalmarkten </w:t>
      </w:r>
    </w:p>
    <w:p w:rsidRPr="004E0D4B" w:rsidR="00410DB4" w:rsidP="00B742B4" w:rsidRDefault="00410DB4" w14:paraId="00FAB706" w14:textId="611AE9BE">
      <w:r w:rsidRPr="004E0D4B">
        <w:rPr>
          <w:rFonts w:ascii="Verdana" w:hAnsi="Verdana"/>
          <w:sz w:val="18"/>
          <w:szCs w:val="18"/>
        </w:rPr>
        <w:t xml:space="preserve">De gemeenschappelijke verklaring van de Eurogroep stond centraal in de discussie. Die verklaring geeft een strategische visie op de toekomst van de Europese kapitaalmarkten. Die visie geeft prioriteiten om de kapitaalmarktunie verder te ontwikkelen en kan als input dienen voor de (nieuwe) Europese Commissie. </w:t>
      </w:r>
      <w:r w:rsidRPr="004E0D4B" w:rsidR="00465178">
        <w:rPr>
          <w:rFonts w:ascii="Verdana" w:hAnsi="Verdana" w:eastAsia="Times New Roman"/>
          <w:sz w:val="18"/>
          <w:szCs w:val="18"/>
        </w:rPr>
        <w:t xml:space="preserve">Nederland benadrukte </w:t>
      </w:r>
      <w:r w:rsidRPr="004E0D4B" w:rsidR="00755E07">
        <w:rPr>
          <w:rFonts w:ascii="Verdana" w:hAnsi="Verdana" w:eastAsia="Times New Roman"/>
          <w:sz w:val="18"/>
          <w:szCs w:val="18"/>
        </w:rPr>
        <w:t xml:space="preserve">hier </w:t>
      </w:r>
      <w:r w:rsidRPr="004E0D4B" w:rsidR="00465178">
        <w:rPr>
          <w:rFonts w:ascii="Verdana" w:hAnsi="Verdana" w:eastAsia="Times New Roman"/>
          <w:sz w:val="18"/>
          <w:szCs w:val="18"/>
        </w:rPr>
        <w:t>dat verdere integratie van de kapitaalmarktunie essentieel is voor het mobiliseren van de benodigde investeringen voor de uitdagingen waar de EU voor staat, zoals de transities op duurzaamheid en digitalisering, en om het concurrentievermogen te versterken. </w:t>
      </w:r>
      <w:r w:rsidRPr="004E0D4B" w:rsidR="00465178">
        <w:rPr>
          <w:rFonts w:ascii="Verdana" w:hAnsi="Verdana"/>
          <w:sz w:val="18"/>
          <w:szCs w:val="18"/>
        </w:rPr>
        <w:t xml:space="preserve">Deze investeringen vergen privaat kapitaal </w:t>
      </w:r>
      <w:r w:rsidRPr="004E0D4B" w:rsidR="00EA6C6E">
        <w:rPr>
          <w:rFonts w:ascii="Verdana" w:hAnsi="Verdana"/>
          <w:sz w:val="18"/>
          <w:szCs w:val="18"/>
        </w:rPr>
        <w:t xml:space="preserve">in aanvulling op </w:t>
      </w:r>
      <w:r w:rsidRPr="004E0D4B" w:rsidR="00465178">
        <w:rPr>
          <w:rFonts w:ascii="Verdana" w:hAnsi="Verdana"/>
          <w:sz w:val="18"/>
          <w:szCs w:val="18"/>
        </w:rPr>
        <w:t xml:space="preserve">financiering uit publieke middelen. </w:t>
      </w:r>
      <w:r w:rsidRPr="004E0D4B" w:rsidR="0070183A">
        <w:rPr>
          <w:rFonts w:ascii="Verdana" w:hAnsi="Verdana"/>
          <w:sz w:val="18"/>
          <w:szCs w:val="18"/>
        </w:rPr>
        <w:t>Hierbij is</w:t>
      </w:r>
      <w:r w:rsidRPr="004E0D4B" w:rsidR="00465178">
        <w:rPr>
          <w:rFonts w:ascii="Verdana" w:hAnsi="Verdana"/>
          <w:sz w:val="18"/>
          <w:szCs w:val="18"/>
        </w:rPr>
        <w:t xml:space="preserve"> bijvoorbeeld </w:t>
      </w:r>
      <w:r w:rsidRPr="004E0D4B" w:rsidR="0070183A">
        <w:rPr>
          <w:rFonts w:ascii="Verdana" w:hAnsi="Verdana"/>
          <w:sz w:val="18"/>
          <w:szCs w:val="18"/>
        </w:rPr>
        <w:t xml:space="preserve">van belang dat we </w:t>
      </w:r>
      <w:r w:rsidRPr="004E0D4B" w:rsidR="00465178">
        <w:rPr>
          <w:rFonts w:ascii="Verdana" w:hAnsi="Verdana"/>
          <w:sz w:val="18"/>
          <w:szCs w:val="18"/>
        </w:rPr>
        <w:t>werken aan een verdere integratie van het toezicht op de </w:t>
      </w:r>
      <w:r w:rsidRPr="004E0D4B" w:rsidR="00465178">
        <w:rPr>
          <w:rFonts w:ascii="Verdana" w:hAnsi="Verdana" w:eastAsia="Times New Roman"/>
          <w:sz w:val="18"/>
          <w:szCs w:val="18"/>
        </w:rPr>
        <w:t>kapitaalmarkten.</w:t>
      </w:r>
      <w:r w:rsidRPr="004E0D4B">
        <w:rPr>
          <w:rFonts w:ascii="Verdana" w:hAnsi="Verdana"/>
          <w:sz w:val="18"/>
          <w:szCs w:val="18"/>
        </w:rPr>
        <w:t xml:space="preserve"> Voorzitter van de Eurogroep, </w:t>
      </w:r>
      <w:proofErr w:type="spellStart"/>
      <w:r w:rsidRPr="004E0D4B">
        <w:rPr>
          <w:rFonts w:ascii="Verdana" w:hAnsi="Verdana"/>
          <w:sz w:val="18"/>
          <w:szCs w:val="18"/>
        </w:rPr>
        <w:t>Donohoe</w:t>
      </w:r>
      <w:proofErr w:type="spellEnd"/>
      <w:r w:rsidRPr="004E0D4B">
        <w:rPr>
          <w:rFonts w:ascii="Verdana" w:hAnsi="Verdana"/>
          <w:sz w:val="18"/>
          <w:szCs w:val="18"/>
        </w:rPr>
        <w:t xml:space="preserve">, gaf een toelichting op de verklaring. Hij wees er daarnaast op dat de EU kleinere volumes kapitaal heeft dan de rest van de wereld, er in de EU minder risico’s worden genomen, en dat van belang is dat we meer gezamenlijke pad op moeten op het punt van toezicht. De EZT onderschreef de verklaring en riep op om op </w:t>
      </w:r>
      <w:proofErr w:type="spellStart"/>
      <w:r w:rsidRPr="004E0D4B">
        <w:rPr>
          <w:rFonts w:ascii="Verdana" w:hAnsi="Verdana"/>
          <w:sz w:val="18"/>
          <w:szCs w:val="18"/>
        </w:rPr>
        <w:t>hoogambtelijk</w:t>
      </w:r>
      <w:proofErr w:type="spellEnd"/>
      <w:r w:rsidRPr="004E0D4B">
        <w:rPr>
          <w:rFonts w:ascii="Verdana" w:hAnsi="Verdana"/>
          <w:sz w:val="18"/>
          <w:szCs w:val="18"/>
        </w:rPr>
        <w:t xml:space="preserve"> niveau richting de ER van april actief voortgang te boeken. ECB-president, Lagarde, onderschreef eveneens de verklaring en benadrukte dat private financiering moet worden gemobiliseerd voor de benodigde investeringen in de EU. </w:t>
      </w:r>
    </w:p>
    <w:p w:rsidR="00265EDF" w:rsidP="00265EDF" w:rsidRDefault="00410DB4" w14:paraId="18AD4FA7" w14:textId="77777777">
      <w:r w:rsidRPr="004E0D4B">
        <w:rPr>
          <w:rFonts w:ascii="Verdana" w:hAnsi="Verdana"/>
          <w:i/>
          <w:iCs/>
          <w:sz w:val="18"/>
          <w:szCs w:val="18"/>
        </w:rPr>
        <w:t>Eurotoetreding Bulgarije </w:t>
      </w:r>
      <w:r w:rsidRPr="004E0D4B">
        <w:rPr>
          <w:rFonts w:ascii="Verdana" w:hAnsi="Verdana"/>
          <w:sz w:val="18"/>
          <w:szCs w:val="18"/>
        </w:rPr>
        <w:br/>
      </w:r>
      <w:r w:rsidRPr="004E0D4B" w:rsidR="00265EDF">
        <w:rPr>
          <w:rFonts w:ascii="Verdana" w:hAnsi="Verdana"/>
          <w:sz w:val="18"/>
          <w:szCs w:val="18"/>
        </w:rPr>
        <w:t xml:space="preserve">De stand van zaken inzake de eurotoetreding van Bulgarije kwam kort aan de orde. Bulgarije streeft naar invoering van de euro per 1 januari 2025. In juni komt de Commissie met het volgende (tweejaarlijkse) convergentierapport dat zal beschrijven in hoeverre Bulgarije voldoet aan de criteria voor toetreding tot de euro. De EZT spoorde Bulgarije aan om haar inspanningen om aan de criteria te voldoen te continueren. Het standpunt van het kabinet is dat landen bij eurotoetreding aan de convergentiecriteria moeten voldoen. Verder vindt het kabinet, hoewel zij geen formele toetsingsgrond vormen, dat landen ook moeten voldoen aan toezeggingen die zij zijn aangegaan bij toetreding tot het Europees Wisselkoersmechanisme (de zogenoemde </w:t>
      </w:r>
      <w:r w:rsidRPr="004E0D4B" w:rsidR="00265EDF">
        <w:rPr>
          <w:rFonts w:ascii="Verdana" w:hAnsi="Verdana"/>
          <w:i/>
          <w:iCs/>
          <w:sz w:val="18"/>
          <w:szCs w:val="18"/>
        </w:rPr>
        <w:t xml:space="preserve">post-entry </w:t>
      </w:r>
      <w:proofErr w:type="spellStart"/>
      <w:r w:rsidRPr="004E0D4B" w:rsidR="00265EDF">
        <w:rPr>
          <w:rFonts w:ascii="Verdana" w:hAnsi="Verdana"/>
          <w:i/>
          <w:iCs/>
          <w:sz w:val="18"/>
          <w:szCs w:val="18"/>
        </w:rPr>
        <w:t>commitments</w:t>
      </w:r>
      <w:proofErr w:type="spellEnd"/>
      <w:r w:rsidRPr="004E0D4B" w:rsidR="00265EDF">
        <w:rPr>
          <w:rFonts w:ascii="Verdana" w:hAnsi="Verdana"/>
          <w:sz w:val="18"/>
          <w:szCs w:val="18"/>
        </w:rPr>
        <w:t>).</w:t>
      </w:r>
      <w:r w:rsidR="00265EDF">
        <w:t xml:space="preserve"> </w:t>
      </w:r>
    </w:p>
    <w:p w:rsidR="00567CDB" w:rsidP="00D3154A" w:rsidRDefault="00567CDB" w14:paraId="4F75F3B8" w14:textId="77777777">
      <w:pPr>
        <w:spacing w:after="0" w:line="240" w:lineRule="auto"/>
        <w:rPr>
          <w:rFonts w:ascii="Verdana" w:hAnsi="Verdana"/>
          <w:b/>
          <w:bCs/>
          <w:sz w:val="18"/>
          <w:szCs w:val="18"/>
        </w:rPr>
      </w:pPr>
      <w:bookmarkStart w:name="_Hlk161148898" w:id="8"/>
      <w:bookmarkStart w:name="_Hlk162534916" w:id="9"/>
    </w:p>
    <w:p w:rsidRPr="00EE4F7D" w:rsidR="00D3154A" w:rsidP="00D3154A" w:rsidRDefault="00D3154A" w14:paraId="07AE50ED" w14:textId="3F9EF050">
      <w:pPr>
        <w:spacing w:after="0" w:line="240" w:lineRule="auto"/>
        <w:rPr>
          <w:rFonts w:ascii="Verdana" w:hAnsi="Verdana"/>
          <w:b/>
          <w:bCs/>
          <w:sz w:val="18"/>
          <w:szCs w:val="18"/>
        </w:rPr>
      </w:pPr>
      <w:r w:rsidRPr="00EE4F7D">
        <w:rPr>
          <w:rFonts w:ascii="Verdana" w:hAnsi="Verdana"/>
          <w:b/>
          <w:bCs/>
          <w:sz w:val="18"/>
          <w:szCs w:val="18"/>
        </w:rPr>
        <w:t xml:space="preserve">Nucleaire energietop </w:t>
      </w:r>
    </w:p>
    <w:p w:rsidRPr="00EE4F7D" w:rsidR="0072377A" w:rsidP="00A826DB" w:rsidRDefault="0072377A" w14:paraId="5ADC5870" w14:textId="77777777">
      <w:pPr>
        <w:spacing w:after="0" w:line="240" w:lineRule="auto"/>
        <w:rPr>
          <w:rFonts w:ascii="Verdana" w:hAnsi="Verdana" w:eastAsia="Times New Roman"/>
          <w:sz w:val="18"/>
          <w:szCs w:val="18"/>
        </w:rPr>
      </w:pPr>
    </w:p>
    <w:bookmarkEnd w:id="8"/>
    <w:bookmarkEnd w:id="1"/>
    <w:bookmarkEnd w:id="9"/>
    <w:p w:rsidRPr="0060616E" w:rsidR="00AC1BFD" w:rsidP="00AC1BFD" w:rsidRDefault="00AC1BFD" w14:paraId="047648FA" w14:textId="77777777">
      <w:pPr>
        <w:spacing w:line="240" w:lineRule="auto"/>
        <w:contextualSpacing/>
        <w:rPr>
          <w:rFonts w:ascii="Verdana" w:hAnsi="Verdana" w:eastAsia="Times New Roman" w:cs="Times New Roman"/>
          <w:sz w:val="18"/>
          <w:szCs w:val="18"/>
        </w:rPr>
      </w:pPr>
      <w:r w:rsidRPr="00D63DBB">
        <w:rPr>
          <w:rFonts w:ascii="Verdana" w:hAnsi="Verdana" w:eastAsia="Times New Roman" w:cs="Segoe UI Symbol"/>
          <w:color w:val="0D0D0D"/>
          <w:sz w:val="18"/>
          <w:szCs w:val="18"/>
          <w:shd w:val="clear" w:color="auto" w:fill="FFFFFF"/>
        </w:rPr>
        <w:t xml:space="preserve">Op 21 maart jl. vond tevens de eerste Nucleaire Energietop van staatshoofden en regeringsleiders van verschillende landen plaats in Brussel. Deze top werd georganiseerd door België en het </w:t>
      </w:r>
      <w:r w:rsidRPr="0060616E">
        <w:rPr>
          <w:rFonts w:ascii="Verdana" w:hAnsi="Verdana" w:eastAsia="Times New Roman" w:cs="Segoe UI Symbol"/>
          <w:color w:val="0D0D0D"/>
          <w:sz w:val="18"/>
          <w:szCs w:val="18"/>
          <w:shd w:val="clear" w:color="auto" w:fill="FFFFFF"/>
        </w:rPr>
        <w:t>Internationaal Atoomenergieagentschap (IAEA) en stond los van de ER. De minister-president nam deel aan de Nucleaire Energietop.</w:t>
      </w:r>
    </w:p>
    <w:p w:rsidRPr="0060616E" w:rsidR="00AC1BFD" w:rsidP="00AC1BFD" w:rsidRDefault="00AC1BFD" w14:paraId="48DA4AA7" w14:textId="77777777">
      <w:pPr>
        <w:spacing w:line="240" w:lineRule="auto"/>
        <w:contextualSpacing/>
        <w:rPr>
          <w:rFonts w:ascii="Verdana" w:hAnsi="Verdana" w:eastAsia="Times New Roman" w:cs="Segoe UI Symbol"/>
          <w:color w:val="0D0D0D"/>
          <w:sz w:val="18"/>
          <w:szCs w:val="18"/>
          <w:shd w:val="clear" w:color="auto" w:fill="FFFFFF"/>
        </w:rPr>
      </w:pPr>
    </w:p>
    <w:p w:rsidRPr="0060616E" w:rsidR="00AC1BFD" w:rsidP="00AC1BFD" w:rsidRDefault="00AC1BFD" w14:paraId="796ECC78" w14:textId="40633495">
      <w:pPr>
        <w:spacing w:line="240" w:lineRule="auto"/>
        <w:rPr>
          <w:rFonts w:ascii="Verdana" w:hAnsi="Verdana" w:eastAsia="Times New Roman"/>
          <w:sz w:val="18"/>
          <w:szCs w:val="18"/>
        </w:rPr>
      </w:pPr>
      <w:bookmarkStart w:name="_Hlk162535303" w:id="10"/>
      <w:r w:rsidRPr="0060616E">
        <w:rPr>
          <w:rFonts w:ascii="Verdana" w:hAnsi="Verdana" w:eastAsia="Times New Roman" w:cs="Segoe UI Symbol"/>
          <w:color w:val="0D0D0D"/>
          <w:sz w:val="18"/>
          <w:szCs w:val="18"/>
          <w:shd w:val="clear" w:color="auto" w:fill="FFFFFF"/>
        </w:rPr>
        <w:t xml:space="preserve">De staatshoofden en regeringsleiders bespraken de rol die nucleaire energie heeft in het verminderen van </w:t>
      </w:r>
      <w:r w:rsidRPr="0073758B">
        <w:rPr>
          <w:rFonts w:ascii="Verdana" w:hAnsi="Verdana" w:eastAsia="Times New Roman" w:cs="Segoe UI Symbol"/>
          <w:color w:val="0D0D0D"/>
          <w:sz w:val="18"/>
          <w:szCs w:val="18"/>
          <w:shd w:val="clear" w:color="auto" w:fill="FFFFFF"/>
        </w:rPr>
        <w:t>fossiele brandstoffen, het verhogen van de energiezekerheid, en het bevorderen van economische groei.</w:t>
      </w:r>
      <w:r w:rsidRPr="0073758B">
        <w:rPr>
          <w:rFonts w:ascii="Verdana" w:hAnsi="Verdana" w:eastAsia="Times New Roman" w:cs="Times New Roman"/>
          <w:sz w:val="18"/>
          <w:szCs w:val="18"/>
        </w:rPr>
        <w:t xml:space="preserve"> Veel landen </w:t>
      </w:r>
      <w:r w:rsidRPr="0073758B">
        <w:rPr>
          <w:rFonts w:ascii="Verdana" w:hAnsi="Verdana" w:eastAsia="Times New Roman" w:cs="Segoe UI"/>
          <w:color w:val="0D0D0D"/>
          <w:sz w:val="18"/>
          <w:szCs w:val="18"/>
          <w:shd w:val="clear" w:color="auto" w:fill="FFFFFF"/>
        </w:rPr>
        <w:t>onderstreepten</w:t>
      </w:r>
      <w:r w:rsidRPr="00AC1BFD">
        <w:rPr>
          <w:rFonts w:ascii="Verdana" w:hAnsi="Verdana" w:eastAsia="Times New Roman" w:cs="Segoe UI"/>
          <w:color w:val="0D0D0D"/>
          <w:sz w:val="18"/>
          <w:szCs w:val="18"/>
          <w:shd w:val="clear" w:color="auto" w:fill="FFFFFF"/>
        </w:rPr>
        <w:t xml:space="preserve"> dat</w:t>
      </w:r>
      <w:r w:rsidRPr="0060616E">
        <w:rPr>
          <w:rFonts w:ascii="Verdana" w:hAnsi="Verdana" w:eastAsia="Times New Roman" w:cs="Segoe UI"/>
          <w:color w:val="0D0D0D"/>
          <w:sz w:val="18"/>
          <w:szCs w:val="18"/>
          <w:shd w:val="clear" w:color="auto" w:fill="FFFFFF"/>
        </w:rPr>
        <w:t xml:space="preserve"> sterke inzet voor kernenergie een </w:t>
      </w:r>
      <w:r w:rsidRPr="0060616E">
        <w:rPr>
          <w:rFonts w:ascii="Verdana" w:hAnsi="Verdana" w:eastAsia="Times New Roman" w:cs="Segoe UI"/>
          <w:color w:val="0D0D0D"/>
          <w:sz w:val="18"/>
          <w:szCs w:val="18"/>
          <w:shd w:val="clear" w:color="auto" w:fill="FFFFFF"/>
        </w:rPr>
        <w:lastRenderedPageBreak/>
        <w:t xml:space="preserve">belangrijke sleutel is tot vermindering van broeikasgassen, energiezekerheid en </w:t>
      </w:r>
      <w:r w:rsidRPr="0073758B">
        <w:rPr>
          <w:rFonts w:ascii="Verdana" w:hAnsi="Verdana" w:eastAsia="Times New Roman" w:cs="Segoe UI"/>
          <w:color w:val="0D0D0D"/>
          <w:sz w:val="18"/>
          <w:szCs w:val="18"/>
          <w:shd w:val="clear" w:color="auto" w:fill="FFFFFF"/>
        </w:rPr>
        <w:t>duurzame ontwikkeling, met een doel van netto nul uitstoot tegen midden 21e eeuw. Ook benadrukten veel staatshoofden en regeringsleiders de centrale rol van de IAEA in nucleaire energiesamenwerking, de noodzaak van financiële steun via publieke en private investeringen en de ontwikkeling</w:t>
      </w:r>
      <w:r w:rsidRPr="0060616E">
        <w:rPr>
          <w:rFonts w:ascii="Verdana" w:hAnsi="Verdana" w:eastAsia="Times New Roman" w:cs="Segoe UI"/>
          <w:color w:val="0D0D0D"/>
          <w:sz w:val="18"/>
          <w:szCs w:val="18"/>
          <w:shd w:val="clear" w:color="auto" w:fill="FFFFFF"/>
        </w:rPr>
        <w:t xml:space="preserve"> van toekomstige nucleaire arbeidskracht door onderwijs en training.</w:t>
      </w:r>
      <w:r>
        <w:rPr>
          <w:rFonts w:ascii="Verdana" w:hAnsi="Verdana" w:eastAsia="Times New Roman" w:cs="Segoe UI"/>
          <w:color w:val="0D0D0D"/>
          <w:sz w:val="18"/>
          <w:szCs w:val="18"/>
          <w:shd w:val="clear" w:color="auto" w:fill="FFFFFF"/>
        </w:rPr>
        <w:t xml:space="preserve"> </w:t>
      </w:r>
      <w:r w:rsidRPr="0060616E">
        <w:rPr>
          <w:rFonts w:ascii="Verdana" w:hAnsi="Verdana" w:eastAsia="Times New Roman" w:cs="Times New Roman"/>
          <w:sz w:val="18"/>
          <w:szCs w:val="18"/>
        </w:rPr>
        <w:t xml:space="preserve">Nederland ziet kernenergie als cruciale pijler naast hernieuwbare energie voor het bereiken van een fossielvrije toekomst en het versterken van energiezekerheid. Nederland zet in op uitbreiding van en investering in de bestaande kerncentrale in Borssele en de bouw van nieuwe faciliteiten. </w:t>
      </w:r>
      <w:r w:rsidRPr="0060616E">
        <w:rPr>
          <w:rFonts w:ascii="Verdana" w:hAnsi="Verdana"/>
          <w:sz w:val="18"/>
          <w:szCs w:val="18"/>
        </w:rPr>
        <w:t>Voor de kabinetsinzet op kernenergie wordt verwezen naar de recente Kamerbrief over de stand van zaken van de nieuw te bouwen kerncentrales.</w:t>
      </w:r>
      <w:r w:rsidRPr="0060616E">
        <w:rPr>
          <w:rStyle w:val="FootnoteReference"/>
          <w:rFonts w:ascii="Verdana" w:hAnsi="Verdana"/>
          <w:sz w:val="18"/>
          <w:szCs w:val="18"/>
        </w:rPr>
        <w:footnoteReference w:id="20"/>
      </w:r>
      <w:r w:rsidRPr="0060616E">
        <w:rPr>
          <w:rFonts w:ascii="Verdana" w:hAnsi="Verdana" w:eastAsia="Times New Roman"/>
          <w:sz w:val="18"/>
          <w:szCs w:val="18"/>
        </w:rPr>
        <w:t xml:space="preserve"> </w:t>
      </w:r>
    </w:p>
    <w:p w:rsidRPr="00C5334E" w:rsidR="00AC1BFD" w:rsidP="00AC1BFD" w:rsidRDefault="00AC1BFD" w14:paraId="2AA715B3" w14:textId="4C77A250">
      <w:pPr>
        <w:spacing w:line="240" w:lineRule="auto"/>
        <w:rPr>
          <w:rFonts w:ascii="Verdana" w:hAnsi="Verdana" w:eastAsia="Times New Roman"/>
          <w:sz w:val="18"/>
          <w:szCs w:val="18"/>
        </w:rPr>
      </w:pPr>
      <w:r w:rsidRPr="0060616E">
        <w:rPr>
          <w:rFonts w:ascii="Verdana" w:hAnsi="Verdana" w:eastAsia="Times New Roman" w:cs="Times New Roman"/>
          <w:sz w:val="18"/>
          <w:szCs w:val="18"/>
        </w:rPr>
        <w:t xml:space="preserve">Tijdens de top </w:t>
      </w:r>
      <w:r w:rsidRPr="0060616E">
        <w:rPr>
          <w:rFonts w:ascii="Verdana" w:hAnsi="Verdana" w:eastAsia="Times New Roman" w:cs="Segoe UI"/>
          <w:color w:val="0D0D0D"/>
          <w:sz w:val="18"/>
          <w:szCs w:val="18"/>
          <w:shd w:val="clear" w:color="auto" w:fill="FFFFFF"/>
        </w:rPr>
        <w:t>werd een verklaring van de Nucleaire Alliantie aangenomen</w:t>
      </w:r>
      <w:r w:rsidRPr="0060616E">
        <w:rPr>
          <w:rStyle w:val="FootnoteReference"/>
          <w:rFonts w:ascii="Verdana" w:hAnsi="Verdana" w:eastAsia="Times New Roman" w:cs="Segoe UI"/>
          <w:color w:val="0D0D0D"/>
          <w:sz w:val="18"/>
          <w:szCs w:val="18"/>
          <w:shd w:val="clear" w:color="auto" w:fill="FFFFFF"/>
        </w:rPr>
        <w:footnoteReference w:id="21"/>
      </w:r>
      <w:r w:rsidRPr="0060616E">
        <w:rPr>
          <w:rFonts w:ascii="Verdana" w:hAnsi="Verdana" w:eastAsia="Times New Roman" w:cs="Segoe UI"/>
          <w:color w:val="0D0D0D"/>
          <w:sz w:val="18"/>
          <w:szCs w:val="18"/>
          <w:shd w:val="clear" w:color="auto" w:fill="FFFFFF"/>
        </w:rPr>
        <w:t xml:space="preserve">. Deze verklaring benadrukt de cruciale rol van kernenergie naast hernieuwbare bronnen voor het bereiken van klimaatneutraliteit tegen 2050, het bevorderen van economische groei en het versterken van de energieveiligheid, met een focus op het verminderen van strategische afhankelijkheden en het stimuleren van de nucleaire sector en innovatie binnen Europa. De verklaring roept ook op tot het verkennen van financieringsmogelijkheden, het creëren van deskundige en diverse nucleaire arbeidsmarkt en het bevorderen van industriële en onderzoekssamenwerking. Nederland ondertekende </w:t>
      </w:r>
      <w:r>
        <w:rPr>
          <w:rFonts w:ascii="Verdana" w:hAnsi="Verdana" w:eastAsia="Times New Roman" w:cs="Segoe UI"/>
          <w:color w:val="0D0D0D"/>
          <w:sz w:val="18"/>
          <w:szCs w:val="18"/>
          <w:shd w:val="clear" w:color="auto" w:fill="FFFFFF"/>
        </w:rPr>
        <w:t xml:space="preserve">de </w:t>
      </w:r>
      <w:r w:rsidRPr="0060616E">
        <w:rPr>
          <w:rFonts w:ascii="Verdana" w:hAnsi="Verdana" w:eastAsia="Times New Roman" w:cs="Segoe UI"/>
          <w:color w:val="0D0D0D"/>
          <w:sz w:val="18"/>
          <w:szCs w:val="18"/>
          <w:shd w:val="clear" w:color="auto" w:fill="FFFFFF"/>
        </w:rPr>
        <w:t>verklaring.</w:t>
      </w:r>
      <w:bookmarkEnd w:id="10"/>
    </w:p>
    <w:p w:rsidRPr="00C5334E" w:rsidR="00826980" w:rsidP="00AC1BFD" w:rsidRDefault="00826980" w14:paraId="036D551F" w14:textId="6CB55B23">
      <w:pPr>
        <w:spacing w:line="240" w:lineRule="auto"/>
        <w:contextualSpacing/>
        <w:rPr>
          <w:rFonts w:ascii="Verdana" w:hAnsi="Verdana" w:eastAsia="Times New Roman"/>
          <w:sz w:val="18"/>
          <w:szCs w:val="18"/>
        </w:rPr>
      </w:pPr>
    </w:p>
    <w:sectPr w:rsidRPr="00C5334E" w:rsidR="00826980" w:rsidSect="00271AB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8C33" w14:textId="77777777" w:rsidR="002A5928" w:rsidRDefault="002A5928" w:rsidP="00EF1834">
      <w:pPr>
        <w:spacing w:after="0" w:line="240" w:lineRule="auto"/>
      </w:pPr>
      <w:r>
        <w:separator/>
      </w:r>
    </w:p>
  </w:endnote>
  <w:endnote w:type="continuationSeparator" w:id="0">
    <w:p w14:paraId="4A2D24A0" w14:textId="77777777" w:rsidR="002A5928" w:rsidRDefault="002A5928" w:rsidP="00EF1834">
      <w:pPr>
        <w:spacing w:after="0" w:line="240" w:lineRule="auto"/>
      </w:pPr>
      <w:r>
        <w:continuationSeparator/>
      </w:r>
    </w:p>
  </w:endnote>
  <w:endnote w:type="continuationNotice" w:id="1">
    <w:p w14:paraId="5F0BBC52" w14:textId="77777777" w:rsidR="002A5928" w:rsidRDefault="002A5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287671"/>
      <w:docPartObj>
        <w:docPartGallery w:val="Page Numbers (Bottom of Page)"/>
        <w:docPartUnique/>
      </w:docPartObj>
    </w:sdtPr>
    <w:sdtEndPr/>
    <w:sdtContent>
      <w:p w14:paraId="18F76C1B" w14:textId="77777777" w:rsidR="004731E5" w:rsidRDefault="004731E5">
        <w:pPr>
          <w:pStyle w:val="Footer"/>
          <w:jc w:val="center"/>
        </w:pPr>
        <w:r>
          <w:fldChar w:fldCharType="begin"/>
        </w:r>
        <w:r>
          <w:instrText>PAGE   \* MERGEFORMAT</w:instrText>
        </w:r>
        <w:r>
          <w:fldChar w:fldCharType="separate"/>
        </w:r>
        <w:r w:rsidR="001F3CB9">
          <w:rPr>
            <w:noProof/>
          </w:rPr>
          <w:t>6</w:t>
        </w:r>
        <w:r>
          <w:fldChar w:fldCharType="end"/>
        </w:r>
      </w:p>
    </w:sdtContent>
  </w:sdt>
  <w:p w14:paraId="66FAF4FD" w14:textId="77777777" w:rsidR="00496935" w:rsidRDefault="0049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82E7" w14:textId="77777777" w:rsidR="002A5928" w:rsidRDefault="002A5928" w:rsidP="00EF1834">
      <w:pPr>
        <w:spacing w:after="0" w:line="240" w:lineRule="auto"/>
      </w:pPr>
      <w:r>
        <w:separator/>
      </w:r>
    </w:p>
  </w:footnote>
  <w:footnote w:type="continuationSeparator" w:id="0">
    <w:p w14:paraId="3E8D5359" w14:textId="77777777" w:rsidR="002A5928" w:rsidRDefault="002A5928" w:rsidP="00EF1834">
      <w:pPr>
        <w:spacing w:after="0" w:line="240" w:lineRule="auto"/>
      </w:pPr>
      <w:r>
        <w:continuationSeparator/>
      </w:r>
    </w:p>
  </w:footnote>
  <w:footnote w:type="continuationNotice" w:id="1">
    <w:p w14:paraId="35E2F0F1" w14:textId="77777777" w:rsidR="002A5928" w:rsidRDefault="002A5928">
      <w:pPr>
        <w:spacing w:after="0" w:line="240" w:lineRule="auto"/>
      </w:pPr>
    </w:p>
  </w:footnote>
  <w:footnote w:id="2">
    <w:p w14:paraId="5EAE4EAF" w14:textId="3496157B" w:rsidR="004853DA" w:rsidRPr="00426D02" w:rsidRDefault="004853DA">
      <w:pPr>
        <w:pStyle w:val="FootnoteText"/>
        <w:rPr>
          <w:sz w:val="14"/>
          <w:szCs w:val="14"/>
          <w:lang w:val="nl-NL"/>
        </w:rPr>
      </w:pPr>
      <w:r w:rsidRPr="00426D02">
        <w:rPr>
          <w:rStyle w:val="FootnoteReference"/>
          <w:sz w:val="14"/>
          <w:szCs w:val="14"/>
        </w:rPr>
        <w:footnoteRef/>
      </w:r>
      <w:r w:rsidRPr="00426D02">
        <w:rPr>
          <w:sz w:val="14"/>
          <w:szCs w:val="14"/>
          <w:lang w:val="nl-NL"/>
        </w:rPr>
        <w:t xml:space="preserve"> </w:t>
      </w:r>
      <w:r w:rsidR="00DB6882" w:rsidRPr="00DB6882">
        <w:rPr>
          <w:sz w:val="14"/>
          <w:szCs w:val="14"/>
          <w:lang w:val="nl-NL"/>
        </w:rPr>
        <w:t>T</w:t>
      </w:r>
      <w:r w:rsidRPr="00DB6882">
        <w:rPr>
          <w:sz w:val="14"/>
          <w:szCs w:val="14"/>
          <w:lang w:val="nl-NL"/>
        </w:rPr>
        <w:t xml:space="preserve">oezegging plenair debat </w:t>
      </w:r>
      <w:r w:rsidR="00897746">
        <w:rPr>
          <w:sz w:val="14"/>
          <w:szCs w:val="14"/>
          <w:lang w:val="nl-NL"/>
        </w:rPr>
        <w:t>voor de Europese Top</w:t>
      </w:r>
      <w:r w:rsidRPr="00DB6882">
        <w:rPr>
          <w:sz w:val="14"/>
          <w:szCs w:val="14"/>
          <w:lang w:val="nl-NL"/>
        </w:rPr>
        <w:t xml:space="preserve"> d.d. 19 maart 2024</w:t>
      </w:r>
    </w:p>
  </w:footnote>
  <w:footnote w:id="3">
    <w:p w14:paraId="0637DD3A" w14:textId="5D647FCB" w:rsidR="00A43D27" w:rsidRPr="00426D02" w:rsidRDefault="00A43D27">
      <w:pPr>
        <w:pStyle w:val="FootnoteText"/>
        <w:rPr>
          <w:sz w:val="14"/>
          <w:szCs w:val="14"/>
          <w:lang w:val="nl-NL"/>
        </w:rPr>
      </w:pPr>
      <w:r w:rsidRPr="00426D02">
        <w:rPr>
          <w:rStyle w:val="FootnoteReference"/>
          <w:sz w:val="14"/>
          <w:szCs w:val="14"/>
        </w:rPr>
        <w:footnoteRef/>
      </w:r>
      <w:r w:rsidRPr="00426D02">
        <w:rPr>
          <w:sz w:val="14"/>
          <w:szCs w:val="14"/>
          <w:lang w:val="nl-NL"/>
        </w:rPr>
        <w:t xml:space="preserve"> Kamerstuk 21</w:t>
      </w:r>
      <w:r w:rsidR="00B867A1">
        <w:rPr>
          <w:sz w:val="14"/>
          <w:szCs w:val="14"/>
          <w:lang w:val="nl-NL"/>
        </w:rPr>
        <w:t xml:space="preserve"> </w:t>
      </w:r>
      <w:r w:rsidRPr="00426D02">
        <w:rPr>
          <w:sz w:val="14"/>
          <w:szCs w:val="14"/>
          <w:lang w:val="nl-NL"/>
        </w:rPr>
        <w:t>501-20</w:t>
      </w:r>
      <w:r w:rsidR="00B867A1">
        <w:rPr>
          <w:sz w:val="14"/>
          <w:szCs w:val="14"/>
          <w:lang w:val="nl-NL"/>
        </w:rPr>
        <w:t xml:space="preserve"> nr. </w:t>
      </w:r>
      <w:r w:rsidRPr="00426D02">
        <w:rPr>
          <w:sz w:val="14"/>
          <w:szCs w:val="14"/>
          <w:lang w:val="nl-NL"/>
        </w:rPr>
        <w:t>1959</w:t>
      </w:r>
    </w:p>
  </w:footnote>
  <w:footnote w:id="4">
    <w:p w14:paraId="0EA64C2F" w14:textId="5FABD4B1" w:rsidR="00A43D27" w:rsidRPr="00426D02" w:rsidRDefault="00A43D27">
      <w:pPr>
        <w:pStyle w:val="FootnoteText"/>
        <w:rPr>
          <w:sz w:val="14"/>
          <w:szCs w:val="14"/>
          <w:lang w:val="nl-NL"/>
        </w:rPr>
      </w:pPr>
      <w:r w:rsidRPr="00426D02">
        <w:rPr>
          <w:rStyle w:val="FootnoteReference"/>
          <w:sz w:val="14"/>
          <w:szCs w:val="14"/>
        </w:rPr>
        <w:footnoteRef/>
      </w:r>
      <w:r w:rsidRPr="00426D02">
        <w:rPr>
          <w:sz w:val="14"/>
          <w:szCs w:val="14"/>
          <w:lang w:val="nl-NL"/>
        </w:rPr>
        <w:t xml:space="preserve"> Kamerstuk 36</w:t>
      </w:r>
      <w:r w:rsidR="00B867A1">
        <w:rPr>
          <w:sz w:val="14"/>
          <w:szCs w:val="14"/>
          <w:lang w:val="nl-NL"/>
        </w:rPr>
        <w:t xml:space="preserve"> </w:t>
      </w:r>
      <w:r w:rsidRPr="00426D02">
        <w:rPr>
          <w:sz w:val="14"/>
          <w:szCs w:val="14"/>
          <w:lang w:val="nl-NL"/>
        </w:rPr>
        <w:t>045</w:t>
      </w:r>
      <w:r w:rsidR="00B867A1">
        <w:rPr>
          <w:sz w:val="14"/>
          <w:szCs w:val="14"/>
          <w:lang w:val="nl-NL"/>
        </w:rPr>
        <w:t xml:space="preserve"> nr. </w:t>
      </w:r>
      <w:r w:rsidRPr="00426D02">
        <w:rPr>
          <w:sz w:val="14"/>
          <w:szCs w:val="14"/>
          <w:lang w:val="nl-NL"/>
        </w:rPr>
        <w:t>142</w:t>
      </w:r>
    </w:p>
  </w:footnote>
  <w:footnote w:id="5">
    <w:p w14:paraId="52FED94A" w14:textId="1B9E139E" w:rsidR="00A43D27" w:rsidRPr="00B742B4" w:rsidRDefault="00A43D27">
      <w:pPr>
        <w:pStyle w:val="FootnoteText"/>
        <w:rPr>
          <w:lang w:val="nl-NL"/>
        </w:rPr>
      </w:pPr>
      <w:r w:rsidRPr="00426D02">
        <w:rPr>
          <w:rStyle w:val="FootnoteReference"/>
          <w:sz w:val="14"/>
          <w:szCs w:val="14"/>
        </w:rPr>
        <w:footnoteRef/>
      </w:r>
      <w:r w:rsidRPr="00426D02">
        <w:rPr>
          <w:sz w:val="14"/>
          <w:szCs w:val="14"/>
          <w:lang w:val="nl-NL"/>
        </w:rPr>
        <w:t xml:space="preserve"> Kamerstuk 21</w:t>
      </w:r>
      <w:r w:rsidR="00B867A1">
        <w:rPr>
          <w:sz w:val="14"/>
          <w:szCs w:val="14"/>
          <w:lang w:val="nl-NL"/>
        </w:rPr>
        <w:t xml:space="preserve"> </w:t>
      </w:r>
      <w:r w:rsidRPr="00426D02">
        <w:rPr>
          <w:sz w:val="14"/>
          <w:szCs w:val="14"/>
          <w:lang w:val="nl-NL"/>
        </w:rPr>
        <w:t>501-20</w:t>
      </w:r>
      <w:r w:rsidR="00B867A1">
        <w:rPr>
          <w:sz w:val="14"/>
          <w:szCs w:val="14"/>
          <w:lang w:val="nl-NL"/>
        </w:rPr>
        <w:t xml:space="preserve"> nr. </w:t>
      </w:r>
      <w:r w:rsidRPr="00426D02">
        <w:rPr>
          <w:sz w:val="14"/>
          <w:szCs w:val="14"/>
          <w:lang w:val="nl-NL"/>
        </w:rPr>
        <w:t>2034</w:t>
      </w:r>
    </w:p>
  </w:footnote>
  <w:footnote w:id="6">
    <w:p w14:paraId="4A47426E" w14:textId="6D8FB0A2" w:rsidR="00E90C4D" w:rsidRPr="002A3D6D" w:rsidRDefault="00E90C4D">
      <w:pPr>
        <w:pStyle w:val="FootnoteText"/>
        <w:rPr>
          <w:lang w:val="nl-NL"/>
        </w:rPr>
      </w:pPr>
      <w:r w:rsidRPr="00426D02">
        <w:rPr>
          <w:rStyle w:val="FootnoteReference"/>
          <w:sz w:val="14"/>
          <w:szCs w:val="14"/>
        </w:rPr>
        <w:footnoteRef/>
      </w:r>
      <w:r w:rsidRPr="00426D02">
        <w:rPr>
          <w:sz w:val="14"/>
          <w:szCs w:val="14"/>
          <w:lang w:val="nl-NL"/>
        </w:rPr>
        <w:t xml:space="preserve"> </w:t>
      </w:r>
      <w:r w:rsidR="002A3D6D" w:rsidRPr="00426D02">
        <w:rPr>
          <w:sz w:val="14"/>
          <w:szCs w:val="14"/>
          <w:lang w:val="nl-NL"/>
        </w:rPr>
        <w:t>Kamerstuk</w:t>
      </w:r>
      <w:r w:rsidRPr="00426D02">
        <w:rPr>
          <w:sz w:val="14"/>
          <w:szCs w:val="14"/>
          <w:lang w:val="nl-NL"/>
        </w:rPr>
        <w:t xml:space="preserve"> 21 501-02</w:t>
      </w:r>
      <w:r w:rsidR="002A3D6D" w:rsidRPr="00426D02">
        <w:rPr>
          <w:sz w:val="14"/>
          <w:szCs w:val="14"/>
          <w:lang w:val="nl-NL"/>
        </w:rPr>
        <w:t xml:space="preserve"> nr. 2854</w:t>
      </w:r>
    </w:p>
  </w:footnote>
  <w:footnote w:id="7">
    <w:p w14:paraId="02CFDFE4" w14:textId="06CD5297" w:rsidR="0059710E" w:rsidRPr="00426D02" w:rsidRDefault="0059710E" w:rsidP="0059710E">
      <w:pPr>
        <w:pStyle w:val="FootnoteText"/>
        <w:rPr>
          <w:sz w:val="14"/>
          <w:szCs w:val="14"/>
          <w:lang w:val="nl-NL"/>
        </w:rPr>
      </w:pPr>
      <w:r w:rsidRPr="00B867A2">
        <w:rPr>
          <w:rStyle w:val="FootnoteReference"/>
          <w:sz w:val="14"/>
          <w:szCs w:val="14"/>
        </w:rPr>
        <w:footnoteRef/>
      </w:r>
      <w:r w:rsidRPr="00B867A2">
        <w:rPr>
          <w:sz w:val="14"/>
          <w:szCs w:val="14"/>
          <w:lang w:val="nl-NL"/>
        </w:rPr>
        <w:t xml:space="preserve"> </w:t>
      </w:r>
      <w:r w:rsidR="00B867A2" w:rsidRPr="00B867A2">
        <w:rPr>
          <w:sz w:val="14"/>
          <w:szCs w:val="14"/>
          <w:lang w:val="nl-NL"/>
        </w:rPr>
        <w:t xml:space="preserve">Toezegging plenair debat voor de Europese Top d.d. </w:t>
      </w:r>
      <w:r w:rsidRPr="00B867A2">
        <w:rPr>
          <w:sz w:val="14"/>
          <w:szCs w:val="14"/>
          <w:lang w:val="nl-NL"/>
        </w:rPr>
        <w:t>19 maart 2024</w:t>
      </w:r>
    </w:p>
  </w:footnote>
  <w:footnote w:id="8">
    <w:p w14:paraId="746D93DA" w14:textId="3C7815F0" w:rsidR="007B19D2" w:rsidRPr="00050767" w:rsidRDefault="007B19D2">
      <w:pPr>
        <w:pStyle w:val="FootnoteText"/>
        <w:rPr>
          <w:sz w:val="14"/>
          <w:szCs w:val="14"/>
          <w:lang w:val="nl-NL"/>
        </w:rPr>
      </w:pPr>
      <w:r w:rsidRPr="00050767">
        <w:rPr>
          <w:rStyle w:val="FootnoteReference"/>
          <w:sz w:val="14"/>
          <w:szCs w:val="14"/>
        </w:rPr>
        <w:footnoteRef/>
      </w:r>
      <w:r w:rsidRPr="00050767">
        <w:rPr>
          <w:sz w:val="14"/>
          <w:szCs w:val="14"/>
          <w:lang w:val="nl-NL"/>
        </w:rPr>
        <w:t xml:space="preserve"> Kamerstuk 21 501-02 nr. 2852</w:t>
      </w:r>
    </w:p>
  </w:footnote>
  <w:footnote w:id="9">
    <w:p w14:paraId="14A6A35F" w14:textId="65EE5EFE" w:rsidR="00C0665C" w:rsidRPr="00673212" w:rsidRDefault="00C0665C">
      <w:pPr>
        <w:pStyle w:val="FootnoteText"/>
        <w:rPr>
          <w:sz w:val="14"/>
          <w:szCs w:val="14"/>
          <w:lang w:val="nl-NL"/>
        </w:rPr>
      </w:pPr>
      <w:r w:rsidRPr="00050767">
        <w:rPr>
          <w:rStyle w:val="FootnoteReference"/>
          <w:sz w:val="14"/>
          <w:szCs w:val="14"/>
        </w:rPr>
        <w:footnoteRef/>
      </w:r>
      <w:r w:rsidRPr="00050767">
        <w:rPr>
          <w:sz w:val="14"/>
          <w:szCs w:val="14"/>
          <w:lang w:val="nl-NL"/>
        </w:rPr>
        <w:t xml:space="preserve"> </w:t>
      </w:r>
      <w:r w:rsidR="008511EB" w:rsidRPr="00050767">
        <w:rPr>
          <w:sz w:val="14"/>
          <w:szCs w:val="14"/>
          <w:lang w:val="nl-NL"/>
        </w:rPr>
        <w:t>Kamerstuk 21 501-20 nr. 2048</w:t>
      </w:r>
    </w:p>
  </w:footnote>
  <w:footnote w:id="10">
    <w:p w14:paraId="33FDAAA6" w14:textId="04BF2911" w:rsidR="00F02049" w:rsidRPr="00F45401" w:rsidRDefault="00F02049">
      <w:pPr>
        <w:pStyle w:val="FootnoteText"/>
        <w:rPr>
          <w:sz w:val="14"/>
          <w:szCs w:val="14"/>
          <w:lang w:val="nl-NL"/>
        </w:rPr>
      </w:pPr>
      <w:r w:rsidRPr="005C3EF0">
        <w:rPr>
          <w:rStyle w:val="FootnoteReference"/>
          <w:sz w:val="14"/>
          <w:szCs w:val="14"/>
        </w:rPr>
        <w:footnoteRef/>
      </w:r>
      <w:r w:rsidRPr="005C3EF0">
        <w:rPr>
          <w:sz w:val="14"/>
          <w:szCs w:val="14"/>
          <w:lang w:val="nl-NL"/>
        </w:rPr>
        <w:t xml:space="preserve"> Kamerstuk</w:t>
      </w:r>
      <w:r w:rsidRPr="005C3EF0">
        <w:rPr>
          <w:rFonts w:eastAsia="Times New Roman"/>
          <w:b/>
          <w:bCs/>
          <w:sz w:val="14"/>
          <w:szCs w:val="14"/>
          <w:lang w:val="nl-NL" w:eastAsia="nl-NL"/>
        </w:rPr>
        <w:t xml:space="preserve"> </w:t>
      </w:r>
      <w:r w:rsidRPr="005C3EF0">
        <w:rPr>
          <w:rFonts w:eastAsia="Times New Roman"/>
          <w:sz w:val="14"/>
          <w:szCs w:val="14"/>
          <w:lang w:val="nl-NL" w:eastAsia="nl-NL"/>
        </w:rPr>
        <w:t>21 501-02 nr. 2856</w:t>
      </w:r>
    </w:p>
  </w:footnote>
  <w:footnote w:id="11">
    <w:p w14:paraId="78326B68" w14:textId="77777777" w:rsidR="006E3314" w:rsidRPr="00F45401" w:rsidRDefault="006E3314" w:rsidP="006E3314">
      <w:pPr>
        <w:pStyle w:val="FootnoteText"/>
        <w:rPr>
          <w:sz w:val="14"/>
          <w:szCs w:val="14"/>
          <w:lang w:val="nl-NL"/>
        </w:rPr>
      </w:pPr>
      <w:r w:rsidRPr="00F45401">
        <w:rPr>
          <w:rStyle w:val="FootnoteReference"/>
          <w:sz w:val="14"/>
          <w:szCs w:val="14"/>
        </w:rPr>
        <w:footnoteRef/>
      </w:r>
      <w:r w:rsidRPr="00F45401">
        <w:rPr>
          <w:sz w:val="14"/>
          <w:szCs w:val="14"/>
          <w:lang w:val="nl-NL"/>
        </w:rPr>
        <w:t xml:space="preserve"> https://neighbourhood-enlargement.ec.europa.eu/news/commission-proposes-open-eu-accession-negotiations-bosnia-and-herzegovina-and-updates-progress-made-2024-03-12_en</w:t>
      </w:r>
    </w:p>
  </w:footnote>
  <w:footnote w:id="12">
    <w:p w14:paraId="414F6C5E" w14:textId="59794FD8" w:rsidR="006E3314" w:rsidRPr="000725B5" w:rsidRDefault="006E3314" w:rsidP="006E3314">
      <w:pPr>
        <w:pStyle w:val="FootnoteText"/>
        <w:rPr>
          <w:sz w:val="16"/>
          <w:szCs w:val="16"/>
          <w:lang w:val="nl-NL"/>
        </w:rPr>
      </w:pPr>
      <w:r w:rsidRPr="00F45401">
        <w:rPr>
          <w:rStyle w:val="FootnoteReference"/>
          <w:sz w:val="14"/>
          <w:szCs w:val="14"/>
        </w:rPr>
        <w:footnoteRef/>
      </w:r>
      <w:r w:rsidRPr="00F45401">
        <w:rPr>
          <w:sz w:val="14"/>
          <w:szCs w:val="14"/>
          <w:lang w:val="nl-NL"/>
        </w:rPr>
        <w:t xml:space="preserve"> Kamerstuk 21501-20 nr. 2055</w:t>
      </w:r>
    </w:p>
  </w:footnote>
  <w:footnote w:id="13">
    <w:p w14:paraId="294DB312" w14:textId="2FC0840A" w:rsidR="00097CFF" w:rsidRPr="00FF2697" w:rsidRDefault="00097CFF">
      <w:pPr>
        <w:pStyle w:val="FootnoteText"/>
        <w:rPr>
          <w:sz w:val="14"/>
          <w:szCs w:val="14"/>
          <w:lang w:val="nl-NL"/>
        </w:rPr>
      </w:pPr>
      <w:r w:rsidRPr="00FF2697">
        <w:rPr>
          <w:rStyle w:val="FootnoteReference"/>
          <w:sz w:val="14"/>
          <w:szCs w:val="14"/>
        </w:rPr>
        <w:footnoteRef/>
      </w:r>
      <w:r w:rsidR="0025641F" w:rsidRPr="00FF2697">
        <w:rPr>
          <w:sz w:val="14"/>
          <w:szCs w:val="14"/>
          <w:lang w:val="nl-NL"/>
        </w:rPr>
        <w:t xml:space="preserve"> </w:t>
      </w:r>
      <w:r w:rsidR="00BD43A3">
        <w:rPr>
          <w:sz w:val="14"/>
          <w:szCs w:val="14"/>
          <w:lang w:val="nl-NL"/>
        </w:rPr>
        <w:t xml:space="preserve">Verslag Raad Buitenlandse Zaken van 18 maart 2024, Kamerstuk </w:t>
      </w:r>
      <w:r w:rsidR="0073758B">
        <w:rPr>
          <w:sz w:val="14"/>
          <w:szCs w:val="14"/>
          <w:lang w:val="nl-NL"/>
        </w:rPr>
        <w:t xml:space="preserve">21 501-02 nr. </w:t>
      </w:r>
      <w:r w:rsidR="0073758B">
        <w:rPr>
          <w:sz w:val="14"/>
          <w:szCs w:val="14"/>
          <w:lang w:val="nl-NL"/>
        </w:rPr>
        <w:t>2866</w:t>
      </w:r>
      <w:r w:rsidR="00BD43A3">
        <w:rPr>
          <w:sz w:val="14"/>
          <w:szCs w:val="14"/>
          <w:lang w:val="nl-NL"/>
        </w:rPr>
        <w:t>, d.d. 8 april 2024</w:t>
      </w:r>
    </w:p>
  </w:footnote>
  <w:footnote w:id="14">
    <w:p w14:paraId="180BFAD6" w14:textId="70B8BAB9" w:rsidR="00D9229C" w:rsidRPr="00FF2697" w:rsidRDefault="00D9229C">
      <w:pPr>
        <w:pStyle w:val="FootnoteText"/>
        <w:rPr>
          <w:sz w:val="14"/>
          <w:szCs w:val="14"/>
          <w:lang w:val="nl-NL"/>
        </w:rPr>
      </w:pPr>
      <w:r w:rsidRPr="00FF2697">
        <w:rPr>
          <w:rStyle w:val="FootnoteReference"/>
          <w:sz w:val="14"/>
          <w:szCs w:val="14"/>
        </w:rPr>
        <w:footnoteRef/>
      </w:r>
      <w:r w:rsidRPr="00FF2697">
        <w:rPr>
          <w:sz w:val="14"/>
          <w:szCs w:val="14"/>
          <w:lang w:val="nl-NL"/>
        </w:rPr>
        <w:t xml:space="preserve"> Kunstmestvervangers op basis van dierlijke mest, zie ook het verslag van de Landbouw- en Visserijraad van 23 januari 2024 Kamerstuk 21501-32 nr. 1616</w:t>
      </w:r>
    </w:p>
  </w:footnote>
  <w:footnote w:id="15">
    <w:p w14:paraId="6209C2D2" w14:textId="79E031C8" w:rsidR="00C22428" w:rsidRPr="00FF2697" w:rsidRDefault="00C22428" w:rsidP="00C22428">
      <w:pPr>
        <w:pStyle w:val="FootnoteText"/>
        <w:rPr>
          <w:sz w:val="14"/>
          <w:szCs w:val="14"/>
          <w:lang w:val="nl-NL"/>
        </w:rPr>
      </w:pPr>
      <w:r w:rsidRPr="00FF2697">
        <w:rPr>
          <w:rStyle w:val="FootnoteReference"/>
          <w:sz w:val="14"/>
          <w:szCs w:val="14"/>
        </w:rPr>
        <w:footnoteRef/>
      </w:r>
      <w:r w:rsidR="00E442CE" w:rsidRPr="00FF2697">
        <w:rPr>
          <w:sz w:val="14"/>
          <w:szCs w:val="14"/>
          <w:lang w:val="nl-NL"/>
        </w:rPr>
        <w:t>Kamerbrief over de Landbouw- en Visserijraad 26 maart 2024 en informele Visserijraad 24 en 25 maart 2024, Kamerstuk 21501-32 nr. 1625</w:t>
      </w:r>
    </w:p>
  </w:footnote>
  <w:footnote w:id="16">
    <w:p w14:paraId="1EA33749" w14:textId="77777777" w:rsidR="006203BF" w:rsidRPr="00FF2697" w:rsidRDefault="006203BF" w:rsidP="006203BF">
      <w:pPr>
        <w:pStyle w:val="FootnoteText"/>
        <w:rPr>
          <w:sz w:val="14"/>
          <w:szCs w:val="14"/>
        </w:rPr>
      </w:pPr>
      <w:r w:rsidRPr="00FF2697">
        <w:rPr>
          <w:rStyle w:val="FootnoteReference"/>
          <w:sz w:val="14"/>
          <w:szCs w:val="14"/>
        </w:rPr>
        <w:footnoteRef/>
      </w:r>
      <w:r w:rsidRPr="00FF2697">
        <w:rPr>
          <w:sz w:val="14"/>
          <w:szCs w:val="14"/>
        </w:rPr>
        <w:t xml:space="preserve"> </w:t>
      </w:r>
      <w:proofErr w:type="spellStart"/>
      <w:r w:rsidRPr="00FF2697">
        <w:rPr>
          <w:sz w:val="14"/>
          <w:szCs w:val="14"/>
        </w:rPr>
        <w:t>Te</w:t>
      </w:r>
      <w:proofErr w:type="spellEnd"/>
      <w:r w:rsidRPr="00FF2697">
        <w:rPr>
          <w:sz w:val="14"/>
          <w:szCs w:val="14"/>
        </w:rPr>
        <w:t xml:space="preserve"> </w:t>
      </w:r>
      <w:proofErr w:type="spellStart"/>
      <w:r w:rsidRPr="00FF2697">
        <w:rPr>
          <w:sz w:val="14"/>
          <w:szCs w:val="14"/>
        </w:rPr>
        <w:t>raadplegen</w:t>
      </w:r>
      <w:proofErr w:type="spellEnd"/>
      <w:r w:rsidRPr="00FF2697">
        <w:rPr>
          <w:sz w:val="14"/>
          <w:szCs w:val="14"/>
        </w:rPr>
        <w:t xml:space="preserve"> op: </w:t>
      </w:r>
      <w:hyperlink r:id="rId1" w:history="1">
        <w:r w:rsidRPr="00FF2697">
          <w:rPr>
            <w:rStyle w:val="Hyperlink"/>
            <w:color w:val="auto"/>
            <w:sz w:val="14"/>
            <w:szCs w:val="14"/>
          </w:rPr>
          <w:t>Commission takes stock of key achievements on migration and (europa.eu)</w:t>
        </w:r>
      </w:hyperlink>
    </w:p>
  </w:footnote>
  <w:footnote w:id="17">
    <w:p w14:paraId="768CB1E0" w14:textId="77777777" w:rsidR="00202A4F" w:rsidRPr="00FF2697" w:rsidRDefault="00202A4F" w:rsidP="00202A4F">
      <w:pPr>
        <w:pStyle w:val="FootnoteText"/>
        <w:rPr>
          <w:sz w:val="14"/>
          <w:szCs w:val="14"/>
          <w:lang w:val="fr-FR"/>
        </w:rPr>
      </w:pPr>
      <w:r w:rsidRPr="00FF2697">
        <w:rPr>
          <w:rStyle w:val="FootnoteReference"/>
          <w:sz w:val="14"/>
          <w:szCs w:val="14"/>
        </w:rPr>
        <w:footnoteRef/>
      </w:r>
      <w:r w:rsidRPr="00FF2697">
        <w:rPr>
          <w:sz w:val="14"/>
          <w:szCs w:val="14"/>
          <w:lang w:val="fr-FR"/>
        </w:rPr>
        <w:t xml:space="preserve"> </w:t>
      </w:r>
      <w:hyperlink r:id="rId2" w:history="1">
        <w:r w:rsidR="008B659F" w:rsidRPr="00FF2697">
          <w:rPr>
            <w:rStyle w:val="Hyperlink"/>
            <w:color w:val="auto"/>
            <w:sz w:val="14"/>
            <w:szCs w:val="14"/>
            <w:lang w:val="fr-FR"/>
          </w:rPr>
          <w:t>eur-lex.europa.eu/legal-content/NL/TXT/PDF/?uri=CELEX:52023DC0901</w:t>
        </w:r>
      </w:hyperlink>
    </w:p>
  </w:footnote>
  <w:footnote w:id="18">
    <w:p w14:paraId="6430E2AF" w14:textId="6AE2A755" w:rsidR="004C43CB" w:rsidRPr="00E442CE" w:rsidRDefault="004C43CB" w:rsidP="00A826DB">
      <w:pPr>
        <w:pStyle w:val="FootnoteText"/>
        <w:rPr>
          <w:sz w:val="14"/>
          <w:szCs w:val="14"/>
        </w:rPr>
      </w:pPr>
      <w:r w:rsidRPr="00FF2697">
        <w:rPr>
          <w:rStyle w:val="FootnoteReference"/>
          <w:sz w:val="14"/>
          <w:szCs w:val="14"/>
        </w:rPr>
        <w:footnoteRef/>
      </w:r>
      <w:hyperlink r:id="rId3" w:history="1">
        <w:r w:rsidRPr="00FF2697">
          <w:rPr>
            <w:rStyle w:val="Hyperlink"/>
            <w:color w:val="auto"/>
            <w:sz w:val="14"/>
            <w:szCs w:val="14"/>
          </w:rPr>
          <w:t>2024 European Semester: Recommendation for the euro area - European Commission (europa.eu)</w:t>
        </w:r>
      </w:hyperlink>
    </w:p>
  </w:footnote>
  <w:footnote w:id="19">
    <w:p w14:paraId="182AD763" w14:textId="2F94054B" w:rsidR="001B323C" w:rsidRPr="00C4755E" w:rsidRDefault="001B323C">
      <w:pPr>
        <w:pStyle w:val="FootnoteText"/>
        <w:rPr>
          <w:sz w:val="14"/>
          <w:szCs w:val="14"/>
        </w:rPr>
      </w:pPr>
      <w:r w:rsidRPr="001B323C">
        <w:rPr>
          <w:rStyle w:val="FootnoteReference"/>
          <w:sz w:val="14"/>
          <w:szCs w:val="14"/>
        </w:rPr>
        <w:footnoteRef/>
      </w:r>
      <w:r w:rsidRPr="00C4755E">
        <w:rPr>
          <w:sz w:val="14"/>
          <w:szCs w:val="14"/>
        </w:rPr>
        <w:t xml:space="preserve"> </w:t>
      </w:r>
      <w:proofErr w:type="spellStart"/>
      <w:r w:rsidRPr="00C4755E">
        <w:rPr>
          <w:sz w:val="14"/>
          <w:szCs w:val="14"/>
        </w:rPr>
        <w:t>Kamerstuk</w:t>
      </w:r>
      <w:proofErr w:type="spellEnd"/>
      <w:r w:rsidR="00BD43A3" w:rsidRPr="00C4755E">
        <w:rPr>
          <w:sz w:val="14"/>
          <w:szCs w:val="14"/>
        </w:rPr>
        <w:t xml:space="preserve"> 21 501-07 nr. 2023</w:t>
      </w:r>
    </w:p>
  </w:footnote>
  <w:footnote w:id="20">
    <w:p w14:paraId="66F8427A" w14:textId="77777777" w:rsidR="00AC1BFD" w:rsidRPr="00C4755E" w:rsidRDefault="00AC1BFD" w:rsidP="00AC1BFD">
      <w:pPr>
        <w:pStyle w:val="FootnoteText"/>
        <w:rPr>
          <w:sz w:val="14"/>
          <w:szCs w:val="14"/>
          <w:lang w:val="nl-NL"/>
        </w:rPr>
      </w:pPr>
      <w:r w:rsidRPr="00567CDB">
        <w:rPr>
          <w:rStyle w:val="FootnoteReference"/>
          <w:sz w:val="14"/>
          <w:szCs w:val="14"/>
        </w:rPr>
        <w:footnoteRef/>
      </w:r>
      <w:r w:rsidRPr="00C4755E">
        <w:rPr>
          <w:sz w:val="14"/>
          <w:szCs w:val="14"/>
          <w:lang w:val="nl-NL"/>
        </w:rPr>
        <w:t xml:space="preserve"> Kamerstuk 32 645 nr. 121</w:t>
      </w:r>
    </w:p>
  </w:footnote>
  <w:footnote w:id="21">
    <w:p w14:paraId="5D1B22FA" w14:textId="77777777" w:rsidR="00AC1BFD" w:rsidRPr="0008210F" w:rsidRDefault="00AC1BFD" w:rsidP="00AC1BFD">
      <w:pPr>
        <w:pStyle w:val="FootnoteText"/>
        <w:rPr>
          <w:sz w:val="14"/>
          <w:szCs w:val="14"/>
        </w:rPr>
      </w:pPr>
      <w:r w:rsidRPr="00567CDB">
        <w:rPr>
          <w:rStyle w:val="FootnoteReference"/>
          <w:sz w:val="14"/>
          <w:szCs w:val="14"/>
        </w:rPr>
        <w:footnoteRef/>
      </w:r>
      <w:r w:rsidRPr="00567CDB">
        <w:rPr>
          <w:sz w:val="14"/>
          <w:szCs w:val="14"/>
        </w:rPr>
        <w:t xml:space="preserve"> </w:t>
      </w:r>
      <w:hyperlink r:id="rId4" w:history="1">
        <w:r w:rsidRPr="00567CDB">
          <w:rPr>
            <w:rStyle w:val="Hyperlink"/>
            <w:sz w:val="14"/>
            <w:szCs w:val="14"/>
          </w:rPr>
          <w:t>Declaration of the EU Nuclear Alliance | Rapport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7DEEA374"/>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276"/>
        </w:tabs>
        <w:ind w:left="1276" w:hanging="567"/>
      </w:pPr>
      <w:rPr>
        <w:i w:val="0"/>
        <w:iCs w:val="0"/>
        <w:strike w:val="0"/>
      </w:r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11BA3F73"/>
    <w:multiLevelType w:val="hybridMultilevel"/>
    <w:tmpl w:val="B0901444"/>
    <w:lvl w:ilvl="0" w:tplc="DA129B9C">
      <w:start w:val="15"/>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E6B4264"/>
    <w:multiLevelType w:val="hybridMultilevel"/>
    <w:tmpl w:val="DC50751E"/>
    <w:lvl w:ilvl="0" w:tplc="999C96A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6F2F26"/>
    <w:multiLevelType w:val="multilevel"/>
    <w:tmpl w:val="1470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F6130"/>
    <w:multiLevelType w:val="hybridMultilevel"/>
    <w:tmpl w:val="428E90F6"/>
    <w:lvl w:ilvl="0" w:tplc="36B4ECA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E4F3D39"/>
    <w:multiLevelType w:val="hybridMultilevel"/>
    <w:tmpl w:val="F8826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287B09"/>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6586762">
    <w:abstractNumId w:val="1"/>
  </w:num>
  <w:num w:numId="2" w16cid:durableId="449251808">
    <w:abstractNumId w:val="4"/>
  </w:num>
  <w:num w:numId="3" w16cid:durableId="641546860">
    <w:abstractNumId w:val="3"/>
  </w:num>
  <w:num w:numId="4" w16cid:durableId="1283921417">
    <w:abstractNumId w:val="5"/>
  </w:num>
  <w:num w:numId="5" w16cid:durableId="560754857">
    <w:abstractNumId w:val="2"/>
  </w:num>
  <w:num w:numId="6" w16cid:durableId="2011903069">
    <w:abstractNumId w:val="0"/>
  </w:num>
  <w:num w:numId="7" w16cid:durableId="720252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4BA"/>
    <w:rsid w:val="000004D8"/>
    <w:rsid w:val="00004A08"/>
    <w:rsid w:val="00021AFC"/>
    <w:rsid w:val="00023EB8"/>
    <w:rsid w:val="00027744"/>
    <w:rsid w:val="00030CDC"/>
    <w:rsid w:val="00030F5A"/>
    <w:rsid w:val="000334B3"/>
    <w:rsid w:val="00036A2E"/>
    <w:rsid w:val="00041240"/>
    <w:rsid w:val="00043EEE"/>
    <w:rsid w:val="00050254"/>
    <w:rsid w:val="000503D5"/>
    <w:rsid w:val="00050767"/>
    <w:rsid w:val="00051B1B"/>
    <w:rsid w:val="00052CD3"/>
    <w:rsid w:val="00054C23"/>
    <w:rsid w:val="00056561"/>
    <w:rsid w:val="00061977"/>
    <w:rsid w:val="0006530A"/>
    <w:rsid w:val="000669DF"/>
    <w:rsid w:val="00070789"/>
    <w:rsid w:val="00070F24"/>
    <w:rsid w:val="000725B5"/>
    <w:rsid w:val="00072A12"/>
    <w:rsid w:val="0007407E"/>
    <w:rsid w:val="0008210F"/>
    <w:rsid w:val="00082BC5"/>
    <w:rsid w:val="00082E5F"/>
    <w:rsid w:val="00084B6E"/>
    <w:rsid w:val="00086725"/>
    <w:rsid w:val="00094D84"/>
    <w:rsid w:val="000956B4"/>
    <w:rsid w:val="00097CFF"/>
    <w:rsid w:val="00097EC8"/>
    <w:rsid w:val="000A1A7B"/>
    <w:rsid w:val="000A7ECB"/>
    <w:rsid w:val="000B14F5"/>
    <w:rsid w:val="000B43DF"/>
    <w:rsid w:val="000B4DF2"/>
    <w:rsid w:val="000B73CF"/>
    <w:rsid w:val="000C2594"/>
    <w:rsid w:val="000C2A75"/>
    <w:rsid w:val="000C2C48"/>
    <w:rsid w:val="000C3E03"/>
    <w:rsid w:val="000D059E"/>
    <w:rsid w:val="000D1569"/>
    <w:rsid w:val="000D27A6"/>
    <w:rsid w:val="000D2F69"/>
    <w:rsid w:val="000D4444"/>
    <w:rsid w:val="000D614E"/>
    <w:rsid w:val="000D6211"/>
    <w:rsid w:val="000E0B38"/>
    <w:rsid w:val="000E5B5F"/>
    <w:rsid w:val="000E633F"/>
    <w:rsid w:val="000E6D38"/>
    <w:rsid w:val="000F06B5"/>
    <w:rsid w:val="000F131A"/>
    <w:rsid w:val="000F2F33"/>
    <w:rsid w:val="000F3F49"/>
    <w:rsid w:val="001030C1"/>
    <w:rsid w:val="00104F04"/>
    <w:rsid w:val="001118DC"/>
    <w:rsid w:val="0011316C"/>
    <w:rsid w:val="00116AD9"/>
    <w:rsid w:val="001175EA"/>
    <w:rsid w:val="00120073"/>
    <w:rsid w:val="0012251B"/>
    <w:rsid w:val="00122F49"/>
    <w:rsid w:val="001272AE"/>
    <w:rsid w:val="00132584"/>
    <w:rsid w:val="00132BB3"/>
    <w:rsid w:val="0014046B"/>
    <w:rsid w:val="00142641"/>
    <w:rsid w:val="00143329"/>
    <w:rsid w:val="001447B7"/>
    <w:rsid w:val="0014492C"/>
    <w:rsid w:val="00144CEA"/>
    <w:rsid w:val="001451E8"/>
    <w:rsid w:val="0014568F"/>
    <w:rsid w:val="0015094A"/>
    <w:rsid w:val="00150D9D"/>
    <w:rsid w:val="00152181"/>
    <w:rsid w:val="00153911"/>
    <w:rsid w:val="00154AD9"/>
    <w:rsid w:val="0015537E"/>
    <w:rsid w:val="00164928"/>
    <w:rsid w:val="0016794F"/>
    <w:rsid w:val="00167A12"/>
    <w:rsid w:val="00167A6C"/>
    <w:rsid w:val="0017104E"/>
    <w:rsid w:val="00174A6C"/>
    <w:rsid w:val="001750ED"/>
    <w:rsid w:val="00181B65"/>
    <w:rsid w:val="00182EF1"/>
    <w:rsid w:val="001864E0"/>
    <w:rsid w:val="00191110"/>
    <w:rsid w:val="001B323C"/>
    <w:rsid w:val="001B5B73"/>
    <w:rsid w:val="001B6CD3"/>
    <w:rsid w:val="001C18FF"/>
    <w:rsid w:val="001C30DA"/>
    <w:rsid w:val="001C3C5B"/>
    <w:rsid w:val="001C492A"/>
    <w:rsid w:val="001C4AAF"/>
    <w:rsid w:val="001C616B"/>
    <w:rsid w:val="001C7E18"/>
    <w:rsid w:val="001D2ED9"/>
    <w:rsid w:val="001D48D0"/>
    <w:rsid w:val="001D5A96"/>
    <w:rsid w:val="001E0BF3"/>
    <w:rsid w:val="001E1A9F"/>
    <w:rsid w:val="001E2BA6"/>
    <w:rsid w:val="001E3F11"/>
    <w:rsid w:val="001E451A"/>
    <w:rsid w:val="001F1EF1"/>
    <w:rsid w:val="001F3CB9"/>
    <w:rsid w:val="001F4238"/>
    <w:rsid w:val="001F517B"/>
    <w:rsid w:val="001F5728"/>
    <w:rsid w:val="001F7033"/>
    <w:rsid w:val="002007A1"/>
    <w:rsid w:val="00202A4F"/>
    <w:rsid w:val="002052EE"/>
    <w:rsid w:val="00205300"/>
    <w:rsid w:val="00207CB0"/>
    <w:rsid w:val="00210956"/>
    <w:rsid w:val="00212A3B"/>
    <w:rsid w:val="002135C7"/>
    <w:rsid w:val="00213F14"/>
    <w:rsid w:val="00215450"/>
    <w:rsid w:val="00217504"/>
    <w:rsid w:val="002210DB"/>
    <w:rsid w:val="002234A2"/>
    <w:rsid w:val="00223E40"/>
    <w:rsid w:val="00224257"/>
    <w:rsid w:val="00227798"/>
    <w:rsid w:val="0023250B"/>
    <w:rsid w:val="00234381"/>
    <w:rsid w:val="002417AF"/>
    <w:rsid w:val="00243232"/>
    <w:rsid w:val="002479E5"/>
    <w:rsid w:val="0025095B"/>
    <w:rsid w:val="00252E88"/>
    <w:rsid w:val="00254C12"/>
    <w:rsid w:val="0025641F"/>
    <w:rsid w:val="0025788B"/>
    <w:rsid w:val="00263B2A"/>
    <w:rsid w:val="00265EDF"/>
    <w:rsid w:val="0026754A"/>
    <w:rsid w:val="00271018"/>
    <w:rsid w:val="00271AB1"/>
    <w:rsid w:val="00272AD6"/>
    <w:rsid w:val="00272EAD"/>
    <w:rsid w:val="00272F41"/>
    <w:rsid w:val="002733AD"/>
    <w:rsid w:val="002735C5"/>
    <w:rsid w:val="002741B0"/>
    <w:rsid w:val="002744EB"/>
    <w:rsid w:val="00275824"/>
    <w:rsid w:val="00276B04"/>
    <w:rsid w:val="002824D9"/>
    <w:rsid w:val="00282A21"/>
    <w:rsid w:val="0029225D"/>
    <w:rsid w:val="00293157"/>
    <w:rsid w:val="002978CE"/>
    <w:rsid w:val="002A0A0C"/>
    <w:rsid w:val="002A3D6D"/>
    <w:rsid w:val="002A5928"/>
    <w:rsid w:val="002A5DE3"/>
    <w:rsid w:val="002A6826"/>
    <w:rsid w:val="002B0309"/>
    <w:rsid w:val="002B05B8"/>
    <w:rsid w:val="002B0EA5"/>
    <w:rsid w:val="002B3E19"/>
    <w:rsid w:val="002B5194"/>
    <w:rsid w:val="002C1BD9"/>
    <w:rsid w:val="002C4FE7"/>
    <w:rsid w:val="002C59D5"/>
    <w:rsid w:val="002C7B3B"/>
    <w:rsid w:val="002D08B8"/>
    <w:rsid w:val="002D7C7D"/>
    <w:rsid w:val="002E2652"/>
    <w:rsid w:val="002E2AE2"/>
    <w:rsid w:val="002E2F70"/>
    <w:rsid w:val="002E7B80"/>
    <w:rsid w:val="002F113E"/>
    <w:rsid w:val="002F26AB"/>
    <w:rsid w:val="002F3F80"/>
    <w:rsid w:val="002F414B"/>
    <w:rsid w:val="002F4326"/>
    <w:rsid w:val="002F68EE"/>
    <w:rsid w:val="002F6B00"/>
    <w:rsid w:val="00300E0D"/>
    <w:rsid w:val="003047AF"/>
    <w:rsid w:val="00313020"/>
    <w:rsid w:val="003204D4"/>
    <w:rsid w:val="00321DBF"/>
    <w:rsid w:val="00326ECC"/>
    <w:rsid w:val="003315CC"/>
    <w:rsid w:val="00333756"/>
    <w:rsid w:val="0034297D"/>
    <w:rsid w:val="00343C70"/>
    <w:rsid w:val="003513CC"/>
    <w:rsid w:val="00351A78"/>
    <w:rsid w:val="00352282"/>
    <w:rsid w:val="00352A56"/>
    <w:rsid w:val="003532F0"/>
    <w:rsid w:val="0035335A"/>
    <w:rsid w:val="00353759"/>
    <w:rsid w:val="00353AF9"/>
    <w:rsid w:val="00354F14"/>
    <w:rsid w:val="00356CAC"/>
    <w:rsid w:val="0035735A"/>
    <w:rsid w:val="003651E4"/>
    <w:rsid w:val="0036533E"/>
    <w:rsid w:val="003659CC"/>
    <w:rsid w:val="00371EA7"/>
    <w:rsid w:val="00377DB5"/>
    <w:rsid w:val="00380B59"/>
    <w:rsid w:val="00381097"/>
    <w:rsid w:val="003814F3"/>
    <w:rsid w:val="00382AC2"/>
    <w:rsid w:val="00384526"/>
    <w:rsid w:val="00384CD3"/>
    <w:rsid w:val="003879BD"/>
    <w:rsid w:val="00395845"/>
    <w:rsid w:val="00397592"/>
    <w:rsid w:val="003A2CF2"/>
    <w:rsid w:val="003A2EDB"/>
    <w:rsid w:val="003A3244"/>
    <w:rsid w:val="003A46A8"/>
    <w:rsid w:val="003A60AC"/>
    <w:rsid w:val="003A7B9D"/>
    <w:rsid w:val="003B2BE2"/>
    <w:rsid w:val="003B370D"/>
    <w:rsid w:val="003B5FA2"/>
    <w:rsid w:val="003B6293"/>
    <w:rsid w:val="003C2ADE"/>
    <w:rsid w:val="003C39C6"/>
    <w:rsid w:val="003C5421"/>
    <w:rsid w:val="003C58AD"/>
    <w:rsid w:val="003D6DF0"/>
    <w:rsid w:val="003D76CD"/>
    <w:rsid w:val="003E0A0A"/>
    <w:rsid w:val="003E3F93"/>
    <w:rsid w:val="003E456F"/>
    <w:rsid w:val="003E4ED4"/>
    <w:rsid w:val="003F2159"/>
    <w:rsid w:val="003F338C"/>
    <w:rsid w:val="003F39FF"/>
    <w:rsid w:val="003F6765"/>
    <w:rsid w:val="00402052"/>
    <w:rsid w:val="00403AE7"/>
    <w:rsid w:val="00403F86"/>
    <w:rsid w:val="004066FA"/>
    <w:rsid w:val="00406E5C"/>
    <w:rsid w:val="00407576"/>
    <w:rsid w:val="00407724"/>
    <w:rsid w:val="00407F74"/>
    <w:rsid w:val="00410DB4"/>
    <w:rsid w:val="00415F76"/>
    <w:rsid w:val="004201B6"/>
    <w:rsid w:val="00420610"/>
    <w:rsid w:val="00424CBE"/>
    <w:rsid w:val="00425B7A"/>
    <w:rsid w:val="004266CA"/>
    <w:rsid w:val="00426D02"/>
    <w:rsid w:val="004317D6"/>
    <w:rsid w:val="00433B6F"/>
    <w:rsid w:val="00435DA1"/>
    <w:rsid w:val="00437BCC"/>
    <w:rsid w:val="004407A5"/>
    <w:rsid w:val="00440DBE"/>
    <w:rsid w:val="00442052"/>
    <w:rsid w:val="004467C7"/>
    <w:rsid w:val="00453976"/>
    <w:rsid w:val="00453FC0"/>
    <w:rsid w:val="00455083"/>
    <w:rsid w:val="00464A2D"/>
    <w:rsid w:val="00465178"/>
    <w:rsid w:val="0046541C"/>
    <w:rsid w:val="0046782C"/>
    <w:rsid w:val="0047057A"/>
    <w:rsid w:val="00470A5D"/>
    <w:rsid w:val="00470F60"/>
    <w:rsid w:val="00472B2A"/>
    <w:rsid w:val="00472D9B"/>
    <w:rsid w:val="004731E5"/>
    <w:rsid w:val="0047342F"/>
    <w:rsid w:val="00474D61"/>
    <w:rsid w:val="00474E27"/>
    <w:rsid w:val="00480A0A"/>
    <w:rsid w:val="0048484E"/>
    <w:rsid w:val="00484E9E"/>
    <w:rsid w:val="004853DA"/>
    <w:rsid w:val="004911E3"/>
    <w:rsid w:val="0049449E"/>
    <w:rsid w:val="00496935"/>
    <w:rsid w:val="0049787F"/>
    <w:rsid w:val="00497AD2"/>
    <w:rsid w:val="004A10D4"/>
    <w:rsid w:val="004A1258"/>
    <w:rsid w:val="004A4620"/>
    <w:rsid w:val="004A5571"/>
    <w:rsid w:val="004B04DF"/>
    <w:rsid w:val="004B1D6D"/>
    <w:rsid w:val="004B2A33"/>
    <w:rsid w:val="004B2C9C"/>
    <w:rsid w:val="004B3096"/>
    <w:rsid w:val="004B3D08"/>
    <w:rsid w:val="004B4903"/>
    <w:rsid w:val="004B490D"/>
    <w:rsid w:val="004C113D"/>
    <w:rsid w:val="004C1C0F"/>
    <w:rsid w:val="004C3242"/>
    <w:rsid w:val="004C3D3C"/>
    <w:rsid w:val="004C40A9"/>
    <w:rsid w:val="004C43CB"/>
    <w:rsid w:val="004D0D47"/>
    <w:rsid w:val="004D48F5"/>
    <w:rsid w:val="004D504B"/>
    <w:rsid w:val="004D7408"/>
    <w:rsid w:val="004E03B0"/>
    <w:rsid w:val="004E0D4B"/>
    <w:rsid w:val="004E22DE"/>
    <w:rsid w:val="004E3565"/>
    <w:rsid w:val="004E391A"/>
    <w:rsid w:val="004E6155"/>
    <w:rsid w:val="004F1568"/>
    <w:rsid w:val="004F3895"/>
    <w:rsid w:val="004F5DF1"/>
    <w:rsid w:val="004F6286"/>
    <w:rsid w:val="004F7F48"/>
    <w:rsid w:val="00500268"/>
    <w:rsid w:val="005056BB"/>
    <w:rsid w:val="00511098"/>
    <w:rsid w:val="00511EF1"/>
    <w:rsid w:val="00516D49"/>
    <w:rsid w:val="00517D24"/>
    <w:rsid w:val="00517FAC"/>
    <w:rsid w:val="005219E4"/>
    <w:rsid w:val="00523361"/>
    <w:rsid w:val="0053070A"/>
    <w:rsid w:val="005316E8"/>
    <w:rsid w:val="00533A35"/>
    <w:rsid w:val="00536601"/>
    <w:rsid w:val="005410B7"/>
    <w:rsid w:val="00541C9B"/>
    <w:rsid w:val="00542BFE"/>
    <w:rsid w:val="005479F0"/>
    <w:rsid w:val="00550F97"/>
    <w:rsid w:val="005520E3"/>
    <w:rsid w:val="00554084"/>
    <w:rsid w:val="00556F80"/>
    <w:rsid w:val="005601DC"/>
    <w:rsid w:val="00560528"/>
    <w:rsid w:val="00564596"/>
    <w:rsid w:val="00566238"/>
    <w:rsid w:val="00566301"/>
    <w:rsid w:val="005663A3"/>
    <w:rsid w:val="00567CDB"/>
    <w:rsid w:val="0057249B"/>
    <w:rsid w:val="005738FB"/>
    <w:rsid w:val="00575F3B"/>
    <w:rsid w:val="005764DA"/>
    <w:rsid w:val="0058085C"/>
    <w:rsid w:val="00580E9C"/>
    <w:rsid w:val="00582D7B"/>
    <w:rsid w:val="00584EE8"/>
    <w:rsid w:val="00585FBC"/>
    <w:rsid w:val="005867FF"/>
    <w:rsid w:val="00586A0A"/>
    <w:rsid w:val="00593010"/>
    <w:rsid w:val="005933AD"/>
    <w:rsid w:val="0059710E"/>
    <w:rsid w:val="005978FC"/>
    <w:rsid w:val="005A0169"/>
    <w:rsid w:val="005A3652"/>
    <w:rsid w:val="005A3C8D"/>
    <w:rsid w:val="005A4E79"/>
    <w:rsid w:val="005A569F"/>
    <w:rsid w:val="005A759C"/>
    <w:rsid w:val="005B2F9E"/>
    <w:rsid w:val="005B5619"/>
    <w:rsid w:val="005C3EF0"/>
    <w:rsid w:val="005C4A50"/>
    <w:rsid w:val="005C7E84"/>
    <w:rsid w:val="005D0725"/>
    <w:rsid w:val="005D2F23"/>
    <w:rsid w:val="005D5B2C"/>
    <w:rsid w:val="005D626D"/>
    <w:rsid w:val="005E20B4"/>
    <w:rsid w:val="005E462A"/>
    <w:rsid w:val="005F2250"/>
    <w:rsid w:val="005F275C"/>
    <w:rsid w:val="005F374C"/>
    <w:rsid w:val="005F37CF"/>
    <w:rsid w:val="005F45B3"/>
    <w:rsid w:val="005F4668"/>
    <w:rsid w:val="005F5ED8"/>
    <w:rsid w:val="005F6830"/>
    <w:rsid w:val="00600406"/>
    <w:rsid w:val="00600578"/>
    <w:rsid w:val="00600B48"/>
    <w:rsid w:val="006034BF"/>
    <w:rsid w:val="00604B08"/>
    <w:rsid w:val="006052EE"/>
    <w:rsid w:val="0060616E"/>
    <w:rsid w:val="0061014A"/>
    <w:rsid w:val="00610ED1"/>
    <w:rsid w:val="00610F70"/>
    <w:rsid w:val="006153C2"/>
    <w:rsid w:val="006203BF"/>
    <w:rsid w:val="00622843"/>
    <w:rsid w:val="006252C2"/>
    <w:rsid w:val="00625AE1"/>
    <w:rsid w:val="00625B8E"/>
    <w:rsid w:val="006264A6"/>
    <w:rsid w:val="0062710B"/>
    <w:rsid w:val="00632A60"/>
    <w:rsid w:val="00635BFC"/>
    <w:rsid w:val="00636C20"/>
    <w:rsid w:val="0064073C"/>
    <w:rsid w:val="00643142"/>
    <w:rsid w:val="00646196"/>
    <w:rsid w:val="006504A5"/>
    <w:rsid w:val="0065107B"/>
    <w:rsid w:val="00653D58"/>
    <w:rsid w:val="00655A09"/>
    <w:rsid w:val="00656876"/>
    <w:rsid w:val="006570EB"/>
    <w:rsid w:val="006573F9"/>
    <w:rsid w:val="00660245"/>
    <w:rsid w:val="006603BE"/>
    <w:rsid w:val="00666798"/>
    <w:rsid w:val="006667AC"/>
    <w:rsid w:val="006669E8"/>
    <w:rsid w:val="00666FC3"/>
    <w:rsid w:val="00666FC5"/>
    <w:rsid w:val="006676B3"/>
    <w:rsid w:val="0067194F"/>
    <w:rsid w:val="00673212"/>
    <w:rsid w:val="00680D90"/>
    <w:rsid w:val="00683008"/>
    <w:rsid w:val="00683F45"/>
    <w:rsid w:val="00684218"/>
    <w:rsid w:val="006853DC"/>
    <w:rsid w:val="00686104"/>
    <w:rsid w:val="00687417"/>
    <w:rsid w:val="006906C1"/>
    <w:rsid w:val="0069087C"/>
    <w:rsid w:val="00692963"/>
    <w:rsid w:val="00693E6D"/>
    <w:rsid w:val="00694019"/>
    <w:rsid w:val="0069589B"/>
    <w:rsid w:val="006A41DF"/>
    <w:rsid w:val="006A64B7"/>
    <w:rsid w:val="006B0603"/>
    <w:rsid w:val="006B1B5F"/>
    <w:rsid w:val="006B2FDA"/>
    <w:rsid w:val="006B7DE4"/>
    <w:rsid w:val="006C2E04"/>
    <w:rsid w:val="006C68CC"/>
    <w:rsid w:val="006D1347"/>
    <w:rsid w:val="006D17FF"/>
    <w:rsid w:val="006D3D93"/>
    <w:rsid w:val="006D6938"/>
    <w:rsid w:val="006E14E3"/>
    <w:rsid w:val="006E3314"/>
    <w:rsid w:val="006E4900"/>
    <w:rsid w:val="006E5918"/>
    <w:rsid w:val="006E61D6"/>
    <w:rsid w:val="006F1328"/>
    <w:rsid w:val="006F1A7B"/>
    <w:rsid w:val="006F3A64"/>
    <w:rsid w:val="006F63A2"/>
    <w:rsid w:val="0070183A"/>
    <w:rsid w:val="00703364"/>
    <w:rsid w:val="00703ACA"/>
    <w:rsid w:val="00704D33"/>
    <w:rsid w:val="00705AC3"/>
    <w:rsid w:val="00707122"/>
    <w:rsid w:val="00707CD9"/>
    <w:rsid w:val="0071061D"/>
    <w:rsid w:val="00712537"/>
    <w:rsid w:val="00714B11"/>
    <w:rsid w:val="00714E94"/>
    <w:rsid w:val="0071680B"/>
    <w:rsid w:val="00721370"/>
    <w:rsid w:val="0072377A"/>
    <w:rsid w:val="00724FE9"/>
    <w:rsid w:val="00726531"/>
    <w:rsid w:val="00726D45"/>
    <w:rsid w:val="00726E82"/>
    <w:rsid w:val="00731525"/>
    <w:rsid w:val="00732AC9"/>
    <w:rsid w:val="00732F17"/>
    <w:rsid w:val="007341CD"/>
    <w:rsid w:val="0073459B"/>
    <w:rsid w:val="00735C76"/>
    <w:rsid w:val="00736046"/>
    <w:rsid w:val="0073758B"/>
    <w:rsid w:val="00737A2D"/>
    <w:rsid w:val="0074080C"/>
    <w:rsid w:val="00740B8D"/>
    <w:rsid w:val="007425DA"/>
    <w:rsid w:val="00743350"/>
    <w:rsid w:val="00755E07"/>
    <w:rsid w:val="00764D3F"/>
    <w:rsid w:val="0076651A"/>
    <w:rsid w:val="00767077"/>
    <w:rsid w:val="00770A19"/>
    <w:rsid w:val="00776A6C"/>
    <w:rsid w:val="00776FB1"/>
    <w:rsid w:val="00780225"/>
    <w:rsid w:val="00780E59"/>
    <w:rsid w:val="0078727A"/>
    <w:rsid w:val="00792174"/>
    <w:rsid w:val="00793756"/>
    <w:rsid w:val="00795C69"/>
    <w:rsid w:val="007A3473"/>
    <w:rsid w:val="007A380D"/>
    <w:rsid w:val="007A407F"/>
    <w:rsid w:val="007B19D2"/>
    <w:rsid w:val="007B26B0"/>
    <w:rsid w:val="007B3DFF"/>
    <w:rsid w:val="007B5ECB"/>
    <w:rsid w:val="007B5F60"/>
    <w:rsid w:val="007C2CA1"/>
    <w:rsid w:val="007C3FF7"/>
    <w:rsid w:val="007C4558"/>
    <w:rsid w:val="007C6E6B"/>
    <w:rsid w:val="007C7602"/>
    <w:rsid w:val="007C7D8C"/>
    <w:rsid w:val="007D7733"/>
    <w:rsid w:val="007E1A17"/>
    <w:rsid w:val="007E26A9"/>
    <w:rsid w:val="007E4CA1"/>
    <w:rsid w:val="007E727D"/>
    <w:rsid w:val="007F053D"/>
    <w:rsid w:val="007F1EC4"/>
    <w:rsid w:val="007F3137"/>
    <w:rsid w:val="007F4067"/>
    <w:rsid w:val="007F4C72"/>
    <w:rsid w:val="007F5ACF"/>
    <w:rsid w:val="007F6503"/>
    <w:rsid w:val="007F6626"/>
    <w:rsid w:val="007F73E5"/>
    <w:rsid w:val="00803853"/>
    <w:rsid w:val="0080472A"/>
    <w:rsid w:val="00811222"/>
    <w:rsid w:val="0081304C"/>
    <w:rsid w:val="00824A8B"/>
    <w:rsid w:val="008265A3"/>
    <w:rsid w:val="00826980"/>
    <w:rsid w:val="00831AC0"/>
    <w:rsid w:val="00832E94"/>
    <w:rsid w:val="00834524"/>
    <w:rsid w:val="00834FC0"/>
    <w:rsid w:val="00835B54"/>
    <w:rsid w:val="00840CD4"/>
    <w:rsid w:val="008410F7"/>
    <w:rsid w:val="008414A1"/>
    <w:rsid w:val="00841E4C"/>
    <w:rsid w:val="00844410"/>
    <w:rsid w:val="008511EB"/>
    <w:rsid w:val="00851AFC"/>
    <w:rsid w:val="00853354"/>
    <w:rsid w:val="00857A8D"/>
    <w:rsid w:val="00860144"/>
    <w:rsid w:val="008601D1"/>
    <w:rsid w:val="00860B06"/>
    <w:rsid w:val="008658B3"/>
    <w:rsid w:val="00871DD2"/>
    <w:rsid w:val="00872E99"/>
    <w:rsid w:val="00873F29"/>
    <w:rsid w:val="00875353"/>
    <w:rsid w:val="00875437"/>
    <w:rsid w:val="00876775"/>
    <w:rsid w:val="008778E4"/>
    <w:rsid w:val="00881C3D"/>
    <w:rsid w:val="008821AA"/>
    <w:rsid w:val="008856D3"/>
    <w:rsid w:val="00894997"/>
    <w:rsid w:val="00894B92"/>
    <w:rsid w:val="00895324"/>
    <w:rsid w:val="00895FE2"/>
    <w:rsid w:val="008968B4"/>
    <w:rsid w:val="00896DA2"/>
    <w:rsid w:val="00897746"/>
    <w:rsid w:val="008A09A6"/>
    <w:rsid w:val="008A5851"/>
    <w:rsid w:val="008A6DFD"/>
    <w:rsid w:val="008A711F"/>
    <w:rsid w:val="008A7671"/>
    <w:rsid w:val="008A76C5"/>
    <w:rsid w:val="008B061D"/>
    <w:rsid w:val="008B277D"/>
    <w:rsid w:val="008B5A5F"/>
    <w:rsid w:val="008B6120"/>
    <w:rsid w:val="008B659F"/>
    <w:rsid w:val="008C4339"/>
    <w:rsid w:val="008C548A"/>
    <w:rsid w:val="008C6291"/>
    <w:rsid w:val="008D1067"/>
    <w:rsid w:val="008D4F07"/>
    <w:rsid w:val="008E0F91"/>
    <w:rsid w:val="008E117C"/>
    <w:rsid w:val="008E20C4"/>
    <w:rsid w:val="008E26F5"/>
    <w:rsid w:val="008E2815"/>
    <w:rsid w:val="008E30E9"/>
    <w:rsid w:val="008E397D"/>
    <w:rsid w:val="008E416E"/>
    <w:rsid w:val="008E469B"/>
    <w:rsid w:val="008E7000"/>
    <w:rsid w:val="008E7355"/>
    <w:rsid w:val="008E75A3"/>
    <w:rsid w:val="008F1512"/>
    <w:rsid w:val="008F4189"/>
    <w:rsid w:val="008F5DA7"/>
    <w:rsid w:val="008F6110"/>
    <w:rsid w:val="008F653B"/>
    <w:rsid w:val="008F69E0"/>
    <w:rsid w:val="008F7BF9"/>
    <w:rsid w:val="00902090"/>
    <w:rsid w:val="00904856"/>
    <w:rsid w:val="009049BE"/>
    <w:rsid w:val="009112E2"/>
    <w:rsid w:val="009156EC"/>
    <w:rsid w:val="009177BE"/>
    <w:rsid w:val="00917E5B"/>
    <w:rsid w:val="00924D51"/>
    <w:rsid w:val="00926AD7"/>
    <w:rsid w:val="00926F00"/>
    <w:rsid w:val="00931C7C"/>
    <w:rsid w:val="00934394"/>
    <w:rsid w:val="009349BB"/>
    <w:rsid w:val="00934A1B"/>
    <w:rsid w:val="00943F60"/>
    <w:rsid w:val="0094603E"/>
    <w:rsid w:val="0094675E"/>
    <w:rsid w:val="00951620"/>
    <w:rsid w:val="00952716"/>
    <w:rsid w:val="00953177"/>
    <w:rsid w:val="00954422"/>
    <w:rsid w:val="009605BC"/>
    <w:rsid w:val="009619CB"/>
    <w:rsid w:val="00962342"/>
    <w:rsid w:val="00967990"/>
    <w:rsid w:val="00972E46"/>
    <w:rsid w:val="00982171"/>
    <w:rsid w:val="00982390"/>
    <w:rsid w:val="00982E0B"/>
    <w:rsid w:val="009832D9"/>
    <w:rsid w:val="00983B5E"/>
    <w:rsid w:val="0098489C"/>
    <w:rsid w:val="00986142"/>
    <w:rsid w:val="009874D9"/>
    <w:rsid w:val="00991903"/>
    <w:rsid w:val="00991C6E"/>
    <w:rsid w:val="009935D1"/>
    <w:rsid w:val="0099527F"/>
    <w:rsid w:val="00995FB9"/>
    <w:rsid w:val="00997C82"/>
    <w:rsid w:val="009A1F55"/>
    <w:rsid w:val="009A2E33"/>
    <w:rsid w:val="009A4C5F"/>
    <w:rsid w:val="009A6343"/>
    <w:rsid w:val="009B0B6C"/>
    <w:rsid w:val="009B29D0"/>
    <w:rsid w:val="009B3DE6"/>
    <w:rsid w:val="009B42FD"/>
    <w:rsid w:val="009B477A"/>
    <w:rsid w:val="009B48C0"/>
    <w:rsid w:val="009B582D"/>
    <w:rsid w:val="009B5B1F"/>
    <w:rsid w:val="009B6473"/>
    <w:rsid w:val="009B6CE4"/>
    <w:rsid w:val="009C0023"/>
    <w:rsid w:val="009C182E"/>
    <w:rsid w:val="009C7839"/>
    <w:rsid w:val="009C7F7E"/>
    <w:rsid w:val="009D0C54"/>
    <w:rsid w:val="009D1229"/>
    <w:rsid w:val="009D2563"/>
    <w:rsid w:val="009E5DC8"/>
    <w:rsid w:val="009F0629"/>
    <w:rsid w:val="009F5316"/>
    <w:rsid w:val="009F6911"/>
    <w:rsid w:val="009F69ED"/>
    <w:rsid w:val="009F7BA0"/>
    <w:rsid w:val="00A00682"/>
    <w:rsid w:val="00A0419E"/>
    <w:rsid w:val="00A05173"/>
    <w:rsid w:val="00A05800"/>
    <w:rsid w:val="00A05C14"/>
    <w:rsid w:val="00A069E8"/>
    <w:rsid w:val="00A114B0"/>
    <w:rsid w:val="00A12842"/>
    <w:rsid w:val="00A13437"/>
    <w:rsid w:val="00A2187C"/>
    <w:rsid w:val="00A24D96"/>
    <w:rsid w:val="00A24EC2"/>
    <w:rsid w:val="00A24F1C"/>
    <w:rsid w:val="00A25AFE"/>
    <w:rsid w:val="00A261B2"/>
    <w:rsid w:val="00A30351"/>
    <w:rsid w:val="00A309E2"/>
    <w:rsid w:val="00A335C0"/>
    <w:rsid w:val="00A35DB1"/>
    <w:rsid w:val="00A408C5"/>
    <w:rsid w:val="00A41D11"/>
    <w:rsid w:val="00A42762"/>
    <w:rsid w:val="00A4302D"/>
    <w:rsid w:val="00A43D27"/>
    <w:rsid w:val="00A44D11"/>
    <w:rsid w:val="00A4561D"/>
    <w:rsid w:val="00A45669"/>
    <w:rsid w:val="00A45ACC"/>
    <w:rsid w:val="00A45FDC"/>
    <w:rsid w:val="00A505DE"/>
    <w:rsid w:val="00A52295"/>
    <w:rsid w:val="00A52B44"/>
    <w:rsid w:val="00A53653"/>
    <w:rsid w:val="00A5373F"/>
    <w:rsid w:val="00A55141"/>
    <w:rsid w:val="00A56E9D"/>
    <w:rsid w:val="00A62B8C"/>
    <w:rsid w:val="00A6306F"/>
    <w:rsid w:val="00A6641D"/>
    <w:rsid w:val="00A66BB9"/>
    <w:rsid w:val="00A67759"/>
    <w:rsid w:val="00A701C9"/>
    <w:rsid w:val="00A72A7A"/>
    <w:rsid w:val="00A73D2D"/>
    <w:rsid w:val="00A80CEF"/>
    <w:rsid w:val="00A81066"/>
    <w:rsid w:val="00A810C4"/>
    <w:rsid w:val="00A826DB"/>
    <w:rsid w:val="00A853B3"/>
    <w:rsid w:val="00A8581C"/>
    <w:rsid w:val="00A90042"/>
    <w:rsid w:val="00A9270C"/>
    <w:rsid w:val="00A9347F"/>
    <w:rsid w:val="00A93616"/>
    <w:rsid w:val="00AA0043"/>
    <w:rsid w:val="00AA0522"/>
    <w:rsid w:val="00AA0789"/>
    <w:rsid w:val="00AA2FEB"/>
    <w:rsid w:val="00AB1A18"/>
    <w:rsid w:val="00AB64BA"/>
    <w:rsid w:val="00AC036D"/>
    <w:rsid w:val="00AC19BC"/>
    <w:rsid w:val="00AC1BFD"/>
    <w:rsid w:val="00AC22F1"/>
    <w:rsid w:val="00AC3D4F"/>
    <w:rsid w:val="00AC481E"/>
    <w:rsid w:val="00AC4E81"/>
    <w:rsid w:val="00AC782D"/>
    <w:rsid w:val="00AC7E62"/>
    <w:rsid w:val="00AD11E8"/>
    <w:rsid w:val="00AD2F61"/>
    <w:rsid w:val="00AD33AF"/>
    <w:rsid w:val="00AD34A1"/>
    <w:rsid w:val="00AD4F8F"/>
    <w:rsid w:val="00AD56B1"/>
    <w:rsid w:val="00AD6971"/>
    <w:rsid w:val="00AD6F3C"/>
    <w:rsid w:val="00AD6F96"/>
    <w:rsid w:val="00AE0687"/>
    <w:rsid w:val="00AE189C"/>
    <w:rsid w:val="00AE28B9"/>
    <w:rsid w:val="00AE3A2D"/>
    <w:rsid w:val="00AE6357"/>
    <w:rsid w:val="00AE647B"/>
    <w:rsid w:val="00AE7990"/>
    <w:rsid w:val="00AF0430"/>
    <w:rsid w:val="00AF0F6E"/>
    <w:rsid w:val="00AF317D"/>
    <w:rsid w:val="00AF410E"/>
    <w:rsid w:val="00B04E5C"/>
    <w:rsid w:val="00B06DF2"/>
    <w:rsid w:val="00B1078F"/>
    <w:rsid w:val="00B145AB"/>
    <w:rsid w:val="00B156B1"/>
    <w:rsid w:val="00B204BE"/>
    <w:rsid w:val="00B21D86"/>
    <w:rsid w:val="00B23C98"/>
    <w:rsid w:val="00B35394"/>
    <w:rsid w:val="00B45F5A"/>
    <w:rsid w:val="00B469F8"/>
    <w:rsid w:val="00B50A52"/>
    <w:rsid w:val="00B60556"/>
    <w:rsid w:val="00B63256"/>
    <w:rsid w:val="00B63326"/>
    <w:rsid w:val="00B63D11"/>
    <w:rsid w:val="00B65A52"/>
    <w:rsid w:val="00B65F41"/>
    <w:rsid w:val="00B67380"/>
    <w:rsid w:val="00B70E2F"/>
    <w:rsid w:val="00B710DF"/>
    <w:rsid w:val="00B7227D"/>
    <w:rsid w:val="00B7316C"/>
    <w:rsid w:val="00B742B4"/>
    <w:rsid w:val="00B74354"/>
    <w:rsid w:val="00B755C2"/>
    <w:rsid w:val="00B768E0"/>
    <w:rsid w:val="00B777C4"/>
    <w:rsid w:val="00B82B1D"/>
    <w:rsid w:val="00B82FFE"/>
    <w:rsid w:val="00B839C7"/>
    <w:rsid w:val="00B867A1"/>
    <w:rsid w:val="00B867A2"/>
    <w:rsid w:val="00B8685B"/>
    <w:rsid w:val="00B912CD"/>
    <w:rsid w:val="00B9742E"/>
    <w:rsid w:val="00BA0ABC"/>
    <w:rsid w:val="00BA0F05"/>
    <w:rsid w:val="00BA1066"/>
    <w:rsid w:val="00BA38F2"/>
    <w:rsid w:val="00BA566A"/>
    <w:rsid w:val="00BA63CE"/>
    <w:rsid w:val="00BB0CE1"/>
    <w:rsid w:val="00BB133C"/>
    <w:rsid w:val="00BB17DB"/>
    <w:rsid w:val="00BB2006"/>
    <w:rsid w:val="00BB3C72"/>
    <w:rsid w:val="00BB7255"/>
    <w:rsid w:val="00BB7711"/>
    <w:rsid w:val="00BB77CC"/>
    <w:rsid w:val="00BB7ACB"/>
    <w:rsid w:val="00BC15AC"/>
    <w:rsid w:val="00BC3F8D"/>
    <w:rsid w:val="00BC6199"/>
    <w:rsid w:val="00BD130A"/>
    <w:rsid w:val="00BD187C"/>
    <w:rsid w:val="00BD2FF0"/>
    <w:rsid w:val="00BD43A3"/>
    <w:rsid w:val="00BF19AC"/>
    <w:rsid w:val="00BF1F80"/>
    <w:rsid w:val="00BF4B73"/>
    <w:rsid w:val="00BF4F2D"/>
    <w:rsid w:val="00BF75F9"/>
    <w:rsid w:val="00C028AB"/>
    <w:rsid w:val="00C04ABC"/>
    <w:rsid w:val="00C063A2"/>
    <w:rsid w:val="00C0665C"/>
    <w:rsid w:val="00C11094"/>
    <w:rsid w:val="00C1273C"/>
    <w:rsid w:val="00C15444"/>
    <w:rsid w:val="00C16551"/>
    <w:rsid w:val="00C20C5B"/>
    <w:rsid w:val="00C21644"/>
    <w:rsid w:val="00C22428"/>
    <w:rsid w:val="00C23C0A"/>
    <w:rsid w:val="00C25F0A"/>
    <w:rsid w:val="00C268D5"/>
    <w:rsid w:val="00C26956"/>
    <w:rsid w:val="00C3157D"/>
    <w:rsid w:val="00C33F33"/>
    <w:rsid w:val="00C34504"/>
    <w:rsid w:val="00C36012"/>
    <w:rsid w:val="00C404AD"/>
    <w:rsid w:val="00C42E14"/>
    <w:rsid w:val="00C4755E"/>
    <w:rsid w:val="00C5334E"/>
    <w:rsid w:val="00C56685"/>
    <w:rsid w:val="00C57E61"/>
    <w:rsid w:val="00C602C7"/>
    <w:rsid w:val="00C61AF9"/>
    <w:rsid w:val="00C66E4C"/>
    <w:rsid w:val="00C749BB"/>
    <w:rsid w:val="00C75AB9"/>
    <w:rsid w:val="00C7623F"/>
    <w:rsid w:val="00C80653"/>
    <w:rsid w:val="00C81737"/>
    <w:rsid w:val="00C821D8"/>
    <w:rsid w:val="00C825BC"/>
    <w:rsid w:val="00C8531A"/>
    <w:rsid w:val="00C86BFD"/>
    <w:rsid w:val="00CA08B9"/>
    <w:rsid w:val="00CA19CF"/>
    <w:rsid w:val="00CA1C13"/>
    <w:rsid w:val="00CA1FEA"/>
    <w:rsid w:val="00CA2423"/>
    <w:rsid w:val="00CA2487"/>
    <w:rsid w:val="00CA30D2"/>
    <w:rsid w:val="00CA48BF"/>
    <w:rsid w:val="00CA4952"/>
    <w:rsid w:val="00CB0A86"/>
    <w:rsid w:val="00CB2111"/>
    <w:rsid w:val="00CB2F79"/>
    <w:rsid w:val="00CB4BE9"/>
    <w:rsid w:val="00CB7517"/>
    <w:rsid w:val="00CC351A"/>
    <w:rsid w:val="00CC3CF7"/>
    <w:rsid w:val="00CC3D99"/>
    <w:rsid w:val="00CC67F1"/>
    <w:rsid w:val="00CD02F5"/>
    <w:rsid w:val="00CD1B38"/>
    <w:rsid w:val="00CD22A0"/>
    <w:rsid w:val="00CD43AE"/>
    <w:rsid w:val="00CD6FC9"/>
    <w:rsid w:val="00CD75AC"/>
    <w:rsid w:val="00CD7899"/>
    <w:rsid w:val="00CE5938"/>
    <w:rsid w:val="00CE5B49"/>
    <w:rsid w:val="00CE6D69"/>
    <w:rsid w:val="00CE7A3D"/>
    <w:rsid w:val="00CF08B0"/>
    <w:rsid w:val="00CF45D2"/>
    <w:rsid w:val="00CF4B3F"/>
    <w:rsid w:val="00D01C93"/>
    <w:rsid w:val="00D052CA"/>
    <w:rsid w:val="00D10112"/>
    <w:rsid w:val="00D10F20"/>
    <w:rsid w:val="00D12F0F"/>
    <w:rsid w:val="00D13205"/>
    <w:rsid w:val="00D15984"/>
    <w:rsid w:val="00D164E6"/>
    <w:rsid w:val="00D165C4"/>
    <w:rsid w:val="00D172BA"/>
    <w:rsid w:val="00D231A3"/>
    <w:rsid w:val="00D27D8B"/>
    <w:rsid w:val="00D27FE9"/>
    <w:rsid w:val="00D303EA"/>
    <w:rsid w:val="00D3154A"/>
    <w:rsid w:val="00D32BFB"/>
    <w:rsid w:val="00D32F85"/>
    <w:rsid w:val="00D344AB"/>
    <w:rsid w:val="00D37A6B"/>
    <w:rsid w:val="00D479A6"/>
    <w:rsid w:val="00D50574"/>
    <w:rsid w:val="00D5097A"/>
    <w:rsid w:val="00D52233"/>
    <w:rsid w:val="00D538BA"/>
    <w:rsid w:val="00D56905"/>
    <w:rsid w:val="00D57C61"/>
    <w:rsid w:val="00D60093"/>
    <w:rsid w:val="00D606DF"/>
    <w:rsid w:val="00D60B41"/>
    <w:rsid w:val="00D61A33"/>
    <w:rsid w:val="00D62170"/>
    <w:rsid w:val="00D63DBB"/>
    <w:rsid w:val="00D665F4"/>
    <w:rsid w:val="00D6723C"/>
    <w:rsid w:val="00D71A76"/>
    <w:rsid w:val="00D73353"/>
    <w:rsid w:val="00D75E45"/>
    <w:rsid w:val="00D765FF"/>
    <w:rsid w:val="00D76861"/>
    <w:rsid w:val="00D76A5B"/>
    <w:rsid w:val="00D76ED5"/>
    <w:rsid w:val="00D80642"/>
    <w:rsid w:val="00D820E8"/>
    <w:rsid w:val="00D84103"/>
    <w:rsid w:val="00D85586"/>
    <w:rsid w:val="00D868E1"/>
    <w:rsid w:val="00D87AE5"/>
    <w:rsid w:val="00D9229C"/>
    <w:rsid w:val="00D939A9"/>
    <w:rsid w:val="00D93E2E"/>
    <w:rsid w:val="00D96F40"/>
    <w:rsid w:val="00DA4FD8"/>
    <w:rsid w:val="00DA6B5C"/>
    <w:rsid w:val="00DB016B"/>
    <w:rsid w:val="00DB2BAC"/>
    <w:rsid w:val="00DB447E"/>
    <w:rsid w:val="00DB5314"/>
    <w:rsid w:val="00DB5C88"/>
    <w:rsid w:val="00DB6882"/>
    <w:rsid w:val="00DB6EBC"/>
    <w:rsid w:val="00DB7B50"/>
    <w:rsid w:val="00DC1861"/>
    <w:rsid w:val="00DC350F"/>
    <w:rsid w:val="00DC35D9"/>
    <w:rsid w:val="00DC36C6"/>
    <w:rsid w:val="00DC6B1B"/>
    <w:rsid w:val="00DC700C"/>
    <w:rsid w:val="00DC7281"/>
    <w:rsid w:val="00DD0709"/>
    <w:rsid w:val="00DD6BF0"/>
    <w:rsid w:val="00DE0DD0"/>
    <w:rsid w:val="00DE30EB"/>
    <w:rsid w:val="00DE5CCC"/>
    <w:rsid w:val="00DE7371"/>
    <w:rsid w:val="00DF1EE8"/>
    <w:rsid w:val="00DF44CA"/>
    <w:rsid w:val="00DF6672"/>
    <w:rsid w:val="00DF7638"/>
    <w:rsid w:val="00DF7E8B"/>
    <w:rsid w:val="00E02C4B"/>
    <w:rsid w:val="00E061B6"/>
    <w:rsid w:val="00E12CD3"/>
    <w:rsid w:val="00E131C5"/>
    <w:rsid w:val="00E15629"/>
    <w:rsid w:val="00E217B5"/>
    <w:rsid w:val="00E21CC2"/>
    <w:rsid w:val="00E2520C"/>
    <w:rsid w:val="00E253D5"/>
    <w:rsid w:val="00E25581"/>
    <w:rsid w:val="00E264E6"/>
    <w:rsid w:val="00E318D9"/>
    <w:rsid w:val="00E350EB"/>
    <w:rsid w:val="00E35C35"/>
    <w:rsid w:val="00E36523"/>
    <w:rsid w:val="00E367AA"/>
    <w:rsid w:val="00E41FCD"/>
    <w:rsid w:val="00E42AE5"/>
    <w:rsid w:val="00E432E4"/>
    <w:rsid w:val="00E44270"/>
    <w:rsid w:val="00E442CE"/>
    <w:rsid w:val="00E45E36"/>
    <w:rsid w:val="00E53D00"/>
    <w:rsid w:val="00E5414F"/>
    <w:rsid w:val="00E61A64"/>
    <w:rsid w:val="00E6265A"/>
    <w:rsid w:val="00E644FF"/>
    <w:rsid w:val="00E65590"/>
    <w:rsid w:val="00E65D8E"/>
    <w:rsid w:val="00E6608E"/>
    <w:rsid w:val="00E708C8"/>
    <w:rsid w:val="00E71BEB"/>
    <w:rsid w:val="00E721A5"/>
    <w:rsid w:val="00E75687"/>
    <w:rsid w:val="00E7591B"/>
    <w:rsid w:val="00E80DBB"/>
    <w:rsid w:val="00E83F90"/>
    <w:rsid w:val="00E841A5"/>
    <w:rsid w:val="00E86F0A"/>
    <w:rsid w:val="00E87D55"/>
    <w:rsid w:val="00E908BB"/>
    <w:rsid w:val="00E90C4D"/>
    <w:rsid w:val="00E917B4"/>
    <w:rsid w:val="00E92910"/>
    <w:rsid w:val="00E9502A"/>
    <w:rsid w:val="00E95A92"/>
    <w:rsid w:val="00EA1548"/>
    <w:rsid w:val="00EA167E"/>
    <w:rsid w:val="00EA6C6E"/>
    <w:rsid w:val="00EA71BB"/>
    <w:rsid w:val="00EB196E"/>
    <w:rsid w:val="00EB2DCC"/>
    <w:rsid w:val="00EB3B3E"/>
    <w:rsid w:val="00EB4E79"/>
    <w:rsid w:val="00EB5363"/>
    <w:rsid w:val="00EC0772"/>
    <w:rsid w:val="00EC4065"/>
    <w:rsid w:val="00EC65A2"/>
    <w:rsid w:val="00EC7428"/>
    <w:rsid w:val="00EC7E84"/>
    <w:rsid w:val="00ED0423"/>
    <w:rsid w:val="00ED14FD"/>
    <w:rsid w:val="00ED16E7"/>
    <w:rsid w:val="00ED2BF7"/>
    <w:rsid w:val="00ED2D2F"/>
    <w:rsid w:val="00ED3DD8"/>
    <w:rsid w:val="00ED562A"/>
    <w:rsid w:val="00ED5DAE"/>
    <w:rsid w:val="00ED7849"/>
    <w:rsid w:val="00ED7CB1"/>
    <w:rsid w:val="00EE385D"/>
    <w:rsid w:val="00EE42FF"/>
    <w:rsid w:val="00EE4F7D"/>
    <w:rsid w:val="00EE5810"/>
    <w:rsid w:val="00EF1834"/>
    <w:rsid w:val="00EF2F20"/>
    <w:rsid w:val="00EF4E7B"/>
    <w:rsid w:val="00EF697E"/>
    <w:rsid w:val="00F02049"/>
    <w:rsid w:val="00F02101"/>
    <w:rsid w:val="00F02BA6"/>
    <w:rsid w:val="00F0300A"/>
    <w:rsid w:val="00F031AF"/>
    <w:rsid w:val="00F104E2"/>
    <w:rsid w:val="00F115C9"/>
    <w:rsid w:val="00F143CC"/>
    <w:rsid w:val="00F14A7D"/>
    <w:rsid w:val="00F166CF"/>
    <w:rsid w:val="00F2056F"/>
    <w:rsid w:val="00F20B29"/>
    <w:rsid w:val="00F22ED1"/>
    <w:rsid w:val="00F3285F"/>
    <w:rsid w:val="00F4040D"/>
    <w:rsid w:val="00F411B6"/>
    <w:rsid w:val="00F42507"/>
    <w:rsid w:val="00F45401"/>
    <w:rsid w:val="00F45CC2"/>
    <w:rsid w:val="00F50340"/>
    <w:rsid w:val="00F54721"/>
    <w:rsid w:val="00F56519"/>
    <w:rsid w:val="00F5718E"/>
    <w:rsid w:val="00F62A45"/>
    <w:rsid w:val="00F62AA8"/>
    <w:rsid w:val="00F64050"/>
    <w:rsid w:val="00F74EA0"/>
    <w:rsid w:val="00F75C1A"/>
    <w:rsid w:val="00F84DF2"/>
    <w:rsid w:val="00F878BC"/>
    <w:rsid w:val="00F901AD"/>
    <w:rsid w:val="00F91DD1"/>
    <w:rsid w:val="00F93A8F"/>
    <w:rsid w:val="00FA30B1"/>
    <w:rsid w:val="00FA63C9"/>
    <w:rsid w:val="00FB62E2"/>
    <w:rsid w:val="00FB7C31"/>
    <w:rsid w:val="00FC3F41"/>
    <w:rsid w:val="00FC5F90"/>
    <w:rsid w:val="00FC7285"/>
    <w:rsid w:val="00FC7A3D"/>
    <w:rsid w:val="00FD2786"/>
    <w:rsid w:val="00FD2D96"/>
    <w:rsid w:val="00FD775B"/>
    <w:rsid w:val="00FD7BBA"/>
    <w:rsid w:val="00FE0CF2"/>
    <w:rsid w:val="00FE16FD"/>
    <w:rsid w:val="00FE54A9"/>
    <w:rsid w:val="00FE6D83"/>
    <w:rsid w:val="00FE7FE9"/>
    <w:rsid w:val="00FF0C79"/>
    <w:rsid w:val="00FF252E"/>
    <w:rsid w:val="00FF2697"/>
    <w:rsid w:val="00FF2EDC"/>
    <w:rsid w:val="00FF7715"/>
    <w:rsid w:val="00FF79D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8A02"/>
  <w15:docId w15:val="{6C5B8021-D40D-4B5F-94AA-D1548EDD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1834"/>
    <w:pPr>
      <w:spacing w:after="0" w:line="240" w:lineRule="auto"/>
    </w:pPr>
    <w:rPr>
      <w:rFonts w:ascii="Verdana" w:hAnsi="Verdana"/>
      <w:kern w:val="0"/>
      <w:sz w:val="20"/>
      <w:szCs w:val="20"/>
      <w:lang w:val="en-US"/>
      <w14:ligatures w14:val="none"/>
    </w:rPr>
  </w:style>
  <w:style w:type="character" w:customStyle="1" w:styleId="FootnoteTextChar">
    <w:name w:val="Footnote Text Char"/>
    <w:basedOn w:val="DefaultParagraphFont"/>
    <w:link w:val="FootnoteText"/>
    <w:uiPriority w:val="99"/>
    <w:semiHidden/>
    <w:rsid w:val="00EF1834"/>
    <w:rPr>
      <w:rFonts w:ascii="Verdana" w:hAnsi="Verdana"/>
      <w:kern w:val="0"/>
      <w:sz w:val="20"/>
      <w:szCs w:val="20"/>
      <w:lang w:val="en-US"/>
      <w14:ligatures w14:val="none"/>
    </w:rPr>
  </w:style>
  <w:style w:type="character" w:styleId="FootnoteReference">
    <w:name w:val="footnote reference"/>
    <w:basedOn w:val="DefaultParagraphFont"/>
    <w:uiPriority w:val="99"/>
    <w:unhideWhenUsed/>
    <w:rsid w:val="00EF1834"/>
    <w:rPr>
      <w:vertAlign w:val="superscript"/>
    </w:rPr>
  </w:style>
  <w:style w:type="character" w:styleId="Hyperlink">
    <w:name w:val="Hyperlink"/>
    <w:basedOn w:val="DefaultParagraphFont"/>
    <w:uiPriority w:val="99"/>
    <w:unhideWhenUsed/>
    <w:rsid w:val="00EF1834"/>
    <w:rPr>
      <w:color w:val="0000FF"/>
      <w:u w:val="single"/>
    </w:rPr>
  </w:style>
  <w:style w:type="paragraph" w:styleId="ListParagraph">
    <w:name w:val="List Paragraph"/>
    <w:aliases w:val="Colorful List - Accent 1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12537"/>
    <w:pPr>
      <w:spacing w:after="0" w:line="240" w:lineRule="auto"/>
      <w:ind w:left="720"/>
    </w:pPr>
    <w:rPr>
      <w:rFonts w:ascii="Calibri" w:hAnsi="Calibri" w:cs="Calibri"/>
      <w:kern w:val="0"/>
      <w14:ligatures w14:val="none"/>
    </w:rPr>
  </w:style>
  <w:style w:type="paragraph" w:styleId="Header">
    <w:name w:val="header"/>
    <w:basedOn w:val="Normal"/>
    <w:link w:val="HeaderChar"/>
    <w:uiPriority w:val="99"/>
    <w:unhideWhenUsed/>
    <w:rsid w:val="00C3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012"/>
  </w:style>
  <w:style w:type="paragraph" w:styleId="Footer">
    <w:name w:val="footer"/>
    <w:basedOn w:val="Normal"/>
    <w:link w:val="FooterChar"/>
    <w:uiPriority w:val="99"/>
    <w:unhideWhenUsed/>
    <w:rsid w:val="00C3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012"/>
  </w:style>
  <w:style w:type="character" w:customStyle="1" w:styleId="UnresolvedMention1">
    <w:name w:val="Unresolved Mention1"/>
    <w:basedOn w:val="DefaultParagraphFont"/>
    <w:uiPriority w:val="99"/>
    <w:semiHidden/>
    <w:unhideWhenUsed/>
    <w:rsid w:val="00EB2DCC"/>
    <w:rPr>
      <w:color w:val="605E5C"/>
      <w:shd w:val="clear" w:color="auto" w:fill="E1DFDD"/>
    </w:rPr>
  </w:style>
  <w:style w:type="character" w:styleId="CommentReference">
    <w:name w:val="annotation reference"/>
    <w:basedOn w:val="DefaultParagraphFont"/>
    <w:uiPriority w:val="99"/>
    <w:semiHidden/>
    <w:unhideWhenUsed/>
    <w:rsid w:val="00050254"/>
    <w:rPr>
      <w:sz w:val="16"/>
      <w:szCs w:val="16"/>
    </w:rPr>
  </w:style>
  <w:style w:type="paragraph" w:styleId="CommentText">
    <w:name w:val="annotation text"/>
    <w:basedOn w:val="Normal"/>
    <w:link w:val="CommentTextChar"/>
    <w:uiPriority w:val="99"/>
    <w:unhideWhenUsed/>
    <w:rsid w:val="00050254"/>
    <w:pPr>
      <w:spacing w:line="240" w:lineRule="auto"/>
    </w:pPr>
    <w:rPr>
      <w:sz w:val="20"/>
      <w:szCs w:val="20"/>
    </w:rPr>
  </w:style>
  <w:style w:type="character" w:customStyle="1" w:styleId="CommentTextChar">
    <w:name w:val="Comment Text Char"/>
    <w:basedOn w:val="DefaultParagraphFont"/>
    <w:link w:val="CommentText"/>
    <w:uiPriority w:val="99"/>
    <w:rsid w:val="00050254"/>
    <w:rPr>
      <w:sz w:val="20"/>
      <w:szCs w:val="20"/>
    </w:rPr>
  </w:style>
  <w:style w:type="paragraph" w:styleId="CommentSubject">
    <w:name w:val="annotation subject"/>
    <w:basedOn w:val="CommentText"/>
    <w:next w:val="CommentText"/>
    <w:link w:val="CommentSubjectChar"/>
    <w:uiPriority w:val="99"/>
    <w:semiHidden/>
    <w:unhideWhenUsed/>
    <w:rsid w:val="00050254"/>
    <w:rPr>
      <w:b/>
      <w:bCs/>
    </w:rPr>
  </w:style>
  <w:style w:type="character" w:customStyle="1" w:styleId="CommentSubjectChar">
    <w:name w:val="Comment Subject Char"/>
    <w:basedOn w:val="CommentTextChar"/>
    <w:link w:val="CommentSubject"/>
    <w:uiPriority w:val="99"/>
    <w:semiHidden/>
    <w:rsid w:val="00050254"/>
    <w:rPr>
      <w:b/>
      <w:bCs/>
      <w:sz w:val="20"/>
      <w:szCs w:val="20"/>
    </w:rPr>
  </w:style>
  <w:style w:type="character" w:styleId="FollowedHyperlink">
    <w:name w:val="FollowedHyperlink"/>
    <w:basedOn w:val="DefaultParagraphFont"/>
    <w:uiPriority w:val="99"/>
    <w:semiHidden/>
    <w:unhideWhenUsed/>
    <w:rsid w:val="00C15444"/>
    <w:rPr>
      <w:color w:val="954F72" w:themeColor="followedHyperlink"/>
      <w:u w:val="single"/>
    </w:rPr>
  </w:style>
  <w:style w:type="paragraph" w:styleId="Revision">
    <w:name w:val="Revision"/>
    <w:hidden/>
    <w:uiPriority w:val="99"/>
    <w:semiHidden/>
    <w:rsid w:val="00C15444"/>
    <w:pPr>
      <w:spacing w:after="0" w:line="240" w:lineRule="auto"/>
    </w:pPr>
  </w:style>
  <w:style w:type="character" w:customStyle="1" w:styleId="ListParagraphChar">
    <w:name w:val="List Paragraph Char"/>
    <w:aliases w:val="Colorful List - Accent 11 Char,Dot pt Char,F5 List Paragraph Char,List Paragraph1 Char,No Spacing1 Char,List Paragraph Char Char Char Char,Indicator Text Char,Numbered Para 1 Char,Bullet 1 Char,Bullet Points Char,MAIN CONTENT Char"/>
    <w:basedOn w:val="DefaultParagraphFont"/>
    <w:link w:val="ListParagraph"/>
    <w:uiPriority w:val="34"/>
    <w:qFormat/>
    <w:locked/>
    <w:rsid w:val="001118DC"/>
    <w:rPr>
      <w:rFonts w:ascii="Calibri" w:hAnsi="Calibri" w:cs="Calibri"/>
      <w:kern w:val="0"/>
      <w14:ligatures w14:val="none"/>
    </w:rPr>
  </w:style>
  <w:style w:type="paragraph" w:styleId="NoSpacing">
    <w:name w:val="No Spacing"/>
    <w:uiPriority w:val="1"/>
    <w:qFormat/>
    <w:rsid w:val="00496935"/>
    <w:pPr>
      <w:spacing w:after="0" w:line="240" w:lineRule="auto"/>
    </w:pPr>
  </w:style>
  <w:style w:type="character" w:customStyle="1" w:styleId="cf01">
    <w:name w:val="cf01"/>
    <w:basedOn w:val="DefaultParagraphFont"/>
    <w:rsid w:val="00ED2BF7"/>
    <w:rPr>
      <w:rFonts w:ascii="Segoe UI" w:hAnsi="Segoe UI" w:cs="Segoe UI" w:hint="default"/>
      <w:sz w:val="18"/>
      <w:szCs w:val="18"/>
    </w:rPr>
  </w:style>
  <w:style w:type="paragraph" w:customStyle="1" w:styleId="pf0">
    <w:name w:val="pf0"/>
    <w:basedOn w:val="Normal"/>
    <w:rsid w:val="00ED2BF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m-listitem">
    <w:name w:val="m-list__item"/>
    <w:basedOn w:val="Normal"/>
    <w:rsid w:val="005F225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m-listlabel">
    <w:name w:val="m-list__label"/>
    <w:basedOn w:val="DefaultParagraphFont"/>
    <w:rsid w:val="005F2250"/>
  </w:style>
  <w:style w:type="paragraph" w:customStyle="1" w:styleId="default">
    <w:name w:val="default"/>
    <w:basedOn w:val="Normal"/>
    <w:rsid w:val="00410DB4"/>
    <w:pPr>
      <w:spacing w:before="100" w:beforeAutospacing="1" w:after="100" w:afterAutospacing="1" w:line="240" w:lineRule="auto"/>
    </w:pPr>
    <w:rPr>
      <w:rFonts w:ascii="Calibri" w:hAnsi="Calibri" w:cs="Calibri"/>
      <w:kern w:val="0"/>
      <w:lang w:eastAsia="nl-NL"/>
      <w14:ligatures w14:val="none"/>
    </w:rPr>
  </w:style>
  <w:style w:type="paragraph" w:customStyle="1" w:styleId="Pointabc">
    <w:name w:val="Point abc"/>
    <w:basedOn w:val="Normal"/>
    <w:rsid w:val="009049BE"/>
    <w:pPr>
      <w:numPr>
        <w:ilvl w:val="1"/>
        <w:numId w:val="6"/>
      </w:numPr>
      <w:spacing w:before="120" w:after="120" w:line="360" w:lineRule="auto"/>
    </w:pPr>
    <w:rPr>
      <w:rFonts w:ascii="Times New Roman" w:hAnsi="Times New Roman" w:cs="Times New Roman"/>
      <w:kern w:val="0"/>
      <w:sz w:val="24"/>
      <w:lang w:val="en-GB"/>
      <w14:ligatures w14:val="none"/>
    </w:rPr>
  </w:style>
  <w:style w:type="paragraph" w:customStyle="1" w:styleId="Pointabc1">
    <w:name w:val="Point abc (1)"/>
    <w:basedOn w:val="Normal"/>
    <w:rsid w:val="009049BE"/>
    <w:pPr>
      <w:numPr>
        <w:ilvl w:val="3"/>
        <w:numId w:val="6"/>
      </w:numPr>
      <w:spacing w:before="120" w:after="120" w:line="360" w:lineRule="auto"/>
    </w:pPr>
    <w:rPr>
      <w:rFonts w:ascii="Times New Roman" w:hAnsi="Times New Roman" w:cs="Times New Roman"/>
      <w:kern w:val="0"/>
      <w:sz w:val="24"/>
      <w:lang w:val="en-GB"/>
      <w14:ligatures w14:val="none"/>
    </w:rPr>
  </w:style>
  <w:style w:type="paragraph" w:customStyle="1" w:styleId="Pointabc2">
    <w:name w:val="Point abc (2)"/>
    <w:basedOn w:val="Normal"/>
    <w:rsid w:val="009049BE"/>
    <w:pPr>
      <w:numPr>
        <w:ilvl w:val="5"/>
        <w:numId w:val="6"/>
      </w:numPr>
      <w:spacing w:before="120" w:after="120" w:line="360" w:lineRule="auto"/>
    </w:pPr>
    <w:rPr>
      <w:rFonts w:ascii="Times New Roman" w:hAnsi="Times New Roman" w:cs="Times New Roman"/>
      <w:kern w:val="0"/>
      <w:sz w:val="24"/>
      <w:lang w:val="en-GB"/>
      <w14:ligatures w14:val="none"/>
    </w:rPr>
  </w:style>
  <w:style w:type="paragraph" w:customStyle="1" w:styleId="Pointabc3">
    <w:name w:val="Point abc (3)"/>
    <w:basedOn w:val="Normal"/>
    <w:rsid w:val="009049BE"/>
    <w:pPr>
      <w:numPr>
        <w:ilvl w:val="7"/>
        <w:numId w:val="6"/>
      </w:numPr>
      <w:spacing w:before="120" w:after="120" w:line="360" w:lineRule="auto"/>
    </w:pPr>
    <w:rPr>
      <w:rFonts w:ascii="Times New Roman" w:hAnsi="Times New Roman" w:cs="Times New Roman"/>
      <w:kern w:val="0"/>
      <w:sz w:val="24"/>
      <w:lang w:val="en-GB"/>
      <w14:ligatures w14:val="none"/>
    </w:rPr>
  </w:style>
  <w:style w:type="paragraph" w:customStyle="1" w:styleId="Pointabc4">
    <w:name w:val="Point abc (4)"/>
    <w:basedOn w:val="Normal"/>
    <w:rsid w:val="009049BE"/>
    <w:pPr>
      <w:numPr>
        <w:ilvl w:val="8"/>
        <w:numId w:val="6"/>
      </w:numPr>
      <w:spacing w:before="120" w:after="120" w:line="360" w:lineRule="auto"/>
    </w:pPr>
    <w:rPr>
      <w:rFonts w:ascii="Times New Roman" w:hAnsi="Times New Roman" w:cs="Times New Roman"/>
      <w:kern w:val="0"/>
      <w:sz w:val="24"/>
      <w:lang w:val="en-GB"/>
      <w14:ligatures w14:val="none"/>
    </w:rPr>
  </w:style>
  <w:style w:type="paragraph" w:customStyle="1" w:styleId="Point123">
    <w:name w:val="Point 123"/>
    <w:basedOn w:val="Normal"/>
    <w:rsid w:val="009049BE"/>
    <w:pPr>
      <w:numPr>
        <w:numId w:val="6"/>
      </w:numPr>
      <w:spacing w:before="120" w:after="120" w:line="360" w:lineRule="auto"/>
    </w:pPr>
    <w:rPr>
      <w:rFonts w:ascii="Times New Roman" w:hAnsi="Times New Roman" w:cs="Times New Roman"/>
      <w:kern w:val="0"/>
      <w:sz w:val="24"/>
      <w:lang w:val="en-GB"/>
      <w14:ligatures w14:val="none"/>
    </w:rPr>
  </w:style>
  <w:style w:type="paragraph" w:customStyle="1" w:styleId="Point1231">
    <w:name w:val="Point 123 (1)"/>
    <w:basedOn w:val="Normal"/>
    <w:rsid w:val="009049BE"/>
    <w:pPr>
      <w:numPr>
        <w:ilvl w:val="2"/>
        <w:numId w:val="6"/>
      </w:numPr>
      <w:spacing w:before="120" w:after="120" w:line="360" w:lineRule="auto"/>
    </w:pPr>
    <w:rPr>
      <w:rFonts w:ascii="Times New Roman" w:hAnsi="Times New Roman" w:cs="Times New Roman"/>
      <w:kern w:val="0"/>
      <w:sz w:val="24"/>
      <w:lang w:val="en-GB"/>
      <w14:ligatures w14:val="none"/>
    </w:rPr>
  </w:style>
  <w:style w:type="paragraph" w:customStyle="1" w:styleId="Point1232">
    <w:name w:val="Point 123 (2)"/>
    <w:basedOn w:val="Normal"/>
    <w:rsid w:val="009049BE"/>
    <w:pPr>
      <w:numPr>
        <w:ilvl w:val="4"/>
        <w:numId w:val="6"/>
      </w:numPr>
      <w:spacing w:before="120" w:after="120" w:line="360" w:lineRule="auto"/>
    </w:pPr>
    <w:rPr>
      <w:rFonts w:ascii="Times New Roman" w:hAnsi="Times New Roman" w:cs="Times New Roman"/>
      <w:kern w:val="0"/>
      <w:sz w:val="24"/>
      <w:lang w:val="en-GB"/>
      <w14:ligatures w14:val="none"/>
    </w:rPr>
  </w:style>
  <w:style w:type="paragraph" w:customStyle="1" w:styleId="Point1233">
    <w:name w:val="Point 123 (3)"/>
    <w:basedOn w:val="Normal"/>
    <w:rsid w:val="009049BE"/>
    <w:pPr>
      <w:numPr>
        <w:ilvl w:val="6"/>
        <w:numId w:val="6"/>
      </w:numPr>
      <w:spacing w:before="120" w:after="120" w:line="360" w:lineRule="auto"/>
    </w:pPr>
    <w:rPr>
      <w:rFonts w:ascii="Times New Roman" w:hAnsi="Times New Roman" w:cs="Times New Roman"/>
      <w:kern w:val="0"/>
      <w:sz w:val="24"/>
      <w:lang w:val="en-GB"/>
      <w14:ligatures w14:val="none"/>
    </w:rPr>
  </w:style>
  <w:style w:type="paragraph" w:styleId="BalloonText">
    <w:name w:val="Balloon Text"/>
    <w:basedOn w:val="Normal"/>
    <w:link w:val="BalloonTextChar"/>
    <w:uiPriority w:val="99"/>
    <w:semiHidden/>
    <w:unhideWhenUsed/>
    <w:rsid w:val="00152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4054">
      <w:bodyDiv w:val="1"/>
      <w:marLeft w:val="0"/>
      <w:marRight w:val="0"/>
      <w:marTop w:val="0"/>
      <w:marBottom w:val="0"/>
      <w:divBdr>
        <w:top w:val="none" w:sz="0" w:space="0" w:color="auto"/>
        <w:left w:val="none" w:sz="0" w:space="0" w:color="auto"/>
        <w:bottom w:val="none" w:sz="0" w:space="0" w:color="auto"/>
        <w:right w:val="none" w:sz="0" w:space="0" w:color="auto"/>
      </w:divBdr>
    </w:div>
    <w:div w:id="156968251">
      <w:bodyDiv w:val="1"/>
      <w:marLeft w:val="0"/>
      <w:marRight w:val="0"/>
      <w:marTop w:val="0"/>
      <w:marBottom w:val="0"/>
      <w:divBdr>
        <w:top w:val="none" w:sz="0" w:space="0" w:color="auto"/>
        <w:left w:val="none" w:sz="0" w:space="0" w:color="auto"/>
        <w:bottom w:val="none" w:sz="0" w:space="0" w:color="auto"/>
        <w:right w:val="none" w:sz="0" w:space="0" w:color="auto"/>
      </w:divBdr>
    </w:div>
    <w:div w:id="178274281">
      <w:bodyDiv w:val="1"/>
      <w:marLeft w:val="0"/>
      <w:marRight w:val="0"/>
      <w:marTop w:val="0"/>
      <w:marBottom w:val="0"/>
      <w:divBdr>
        <w:top w:val="none" w:sz="0" w:space="0" w:color="auto"/>
        <w:left w:val="none" w:sz="0" w:space="0" w:color="auto"/>
        <w:bottom w:val="none" w:sz="0" w:space="0" w:color="auto"/>
        <w:right w:val="none" w:sz="0" w:space="0" w:color="auto"/>
      </w:divBdr>
    </w:div>
    <w:div w:id="193084724">
      <w:bodyDiv w:val="1"/>
      <w:marLeft w:val="0"/>
      <w:marRight w:val="0"/>
      <w:marTop w:val="0"/>
      <w:marBottom w:val="0"/>
      <w:divBdr>
        <w:top w:val="none" w:sz="0" w:space="0" w:color="auto"/>
        <w:left w:val="none" w:sz="0" w:space="0" w:color="auto"/>
        <w:bottom w:val="none" w:sz="0" w:space="0" w:color="auto"/>
        <w:right w:val="none" w:sz="0" w:space="0" w:color="auto"/>
      </w:divBdr>
    </w:div>
    <w:div w:id="213126738">
      <w:bodyDiv w:val="1"/>
      <w:marLeft w:val="0"/>
      <w:marRight w:val="0"/>
      <w:marTop w:val="0"/>
      <w:marBottom w:val="0"/>
      <w:divBdr>
        <w:top w:val="none" w:sz="0" w:space="0" w:color="auto"/>
        <w:left w:val="none" w:sz="0" w:space="0" w:color="auto"/>
        <w:bottom w:val="none" w:sz="0" w:space="0" w:color="auto"/>
        <w:right w:val="none" w:sz="0" w:space="0" w:color="auto"/>
      </w:divBdr>
    </w:div>
    <w:div w:id="248855259">
      <w:bodyDiv w:val="1"/>
      <w:marLeft w:val="0"/>
      <w:marRight w:val="0"/>
      <w:marTop w:val="0"/>
      <w:marBottom w:val="0"/>
      <w:divBdr>
        <w:top w:val="none" w:sz="0" w:space="0" w:color="auto"/>
        <w:left w:val="none" w:sz="0" w:space="0" w:color="auto"/>
        <w:bottom w:val="none" w:sz="0" w:space="0" w:color="auto"/>
        <w:right w:val="none" w:sz="0" w:space="0" w:color="auto"/>
      </w:divBdr>
    </w:div>
    <w:div w:id="365495251">
      <w:bodyDiv w:val="1"/>
      <w:marLeft w:val="0"/>
      <w:marRight w:val="0"/>
      <w:marTop w:val="0"/>
      <w:marBottom w:val="0"/>
      <w:divBdr>
        <w:top w:val="none" w:sz="0" w:space="0" w:color="auto"/>
        <w:left w:val="none" w:sz="0" w:space="0" w:color="auto"/>
        <w:bottom w:val="none" w:sz="0" w:space="0" w:color="auto"/>
        <w:right w:val="none" w:sz="0" w:space="0" w:color="auto"/>
      </w:divBdr>
    </w:div>
    <w:div w:id="478961450">
      <w:bodyDiv w:val="1"/>
      <w:marLeft w:val="0"/>
      <w:marRight w:val="0"/>
      <w:marTop w:val="0"/>
      <w:marBottom w:val="0"/>
      <w:divBdr>
        <w:top w:val="none" w:sz="0" w:space="0" w:color="auto"/>
        <w:left w:val="none" w:sz="0" w:space="0" w:color="auto"/>
        <w:bottom w:val="none" w:sz="0" w:space="0" w:color="auto"/>
        <w:right w:val="none" w:sz="0" w:space="0" w:color="auto"/>
      </w:divBdr>
    </w:div>
    <w:div w:id="602492855">
      <w:bodyDiv w:val="1"/>
      <w:marLeft w:val="0"/>
      <w:marRight w:val="0"/>
      <w:marTop w:val="0"/>
      <w:marBottom w:val="0"/>
      <w:divBdr>
        <w:top w:val="none" w:sz="0" w:space="0" w:color="auto"/>
        <w:left w:val="none" w:sz="0" w:space="0" w:color="auto"/>
        <w:bottom w:val="none" w:sz="0" w:space="0" w:color="auto"/>
        <w:right w:val="none" w:sz="0" w:space="0" w:color="auto"/>
      </w:divBdr>
    </w:div>
    <w:div w:id="669916153">
      <w:bodyDiv w:val="1"/>
      <w:marLeft w:val="0"/>
      <w:marRight w:val="0"/>
      <w:marTop w:val="0"/>
      <w:marBottom w:val="0"/>
      <w:divBdr>
        <w:top w:val="none" w:sz="0" w:space="0" w:color="auto"/>
        <w:left w:val="none" w:sz="0" w:space="0" w:color="auto"/>
        <w:bottom w:val="none" w:sz="0" w:space="0" w:color="auto"/>
        <w:right w:val="none" w:sz="0" w:space="0" w:color="auto"/>
      </w:divBdr>
    </w:div>
    <w:div w:id="811099329">
      <w:bodyDiv w:val="1"/>
      <w:marLeft w:val="0"/>
      <w:marRight w:val="0"/>
      <w:marTop w:val="0"/>
      <w:marBottom w:val="0"/>
      <w:divBdr>
        <w:top w:val="none" w:sz="0" w:space="0" w:color="auto"/>
        <w:left w:val="none" w:sz="0" w:space="0" w:color="auto"/>
        <w:bottom w:val="none" w:sz="0" w:space="0" w:color="auto"/>
        <w:right w:val="none" w:sz="0" w:space="0" w:color="auto"/>
      </w:divBdr>
    </w:div>
    <w:div w:id="948781585">
      <w:bodyDiv w:val="1"/>
      <w:marLeft w:val="0"/>
      <w:marRight w:val="0"/>
      <w:marTop w:val="0"/>
      <w:marBottom w:val="0"/>
      <w:divBdr>
        <w:top w:val="none" w:sz="0" w:space="0" w:color="auto"/>
        <w:left w:val="none" w:sz="0" w:space="0" w:color="auto"/>
        <w:bottom w:val="none" w:sz="0" w:space="0" w:color="auto"/>
        <w:right w:val="none" w:sz="0" w:space="0" w:color="auto"/>
      </w:divBdr>
      <w:divsChild>
        <w:div w:id="94448498">
          <w:marLeft w:val="0"/>
          <w:marRight w:val="0"/>
          <w:marTop w:val="0"/>
          <w:marBottom w:val="0"/>
          <w:divBdr>
            <w:top w:val="none" w:sz="0" w:space="0" w:color="auto"/>
            <w:left w:val="none" w:sz="0" w:space="0" w:color="auto"/>
            <w:bottom w:val="none" w:sz="0" w:space="0" w:color="auto"/>
            <w:right w:val="none" w:sz="0" w:space="0" w:color="auto"/>
          </w:divBdr>
          <w:divsChild>
            <w:div w:id="19257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8796">
      <w:bodyDiv w:val="1"/>
      <w:marLeft w:val="0"/>
      <w:marRight w:val="0"/>
      <w:marTop w:val="0"/>
      <w:marBottom w:val="0"/>
      <w:divBdr>
        <w:top w:val="none" w:sz="0" w:space="0" w:color="auto"/>
        <w:left w:val="none" w:sz="0" w:space="0" w:color="auto"/>
        <w:bottom w:val="none" w:sz="0" w:space="0" w:color="auto"/>
        <w:right w:val="none" w:sz="0" w:space="0" w:color="auto"/>
      </w:divBdr>
    </w:div>
    <w:div w:id="994189990">
      <w:bodyDiv w:val="1"/>
      <w:marLeft w:val="0"/>
      <w:marRight w:val="0"/>
      <w:marTop w:val="0"/>
      <w:marBottom w:val="0"/>
      <w:divBdr>
        <w:top w:val="none" w:sz="0" w:space="0" w:color="auto"/>
        <w:left w:val="none" w:sz="0" w:space="0" w:color="auto"/>
        <w:bottom w:val="none" w:sz="0" w:space="0" w:color="auto"/>
        <w:right w:val="none" w:sz="0" w:space="0" w:color="auto"/>
      </w:divBdr>
    </w:div>
    <w:div w:id="1215771948">
      <w:bodyDiv w:val="1"/>
      <w:marLeft w:val="0"/>
      <w:marRight w:val="0"/>
      <w:marTop w:val="0"/>
      <w:marBottom w:val="0"/>
      <w:divBdr>
        <w:top w:val="none" w:sz="0" w:space="0" w:color="auto"/>
        <w:left w:val="none" w:sz="0" w:space="0" w:color="auto"/>
        <w:bottom w:val="none" w:sz="0" w:space="0" w:color="auto"/>
        <w:right w:val="none" w:sz="0" w:space="0" w:color="auto"/>
      </w:divBdr>
    </w:div>
    <w:div w:id="1339189945">
      <w:bodyDiv w:val="1"/>
      <w:marLeft w:val="0"/>
      <w:marRight w:val="0"/>
      <w:marTop w:val="0"/>
      <w:marBottom w:val="0"/>
      <w:divBdr>
        <w:top w:val="none" w:sz="0" w:space="0" w:color="auto"/>
        <w:left w:val="none" w:sz="0" w:space="0" w:color="auto"/>
        <w:bottom w:val="none" w:sz="0" w:space="0" w:color="auto"/>
        <w:right w:val="none" w:sz="0" w:space="0" w:color="auto"/>
      </w:divBdr>
    </w:div>
    <w:div w:id="1490831464">
      <w:bodyDiv w:val="1"/>
      <w:marLeft w:val="0"/>
      <w:marRight w:val="0"/>
      <w:marTop w:val="0"/>
      <w:marBottom w:val="0"/>
      <w:divBdr>
        <w:top w:val="none" w:sz="0" w:space="0" w:color="auto"/>
        <w:left w:val="none" w:sz="0" w:space="0" w:color="auto"/>
        <w:bottom w:val="none" w:sz="0" w:space="0" w:color="auto"/>
        <w:right w:val="none" w:sz="0" w:space="0" w:color="auto"/>
      </w:divBdr>
    </w:div>
    <w:div w:id="1592084067">
      <w:bodyDiv w:val="1"/>
      <w:marLeft w:val="0"/>
      <w:marRight w:val="0"/>
      <w:marTop w:val="0"/>
      <w:marBottom w:val="0"/>
      <w:divBdr>
        <w:top w:val="none" w:sz="0" w:space="0" w:color="auto"/>
        <w:left w:val="none" w:sz="0" w:space="0" w:color="auto"/>
        <w:bottom w:val="none" w:sz="0" w:space="0" w:color="auto"/>
        <w:right w:val="none" w:sz="0" w:space="0" w:color="auto"/>
      </w:divBdr>
    </w:div>
    <w:div w:id="1699698895">
      <w:bodyDiv w:val="1"/>
      <w:marLeft w:val="0"/>
      <w:marRight w:val="0"/>
      <w:marTop w:val="0"/>
      <w:marBottom w:val="0"/>
      <w:divBdr>
        <w:top w:val="none" w:sz="0" w:space="0" w:color="auto"/>
        <w:left w:val="none" w:sz="0" w:space="0" w:color="auto"/>
        <w:bottom w:val="none" w:sz="0" w:space="0" w:color="auto"/>
        <w:right w:val="none" w:sz="0" w:space="0" w:color="auto"/>
      </w:divBdr>
    </w:div>
    <w:div w:id="1835148943">
      <w:bodyDiv w:val="1"/>
      <w:marLeft w:val="0"/>
      <w:marRight w:val="0"/>
      <w:marTop w:val="0"/>
      <w:marBottom w:val="0"/>
      <w:divBdr>
        <w:top w:val="none" w:sz="0" w:space="0" w:color="auto"/>
        <w:left w:val="none" w:sz="0" w:space="0" w:color="auto"/>
        <w:bottom w:val="none" w:sz="0" w:space="0" w:color="auto"/>
        <w:right w:val="none" w:sz="0" w:space="0" w:color="auto"/>
      </w:divBdr>
      <w:divsChild>
        <w:div w:id="1752122122">
          <w:marLeft w:val="0"/>
          <w:marRight w:val="0"/>
          <w:marTop w:val="0"/>
          <w:marBottom w:val="0"/>
          <w:divBdr>
            <w:top w:val="none" w:sz="0" w:space="0" w:color="auto"/>
            <w:left w:val="none" w:sz="0" w:space="0" w:color="auto"/>
            <w:bottom w:val="none" w:sz="0" w:space="0" w:color="auto"/>
            <w:right w:val="none" w:sz="0" w:space="0" w:color="auto"/>
          </w:divBdr>
          <w:divsChild>
            <w:div w:id="13385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7072">
      <w:bodyDiv w:val="1"/>
      <w:marLeft w:val="0"/>
      <w:marRight w:val="0"/>
      <w:marTop w:val="0"/>
      <w:marBottom w:val="0"/>
      <w:divBdr>
        <w:top w:val="none" w:sz="0" w:space="0" w:color="auto"/>
        <w:left w:val="none" w:sz="0" w:space="0" w:color="auto"/>
        <w:bottom w:val="none" w:sz="0" w:space="0" w:color="auto"/>
        <w:right w:val="none" w:sz="0" w:space="0" w:color="auto"/>
      </w:divBdr>
    </w:div>
    <w:div w:id="20909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4-european-semester-recommendation-euro-area_en" TargetMode="External"/><Relationship Id="rId2" Type="http://schemas.openxmlformats.org/officeDocument/2006/relationships/hyperlink" Target="https://eur-lex.europa.eu/legal-content/NL/TXT/PDF/?uri=CELEX:52023DC0901" TargetMode="External"/><Relationship Id="rId1" Type="http://schemas.openxmlformats.org/officeDocument/2006/relationships/hyperlink" Target="https://ec.europa.eu/commission/presscorner/detail/en/ip_24_1413" TargetMode="External"/><Relationship Id="rId4" Type="http://schemas.openxmlformats.org/officeDocument/2006/relationships/hyperlink" Target="https://www.rijksoverheid.nl/onderwerpen/duurzame-energie/documenten/rapporten/2024/03/20/bijlage-2-nuclear-alliance-verkl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5183</ap:Words>
  <ap:Characters>28510</ap:Characters>
  <ap:DocSecurity>0</ap:DocSecurity>
  <ap:Lines>237</ap:Lines>
  <ap:Paragraphs>67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Geannoteerde Agenda Europese Raad van 21 en 22 maart</vt:lpstr>
      <vt:lpstr>Geannoteerde Agenda Europese Raad van 21 en 22 maart</vt:lpstr>
    </vt:vector>
  </ap:TitlesOfParts>
  <ap:LinksUpToDate>false</ap:LinksUpToDate>
  <ap:CharactersWithSpaces>33626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2024-03-15T12:01:00.0000000Z</lastPrinted>
  <dcterms:created xsi:type="dcterms:W3CDTF">2024-04-11T10:19:00.0000000Z</dcterms:created>
  <dcterms:modified xsi:type="dcterms:W3CDTF">2024-04-11T10:19:00.0000000Z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0x0101009FFE7A2FBA144D4699EC54818DF680F20071B2C3BC94BC1A46B32CAC545A36BAD8</vt:lpwstr>
  </property>
  <property fmtid="{D5CDD505-2E9C-101B-9397-08002B2CF9AE}" pid="3" name="_dlc_DocIdItemGuid">
    <vt:lpwstr>f9a326b3-1aff-44c5-897b-6c873c2b6c90</vt:lpwstr>
  </property>
  <property fmtid="{D5CDD505-2E9C-101B-9397-08002B2CF9AE}" pid="4" name="_docset_NoMedatataSyncRequired">
    <vt:lpwstr>False</vt:lpwstr>
  </property>
  <property fmtid="{D5CDD505-2E9C-101B-9397-08002B2CF9AE}" pid="5" name="BZ_Country">
    <vt:lpwstr>3;#The Netherlands|7f69a7bb-478c-499d-a6cf-5869916dfee4</vt:lpwstr>
  </property>
  <property fmtid="{D5CDD505-2E9C-101B-9397-08002B2CF9AE}" pid="6" name="BZ_Theme">
    <vt:lpwstr>1;#Organization|d3f777fe-abca-43dd-b11c-a7496ad32ea5;#2;#Visits (logistic)|53e8069b-a40e-4a89-b4f3-9b7112716272</vt:lpwstr>
  </property>
  <property fmtid="{D5CDD505-2E9C-101B-9397-08002B2CF9AE}" pid="7" name="BZ_Classification">
    <vt:lpwstr>5;#UNCLASSIFIED|d92c6340-bc14-4cb2-a9a6-6deda93c493b;#155;#NO MARKING|879e64ec-6597-483b-94db-f5f70afd7299</vt:lpwstr>
  </property>
  <property fmtid="{D5CDD505-2E9C-101B-9397-08002B2CF9AE}" pid="8" name="BZ_Forum">
    <vt:lpwstr>4;#EU|4d8f9873-61b3-4ee5-b6f7-0bb00c6df5e8</vt:lpwstr>
  </property>
</Properties>
</file>