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37C88" w:rsidR="00340ECA" w:rsidP="00737C88" w:rsidRDefault="00340ECA" w14:paraId="23B265BC" w14:textId="77777777">
      <w:pPr>
        <w:rPr>
          <w:szCs w:val="18"/>
        </w:rPr>
      </w:pPr>
    </w:p>
    <w:p w:rsidRPr="0041706A" w:rsidR="0041706A" w:rsidP="0041706A" w:rsidRDefault="0041706A" w14:paraId="265CB9D6" w14:textId="77777777">
      <w:pPr>
        <w:spacing w:after="160" w:line="259" w:lineRule="auto"/>
        <w:rPr>
          <w:rFonts w:ascii="Calibri" w:hAnsi="Calibri" w:eastAsia="Calibri" w:cs="Calibri"/>
          <w:sz w:val="20"/>
          <w:szCs w:val="20"/>
          <w:lang w:eastAsia="en-US"/>
        </w:rPr>
      </w:pPr>
      <w:bookmarkStart w:name="_Hlk163208285" w:id="0"/>
      <w:r w:rsidRPr="0041706A">
        <w:rPr>
          <w:rFonts w:ascii="Calibri" w:hAnsi="Calibri" w:eastAsia="Calibri" w:cs="Calibri"/>
          <w:sz w:val="20"/>
          <w:szCs w:val="20"/>
          <w:lang w:eastAsia="en-US"/>
        </w:rPr>
        <w:t>Geachte leden van de Vaste Kamercommissie voor Klimaat en Energie,</w:t>
      </w:r>
    </w:p>
    <w:p w:rsidRPr="0041706A" w:rsidR="0041706A" w:rsidP="0041706A" w:rsidRDefault="0041706A" w14:paraId="4E521F62" w14:textId="77777777">
      <w:pPr>
        <w:spacing w:after="160" w:line="259" w:lineRule="auto"/>
        <w:rPr>
          <w:rFonts w:ascii="Calibri" w:hAnsi="Calibri" w:eastAsia="Calibri" w:cs="Calibri"/>
          <w:sz w:val="20"/>
          <w:szCs w:val="20"/>
          <w:lang w:eastAsia="en-US"/>
        </w:rPr>
      </w:pPr>
      <w:r w:rsidRPr="0041706A">
        <w:rPr>
          <w:rFonts w:ascii="Calibri" w:hAnsi="Calibri" w:eastAsia="Calibri" w:cs="Calibri"/>
          <w:sz w:val="20"/>
          <w:szCs w:val="20"/>
          <w:lang w:eastAsia="en-US"/>
        </w:rPr>
        <w:t xml:space="preserve">Hartelijk dank  voor de gelegenheid om de inzichten van SodM naar voren te kunnen brengen in het rondetafelgesprek op 11 april aanstaande. Staatstoezicht op de Mijnen (SodM) maakt zich op grond van haar missie sterk voor de veiligheid van de mens en de bescherming van het milieu bij energiewinning en het benutten van de ondergrond, nu en in de toekomst. </w:t>
      </w:r>
    </w:p>
    <w:p w:rsidRPr="0041706A" w:rsidR="0041706A" w:rsidP="0041706A" w:rsidRDefault="0041706A" w14:paraId="3F8AC7DF" w14:textId="77777777">
      <w:pPr>
        <w:spacing w:after="160" w:line="259" w:lineRule="auto"/>
        <w:rPr>
          <w:rFonts w:ascii="Calibri" w:hAnsi="Calibri" w:eastAsia="Calibri" w:cs="Calibri"/>
          <w:sz w:val="20"/>
          <w:szCs w:val="20"/>
          <w:lang w:eastAsia="en-US"/>
        </w:rPr>
      </w:pPr>
      <w:r w:rsidRPr="0041706A">
        <w:rPr>
          <w:rFonts w:ascii="Calibri" w:hAnsi="Calibri" w:eastAsia="Calibri" w:cs="Calibri"/>
          <w:sz w:val="20"/>
          <w:szCs w:val="20"/>
          <w:lang w:eastAsia="en-US"/>
        </w:rPr>
        <w:t xml:space="preserve">In beginsel houdt SodM zich daarom niet bezig met de arbitragezaken die gaan over de financiële aspecten van de versterking, de schadeafhandeling en het einde van de gaswinning. Tegelijkertijd zijn de versterking, de schadeafhandeling, de afbouw van de gaswinning en de nazorg na afloop van de gaswinning onlosmakelijk verbonden met de veiligheid van de mensen in Groningen. SodM benadrukt daarom het belang dat de NAM verantwoordelijk blijft voor de zorg en de nazorg en hiervoor voldoende middelen (geld, maar ook expertise en data) beschikbaar houdt. </w:t>
      </w:r>
    </w:p>
    <w:p w:rsidRPr="0041706A" w:rsidR="0041706A" w:rsidP="0041706A" w:rsidRDefault="0041706A" w14:paraId="4A22849C" w14:textId="77777777">
      <w:pPr>
        <w:spacing w:after="160" w:line="259" w:lineRule="auto"/>
        <w:rPr>
          <w:rFonts w:ascii="Calibri" w:hAnsi="Calibri" w:eastAsia="Calibri" w:cs="Calibri"/>
          <w:sz w:val="20"/>
          <w:szCs w:val="20"/>
          <w:lang w:eastAsia="en-US"/>
        </w:rPr>
      </w:pPr>
      <w:r w:rsidRPr="0041706A">
        <w:rPr>
          <w:rFonts w:ascii="Calibri" w:hAnsi="Calibri" w:eastAsia="Calibri" w:cs="Calibri"/>
          <w:sz w:val="20"/>
          <w:szCs w:val="20"/>
          <w:lang w:eastAsia="en-US"/>
        </w:rPr>
        <w:t>In onderstaande zet SodM uiteen wat zij onder het begrip veiligheid verstaat en hoe de arbitrage daarmee verband kan houden.</w:t>
      </w:r>
    </w:p>
    <w:p w:rsidRPr="0041706A" w:rsidR="0041706A" w:rsidP="0041706A" w:rsidRDefault="0041706A" w14:paraId="29464345" w14:textId="77777777">
      <w:pPr>
        <w:numPr>
          <w:ilvl w:val="0"/>
          <w:numId w:val="15"/>
        </w:numPr>
        <w:spacing w:after="160" w:line="240" w:lineRule="auto"/>
        <w:rPr>
          <w:rFonts w:ascii="Calibri" w:hAnsi="Calibri" w:eastAsia="Calibri" w:cs="Calibri"/>
          <w:b/>
          <w:bCs/>
          <w:sz w:val="20"/>
          <w:szCs w:val="20"/>
          <w:lang w:eastAsia="en-US"/>
        </w:rPr>
      </w:pPr>
      <w:r w:rsidRPr="0041706A">
        <w:rPr>
          <w:rFonts w:ascii="Calibri" w:hAnsi="Calibri" w:eastAsia="Calibri" w:cs="Calibri"/>
          <w:b/>
          <w:bCs/>
          <w:sz w:val="20"/>
          <w:szCs w:val="20"/>
          <w:lang w:eastAsia="en-US"/>
        </w:rPr>
        <w:t>Veiligheid in brede zin</w:t>
      </w:r>
    </w:p>
    <w:p w:rsidRPr="0041706A" w:rsidR="0041706A" w:rsidP="0041706A" w:rsidRDefault="0041706A" w14:paraId="078F6571" w14:textId="4DB829AF">
      <w:pPr>
        <w:spacing w:after="160" w:line="259" w:lineRule="auto"/>
        <w:rPr>
          <w:rFonts w:ascii="Calibri" w:hAnsi="Calibri" w:eastAsia="Calibri" w:cs="Calibri"/>
          <w:sz w:val="20"/>
          <w:szCs w:val="20"/>
          <w:lang w:eastAsia="en-US"/>
        </w:rPr>
      </w:pPr>
      <w:r w:rsidRPr="0041706A">
        <w:rPr>
          <w:rFonts w:ascii="Calibri" w:hAnsi="Calibri" w:eastAsia="Calibri" w:cs="Calibri"/>
          <w:sz w:val="20"/>
          <w:szCs w:val="20"/>
          <w:lang w:eastAsia="en-US"/>
        </w:rPr>
        <w:t>In haar jaarlijkse voortgangsrapportages heeft SodM de afgelopen jaren benadrukt dat veiligheid meer is dan alleen gebouwveiligheid. Veiligheid gaat ook over de gezondheid van de bewoners en schade. Bij gebouwveiligheid wordt berekend wat de overlijdensrisicokans is ten gevolge van de gaswinning en wordt een huis versterkt of vervangen als die kans te groot is. Maar voor de inwoners van Groningen gaan de nadelige gevolgen van de gaswinning veel verder. De onderzoeken van Gronings Perspectief laten zien dat de gezondheidseffecten fors zijn.</w:t>
      </w:r>
      <w:r w:rsidRPr="0041706A">
        <w:rPr>
          <w:rFonts w:ascii="Calibri" w:hAnsi="Calibri" w:eastAsia="Calibri" w:cs="Calibri"/>
          <w:sz w:val="20"/>
          <w:szCs w:val="20"/>
          <w:vertAlign w:val="superscript"/>
          <w:lang w:eastAsia="en-US"/>
        </w:rPr>
        <w:footnoteReference w:id="1"/>
      </w:r>
      <w:r w:rsidRPr="0041706A">
        <w:rPr>
          <w:rFonts w:ascii="Calibri" w:hAnsi="Calibri" w:eastAsia="Calibri" w:cs="Calibri"/>
          <w:sz w:val="20"/>
          <w:szCs w:val="20"/>
          <w:lang w:eastAsia="en-US"/>
        </w:rPr>
        <w:t xml:space="preserve"> Met name bij bewoners van een huis met meervoudige schade. Deze mensen ervaren niet alleen een verminderde gezondheid en welzijn, ze hebben een grotere kans op burn-out en geven aan sociaal en fysiek beperkingen te ondervinden. Het onderzoek laat ook zien dat de gezondheidsrisico’s substantieel zijn. De onderzoekers concluderen dat op de langere termijn er </w:t>
      </w:r>
      <w:r w:rsidR="00B26F5E">
        <w:rPr>
          <w:rFonts w:ascii="Calibri" w:hAnsi="Calibri" w:eastAsia="Calibri" w:cs="Calibri"/>
          <w:sz w:val="20"/>
          <w:szCs w:val="20"/>
          <w:lang w:eastAsia="en-US"/>
        </w:rPr>
        <w:t>vijf</w:t>
      </w:r>
      <w:r w:rsidRPr="0041706A">
        <w:rPr>
          <w:rFonts w:ascii="Calibri" w:hAnsi="Calibri" w:eastAsia="Calibri" w:cs="Calibri"/>
          <w:sz w:val="20"/>
          <w:szCs w:val="20"/>
          <w:lang w:eastAsia="en-US"/>
        </w:rPr>
        <w:t xml:space="preserve"> of meer mensen per jaar kunnen overlijden als gevolg van de problematiek.</w:t>
      </w:r>
      <w:r w:rsidRPr="0041706A">
        <w:rPr>
          <w:rFonts w:ascii="Calibri" w:hAnsi="Calibri" w:eastAsia="Calibri" w:cs="Calibri"/>
          <w:sz w:val="20"/>
          <w:szCs w:val="20"/>
          <w:vertAlign w:val="superscript"/>
          <w:lang w:eastAsia="en-US"/>
        </w:rPr>
        <w:footnoteReference w:id="2"/>
      </w:r>
      <w:r w:rsidRPr="0041706A">
        <w:rPr>
          <w:rFonts w:ascii="Calibri" w:hAnsi="Calibri" w:eastAsia="Calibri" w:cs="Calibri"/>
          <w:sz w:val="20"/>
          <w:szCs w:val="20"/>
          <w:lang w:eastAsia="en-US"/>
        </w:rPr>
        <w:t xml:space="preserve"> De onderzoekers geven daarbij aan dat dit een zeer voorzichtige schatting is. In haar rol als toezichthouder en adviseur wil SodM bijdragen aan het herstel van de veiligheid in Groningen.</w:t>
      </w:r>
    </w:p>
    <w:p w:rsidRPr="0041706A" w:rsidR="0041706A" w:rsidP="0041706A" w:rsidRDefault="0041706A" w14:paraId="23335C72" w14:textId="77777777">
      <w:pPr>
        <w:numPr>
          <w:ilvl w:val="0"/>
          <w:numId w:val="15"/>
        </w:numPr>
        <w:spacing w:after="160" w:line="240" w:lineRule="auto"/>
        <w:rPr>
          <w:rFonts w:ascii="Calibri" w:hAnsi="Calibri" w:eastAsia="Calibri" w:cs="Calibri"/>
          <w:b/>
          <w:bCs/>
          <w:sz w:val="20"/>
          <w:szCs w:val="20"/>
          <w:lang w:eastAsia="en-US"/>
        </w:rPr>
      </w:pPr>
      <w:r w:rsidRPr="0041706A">
        <w:rPr>
          <w:rFonts w:ascii="Calibri" w:hAnsi="Calibri" w:eastAsia="Calibri" w:cs="Calibri"/>
          <w:b/>
          <w:bCs/>
          <w:sz w:val="20"/>
          <w:szCs w:val="20"/>
          <w:lang w:eastAsia="en-US"/>
        </w:rPr>
        <w:t xml:space="preserve">Het is nog niet veilig in Groningen </w:t>
      </w:r>
    </w:p>
    <w:p w:rsidRPr="0041706A" w:rsidR="0041706A" w:rsidP="0041706A" w:rsidRDefault="0041706A" w14:paraId="046E4454" w14:textId="77777777">
      <w:pPr>
        <w:spacing w:after="160" w:line="259" w:lineRule="auto"/>
        <w:rPr>
          <w:rFonts w:ascii="Calibri" w:hAnsi="Calibri" w:eastAsia="Calibri" w:cs="Calibri"/>
          <w:sz w:val="20"/>
          <w:szCs w:val="20"/>
          <w:lang w:eastAsia="en-US"/>
        </w:rPr>
      </w:pPr>
      <w:r w:rsidRPr="0041706A">
        <w:rPr>
          <w:rFonts w:ascii="Calibri" w:hAnsi="Calibri" w:eastAsia="Calibri" w:cs="Calibri"/>
          <w:sz w:val="20"/>
          <w:szCs w:val="20"/>
          <w:lang w:eastAsia="en-US"/>
        </w:rPr>
        <w:t xml:space="preserve">Op dit moment is het nog niet veilig in Groningen. De kans op een relatief zware aardbeving is de afgelopen jaren afgenomen, maar nog wel aanwezig. Daarnaast is het versterken van huizen nodig om een einde te maken aan het wachten van een grote groep bewoners die al jaren geleden te horen hebben gekregen dat hun huis versterkt moet worden, maar waarbij de overheid die toezegging nog niet is nagekomen. Een deel van deze mensen ondervindt nadelige gevolgen door het gedoe met instanties, een opeenstapeling van schade en versterking en de onzekerheid van het wonen in een huis waarvan niet is aangetoond dat het aan de veiligheidsnorm voldoet. Het versterken van huizen dient dus de fysieke veiligheid, maar in belangrijke mate ook de veiligheid in de zin van gezondheidsrisico’s. De veiligheid is gebaat bij het zo snel mogelijk definitief beëindigen van de gaswinning en het afronden van de versterkingsopgave. </w:t>
      </w:r>
    </w:p>
    <w:p w:rsidRPr="0041706A" w:rsidR="0041706A" w:rsidP="0041706A" w:rsidRDefault="0041706A" w14:paraId="154005DD" w14:textId="77777777">
      <w:pPr>
        <w:numPr>
          <w:ilvl w:val="0"/>
          <w:numId w:val="15"/>
        </w:numPr>
        <w:spacing w:after="160" w:line="240" w:lineRule="auto"/>
        <w:rPr>
          <w:rFonts w:ascii="Calibri" w:hAnsi="Calibri" w:eastAsia="Calibri" w:cs="Calibri"/>
          <w:b/>
          <w:bCs/>
          <w:sz w:val="20"/>
          <w:szCs w:val="20"/>
          <w:lang w:eastAsia="en-US"/>
        </w:rPr>
      </w:pPr>
      <w:r w:rsidRPr="0041706A">
        <w:rPr>
          <w:rFonts w:ascii="Calibri" w:hAnsi="Calibri" w:eastAsia="Calibri" w:cs="Calibri"/>
          <w:b/>
          <w:bCs/>
          <w:sz w:val="20"/>
          <w:szCs w:val="20"/>
          <w:lang w:eastAsia="en-US"/>
        </w:rPr>
        <w:t>Het stoppen van de gaswinning</w:t>
      </w:r>
    </w:p>
    <w:p w:rsidRPr="0041706A" w:rsidR="0041706A" w:rsidP="0041706A" w:rsidRDefault="0041706A" w14:paraId="542D9D5D" w14:textId="77777777">
      <w:pPr>
        <w:spacing w:after="160" w:line="259" w:lineRule="auto"/>
        <w:rPr>
          <w:rFonts w:ascii="Calibri" w:hAnsi="Calibri" w:eastAsia="Calibri" w:cs="Calibri"/>
          <w:sz w:val="20"/>
          <w:szCs w:val="20"/>
          <w:lang w:eastAsia="en-US"/>
        </w:rPr>
      </w:pPr>
      <w:r w:rsidRPr="0041706A">
        <w:rPr>
          <w:rFonts w:ascii="Calibri" w:hAnsi="Calibri" w:eastAsia="Calibri" w:cs="Calibri"/>
          <w:sz w:val="20"/>
          <w:szCs w:val="20"/>
          <w:lang w:eastAsia="en-US"/>
        </w:rPr>
        <w:t xml:space="preserve">Als de gaswinning definitief stopt, draagt dit in positieve zin bij aan de veiligheid: dan is er geen onzekerheid meer of en wanneer weer gas wordt gewonnen. Maar de huizen zijn daarmee nog niet veilig. En de aardbevingen zijn daarmee nog niet afgelopen. Deze zullen nog voor langere tijd doorgaan totdat het veld tot rust is gekomen. Deze bevingen kunnen ook nog steeds schades veroorzaken aan huizen – ook aan huizen die al versterkt zijn. Het is dus belangrijk om de versterking en de schadeafhandeling, uit oogpunt van die bredere veiligheid, goed te regelen voor de mensen in Groningen, ook financieel. </w:t>
      </w:r>
    </w:p>
    <w:p w:rsidRPr="0041706A" w:rsidR="0041706A" w:rsidP="0041706A" w:rsidRDefault="0041706A" w14:paraId="74FAEDD2" w14:textId="77777777">
      <w:pPr>
        <w:numPr>
          <w:ilvl w:val="0"/>
          <w:numId w:val="15"/>
        </w:numPr>
        <w:spacing w:after="160" w:line="240" w:lineRule="auto"/>
        <w:rPr>
          <w:rFonts w:ascii="Calibri" w:hAnsi="Calibri" w:eastAsia="Calibri" w:cs="Calibri"/>
          <w:b/>
          <w:bCs/>
          <w:sz w:val="20"/>
          <w:szCs w:val="20"/>
          <w:lang w:eastAsia="en-US"/>
        </w:rPr>
      </w:pPr>
      <w:r w:rsidRPr="0041706A">
        <w:rPr>
          <w:rFonts w:ascii="Calibri" w:hAnsi="Calibri" w:eastAsia="Calibri" w:cs="Calibri"/>
          <w:b/>
          <w:bCs/>
          <w:sz w:val="20"/>
          <w:szCs w:val="20"/>
          <w:lang w:eastAsia="en-US"/>
        </w:rPr>
        <w:t>De belofte van de overheid: veiligheid voorop</w:t>
      </w:r>
    </w:p>
    <w:p w:rsidRPr="0041706A" w:rsidR="0041706A" w:rsidP="0041706A" w:rsidRDefault="0041706A" w14:paraId="598286DA" w14:textId="77777777">
      <w:pPr>
        <w:spacing w:after="160" w:line="259" w:lineRule="auto"/>
        <w:rPr>
          <w:rFonts w:ascii="Calibri" w:hAnsi="Calibri" w:eastAsia="Calibri" w:cs="Calibri"/>
          <w:sz w:val="20"/>
          <w:szCs w:val="20"/>
          <w:lang w:eastAsia="en-US"/>
        </w:rPr>
      </w:pPr>
      <w:r w:rsidRPr="0041706A">
        <w:rPr>
          <w:rFonts w:ascii="Calibri" w:hAnsi="Calibri" w:eastAsia="Calibri" w:cs="Calibri"/>
          <w:sz w:val="20"/>
          <w:szCs w:val="20"/>
          <w:lang w:eastAsia="en-US"/>
        </w:rPr>
        <w:t>Het is beleid dat de bewoner krijgt waar hij of zij recht op heeft. De bewoner mag geen last hebben van de vraag hoe de kosten worden betaald. Dat regelen de Staat en de NAM onderling op grond van de overeenkomsten. SodM ontvangt echter regelmatig signalen van bewoners dat er discussies zijn over de kosten. Bijvoorbeeld dat de NCG de kosteninschatting van de aannemer terugstuurt omdat de kosten te hoog zouden zijn. Een ander voorbeeld is dat het IMG pas sinds kort meer mag vergoeden om te zorgen dat de schade niet alleen wordt vergoed, maar ook dat deze duurzaam hersteld wordt. Eerder was het IMG daarbij begrensd door de regels van aansprakelijkheid. SodM heeft niet kunnen constateren of de arbitragezaken vertragend werken op de versterking. De discussies over kosten werken echter wel vertragend en hebben daarmee een nadelige invloed op de veiligheid die gebaat is bij een snelle uitvoering van de versterkingsopgave en schadeherstel. Het doet ook afbreuk aan de belofte dat de financiële afhandeling van versterking en schadeherstel niet in de weg zal staan van het zo spoedig mogelijk veilig maken van Groningen.</w:t>
      </w:r>
    </w:p>
    <w:p w:rsidRPr="0041706A" w:rsidR="0041706A" w:rsidP="0041706A" w:rsidRDefault="0041706A" w14:paraId="7F7C32E2" w14:textId="77777777">
      <w:pPr>
        <w:numPr>
          <w:ilvl w:val="0"/>
          <w:numId w:val="15"/>
        </w:numPr>
        <w:spacing w:after="160" w:line="240" w:lineRule="auto"/>
        <w:rPr>
          <w:rFonts w:ascii="Calibri" w:hAnsi="Calibri" w:eastAsia="Calibri" w:cs="Calibri"/>
          <w:b/>
          <w:bCs/>
          <w:sz w:val="20"/>
          <w:szCs w:val="20"/>
          <w:lang w:eastAsia="en-US"/>
        </w:rPr>
      </w:pPr>
      <w:r w:rsidRPr="0041706A">
        <w:rPr>
          <w:rFonts w:ascii="Calibri" w:hAnsi="Calibri" w:eastAsia="Calibri" w:cs="Calibri"/>
          <w:b/>
          <w:bCs/>
          <w:sz w:val="20"/>
          <w:szCs w:val="20"/>
          <w:lang w:eastAsia="en-US"/>
        </w:rPr>
        <w:t>Onzekere kosten van versterking, schadeherstel, nazorg en toekomstig gebruik</w:t>
      </w:r>
    </w:p>
    <w:p w:rsidRPr="0041706A" w:rsidR="0041706A" w:rsidP="0041706A" w:rsidRDefault="0041706A" w14:paraId="5AB8F233" w14:textId="77777777">
      <w:pPr>
        <w:spacing w:after="160" w:line="259" w:lineRule="auto"/>
        <w:rPr>
          <w:rFonts w:ascii="Calibri" w:hAnsi="Calibri" w:cs="Calibri"/>
          <w:sz w:val="20"/>
          <w:szCs w:val="20"/>
          <w:lang w:eastAsia="en-US"/>
        </w:rPr>
      </w:pPr>
      <w:r w:rsidRPr="0041706A">
        <w:rPr>
          <w:rFonts w:ascii="Calibri" w:hAnsi="Calibri" w:cs="Calibri"/>
          <w:sz w:val="20"/>
          <w:szCs w:val="20"/>
          <w:lang w:eastAsia="en-US"/>
        </w:rPr>
        <w:t xml:space="preserve">SodM vindt het om meerdere redenen essentieel dat de NAM, conform de Mijnbouwwet en het Burgerlijk wetboek </w:t>
      </w:r>
      <w:r w:rsidRPr="0041706A">
        <w:rPr>
          <w:rFonts w:ascii="Calibri" w:hAnsi="Calibri" w:cs="Calibri"/>
          <w:b/>
          <w:bCs/>
          <w:sz w:val="20"/>
          <w:szCs w:val="20"/>
          <w:lang w:eastAsia="en-US"/>
        </w:rPr>
        <w:t>verantwoordelijk blijft</w:t>
      </w:r>
      <w:r w:rsidRPr="0041706A">
        <w:rPr>
          <w:rFonts w:ascii="Calibri" w:hAnsi="Calibri" w:cs="Calibri"/>
          <w:sz w:val="20"/>
          <w:szCs w:val="20"/>
          <w:lang w:eastAsia="en-US"/>
        </w:rPr>
        <w:t xml:space="preserve"> voor haar aandeel, zowel financieel als praktisch, in het beperken en voorkomen van de nadelige effecten.</w:t>
      </w:r>
      <w:r w:rsidRPr="0041706A">
        <w:rPr>
          <w:rFonts w:ascii="Calibri" w:hAnsi="Calibri" w:cs="Calibri"/>
          <w:sz w:val="20"/>
          <w:szCs w:val="20"/>
          <w:vertAlign w:val="superscript"/>
          <w:lang w:eastAsia="en-US"/>
        </w:rPr>
        <w:footnoteReference w:id="3"/>
      </w:r>
      <w:r w:rsidRPr="0041706A">
        <w:rPr>
          <w:rFonts w:ascii="Calibri" w:hAnsi="Calibri" w:cs="Calibri"/>
          <w:sz w:val="20"/>
          <w:szCs w:val="20"/>
          <w:lang w:eastAsia="en-US"/>
        </w:rPr>
        <w:t xml:space="preserve"> </w:t>
      </w:r>
    </w:p>
    <w:p w:rsidRPr="0041706A" w:rsidR="0041706A" w:rsidP="0041706A" w:rsidRDefault="0041706A" w14:paraId="0430702A" w14:textId="77777777">
      <w:pPr>
        <w:spacing w:after="160" w:line="259" w:lineRule="auto"/>
        <w:rPr>
          <w:rFonts w:ascii="Calibri" w:hAnsi="Calibri" w:cs="Calibri"/>
          <w:sz w:val="20"/>
          <w:szCs w:val="20"/>
          <w:lang w:eastAsia="en-US"/>
        </w:rPr>
      </w:pPr>
      <w:r w:rsidRPr="0041706A">
        <w:rPr>
          <w:rFonts w:ascii="Calibri" w:hAnsi="Calibri" w:cs="Calibri"/>
          <w:sz w:val="20"/>
          <w:szCs w:val="20"/>
          <w:lang w:eastAsia="en-US"/>
        </w:rPr>
        <w:t xml:space="preserve">Ten eerste vergt het de vergaande expertise van de NAM om de technische aspecten van nadelige gevolgen te verhelpen, bijvoorbeeld als onverhoopt in de toekomst sprake zou zijn van lekkage van een put. De Staat is hier niet voor geëquipeerd. </w:t>
      </w:r>
    </w:p>
    <w:p w:rsidRPr="0041706A" w:rsidR="0041706A" w:rsidP="0041706A" w:rsidRDefault="0041706A" w14:paraId="514BA25F" w14:textId="2A9EC7FA">
      <w:pPr>
        <w:spacing w:after="160" w:line="259" w:lineRule="auto"/>
        <w:rPr>
          <w:rFonts w:ascii="Calibri" w:hAnsi="Calibri" w:cs="Calibri"/>
          <w:b/>
          <w:bCs/>
          <w:sz w:val="20"/>
          <w:szCs w:val="20"/>
          <w:lang w:eastAsia="en-US"/>
        </w:rPr>
      </w:pPr>
      <w:r w:rsidRPr="0041706A">
        <w:rPr>
          <w:rFonts w:ascii="Calibri" w:hAnsi="Calibri" w:cs="Calibri"/>
          <w:sz w:val="20"/>
          <w:szCs w:val="20"/>
          <w:lang w:eastAsia="en-US"/>
        </w:rPr>
        <w:t>Ten tweede zijn de toekomstige kosten ten gevolge van de gaswinning zeer onzeker. Dit betreft enerzijds de aansprakelijkheid voor de bekende nadelige gevolgen zoals kosten voor schadeherstel en versterking. En anderzijds kosten van het beperken of voorkomen van nadelige gevolgen die zich nog kunnen voordoen</w:t>
      </w:r>
      <w:r w:rsidRPr="0041706A">
        <w:rPr>
          <w:rFonts w:ascii="Calibri" w:hAnsi="Calibri" w:eastAsia="Calibri" w:cs="Calibri"/>
          <w:sz w:val="20"/>
          <w:szCs w:val="20"/>
          <w:lang w:eastAsia="en-US"/>
        </w:rPr>
        <w:t xml:space="preserve">. Onduidelijk is hoe hoog deze kosten zullen worden. Dit komt doordat niet kan worden bepaald hoe lang de bevingen nog doorgaan en of en in welke mate deze schade zullen veroorzaken. Ook zijn de kosten afhankelijk van marktontwikkelingen. Bovendien is </w:t>
      </w:r>
      <w:r w:rsidRPr="0041706A">
        <w:rPr>
          <w:rFonts w:ascii="Calibri" w:hAnsi="Calibri" w:cs="Calibri"/>
          <w:sz w:val="20"/>
          <w:szCs w:val="20"/>
          <w:lang w:eastAsia="en-US"/>
        </w:rPr>
        <w:t xml:space="preserve">de NAM in het kader van de nazorg verantwoordelijk voor bijvoorbeeld het zo nodig ontwikkelen van nieuwe kennis, het beschikbaar en toegankelijk maken van kennis en de data van het Groningenveld; en maatregelen om meer schade te voorkomen. Bij deze maatregelen kan worden gedacht aan een zeer zorgvuldige afbouw van de installaties, </w:t>
      </w:r>
      <w:r w:rsidR="00B240A0">
        <w:rPr>
          <w:rFonts w:ascii="Calibri" w:hAnsi="Calibri" w:cs="Calibri"/>
          <w:sz w:val="20"/>
          <w:szCs w:val="20"/>
          <w:lang w:eastAsia="en-US"/>
        </w:rPr>
        <w:t>leidingen</w:t>
      </w:r>
      <w:r w:rsidRPr="0041706A">
        <w:rPr>
          <w:rFonts w:ascii="Calibri" w:hAnsi="Calibri" w:cs="Calibri"/>
          <w:sz w:val="20"/>
          <w:szCs w:val="20"/>
          <w:lang w:eastAsia="en-US"/>
        </w:rPr>
        <w:t xml:space="preserve"> en putten, monitoring van onder andere seismiciteit, bodemdaling, en integriteit van putten; en eventueel andere maatregelen die nodig kunnen zijn als blijkt dat deze verdere schade kunnen beperken of voorkomen. </w:t>
      </w:r>
      <w:r w:rsidRPr="0041706A">
        <w:rPr>
          <w:rFonts w:ascii="Calibri" w:hAnsi="Calibri" w:cs="Calibri"/>
          <w:b/>
          <w:bCs/>
          <w:sz w:val="20"/>
          <w:szCs w:val="20"/>
          <w:lang w:eastAsia="en-US"/>
        </w:rPr>
        <w:t>Het is dus belangrijk dat de NAM hiervoor voldoende geld reserveert.</w:t>
      </w:r>
    </w:p>
    <w:p w:rsidRPr="0041706A" w:rsidR="0041706A" w:rsidP="0041706A" w:rsidRDefault="00B240A0" w14:paraId="5DA0E94E" w14:textId="4FBB087A">
      <w:pPr>
        <w:spacing w:after="160" w:line="259" w:lineRule="auto"/>
        <w:rPr>
          <w:rFonts w:ascii="Calibri" w:hAnsi="Calibri" w:cs="Calibri"/>
          <w:sz w:val="20"/>
          <w:szCs w:val="20"/>
          <w:lang w:eastAsia="en-US"/>
        </w:rPr>
      </w:pPr>
      <w:r>
        <w:rPr>
          <w:rFonts w:ascii="Calibri" w:hAnsi="Calibri" w:cs="Calibri"/>
          <w:sz w:val="20"/>
          <w:szCs w:val="20"/>
          <w:lang w:eastAsia="en-US"/>
        </w:rPr>
        <w:t>Het voorgaande</w:t>
      </w:r>
      <w:r w:rsidRPr="0041706A" w:rsidR="0041706A">
        <w:rPr>
          <w:rFonts w:ascii="Calibri" w:hAnsi="Calibri" w:cs="Calibri"/>
          <w:sz w:val="20"/>
          <w:szCs w:val="20"/>
          <w:lang w:eastAsia="en-US"/>
        </w:rPr>
        <w:t xml:space="preserve"> is essentieel, niet alleen met het oog op de gaswinning die heeft plaatsgevonden maar ook voor toekomstig gebruik van de ondergrond en de ruimte. De reeds veroorzaakte schade zal mogelijk in de weg staan van nieuwe vormen van energiewinning of -opslag. Zo zal beoordeeld moeten worden of, en zo ja, onder welke voorwaarden bijvoorbeeld geothermie of meer ondergrondse opslag veilig kan plaatsvinden in Groningen. In deze beoordeling spelen zowel de technische aspecten een rol als het feit dat de gaswinning in Groningen in enige mate tot maatschappelijke ontwrichting heeft geleid.    </w:t>
      </w:r>
    </w:p>
    <w:p w:rsidRPr="0041706A" w:rsidR="0041706A" w:rsidP="0041706A" w:rsidRDefault="0041706A" w14:paraId="01234A87" w14:textId="77777777">
      <w:pPr>
        <w:spacing w:after="160" w:line="259" w:lineRule="auto"/>
        <w:rPr>
          <w:rFonts w:ascii="Calibri" w:hAnsi="Calibri" w:cs="Calibri"/>
          <w:sz w:val="20"/>
          <w:szCs w:val="20"/>
          <w:lang w:eastAsia="en-US"/>
        </w:rPr>
      </w:pPr>
    </w:p>
    <w:bookmarkEnd w:id="0"/>
    <w:p w:rsidRPr="0041706A" w:rsidR="00D9782E" w:rsidP="00B26F5E" w:rsidRDefault="00B26F5E" w14:paraId="0DF5AE13" w14:textId="0F74C084">
      <w:pPr>
        <w:jc w:val="center"/>
        <w:rPr>
          <w:szCs w:val="18"/>
        </w:rPr>
      </w:pPr>
      <w:r>
        <w:rPr>
          <w:szCs w:val="18"/>
        </w:rPr>
        <w:t>***</w:t>
      </w:r>
    </w:p>
    <w:sectPr w:rsidRPr="0041706A" w:rsidR="00D9782E" w:rsidSect="00642A47">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11C46" w14:textId="77777777" w:rsidR="00FB4FC1" w:rsidRDefault="00FB4FC1">
      <w:r>
        <w:separator/>
      </w:r>
    </w:p>
    <w:p w14:paraId="2E36910F" w14:textId="77777777" w:rsidR="00FB4FC1" w:rsidRDefault="00FB4FC1"/>
  </w:endnote>
  <w:endnote w:type="continuationSeparator" w:id="0">
    <w:p w14:paraId="69A2AAEE" w14:textId="77777777" w:rsidR="00FB4FC1" w:rsidRDefault="00FB4FC1">
      <w:r>
        <w:continuationSeparator/>
      </w:r>
    </w:p>
    <w:p w14:paraId="20845956" w14:textId="77777777" w:rsidR="00FB4FC1" w:rsidRDefault="00FB4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CD3D" w14:textId="77777777" w:rsidR="00C65AF2" w:rsidRDefault="00FB4FC1">
    <w:pPr>
      <w:pStyle w:val="Voettekst"/>
    </w:pPr>
    <w:r>
      <w:rPr>
        <w:noProof/>
      </w:rPr>
      <mc:AlternateContent>
        <mc:Choice Requires="wps">
          <w:drawing>
            <wp:anchor distT="0" distB="0" distL="0" distR="0" simplePos="0" relativeHeight="251660288" behindDoc="0" locked="0" layoutInCell="1" allowOverlap="1" wp14:anchorId="5C57DA23" wp14:editId="31584F33">
              <wp:simplePos x="0" y="0"/>
              <wp:positionH relativeFrom="page">
                <wp:align>left</wp:align>
              </wp:positionH>
              <wp:positionV relativeFrom="page">
                <wp:align>bottom</wp:align>
              </wp:positionV>
              <wp:extent cx="443865" cy="443865"/>
              <wp:effectExtent l="0" t="0" r="4445" b="0"/>
              <wp:wrapNone/>
              <wp:docPr id="6" name="Tekstvak 897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20D5B2" w14:textId="77777777" w:rsidR="00CF2B05" w:rsidRPr="00CF2B05" w:rsidRDefault="00FB4FC1" w:rsidP="00CF2B05">
                          <w:pPr>
                            <w:rPr>
                              <w:rFonts w:ascii="Calibri" w:eastAsia="Calibri" w:hAnsi="Calibri" w:cs="Calibri"/>
                              <w:noProof/>
                              <w:color w:val="000000"/>
                              <w:sz w:val="20"/>
                              <w:szCs w:val="20"/>
                            </w:rPr>
                          </w:pPr>
                          <w:r w:rsidRPr="00CF2B0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57DA23" id="_x0000_t202" coordsize="21600,21600" o:spt="202" path="m,l,21600r21600,l21600,xe">
              <v:stroke joinstyle="miter"/>
              <v:path gradientshapeok="t" o:connecttype="rect"/>
            </v:shapetype>
            <v:shape id="Tekstvak 8972"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920D5B2" w14:textId="77777777" w:rsidR="00CF2B05" w:rsidRPr="00CF2B05" w:rsidRDefault="00FB4FC1" w:rsidP="00CF2B05">
                    <w:pPr>
                      <w:rPr>
                        <w:rFonts w:ascii="Calibri" w:eastAsia="Calibri" w:hAnsi="Calibri" w:cs="Calibri"/>
                        <w:noProof/>
                        <w:color w:val="000000"/>
                        <w:sz w:val="20"/>
                        <w:szCs w:val="20"/>
                      </w:rPr>
                    </w:pPr>
                    <w:r w:rsidRPr="00CF2B0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D7BE" w14:textId="77777777" w:rsidR="003C60CD" w:rsidRPr="00BC3B53" w:rsidRDefault="00FB4FC1" w:rsidP="008C356D">
    <w:pPr>
      <w:pStyle w:val="Voettekst"/>
      <w:spacing w:line="240" w:lineRule="auto"/>
      <w:rPr>
        <w:sz w:val="2"/>
        <w:szCs w:val="2"/>
      </w:rPr>
    </w:pPr>
    <w:r>
      <w:rPr>
        <w:noProof/>
        <w:sz w:val="2"/>
        <w:szCs w:val="2"/>
      </w:rPr>
      <mc:AlternateContent>
        <mc:Choice Requires="wps">
          <w:drawing>
            <wp:anchor distT="0" distB="0" distL="0" distR="0" simplePos="0" relativeHeight="251662336" behindDoc="0" locked="0" layoutInCell="1" allowOverlap="1" wp14:anchorId="23E3333E" wp14:editId="5E319196">
              <wp:simplePos x="0" y="0"/>
              <wp:positionH relativeFrom="page">
                <wp:align>left</wp:align>
              </wp:positionH>
              <wp:positionV relativeFrom="page">
                <wp:align>bottom</wp:align>
              </wp:positionV>
              <wp:extent cx="443865" cy="443865"/>
              <wp:effectExtent l="0" t="0" r="4445" b="0"/>
              <wp:wrapNone/>
              <wp:docPr id="5" name="Tekstvak 9000"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FE8FDF" w14:textId="447BA69E" w:rsidR="00CF2B05" w:rsidRPr="00CF2B05" w:rsidRDefault="00CF2B05" w:rsidP="00CF2B05">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E3333E" id="_x0000_t202" coordsize="21600,21600" o:spt="202" path="m,l,21600r21600,l21600,xe">
              <v:stroke joinstyle="miter"/>
              <v:path gradientshapeok="t" o:connecttype="rect"/>
            </v:shapetype>
            <v:shape id="Tekstvak 9000" o:spid="_x0000_s1027" type="#_x0000_t202" alt="Intern gebruik"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3FE8FDF" w14:textId="447BA69E" w:rsidR="00CF2B05" w:rsidRPr="00CF2B05" w:rsidRDefault="00CF2B05" w:rsidP="00CF2B05">
                    <w:pPr>
                      <w:rPr>
                        <w:rFonts w:ascii="Calibri" w:eastAsia="Calibri" w:hAnsi="Calibri" w:cs="Calibri"/>
                        <w:noProof/>
                        <w:color w:val="000000"/>
                        <w:sz w:val="20"/>
                        <w:szCs w:val="20"/>
                      </w:rPr>
                    </w:pPr>
                  </w:p>
                </w:txbxContent>
              </v:textbox>
              <w10:wrap anchorx="page" anchory="page"/>
            </v:shape>
          </w:pict>
        </mc:Fallback>
      </mc:AlternateContent>
    </w: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E2E11" w14:paraId="7C004FD2" w14:textId="77777777" w:rsidTr="001E4C6B">
      <w:trPr>
        <w:trHeight w:hRule="exact" w:val="240"/>
      </w:trPr>
      <w:tc>
        <w:tcPr>
          <w:tcW w:w="7601" w:type="dxa"/>
          <w:shd w:val="clear" w:color="auto" w:fill="auto"/>
        </w:tcPr>
        <w:p w14:paraId="44073E48" w14:textId="77777777" w:rsidR="003C60CD" w:rsidRDefault="003C60CD" w:rsidP="003F1F6B">
          <w:pPr>
            <w:pStyle w:val="Huisstijl-Rubricering"/>
          </w:pPr>
        </w:p>
      </w:tc>
      <w:tc>
        <w:tcPr>
          <w:tcW w:w="2156" w:type="dxa"/>
        </w:tcPr>
        <w:p w14:paraId="64ED3B14" w14:textId="37880CE0" w:rsidR="003C60CD" w:rsidRPr="00236CFE" w:rsidRDefault="00FB4FC1" w:rsidP="003F1F6B">
          <w:pPr>
            <w:pStyle w:val="Huisstijl-Paginanummering"/>
          </w:pPr>
          <w:r w:rsidRPr="00CE5636">
            <w:t xml:space="preserve">Pagina </w:t>
          </w:r>
          <w:r w:rsidRPr="00CE5636">
            <w:fldChar w:fldCharType="begin"/>
          </w:r>
          <w:r w:rsidRPr="00CE5636">
            <w:instrText xml:space="preserve"> PAGE   \* MERGEFORMAT </w:instrText>
          </w:r>
          <w:r w:rsidRPr="00CE5636">
            <w:fldChar w:fldCharType="separate"/>
          </w:r>
          <w:r w:rsidR="00C65AF2">
            <w:t>2</w:t>
          </w:r>
          <w:r w:rsidRPr="00CE5636">
            <w:fldChar w:fldCharType="end"/>
          </w:r>
          <w:r w:rsidRPr="00236CFE">
            <w:rPr>
              <w:rStyle w:val="Huisstijl-GegevenCharChar"/>
            </w:rPr>
            <w:t xml:space="preserve"> </w:t>
          </w:r>
          <w:r w:rsidRPr="00CE5636">
            <w:t xml:space="preserve">van </w:t>
          </w:r>
          <w:fldSimple w:instr=" SECTIONPAGES   \* MERGEFORMAT ">
            <w:r w:rsidR="003B67CE">
              <w:t>3</w:t>
            </w:r>
          </w:fldSimple>
        </w:p>
      </w:tc>
    </w:tr>
  </w:tbl>
  <w:p w14:paraId="33031829" w14:textId="77777777" w:rsidR="003C60CD" w:rsidRPr="00BC3B53" w:rsidRDefault="003C60CD"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E2E11" w14:paraId="29CE7CDB" w14:textId="77777777" w:rsidTr="001E4C6B">
      <w:trPr>
        <w:trHeight w:hRule="exact" w:val="240"/>
      </w:trPr>
      <w:tc>
        <w:tcPr>
          <w:tcW w:w="7601" w:type="dxa"/>
          <w:shd w:val="clear" w:color="auto" w:fill="auto"/>
        </w:tcPr>
        <w:p w14:paraId="309434B1" w14:textId="77777777" w:rsidR="003C60CD" w:rsidRDefault="00FB4FC1" w:rsidP="008C356D">
          <w:pPr>
            <w:pStyle w:val="Huisstijl-Rubricering"/>
          </w:pPr>
          <w:r>
            <mc:AlternateContent>
              <mc:Choice Requires="wps">
                <w:drawing>
                  <wp:anchor distT="0" distB="0" distL="0" distR="0" simplePos="0" relativeHeight="251658240" behindDoc="0" locked="0" layoutInCell="1" allowOverlap="1" wp14:anchorId="1E5A513B" wp14:editId="09EB0B65">
                    <wp:simplePos x="0" y="0"/>
                    <wp:positionH relativeFrom="page">
                      <wp:align>left</wp:align>
                    </wp:positionH>
                    <wp:positionV relativeFrom="page">
                      <wp:align>bottom</wp:align>
                    </wp:positionV>
                    <wp:extent cx="443865" cy="443865"/>
                    <wp:effectExtent l="0" t="0" r="4445" b="0"/>
                    <wp:wrapNone/>
                    <wp:docPr id="4" name="Tekstvak 894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2C8763" w14:textId="51FC4FAA" w:rsidR="00CF2B05" w:rsidRPr="00CF2B05" w:rsidRDefault="00CF2B05" w:rsidP="00CF2B05">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5A513B" id="_x0000_t202" coordsize="21600,21600" o:spt="202" path="m,l,21600r21600,l21600,xe">
                    <v:stroke joinstyle="miter"/>
                    <v:path gradientshapeok="t" o:connecttype="rect"/>
                  </v:shapetype>
                  <v:shape id="Tekstvak 8944"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B2C8763" w14:textId="51FC4FAA" w:rsidR="00CF2B05" w:rsidRPr="00CF2B05" w:rsidRDefault="00CF2B05" w:rsidP="00CF2B05">
                          <w:pPr>
                            <w:rPr>
                              <w:rFonts w:ascii="Calibri" w:eastAsia="Calibri" w:hAnsi="Calibri" w:cs="Calibri"/>
                              <w:noProof/>
                              <w:color w:val="000000"/>
                              <w:sz w:val="20"/>
                              <w:szCs w:val="20"/>
                            </w:rPr>
                          </w:pPr>
                        </w:p>
                      </w:txbxContent>
                    </v:textbox>
                    <w10:wrap anchorx="page" anchory="page"/>
                  </v:shape>
                </w:pict>
              </mc:Fallback>
            </mc:AlternateContent>
          </w:r>
        </w:p>
      </w:tc>
      <w:tc>
        <w:tcPr>
          <w:tcW w:w="2170" w:type="dxa"/>
        </w:tcPr>
        <w:p w14:paraId="40B639A6" w14:textId="24C14969" w:rsidR="003C60CD" w:rsidRPr="00CE5636" w:rsidRDefault="00FB4FC1" w:rsidP="00CE5636">
          <w:pPr>
            <w:pStyle w:val="Huisstijl-Paginanummering"/>
          </w:pPr>
          <w:r w:rsidRPr="00CE5636">
            <w:t xml:space="preserve">Pagina </w:t>
          </w:r>
          <w:r w:rsidRPr="00CE5636">
            <w:rPr>
              <w:rStyle w:val="Huisstijl-GegevenCharChar"/>
            </w:rPr>
            <w:fldChar w:fldCharType="begin"/>
          </w:r>
          <w:r w:rsidRPr="00CE5636">
            <w:rPr>
              <w:rStyle w:val="Huisstijl-GegevenCharChar"/>
            </w:rPr>
            <w:instrText xml:space="preserve"> PAGE   \* MERGEFORMAT </w:instrText>
          </w:r>
          <w:r w:rsidRPr="00CE5636">
            <w:rPr>
              <w:rStyle w:val="Huisstijl-GegevenCharChar"/>
            </w:rPr>
            <w:fldChar w:fldCharType="separate"/>
          </w:r>
          <w:r w:rsidR="00C65AF2">
            <w:rPr>
              <w:rStyle w:val="Huisstijl-GegevenCharChar"/>
            </w:rPr>
            <w:t>1</w:t>
          </w:r>
          <w:r w:rsidRPr="00CE5636">
            <w:rPr>
              <w:rStyle w:val="Huisstijl-GegevenCharChar"/>
            </w:rPr>
            <w:fldChar w:fldCharType="end"/>
          </w:r>
          <w:r w:rsidRPr="00CE5636">
            <w:rPr>
              <w:rStyle w:val="Huisstijl-GegevenCharChar"/>
            </w:rPr>
            <w:t xml:space="preserve"> </w:t>
          </w:r>
          <w:r w:rsidRPr="00CE5636">
            <w:t xml:space="preserve">van </w:t>
          </w:r>
          <w:r w:rsidR="007F142A">
            <w:fldChar w:fldCharType="begin"/>
          </w:r>
          <w:r>
            <w:instrText xml:space="preserve"> SECTIONPAGES   \* MERGEFORMAT </w:instrText>
          </w:r>
          <w:r w:rsidR="007F142A">
            <w:fldChar w:fldCharType="separate"/>
          </w:r>
          <w:r w:rsidR="003B67CE">
            <w:t>3</w:t>
          </w:r>
          <w:r w:rsidR="007F142A">
            <w:fldChar w:fldCharType="end"/>
          </w:r>
          <w:r w:rsidRPr="00CE5636">
            <w:t xml:space="preserve"> </w:t>
          </w:r>
        </w:p>
      </w:tc>
    </w:tr>
  </w:tbl>
  <w:p w14:paraId="7198B872" w14:textId="77777777" w:rsidR="003C60CD" w:rsidRPr="00BC3B53" w:rsidRDefault="003C60CD" w:rsidP="008C356D">
    <w:pPr>
      <w:pStyle w:val="Voettekst"/>
      <w:spacing w:line="240" w:lineRule="auto"/>
      <w:rPr>
        <w:sz w:val="2"/>
        <w:szCs w:val="2"/>
      </w:rPr>
    </w:pPr>
  </w:p>
  <w:p w14:paraId="0AE8D3EB" w14:textId="77777777" w:rsidR="003C60CD" w:rsidRPr="00BC3B53" w:rsidRDefault="003C60CD"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39CED" w14:textId="77777777" w:rsidR="00FB4FC1" w:rsidRDefault="00FB4FC1">
      <w:r>
        <w:separator/>
      </w:r>
    </w:p>
    <w:p w14:paraId="0B4811E2" w14:textId="77777777" w:rsidR="00FB4FC1" w:rsidRDefault="00FB4FC1"/>
  </w:footnote>
  <w:footnote w:type="continuationSeparator" w:id="0">
    <w:p w14:paraId="23F262B9" w14:textId="77777777" w:rsidR="00FB4FC1" w:rsidRDefault="00FB4FC1">
      <w:r>
        <w:continuationSeparator/>
      </w:r>
    </w:p>
    <w:p w14:paraId="24C222C8" w14:textId="77777777" w:rsidR="00FB4FC1" w:rsidRDefault="00FB4FC1"/>
  </w:footnote>
  <w:footnote w:id="1">
    <w:p w14:paraId="0240CA4E" w14:textId="77777777" w:rsidR="0041706A" w:rsidRDefault="0041706A" w:rsidP="0041706A">
      <w:pPr>
        <w:pStyle w:val="Voetnoottekst"/>
      </w:pPr>
      <w:r>
        <w:rPr>
          <w:rStyle w:val="Voetnootmarkering"/>
        </w:rPr>
        <w:footnoteRef/>
      </w:r>
      <w:r>
        <w:t xml:space="preserve"> </w:t>
      </w:r>
      <w:hyperlink r:id="rId1" w:history="1">
        <w:r w:rsidRPr="00B26F5E">
          <w:rPr>
            <w:rStyle w:val="Hyperlink"/>
            <w:sz w:val="16"/>
            <w:szCs w:val="16"/>
          </w:rPr>
          <w:t>https://www.groningsperspectief.nl/impact-2023-aandacht-ouderen/</w:t>
        </w:r>
      </w:hyperlink>
      <w:r w:rsidRPr="00B26F5E">
        <w:rPr>
          <w:sz w:val="16"/>
          <w:szCs w:val="16"/>
        </w:rPr>
        <w:t>.</w:t>
      </w:r>
      <w:r>
        <w:t xml:space="preserve"> </w:t>
      </w:r>
    </w:p>
  </w:footnote>
  <w:footnote w:id="2">
    <w:p w14:paraId="0A9DB4F5" w14:textId="22798B0E" w:rsidR="0041706A" w:rsidRDefault="0041706A" w:rsidP="0041706A">
      <w:pPr>
        <w:pStyle w:val="Voetnoottekst"/>
      </w:pPr>
      <w:r>
        <w:rPr>
          <w:rStyle w:val="Voetnootmarkering"/>
        </w:rPr>
        <w:footnoteRef/>
      </w:r>
      <w:r>
        <w:t xml:space="preserve"> </w:t>
      </w:r>
      <w:hyperlink r:id="rId2" w:history="1">
        <w:r w:rsidR="00B26F5E" w:rsidRPr="00B26F5E">
          <w:rPr>
            <w:rStyle w:val="Hyperlink"/>
            <w:sz w:val="16"/>
            <w:szCs w:val="16"/>
          </w:rPr>
          <w:t>https://pure.rug.nl/ws/portalfiles/portal/55056657/Gevolgen_van_bodembeweging_voor_Groningen.pdf</w:t>
        </w:r>
      </w:hyperlink>
      <w:r w:rsidRPr="00B26F5E">
        <w:rPr>
          <w:sz w:val="16"/>
          <w:szCs w:val="16"/>
        </w:rPr>
        <w:t>.</w:t>
      </w:r>
      <w:r>
        <w:t xml:space="preserve"> </w:t>
      </w:r>
    </w:p>
  </w:footnote>
  <w:footnote w:id="3">
    <w:p w14:paraId="5F33CB55" w14:textId="77777777" w:rsidR="0041706A" w:rsidRPr="00DF619C" w:rsidRDefault="0041706A" w:rsidP="0041706A">
      <w:pPr>
        <w:rPr>
          <w:szCs w:val="18"/>
        </w:rPr>
      </w:pPr>
      <w:r w:rsidRPr="00DF619C">
        <w:rPr>
          <w:rStyle w:val="Voetnootmarkering"/>
          <w:szCs w:val="18"/>
        </w:rPr>
        <w:footnoteRef/>
      </w:r>
      <w:r w:rsidRPr="00DF619C">
        <w:rPr>
          <w:szCs w:val="18"/>
        </w:rPr>
        <w:t xml:space="preserve"> </w:t>
      </w:r>
      <w:r w:rsidRPr="00B26F5E">
        <w:rPr>
          <w:rFonts w:asciiTheme="minorHAnsi" w:hAnsiTheme="minorHAnsi" w:cstheme="minorHAnsi"/>
          <w:sz w:val="16"/>
          <w:szCs w:val="16"/>
        </w:rPr>
        <w:t>Amendement 14 van het wetsvoorstel beëindiging gaswinning Groningen ziet op het voorkomen van nadelige gevolgen. Amendement 38 van het wetsvoorstel is aangenomen en geeft de NAM de wettelijke plicht tot het opstellen van een nazorgplan ter invulling van voorkomen.</w:t>
      </w:r>
    </w:p>
    <w:p w14:paraId="610C72C7" w14:textId="77777777" w:rsidR="0041706A" w:rsidRDefault="0041706A" w:rsidP="0041706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2BD2" w14:textId="77777777" w:rsidR="003C60CD" w:rsidRDefault="003C60CD"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E2E11" w14:paraId="73B889BB" w14:textId="77777777" w:rsidTr="00AD1831">
      <w:tc>
        <w:tcPr>
          <w:tcW w:w="2160" w:type="dxa"/>
          <w:shd w:val="clear" w:color="auto" w:fill="auto"/>
        </w:tcPr>
        <w:p w14:paraId="134907AF" w14:textId="77777777" w:rsidR="003C60CD" w:rsidRPr="00EC2E47" w:rsidRDefault="00FB4FC1" w:rsidP="00AD1831">
          <w:pPr>
            <w:pStyle w:val="Huisstijl-Adres"/>
            <w:rPr>
              <w:b/>
            </w:rPr>
          </w:pPr>
          <w:r>
            <w:rPr>
              <w:b/>
            </w:rPr>
            <w:t>Staatstoezicht op de Mijnen</w:t>
          </w:r>
        </w:p>
      </w:tc>
    </w:tr>
    <w:tr w:rsidR="00AE2E11" w14:paraId="5DE9066D" w14:textId="77777777" w:rsidTr="00AD1831">
      <w:trPr>
        <w:trHeight w:hRule="exact" w:val="200"/>
      </w:trPr>
      <w:tc>
        <w:tcPr>
          <w:tcW w:w="2160" w:type="dxa"/>
          <w:shd w:val="clear" w:color="auto" w:fill="auto"/>
        </w:tcPr>
        <w:p w14:paraId="0988BDE1" w14:textId="77777777" w:rsidR="003C60CD" w:rsidRPr="005819CE" w:rsidRDefault="003C60CD" w:rsidP="00AD1831"/>
      </w:tc>
    </w:tr>
    <w:tr w:rsidR="00AE2E11" w14:paraId="2200F35E" w14:textId="77777777" w:rsidTr="00AD1831">
      <w:tc>
        <w:tcPr>
          <w:tcW w:w="2160" w:type="dxa"/>
          <w:shd w:val="clear" w:color="auto" w:fill="auto"/>
        </w:tcPr>
        <w:p w14:paraId="4FA86B73" w14:textId="77777777" w:rsidR="003C60CD" w:rsidRPr="005819CE" w:rsidRDefault="00FB4FC1" w:rsidP="00AD1831">
          <w:pPr>
            <w:pStyle w:val="Huisstijl-Kopje"/>
          </w:pPr>
          <w:r>
            <w:t>Kenmerk</w:t>
          </w:r>
        </w:p>
        <w:sdt>
          <w:sdtPr>
            <w:alias w:val="documentId"/>
            <w:id w:val="1502467602"/>
            <w:placeholder>
              <w:docPart w:val="DefaultPlaceholder_-1854013440"/>
            </w:placeholder>
          </w:sdtPr>
          <w:sdtEndPr/>
          <w:sdtContent>
            <w:p w14:paraId="0B2EEB2E" w14:textId="7A44D791" w:rsidR="003C60CD" w:rsidRPr="005819CE" w:rsidRDefault="00FB4FC1" w:rsidP="00AD1831">
              <w:pPr>
                <w:pStyle w:val="Huisstijl-Gegeven"/>
              </w:pPr>
              <w:r>
                <w:fldChar w:fldCharType="begin"/>
              </w:r>
              <w:r>
                <w:instrText xml:space="preserve"> DOCPROPERTY  "documentId"  \* MERGEFORMAT </w:instrText>
              </w:r>
              <w:r>
                <w:fldChar w:fldCharType="separate"/>
              </w:r>
              <w:r w:rsidR="003B67CE">
                <w:t>52493706</w:t>
              </w:r>
              <w:r>
                <w:fldChar w:fldCharType="end"/>
              </w:r>
            </w:p>
          </w:sdtContent>
        </w:sdt>
      </w:tc>
    </w:tr>
  </w:tbl>
  <w:tbl>
    <w:tblPr>
      <w:tblW w:w="7520" w:type="dxa"/>
      <w:tblLayout w:type="fixed"/>
      <w:tblCellMar>
        <w:left w:w="0" w:type="dxa"/>
        <w:right w:w="0" w:type="dxa"/>
      </w:tblCellMar>
      <w:tblLook w:val="0000" w:firstRow="0" w:lastRow="0" w:firstColumn="0" w:lastColumn="0" w:noHBand="0" w:noVBand="0"/>
    </w:tblPr>
    <w:tblGrid>
      <w:gridCol w:w="7520"/>
    </w:tblGrid>
    <w:tr w:rsidR="00AE2E11" w14:paraId="23DDF924" w14:textId="77777777" w:rsidTr="00642A47">
      <w:trPr>
        <w:trHeight w:hRule="exact" w:val="400"/>
      </w:trPr>
      <w:tc>
        <w:tcPr>
          <w:tcW w:w="7520" w:type="dxa"/>
          <w:shd w:val="clear" w:color="auto" w:fill="auto"/>
        </w:tcPr>
        <w:p w14:paraId="198524B5" w14:textId="77777777" w:rsidR="003C60CD" w:rsidRPr="00275984" w:rsidRDefault="003C60CD" w:rsidP="00642A47">
          <w:pPr>
            <w:spacing w:line="240" w:lineRule="auto"/>
            <w:rPr>
              <w:sz w:val="12"/>
              <w:szCs w:val="12"/>
            </w:rPr>
          </w:pPr>
        </w:p>
      </w:tc>
    </w:tr>
  </w:tbl>
  <w:p w14:paraId="15AB9533" w14:textId="77777777" w:rsidR="003C60CD" w:rsidRDefault="003C60CD" w:rsidP="008C356D"/>
  <w:p w14:paraId="72878510" w14:textId="77777777" w:rsidR="003C60CD" w:rsidRPr="00740712" w:rsidRDefault="003C60CD" w:rsidP="008C356D"/>
  <w:p w14:paraId="5408B836" w14:textId="77777777" w:rsidR="003C60CD" w:rsidRPr="00217880" w:rsidRDefault="003C60CD" w:rsidP="008C356D">
    <w:pPr>
      <w:spacing w:line="0" w:lineRule="atLeast"/>
      <w:rPr>
        <w:sz w:val="2"/>
        <w:szCs w:val="2"/>
      </w:rPr>
    </w:pPr>
  </w:p>
  <w:p w14:paraId="6D8FE421" w14:textId="77777777" w:rsidR="003C60CD" w:rsidRDefault="003C60CD" w:rsidP="004F44C2">
    <w:pPr>
      <w:pStyle w:val="Koptekst"/>
      <w:rPr>
        <w:rFonts w:cs="Verdana-Bold"/>
        <w:b/>
        <w:bCs/>
        <w:smallCaps/>
        <w:szCs w:val="18"/>
      </w:rPr>
    </w:pPr>
  </w:p>
  <w:p w14:paraId="442FB123" w14:textId="77777777" w:rsidR="003C60CD" w:rsidRDefault="003C60CD" w:rsidP="004F44C2"/>
  <w:p w14:paraId="74AB5BF6" w14:textId="77777777" w:rsidR="003C60CD" w:rsidRPr="00740712" w:rsidRDefault="003C60CD" w:rsidP="004F44C2"/>
  <w:p w14:paraId="6CF3DACF" w14:textId="77777777" w:rsidR="003C60CD" w:rsidRPr="00217880" w:rsidRDefault="003C60CD"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E2E11" w14:paraId="605DC591" w14:textId="77777777" w:rsidTr="003B7675">
      <w:trPr>
        <w:trHeight w:val="2636"/>
      </w:trPr>
      <w:tc>
        <w:tcPr>
          <w:tcW w:w="737" w:type="dxa"/>
          <w:shd w:val="clear" w:color="auto" w:fill="auto"/>
        </w:tcPr>
        <w:p w14:paraId="007BE0E3" w14:textId="77777777" w:rsidR="003C60CD" w:rsidRDefault="00FB4FC1" w:rsidP="00044613">
          <w:pPr>
            <w:framePr w:w="6340" w:h="2750" w:hRule="exact" w:hSpace="180" w:wrap="around" w:vAnchor="page" w:hAnchor="text" w:x="3873" w:y="-70"/>
            <w:spacing w:line="240" w:lineRule="auto"/>
          </w:pPr>
          <w:r>
            <w:rPr>
              <w:noProof/>
              <w:lang w:val="en-US" w:eastAsia="en-US"/>
            </w:rPr>
            <w:drawing>
              <wp:inline distT="0" distB="0" distL="0" distR="0" wp14:anchorId="2EAB0CF2" wp14:editId="731C7781">
                <wp:extent cx="466725" cy="1581150"/>
                <wp:effectExtent l="0" t="0" r="0" b="0"/>
                <wp:docPr id="1" name="Picture 3"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Rijkslint Zwa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tc>
      <w:tc>
        <w:tcPr>
          <w:tcW w:w="5156" w:type="dxa"/>
          <w:shd w:val="clear" w:color="auto" w:fill="auto"/>
        </w:tcPr>
        <w:p w14:paraId="2B6F1AA4" w14:textId="77777777" w:rsidR="003C60CD" w:rsidRPr="0061590A" w:rsidRDefault="00FB4FC1" w:rsidP="00044613">
          <w:pPr>
            <w:framePr w:w="6340" w:h="2750" w:hRule="exact" w:hSpace="180" w:wrap="around" w:vAnchor="page" w:hAnchor="text" w:x="3873" w:y="-70"/>
            <w:spacing w:line="240" w:lineRule="auto"/>
            <w:rPr>
              <w:szCs w:val="18"/>
            </w:rPr>
          </w:pPr>
          <w:r>
            <w:rPr>
              <w:noProof/>
              <w:szCs w:val="18"/>
            </w:rPr>
            <w:drawing>
              <wp:inline distT="0" distB="0" distL="0" distR="0" wp14:anchorId="262176AB" wp14:editId="6CD239B0">
                <wp:extent cx="2343051" cy="1584915"/>
                <wp:effectExtent l="0" t="0" r="635"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_STM_Logo_druk_corr_pos_nl - naast voorbedrukt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tc>
    </w:tr>
  </w:tbl>
  <w:p w14:paraId="087135AA" w14:textId="77777777" w:rsidR="003C60CD" w:rsidRDefault="003C60CD" w:rsidP="00044613">
    <w:pPr>
      <w:framePr w:w="6340" w:h="2750" w:hRule="exact" w:hSpace="180" w:wrap="around" w:vAnchor="page" w:hAnchor="text" w:x="3873" w:y="-70"/>
    </w:pPr>
  </w:p>
  <w:p w14:paraId="7A247ECA" w14:textId="77777777" w:rsidR="003C60CD" w:rsidRDefault="003C60CD" w:rsidP="004A7ABA"/>
  <w:tbl>
    <w:tblPr>
      <w:tblpPr w:leftFromText="142" w:rightFromText="142" w:vertAnchor="page" w:tblpX="7616" w:tblpY="2966"/>
      <w:tblOverlap w:val="never"/>
      <w:tblW w:w="2160" w:type="dxa"/>
      <w:tblLayout w:type="fixed"/>
      <w:tblCellMar>
        <w:left w:w="0" w:type="dxa"/>
        <w:right w:w="0" w:type="dxa"/>
      </w:tblCellMar>
      <w:tblLook w:val="0000" w:firstRow="0" w:lastRow="0" w:firstColumn="0" w:lastColumn="0" w:noHBand="0" w:noVBand="0"/>
    </w:tblPr>
    <w:tblGrid>
      <w:gridCol w:w="2160"/>
    </w:tblGrid>
    <w:tr w:rsidR="00AE2E11" w14:paraId="2D0CC81F" w14:textId="77777777" w:rsidTr="00AD1831">
      <w:tc>
        <w:tcPr>
          <w:tcW w:w="2160" w:type="dxa"/>
          <w:shd w:val="clear" w:color="auto" w:fill="auto"/>
        </w:tcPr>
        <w:p w14:paraId="652108E3" w14:textId="77777777" w:rsidR="00693B67" w:rsidRDefault="00FB4FC1" w:rsidP="00693B67">
          <w:pPr>
            <w:pStyle w:val="Huisstijl-Adres"/>
            <w:rPr>
              <w:b/>
            </w:rPr>
          </w:pPr>
          <w:r>
            <w:rPr>
              <w:b/>
            </w:rPr>
            <w:t>Staatstoezicht op de Mijnen</w:t>
          </w:r>
        </w:p>
        <w:p w14:paraId="335A5F75" w14:textId="3B8C2318" w:rsidR="003C60CD" w:rsidRPr="00821A05" w:rsidRDefault="003C60CD" w:rsidP="00AD1831">
          <w:pPr>
            <w:pStyle w:val="Huisstijl-Adres"/>
            <w:rPr>
              <w:lang w:val="fr-FR"/>
            </w:rPr>
          </w:pPr>
        </w:p>
      </w:tc>
    </w:tr>
    <w:tr w:rsidR="00AE2E11" w14:paraId="0FA9459D" w14:textId="77777777" w:rsidTr="00AD1831">
      <w:trPr>
        <w:trHeight w:hRule="exact" w:val="200"/>
      </w:trPr>
      <w:tc>
        <w:tcPr>
          <w:tcW w:w="2160" w:type="dxa"/>
          <w:shd w:val="clear" w:color="auto" w:fill="auto"/>
        </w:tcPr>
        <w:p w14:paraId="5E662513" w14:textId="77777777" w:rsidR="003C60CD" w:rsidRPr="00821A05" w:rsidRDefault="003C60CD" w:rsidP="00AD1831">
          <w:pPr>
            <w:rPr>
              <w:lang w:val="fr-FR"/>
            </w:rPr>
          </w:pPr>
        </w:p>
      </w:tc>
    </w:tr>
    <w:tr w:rsidR="00AE2E11" w14:paraId="5F520137" w14:textId="77777777" w:rsidTr="00AD1831">
      <w:tc>
        <w:tcPr>
          <w:tcW w:w="2160" w:type="dxa"/>
          <w:shd w:val="clear" w:color="auto" w:fill="auto"/>
        </w:tcPr>
        <w:p w14:paraId="6BE0473D" w14:textId="77777777" w:rsidR="003C60CD" w:rsidRPr="00F9751C" w:rsidRDefault="00FB4FC1" w:rsidP="00AD1831">
          <w:pPr>
            <w:pStyle w:val="Huisstijl-Kopje"/>
          </w:pPr>
          <w:r>
            <w:t>Datum</w:t>
          </w:r>
        </w:p>
        <w:p w14:paraId="1619D9A3" w14:textId="77777777" w:rsidR="003C60CD" w:rsidRPr="00F9751C" w:rsidRDefault="00FB4FC1" w:rsidP="00AD1831">
          <w:pPr>
            <w:pStyle w:val="Huisstijl-Gegeven"/>
          </w:pPr>
          <w:r>
            <w:t>5 april 2024</w:t>
          </w:r>
        </w:p>
        <w:p w14:paraId="78BEFA09" w14:textId="77777777" w:rsidR="00201FAB" w:rsidRDefault="00FB4FC1" w:rsidP="007F142A">
          <w:pPr>
            <w:pStyle w:val="Huisstijl-Kopje"/>
          </w:pPr>
          <w:r>
            <w:t>Kenmerk</w:t>
          </w:r>
        </w:p>
        <w:p w14:paraId="518B1179" w14:textId="77777777" w:rsidR="007F142A" w:rsidRPr="007F142A" w:rsidRDefault="00FB4FC1" w:rsidP="007F142A">
          <w:pPr>
            <w:pStyle w:val="Huisstijl-Kopje"/>
            <w:rPr>
              <w:b w:val="0"/>
              <w:bCs/>
            </w:rPr>
          </w:pPr>
          <w:r>
            <w:rPr>
              <w:b w:val="0"/>
              <w:bCs/>
            </w:rPr>
            <w:t>52493706</w:t>
          </w:r>
        </w:p>
        <w:p w14:paraId="5F2A1F81" w14:textId="77777777" w:rsidR="007F142A" w:rsidRDefault="007F142A" w:rsidP="00AD1831">
          <w:pPr>
            <w:pStyle w:val="Huisstijl-Kopje"/>
          </w:pPr>
        </w:p>
        <w:p w14:paraId="6E077BD1" w14:textId="77777777" w:rsidR="003C60CD" w:rsidRPr="00F9751C" w:rsidRDefault="00FB4FC1" w:rsidP="00AD1831">
          <w:pPr>
            <w:pStyle w:val="Huisstijl-Kopje"/>
          </w:pPr>
          <w:r>
            <w:t>K</w:t>
          </w:r>
          <w:r w:rsidRPr="00F9751C">
            <w:t>opie aan</w:t>
          </w:r>
        </w:p>
        <w:p w14:paraId="3025E69B" w14:textId="77777777" w:rsidR="003C60CD" w:rsidRDefault="003C60CD" w:rsidP="00AD1831">
          <w:pPr>
            <w:pStyle w:val="Huisstijl-NotaGegeven"/>
          </w:pPr>
        </w:p>
        <w:p w14:paraId="390C8E84" w14:textId="77777777" w:rsidR="003C60CD" w:rsidRPr="00F9751C" w:rsidRDefault="003C60CD" w:rsidP="00AD1831">
          <w:pPr>
            <w:pStyle w:val="Huisstijl-NotaGegeven"/>
          </w:pPr>
        </w:p>
        <w:p w14:paraId="31C43F5C" w14:textId="77777777" w:rsidR="003C60CD" w:rsidRPr="00F9751C" w:rsidRDefault="00FB4FC1" w:rsidP="00AD1831">
          <w:pPr>
            <w:pStyle w:val="Huisstijl-Kopje"/>
          </w:pPr>
          <w:r w:rsidRPr="00F9751C">
            <w:t>Bijlage</w:t>
          </w:r>
          <w:r>
            <w:t>(</w:t>
          </w:r>
          <w:r w:rsidRPr="00F9751C">
            <w:t>n</w:t>
          </w:r>
          <w:r>
            <w:t>)</w:t>
          </w:r>
        </w:p>
        <w:p w14:paraId="50BF8B5B" w14:textId="77777777" w:rsidR="003C60CD" w:rsidRPr="00F0379C" w:rsidRDefault="003C60CD" w:rsidP="00AD1831">
          <w:pPr>
            <w:pStyle w:val="Huisstijl-Gegeven"/>
          </w:pPr>
        </w:p>
      </w:tc>
    </w:tr>
  </w:tbl>
  <w:p w14:paraId="68058F0B" w14:textId="77777777" w:rsidR="00497EC4" w:rsidRPr="00497EC4" w:rsidRDefault="00497EC4" w:rsidP="00497EC4">
    <w:pPr>
      <w:rPr>
        <w:vanish/>
      </w:rPr>
    </w:pPr>
  </w:p>
  <w:tbl>
    <w:tblPr>
      <w:tblW w:w="7371" w:type="dxa"/>
      <w:tblLayout w:type="fixed"/>
      <w:tblCellMar>
        <w:left w:w="0" w:type="dxa"/>
        <w:right w:w="0" w:type="dxa"/>
      </w:tblCellMar>
      <w:tblLook w:val="0000" w:firstRow="0" w:lastRow="0" w:firstColumn="0" w:lastColumn="0" w:noHBand="0" w:noVBand="0"/>
    </w:tblPr>
    <w:tblGrid>
      <w:gridCol w:w="2176"/>
      <w:gridCol w:w="5195"/>
    </w:tblGrid>
    <w:tr w:rsidR="00AE2E11" w14:paraId="104F157E" w14:textId="77777777" w:rsidTr="00E366E2">
      <w:trPr>
        <w:trHeight w:val="400"/>
      </w:trPr>
      <w:tc>
        <w:tcPr>
          <w:tcW w:w="7520" w:type="dxa"/>
          <w:gridSpan w:val="2"/>
          <w:shd w:val="clear" w:color="auto" w:fill="auto"/>
        </w:tcPr>
        <w:p w14:paraId="384D80B3" w14:textId="77777777" w:rsidR="003C60CD" w:rsidRPr="00B349FA" w:rsidRDefault="003C60CD" w:rsidP="00642A47"/>
      </w:tc>
    </w:tr>
    <w:tr w:rsidR="00AE2E11" w14:paraId="3BDE12B9" w14:textId="77777777" w:rsidTr="00E366E2">
      <w:trPr>
        <w:trHeight w:hRule="exact" w:val="1880"/>
      </w:trPr>
      <w:tc>
        <w:tcPr>
          <w:tcW w:w="7520" w:type="dxa"/>
          <w:gridSpan w:val="2"/>
          <w:shd w:val="clear" w:color="auto" w:fill="auto"/>
        </w:tcPr>
        <w:p w14:paraId="01EF9F4C" w14:textId="77777777" w:rsidR="003C60CD" w:rsidRDefault="00FB4FC1" w:rsidP="00642A47">
          <w:pPr>
            <w:pStyle w:val="Huisstijl-NAW"/>
          </w:pPr>
          <w:r>
            <w:t xml:space="preserve">Vaste commissie voor </w:t>
          </w:r>
          <w:r>
            <w:t>Economische Zaken en Klimaat</w:t>
          </w:r>
        </w:p>
        <w:p w14:paraId="60BECCAC" w14:textId="77777777" w:rsidR="00AE2E11" w:rsidRDefault="00FB4FC1">
          <w:pPr>
            <w:pStyle w:val="Huisstijl-NAW"/>
          </w:pPr>
          <w:r>
            <w:t>Tweede Kamer der Staten-Generaal</w:t>
          </w:r>
        </w:p>
        <w:p w14:paraId="12BEC6D2" w14:textId="77777777" w:rsidR="003C60CD" w:rsidRDefault="003C60CD" w:rsidP="00642A47">
          <w:pPr>
            <w:pStyle w:val="Huisstijl-NAW"/>
          </w:pPr>
        </w:p>
      </w:tc>
    </w:tr>
    <w:tr w:rsidR="00AE2E11" w14:paraId="3C2B695E" w14:textId="77777777" w:rsidTr="00E366E2">
      <w:trPr>
        <w:trHeight w:val="460"/>
      </w:trPr>
      <w:tc>
        <w:tcPr>
          <w:tcW w:w="2220" w:type="dxa"/>
          <w:vMerge w:val="restart"/>
          <w:shd w:val="clear" w:color="auto" w:fill="auto"/>
        </w:tcPr>
        <w:p w14:paraId="51811208" w14:textId="59FBCC71" w:rsidR="003C60CD" w:rsidRDefault="003C60CD" w:rsidP="00642A47"/>
      </w:tc>
      <w:tc>
        <w:tcPr>
          <w:tcW w:w="5300" w:type="dxa"/>
          <w:shd w:val="clear" w:color="auto" w:fill="auto"/>
        </w:tcPr>
        <w:p w14:paraId="5F9D9A0A" w14:textId="77777777" w:rsidR="003C60CD" w:rsidRDefault="003C60CD" w:rsidP="00642A47"/>
      </w:tc>
    </w:tr>
    <w:tr w:rsidR="00AE2E11" w14:paraId="5AA83DDE" w14:textId="77777777" w:rsidTr="00E366E2">
      <w:trPr>
        <w:trHeight w:val="560"/>
      </w:trPr>
      <w:tc>
        <w:tcPr>
          <w:tcW w:w="2220" w:type="dxa"/>
          <w:vMerge/>
          <w:shd w:val="clear" w:color="auto" w:fill="auto"/>
        </w:tcPr>
        <w:p w14:paraId="68761F07" w14:textId="77777777" w:rsidR="003C60CD" w:rsidRDefault="003C60CD" w:rsidP="00642A47"/>
      </w:tc>
      <w:tc>
        <w:tcPr>
          <w:tcW w:w="5300" w:type="dxa"/>
          <w:shd w:val="clear" w:color="auto" w:fill="auto"/>
        </w:tcPr>
        <w:p w14:paraId="16912E41" w14:textId="3A76D040" w:rsidR="003C60CD" w:rsidRPr="007402E0" w:rsidRDefault="003C60CD" w:rsidP="00642A47"/>
      </w:tc>
    </w:tr>
  </w:tbl>
  <w:p w14:paraId="035A47B7" w14:textId="77777777" w:rsidR="003C60CD" w:rsidRPr="00BC4AE3" w:rsidRDefault="003C60CD"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42AD248">
      <w:start w:val="1"/>
      <w:numFmt w:val="bullet"/>
      <w:pStyle w:val="Lijstopsomteken"/>
      <w:lvlText w:val="•"/>
      <w:lvlJc w:val="left"/>
      <w:pPr>
        <w:tabs>
          <w:tab w:val="num" w:pos="227"/>
        </w:tabs>
        <w:ind w:left="227" w:hanging="227"/>
      </w:pPr>
      <w:rPr>
        <w:rFonts w:ascii="Verdana" w:hAnsi="Verdana" w:hint="default"/>
        <w:sz w:val="18"/>
        <w:szCs w:val="18"/>
      </w:rPr>
    </w:lvl>
    <w:lvl w:ilvl="1" w:tplc="A788799C" w:tentative="1">
      <w:start w:val="1"/>
      <w:numFmt w:val="bullet"/>
      <w:lvlText w:val="o"/>
      <w:lvlJc w:val="left"/>
      <w:pPr>
        <w:tabs>
          <w:tab w:val="num" w:pos="1440"/>
        </w:tabs>
        <w:ind w:left="1440" w:hanging="360"/>
      </w:pPr>
      <w:rPr>
        <w:rFonts w:ascii="Courier New" w:hAnsi="Courier New" w:cs="Courier New" w:hint="default"/>
      </w:rPr>
    </w:lvl>
    <w:lvl w:ilvl="2" w:tplc="F294C902" w:tentative="1">
      <w:start w:val="1"/>
      <w:numFmt w:val="bullet"/>
      <w:lvlText w:val=""/>
      <w:lvlJc w:val="left"/>
      <w:pPr>
        <w:tabs>
          <w:tab w:val="num" w:pos="2160"/>
        </w:tabs>
        <w:ind w:left="2160" w:hanging="360"/>
      </w:pPr>
      <w:rPr>
        <w:rFonts w:ascii="Wingdings" w:hAnsi="Wingdings" w:hint="default"/>
      </w:rPr>
    </w:lvl>
    <w:lvl w:ilvl="3" w:tplc="C8AC18E8" w:tentative="1">
      <w:start w:val="1"/>
      <w:numFmt w:val="bullet"/>
      <w:lvlText w:val=""/>
      <w:lvlJc w:val="left"/>
      <w:pPr>
        <w:tabs>
          <w:tab w:val="num" w:pos="2880"/>
        </w:tabs>
        <w:ind w:left="2880" w:hanging="360"/>
      </w:pPr>
      <w:rPr>
        <w:rFonts w:ascii="Symbol" w:hAnsi="Symbol" w:hint="default"/>
      </w:rPr>
    </w:lvl>
    <w:lvl w:ilvl="4" w:tplc="C468720A" w:tentative="1">
      <w:start w:val="1"/>
      <w:numFmt w:val="bullet"/>
      <w:lvlText w:val="o"/>
      <w:lvlJc w:val="left"/>
      <w:pPr>
        <w:tabs>
          <w:tab w:val="num" w:pos="3600"/>
        </w:tabs>
        <w:ind w:left="3600" w:hanging="360"/>
      </w:pPr>
      <w:rPr>
        <w:rFonts w:ascii="Courier New" w:hAnsi="Courier New" w:cs="Courier New" w:hint="default"/>
      </w:rPr>
    </w:lvl>
    <w:lvl w:ilvl="5" w:tplc="669616D8" w:tentative="1">
      <w:start w:val="1"/>
      <w:numFmt w:val="bullet"/>
      <w:lvlText w:val=""/>
      <w:lvlJc w:val="left"/>
      <w:pPr>
        <w:tabs>
          <w:tab w:val="num" w:pos="4320"/>
        </w:tabs>
        <w:ind w:left="4320" w:hanging="360"/>
      </w:pPr>
      <w:rPr>
        <w:rFonts w:ascii="Wingdings" w:hAnsi="Wingdings" w:hint="default"/>
      </w:rPr>
    </w:lvl>
    <w:lvl w:ilvl="6" w:tplc="E51E359C" w:tentative="1">
      <w:start w:val="1"/>
      <w:numFmt w:val="bullet"/>
      <w:lvlText w:val=""/>
      <w:lvlJc w:val="left"/>
      <w:pPr>
        <w:tabs>
          <w:tab w:val="num" w:pos="5040"/>
        </w:tabs>
        <w:ind w:left="5040" w:hanging="360"/>
      </w:pPr>
      <w:rPr>
        <w:rFonts w:ascii="Symbol" w:hAnsi="Symbol" w:hint="default"/>
      </w:rPr>
    </w:lvl>
    <w:lvl w:ilvl="7" w:tplc="3440D8E0" w:tentative="1">
      <w:start w:val="1"/>
      <w:numFmt w:val="bullet"/>
      <w:lvlText w:val="o"/>
      <w:lvlJc w:val="left"/>
      <w:pPr>
        <w:tabs>
          <w:tab w:val="num" w:pos="5760"/>
        </w:tabs>
        <w:ind w:left="5760" w:hanging="360"/>
      </w:pPr>
      <w:rPr>
        <w:rFonts w:ascii="Courier New" w:hAnsi="Courier New" w:cs="Courier New" w:hint="default"/>
      </w:rPr>
    </w:lvl>
    <w:lvl w:ilvl="8" w:tplc="952C62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50ED090">
      <w:start w:val="1"/>
      <w:numFmt w:val="bullet"/>
      <w:pStyle w:val="Lijstopsomteken2"/>
      <w:lvlText w:val="–"/>
      <w:lvlJc w:val="left"/>
      <w:pPr>
        <w:tabs>
          <w:tab w:val="num" w:pos="227"/>
        </w:tabs>
        <w:ind w:left="227" w:firstLine="0"/>
      </w:pPr>
      <w:rPr>
        <w:rFonts w:ascii="Verdana" w:hAnsi="Verdana" w:hint="default"/>
      </w:rPr>
    </w:lvl>
    <w:lvl w:ilvl="1" w:tplc="9B0814AA" w:tentative="1">
      <w:start w:val="1"/>
      <w:numFmt w:val="bullet"/>
      <w:lvlText w:val="o"/>
      <w:lvlJc w:val="left"/>
      <w:pPr>
        <w:tabs>
          <w:tab w:val="num" w:pos="1440"/>
        </w:tabs>
        <w:ind w:left="1440" w:hanging="360"/>
      </w:pPr>
      <w:rPr>
        <w:rFonts w:ascii="Courier New" w:hAnsi="Courier New" w:cs="Courier New" w:hint="default"/>
      </w:rPr>
    </w:lvl>
    <w:lvl w:ilvl="2" w:tplc="2944A0B8" w:tentative="1">
      <w:start w:val="1"/>
      <w:numFmt w:val="bullet"/>
      <w:lvlText w:val=""/>
      <w:lvlJc w:val="left"/>
      <w:pPr>
        <w:tabs>
          <w:tab w:val="num" w:pos="2160"/>
        </w:tabs>
        <w:ind w:left="2160" w:hanging="360"/>
      </w:pPr>
      <w:rPr>
        <w:rFonts w:ascii="Wingdings" w:hAnsi="Wingdings" w:hint="default"/>
      </w:rPr>
    </w:lvl>
    <w:lvl w:ilvl="3" w:tplc="5628C42C" w:tentative="1">
      <w:start w:val="1"/>
      <w:numFmt w:val="bullet"/>
      <w:lvlText w:val=""/>
      <w:lvlJc w:val="left"/>
      <w:pPr>
        <w:tabs>
          <w:tab w:val="num" w:pos="2880"/>
        </w:tabs>
        <w:ind w:left="2880" w:hanging="360"/>
      </w:pPr>
      <w:rPr>
        <w:rFonts w:ascii="Symbol" w:hAnsi="Symbol" w:hint="default"/>
      </w:rPr>
    </w:lvl>
    <w:lvl w:ilvl="4" w:tplc="727804EA" w:tentative="1">
      <w:start w:val="1"/>
      <w:numFmt w:val="bullet"/>
      <w:lvlText w:val="o"/>
      <w:lvlJc w:val="left"/>
      <w:pPr>
        <w:tabs>
          <w:tab w:val="num" w:pos="3600"/>
        </w:tabs>
        <w:ind w:left="3600" w:hanging="360"/>
      </w:pPr>
      <w:rPr>
        <w:rFonts w:ascii="Courier New" w:hAnsi="Courier New" w:cs="Courier New" w:hint="default"/>
      </w:rPr>
    </w:lvl>
    <w:lvl w:ilvl="5" w:tplc="0252648A" w:tentative="1">
      <w:start w:val="1"/>
      <w:numFmt w:val="bullet"/>
      <w:lvlText w:val=""/>
      <w:lvlJc w:val="left"/>
      <w:pPr>
        <w:tabs>
          <w:tab w:val="num" w:pos="4320"/>
        </w:tabs>
        <w:ind w:left="4320" w:hanging="360"/>
      </w:pPr>
      <w:rPr>
        <w:rFonts w:ascii="Wingdings" w:hAnsi="Wingdings" w:hint="default"/>
      </w:rPr>
    </w:lvl>
    <w:lvl w:ilvl="6" w:tplc="8B2C7D4C" w:tentative="1">
      <w:start w:val="1"/>
      <w:numFmt w:val="bullet"/>
      <w:lvlText w:val=""/>
      <w:lvlJc w:val="left"/>
      <w:pPr>
        <w:tabs>
          <w:tab w:val="num" w:pos="5040"/>
        </w:tabs>
        <w:ind w:left="5040" w:hanging="360"/>
      </w:pPr>
      <w:rPr>
        <w:rFonts w:ascii="Symbol" w:hAnsi="Symbol" w:hint="default"/>
      </w:rPr>
    </w:lvl>
    <w:lvl w:ilvl="7" w:tplc="6D2253F4" w:tentative="1">
      <w:start w:val="1"/>
      <w:numFmt w:val="bullet"/>
      <w:lvlText w:val="o"/>
      <w:lvlJc w:val="left"/>
      <w:pPr>
        <w:tabs>
          <w:tab w:val="num" w:pos="5760"/>
        </w:tabs>
        <w:ind w:left="5760" w:hanging="360"/>
      </w:pPr>
      <w:rPr>
        <w:rFonts w:ascii="Courier New" w:hAnsi="Courier New" w:cs="Courier New" w:hint="default"/>
      </w:rPr>
    </w:lvl>
    <w:lvl w:ilvl="8" w:tplc="2A429F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6F5A97"/>
    <w:multiLevelType w:val="hybridMultilevel"/>
    <w:tmpl w:val="63F890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91733955">
    <w:abstractNumId w:val="10"/>
  </w:num>
  <w:num w:numId="2" w16cid:durableId="374504966">
    <w:abstractNumId w:val="7"/>
  </w:num>
  <w:num w:numId="3" w16cid:durableId="651451181">
    <w:abstractNumId w:val="6"/>
  </w:num>
  <w:num w:numId="4" w16cid:durableId="1734161701">
    <w:abstractNumId w:val="5"/>
  </w:num>
  <w:num w:numId="5" w16cid:durableId="1144083031">
    <w:abstractNumId w:val="4"/>
  </w:num>
  <w:num w:numId="6" w16cid:durableId="792796786">
    <w:abstractNumId w:val="8"/>
  </w:num>
  <w:num w:numId="7" w16cid:durableId="718364272">
    <w:abstractNumId w:val="3"/>
  </w:num>
  <w:num w:numId="8" w16cid:durableId="1603143771">
    <w:abstractNumId w:val="2"/>
  </w:num>
  <w:num w:numId="9" w16cid:durableId="1042748357">
    <w:abstractNumId w:val="1"/>
  </w:num>
  <w:num w:numId="10" w16cid:durableId="1973824530">
    <w:abstractNumId w:val="0"/>
  </w:num>
  <w:num w:numId="11" w16cid:durableId="162861513">
    <w:abstractNumId w:val="9"/>
  </w:num>
  <w:num w:numId="12" w16cid:durableId="1114330186">
    <w:abstractNumId w:val="11"/>
  </w:num>
  <w:num w:numId="13" w16cid:durableId="1699349213">
    <w:abstractNumId w:val="13"/>
  </w:num>
  <w:num w:numId="14" w16cid:durableId="1449394820">
    <w:abstractNumId w:val="12"/>
  </w:num>
  <w:num w:numId="15" w16cid:durableId="175153689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DC"/>
    <w:rsid w:val="0001293B"/>
    <w:rsid w:val="00013862"/>
    <w:rsid w:val="00016012"/>
    <w:rsid w:val="00020189"/>
    <w:rsid w:val="00020EE4"/>
    <w:rsid w:val="00023E9A"/>
    <w:rsid w:val="00034A84"/>
    <w:rsid w:val="00035E67"/>
    <w:rsid w:val="000366F3"/>
    <w:rsid w:val="000412D0"/>
    <w:rsid w:val="00044613"/>
    <w:rsid w:val="000573B8"/>
    <w:rsid w:val="00071F28"/>
    <w:rsid w:val="0007250C"/>
    <w:rsid w:val="00074079"/>
    <w:rsid w:val="000862F1"/>
    <w:rsid w:val="00092799"/>
    <w:rsid w:val="00092C5F"/>
    <w:rsid w:val="00093CD0"/>
    <w:rsid w:val="00096680"/>
    <w:rsid w:val="000A174A"/>
    <w:rsid w:val="000A3E0A"/>
    <w:rsid w:val="000A65AC"/>
    <w:rsid w:val="000A6F4F"/>
    <w:rsid w:val="000B7281"/>
    <w:rsid w:val="000B7FAB"/>
    <w:rsid w:val="000C3EA9"/>
    <w:rsid w:val="000D0225"/>
    <w:rsid w:val="000D119D"/>
    <w:rsid w:val="000F161D"/>
    <w:rsid w:val="000F3F40"/>
    <w:rsid w:val="000F5E17"/>
    <w:rsid w:val="00107BA9"/>
    <w:rsid w:val="00123704"/>
    <w:rsid w:val="001270C7"/>
    <w:rsid w:val="00132540"/>
    <w:rsid w:val="0014786A"/>
    <w:rsid w:val="001516A4"/>
    <w:rsid w:val="00151E5F"/>
    <w:rsid w:val="001569AB"/>
    <w:rsid w:val="001726F3"/>
    <w:rsid w:val="001742DC"/>
    <w:rsid w:val="00174CC2"/>
    <w:rsid w:val="00176CC6"/>
    <w:rsid w:val="00181BE4"/>
    <w:rsid w:val="00185576"/>
    <w:rsid w:val="00185951"/>
    <w:rsid w:val="00193F96"/>
    <w:rsid w:val="00194455"/>
    <w:rsid w:val="00196B8B"/>
    <w:rsid w:val="001A2BEA"/>
    <w:rsid w:val="001A41F0"/>
    <w:rsid w:val="001A6D93"/>
    <w:rsid w:val="001C32EC"/>
    <w:rsid w:val="001C4D5A"/>
    <w:rsid w:val="001C6A64"/>
    <w:rsid w:val="001E34C6"/>
    <w:rsid w:val="001E4C6B"/>
    <w:rsid w:val="001E5581"/>
    <w:rsid w:val="001F3C70"/>
    <w:rsid w:val="001F666B"/>
    <w:rsid w:val="00200D88"/>
    <w:rsid w:val="00201F68"/>
    <w:rsid w:val="00201FAB"/>
    <w:rsid w:val="00202C3A"/>
    <w:rsid w:val="00207A8D"/>
    <w:rsid w:val="00212F2A"/>
    <w:rsid w:val="00214F2B"/>
    <w:rsid w:val="00217880"/>
    <w:rsid w:val="002309A8"/>
    <w:rsid w:val="00236CFE"/>
    <w:rsid w:val="002428E3"/>
    <w:rsid w:val="00246667"/>
    <w:rsid w:val="00260BAF"/>
    <w:rsid w:val="002650F7"/>
    <w:rsid w:val="00273F3B"/>
    <w:rsid w:val="00274DB7"/>
    <w:rsid w:val="00275984"/>
    <w:rsid w:val="00280F74"/>
    <w:rsid w:val="00283D12"/>
    <w:rsid w:val="00286998"/>
    <w:rsid w:val="00290B80"/>
    <w:rsid w:val="00291AB7"/>
    <w:rsid w:val="0029422B"/>
    <w:rsid w:val="002A3AD0"/>
    <w:rsid w:val="002B153C"/>
    <w:rsid w:val="002C2830"/>
    <w:rsid w:val="002D001A"/>
    <w:rsid w:val="002D317B"/>
    <w:rsid w:val="002D3587"/>
    <w:rsid w:val="002D502D"/>
    <w:rsid w:val="002E0F69"/>
    <w:rsid w:val="002F5147"/>
    <w:rsid w:val="002F69E0"/>
    <w:rsid w:val="00312597"/>
    <w:rsid w:val="00316069"/>
    <w:rsid w:val="00334154"/>
    <w:rsid w:val="00340ECA"/>
    <w:rsid w:val="00341FA0"/>
    <w:rsid w:val="003429B0"/>
    <w:rsid w:val="00351882"/>
    <w:rsid w:val="00352BCF"/>
    <w:rsid w:val="00353932"/>
    <w:rsid w:val="0035464B"/>
    <w:rsid w:val="0036252A"/>
    <w:rsid w:val="00364D9D"/>
    <w:rsid w:val="0037421D"/>
    <w:rsid w:val="00383DA1"/>
    <w:rsid w:val="00393963"/>
    <w:rsid w:val="00395575"/>
    <w:rsid w:val="00395672"/>
    <w:rsid w:val="003A06C8"/>
    <w:rsid w:val="003A0D7C"/>
    <w:rsid w:val="003B67CE"/>
    <w:rsid w:val="003B7675"/>
    <w:rsid w:val="003B7EE7"/>
    <w:rsid w:val="003C2CCB"/>
    <w:rsid w:val="003C60CD"/>
    <w:rsid w:val="003C6804"/>
    <w:rsid w:val="003D39EC"/>
    <w:rsid w:val="003E1A50"/>
    <w:rsid w:val="003E3DD5"/>
    <w:rsid w:val="003F07C6"/>
    <w:rsid w:val="003F1F6B"/>
    <w:rsid w:val="003F3757"/>
    <w:rsid w:val="003F44B7"/>
    <w:rsid w:val="003F6474"/>
    <w:rsid w:val="00413D48"/>
    <w:rsid w:val="0041706A"/>
    <w:rsid w:val="00441AC2"/>
    <w:rsid w:val="0044249B"/>
    <w:rsid w:val="0045023C"/>
    <w:rsid w:val="00451A5B"/>
    <w:rsid w:val="00452BCD"/>
    <w:rsid w:val="00452CEA"/>
    <w:rsid w:val="00465B52"/>
    <w:rsid w:val="0046708E"/>
    <w:rsid w:val="00474463"/>
    <w:rsid w:val="00474B75"/>
    <w:rsid w:val="00483F0B"/>
    <w:rsid w:val="004859D7"/>
    <w:rsid w:val="00496319"/>
    <w:rsid w:val="00497EC4"/>
    <w:rsid w:val="004A7ABA"/>
    <w:rsid w:val="004B5465"/>
    <w:rsid w:val="004C0BF5"/>
    <w:rsid w:val="004D505E"/>
    <w:rsid w:val="004D72CA"/>
    <w:rsid w:val="004E2242"/>
    <w:rsid w:val="004E4088"/>
    <w:rsid w:val="004E4926"/>
    <w:rsid w:val="004F1EC4"/>
    <w:rsid w:val="004F42FF"/>
    <w:rsid w:val="004F44C2"/>
    <w:rsid w:val="005038DA"/>
    <w:rsid w:val="00516022"/>
    <w:rsid w:val="00521CEE"/>
    <w:rsid w:val="00523A6D"/>
    <w:rsid w:val="00533FEB"/>
    <w:rsid w:val="005429DC"/>
    <w:rsid w:val="00554E13"/>
    <w:rsid w:val="00573041"/>
    <w:rsid w:val="00575B80"/>
    <w:rsid w:val="005819CE"/>
    <w:rsid w:val="0058298D"/>
    <w:rsid w:val="00593C2B"/>
    <w:rsid w:val="00596166"/>
    <w:rsid w:val="005C3FE0"/>
    <w:rsid w:val="005C740C"/>
    <w:rsid w:val="005D625B"/>
    <w:rsid w:val="005E1F02"/>
    <w:rsid w:val="005F5C95"/>
    <w:rsid w:val="005F6D11"/>
    <w:rsid w:val="00600CF0"/>
    <w:rsid w:val="006048F4"/>
    <w:rsid w:val="0060660A"/>
    <w:rsid w:val="00613798"/>
    <w:rsid w:val="0061590A"/>
    <w:rsid w:val="00617A44"/>
    <w:rsid w:val="006202B6"/>
    <w:rsid w:val="00622291"/>
    <w:rsid w:val="00625CD0"/>
    <w:rsid w:val="00627432"/>
    <w:rsid w:val="006357EE"/>
    <w:rsid w:val="00642A47"/>
    <w:rsid w:val="006448E4"/>
    <w:rsid w:val="0065066C"/>
    <w:rsid w:val="00653606"/>
    <w:rsid w:val="00661591"/>
    <w:rsid w:val="0066632F"/>
    <w:rsid w:val="00674A89"/>
    <w:rsid w:val="00684934"/>
    <w:rsid w:val="00685545"/>
    <w:rsid w:val="006864B3"/>
    <w:rsid w:val="00693B67"/>
    <w:rsid w:val="006A10F8"/>
    <w:rsid w:val="006A2100"/>
    <w:rsid w:val="006B0209"/>
    <w:rsid w:val="006B0BF3"/>
    <w:rsid w:val="006B775E"/>
    <w:rsid w:val="006C2535"/>
    <w:rsid w:val="006C441E"/>
    <w:rsid w:val="006C4B90"/>
    <w:rsid w:val="006D1016"/>
    <w:rsid w:val="006D17F2"/>
    <w:rsid w:val="006E3546"/>
    <w:rsid w:val="006E3FA9"/>
    <w:rsid w:val="006E7D82"/>
    <w:rsid w:val="006F0F93"/>
    <w:rsid w:val="006F31F2"/>
    <w:rsid w:val="00714DC5"/>
    <w:rsid w:val="00715237"/>
    <w:rsid w:val="007254A5"/>
    <w:rsid w:val="00725748"/>
    <w:rsid w:val="00732028"/>
    <w:rsid w:val="00735D88"/>
    <w:rsid w:val="0073720D"/>
    <w:rsid w:val="00737507"/>
    <w:rsid w:val="00737C88"/>
    <w:rsid w:val="007402E0"/>
    <w:rsid w:val="00740712"/>
    <w:rsid w:val="00742AB9"/>
    <w:rsid w:val="00746233"/>
    <w:rsid w:val="00754FBF"/>
    <w:rsid w:val="007709EF"/>
    <w:rsid w:val="00783559"/>
    <w:rsid w:val="00797AA5"/>
    <w:rsid w:val="007A4105"/>
    <w:rsid w:val="007B4503"/>
    <w:rsid w:val="007C406E"/>
    <w:rsid w:val="007C5183"/>
    <w:rsid w:val="007D0A6B"/>
    <w:rsid w:val="007D21B7"/>
    <w:rsid w:val="007E2B20"/>
    <w:rsid w:val="007E6E4E"/>
    <w:rsid w:val="007F142A"/>
    <w:rsid w:val="007F2868"/>
    <w:rsid w:val="007F49AA"/>
    <w:rsid w:val="007F5331"/>
    <w:rsid w:val="00800CCA"/>
    <w:rsid w:val="00806120"/>
    <w:rsid w:val="00812028"/>
    <w:rsid w:val="00813082"/>
    <w:rsid w:val="00813406"/>
    <w:rsid w:val="00814D03"/>
    <w:rsid w:val="00816D33"/>
    <w:rsid w:val="00821A05"/>
    <w:rsid w:val="00823AE2"/>
    <w:rsid w:val="0083178B"/>
    <w:rsid w:val="00833695"/>
    <w:rsid w:val="008336B7"/>
    <w:rsid w:val="00833A8E"/>
    <w:rsid w:val="00842CD8"/>
    <w:rsid w:val="008431FA"/>
    <w:rsid w:val="008547BA"/>
    <w:rsid w:val="008553C7"/>
    <w:rsid w:val="00857FEB"/>
    <w:rsid w:val="008601AF"/>
    <w:rsid w:val="00872271"/>
    <w:rsid w:val="008A28F5"/>
    <w:rsid w:val="008B3929"/>
    <w:rsid w:val="008B4CB3"/>
    <w:rsid w:val="008B5E1C"/>
    <w:rsid w:val="008B7B24"/>
    <w:rsid w:val="008C356D"/>
    <w:rsid w:val="008D6C99"/>
    <w:rsid w:val="008E49AD"/>
    <w:rsid w:val="008F3246"/>
    <w:rsid w:val="008F3C1B"/>
    <w:rsid w:val="008F508C"/>
    <w:rsid w:val="0090271B"/>
    <w:rsid w:val="00910642"/>
    <w:rsid w:val="00910DDF"/>
    <w:rsid w:val="009311C8"/>
    <w:rsid w:val="00933376"/>
    <w:rsid w:val="00933A2F"/>
    <w:rsid w:val="009517CD"/>
    <w:rsid w:val="009718F9"/>
    <w:rsid w:val="00972FB9"/>
    <w:rsid w:val="00975112"/>
    <w:rsid w:val="00981768"/>
    <w:rsid w:val="00983E8F"/>
    <w:rsid w:val="00994FDA"/>
    <w:rsid w:val="009A3B71"/>
    <w:rsid w:val="009A61BC"/>
    <w:rsid w:val="009B0138"/>
    <w:rsid w:val="009B0FE9"/>
    <w:rsid w:val="009C3F20"/>
    <w:rsid w:val="009C7CA1"/>
    <w:rsid w:val="009D043D"/>
    <w:rsid w:val="009F3259"/>
    <w:rsid w:val="00A128AD"/>
    <w:rsid w:val="00A14623"/>
    <w:rsid w:val="00A165F6"/>
    <w:rsid w:val="00A21E76"/>
    <w:rsid w:val="00A23BC8"/>
    <w:rsid w:val="00A30E68"/>
    <w:rsid w:val="00A31933"/>
    <w:rsid w:val="00A34AA0"/>
    <w:rsid w:val="00A41FE2"/>
    <w:rsid w:val="00A47948"/>
    <w:rsid w:val="00A56946"/>
    <w:rsid w:val="00A57006"/>
    <w:rsid w:val="00A63B8C"/>
    <w:rsid w:val="00A77F6F"/>
    <w:rsid w:val="00A831FD"/>
    <w:rsid w:val="00A9016E"/>
    <w:rsid w:val="00A91FA3"/>
    <w:rsid w:val="00A94D8D"/>
    <w:rsid w:val="00A97A82"/>
    <w:rsid w:val="00AA7FC9"/>
    <w:rsid w:val="00AB058B"/>
    <w:rsid w:val="00AB237D"/>
    <w:rsid w:val="00AB5933"/>
    <w:rsid w:val="00AD1831"/>
    <w:rsid w:val="00AE013D"/>
    <w:rsid w:val="00AE11B7"/>
    <w:rsid w:val="00AE2E11"/>
    <w:rsid w:val="00AF52F6"/>
    <w:rsid w:val="00AF7237"/>
    <w:rsid w:val="00B0043A"/>
    <w:rsid w:val="00B00D75"/>
    <w:rsid w:val="00B070CB"/>
    <w:rsid w:val="00B1379B"/>
    <w:rsid w:val="00B240A0"/>
    <w:rsid w:val="00B259C8"/>
    <w:rsid w:val="00B26CCF"/>
    <w:rsid w:val="00B26F5E"/>
    <w:rsid w:val="00B349FA"/>
    <w:rsid w:val="00B34C10"/>
    <w:rsid w:val="00B425F0"/>
    <w:rsid w:val="00B42DFA"/>
    <w:rsid w:val="00B531DD"/>
    <w:rsid w:val="00B55014"/>
    <w:rsid w:val="00B62232"/>
    <w:rsid w:val="00B71DC2"/>
    <w:rsid w:val="00B93893"/>
    <w:rsid w:val="00BB4731"/>
    <w:rsid w:val="00BB4CA3"/>
    <w:rsid w:val="00BC3B53"/>
    <w:rsid w:val="00BC3B96"/>
    <w:rsid w:val="00BC4AE3"/>
    <w:rsid w:val="00BE3F88"/>
    <w:rsid w:val="00BE4756"/>
    <w:rsid w:val="00BE5ED9"/>
    <w:rsid w:val="00BE77D3"/>
    <w:rsid w:val="00BE7B41"/>
    <w:rsid w:val="00BF01F5"/>
    <w:rsid w:val="00C206F1"/>
    <w:rsid w:val="00C217E1"/>
    <w:rsid w:val="00C40C60"/>
    <w:rsid w:val="00C5258E"/>
    <w:rsid w:val="00C5621A"/>
    <w:rsid w:val="00C65AF2"/>
    <w:rsid w:val="00C74BE8"/>
    <w:rsid w:val="00C97C80"/>
    <w:rsid w:val="00CA47D3"/>
    <w:rsid w:val="00CA6A3F"/>
    <w:rsid w:val="00CA7C99"/>
    <w:rsid w:val="00CD362D"/>
    <w:rsid w:val="00CE1C84"/>
    <w:rsid w:val="00CE5636"/>
    <w:rsid w:val="00CF053F"/>
    <w:rsid w:val="00CF2B05"/>
    <w:rsid w:val="00D0609E"/>
    <w:rsid w:val="00D078E1"/>
    <w:rsid w:val="00D100E9"/>
    <w:rsid w:val="00D127FF"/>
    <w:rsid w:val="00D16A88"/>
    <w:rsid w:val="00D2026D"/>
    <w:rsid w:val="00D21E4B"/>
    <w:rsid w:val="00D23522"/>
    <w:rsid w:val="00D264D6"/>
    <w:rsid w:val="00D33BF0"/>
    <w:rsid w:val="00D34B4E"/>
    <w:rsid w:val="00D516BE"/>
    <w:rsid w:val="00D5423B"/>
    <w:rsid w:val="00D54F4E"/>
    <w:rsid w:val="00D56ED2"/>
    <w:rsid w:val="00D60BA4"/>
    <w:rsid w:val="00D62419"/>
    <w:rsid w:val="00D77870"/>
    <w:rsid w:val="00D80CCE"/>
    <w:rsid w:val="00D81E2B"/>
    <w:rsid w:val="00D8573B"/>
    <w:rsid w:val="00D87D03"/>
    <w:rsid w:val="00D91EB3"/>
    <w:rsid w:val="00D95C88"/>
    <w:rsid w:val="00D9782E"/>
    <w:rsid w:val="00D97B2E"/>
    <w:rsid w:val="00DA708C"/>
    <w:rsid w:val="00DB36FE"/>
    <w:rsid w:val="00DB533A"/>
    <w:rsid w:val="00DD66F2"/>
    <w:rsid w:val="00DE3FE0"/>
    <w:rsid w:val="00DE578A"/>
    <w:rsid w:val="00DF2583"/>
    <w:rsid w:val="00DF54D9"/>
    <w:rsid w:val="00E01A59"/>
    <w:rsid w:val="00E10DC6"/>
    <w:rsid w:val="00E11F8E"/>
    <w:rsid w:val="00E2068A"/>
    <w:rsid w:val="00E21DE3"/>
    <w:rsid w:val="00E31669"/>
    <w:rsid w:val="00E366E2"/>
    <w:rsid w:val="00E3731D"/>
    <w:rsid w:val="00E51469"/>
    <w:rsid w:val="00E634E3"/>
    <w:rsid w:val="00E6561F"/>
    <w:rsid w:val="00E77F89"/>
    <w:rsid w:val="00E80E71"/>
    <w:rsid w:val="00E850D3"/>
    <w:rsid w:val="00E876B9"/>
    <w:rsid w:val="00EB0A99"/>
    <w:rsid w:val="00EC0DFF"/>
    <w:rsid w:val="00EC237D"/>
    <w:rsid w:val="00EC2E47"/>
    <w:rsid w:val="00EC4D0E"/>
    <w:rsid w:val="00ED072A"/>
    <w:rsid w:val="00EE4A1F"/>
    <w:rsid w:val="00EE4C2D"/>
    <w:rsid w:val="00EF1B5A"/>
    <w:rsid w:val="00EF24FB"/>
    <w:rsid w:val="00EF2CCA"/>
    <w:rsid w:val="00F0379C"/>
    <w:rsid w:val="00F03963"/>
    <w:rsid w:val="00F11068"/>
    <w:rsid w:val="00F1256D"/>
    <w:rsid w:val="00F13A4E"/>
    <w:rsid w:val="00F172BB"/>
    <w:rsid w:val="00F17B10"/>
    <w:rsid w:val="00F21BEF"/>
    <w:rsid w:val="00F45A25"/>
    <w:rsid w:val="00F50F86"/>
    <w:rsid w:val="00F53F91"/>
    <w:rsid w:val="00F61A72"/>
    <w:rsid w:val="00F62B67"/>
    <w:rsid w:val="00F66F13"/>
    <w:rsid w:val="00F67368"/>
    <w:rsid w:val="00F74073"/>
    <w:rsid w:val="00F75603"/>
    <w:rsid w:val="00F845B4"/>
    <w:rsid w:val="00F8713B"/>
    <w:rsid w:val="00F93F9E"/>
    <w:rsid w:val="00F9751C"/>
    <w:rsid w:val="00FA2CD7"/>
    <w:rsid w:val="00FB06ED"/>
    <w:rsid w:val="00FB4FC1"/>
    <w:rsid w:val="00FC3165"/>
    <w:rsid w:val="00FC3171"/>
    <w:rsid w:val="00FC36AB"/>
    <w:rsid w:val="00FC54BA"/>
    <w:rsid w:val="00FC7F66"/>
    <w:rsid w:val="00FD6662"/>
    <w:rsid w:val="00FE1CB6"/>
    <w:rsid w:val="00FE486B"/>
    <w:rsid w:val="00FE4F08"/>
    <w:rsid w:val="00FF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A650D"/>
  <w15:docId w15:val="{4B3154DC-2EBE-4A1F-AFDB-98B3BD7E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642A47"/>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4F1EC4"/>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uiPriority w:val="99"/>
    <w:semiHidden/>
    <w:unhideWhenUsed/>
    <w:rsid w:val="009C732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C7324"/>
    <w:rPr>
      <w:rFonts w:ascii="Segoe UI" w:eastAsia="Times New Roman" w:hAnsi="Segoe UI" w:cs="Segoe UI"/>
      <w:sz w:val="18"/>
      <w:szCs w:val="18"/>
      <w:lang w:val="nl-NL" w:eastAsia="nl-NL"/>
    </w:rPr>
  </w:style>
  <w:style w:type="paragraph" w:styleId="Voetnoottekst">
    <w:name w:val="footnote text"/>
    <w:basedOn w:val="Standaard"/>
    <w:link w:val="VoetnoottekstChar"/>
    <w:uiPriority w:val="99"/>
    <w:semiHidden/>
    <w:unhideWhenUsed/>
    <w:rsid w:val="0041706A"/>
    <w:pPr>
      <w:spacing w:line="240" w:lineRule="auto"/>
    </w:pPr>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semiHidden/>
    <w:rsid w:val="0041706A"/>
    <w:rPr>
      <w:rFonts w:ascii="Calibri" w:eastAsia="Calibri" w:hAnsi="Calibri"/>
      <w:lang w:val="nl-NL"/>
    </w:rPr>
  </w:style>
  <w:style w:type="character" w:styleId="Voetnootmarkering">
    <w:name w:val="footnote reference"/>
    <w:basedOn w:val="Standaardalinea-lettertype"/>
    <w:uiPriority w:val="99"/>
    <w:semiHidden/>
    <w:unhideWhenUsed/>
    <w:rsid w:val="0041706A"/>
    <w:rPr>
      <w:vertAlign w:val="superscript"/>
    </w:rPr>
  </w:style>
  <w:style w:type="character" w:styleId="Onopgelostemelding">
    <w:name w:val="Unresolved Mention"/>
    <w:basedOn w:val="Standaardalinea-lettertype"/>
    <w:uiPriority w:val="99"/>
    <w:semiHidden/>
    <w:unhideWhenUsed/>
    <w:rsid w:val="00B26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ure.rug.nl/ws/portalfiles/portal/55056657/Gevolgen_van_bodembeweging_voor_Groningen.pdf" TargetMode="External"/><Relationship Id="rId1" Type="http://schemas.openxmlformats.org/officeDocument/2006/relationships/hyperlink" Target="https://www.groningsperspectief.nl/impact-2023-aandacht-ouder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17A89C5C-C610-4C28-AEEC-0A1F9879D072}"/>
      </w:docPartPr>
      <w:docPartBody>
        <w:p w:rsidR="00D81E2B" w:rsidRDefault="00DD2050">
          <w:r w:rsidRPr="00D127F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D5"/>
    <w:rsid w:val="00314FAE"/>
    <w:rsid w:val="00B524D7"/>
    <w:rsid w:val="00D81E2B"/>
    <w:rsid w:val="00DD2050"/>
    <w:rsid w:val="00E065D5"/>
    <w:rsid w:val="00F201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65D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20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1141</ap:Words>
  <ap:Characters>6276</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2024-04-05T09:51:00.0000000Z</lastPrinted>
  <dcterms:created xsi:type="dcterms:W3CDTF">2024-01-26T10:22:00.0000000Z</dcterms:created>
  <dcterms:modified xsi:type="dcterms:W3CDTF">2024-04-05T09:51:00.0000000Z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HaanB1</vt:lpwstr>
  </property>
  <property fmtid="{D5CDD505-2E9C-101B-9397-08002B2CF9AE}" pid="3" name="AUTHOR_ID">
    <vt:lpwstr>HaanB1</vt:lpwstr>
  </property>
  <property fmtid="{D5CDD505-2E9C-101B-9397-08002B2CF9AE}" pid="4" name="A_ADRES">
    <vt:lpwstr>Vaste commissie voor Economische Zaken en Klimaat
Tweede Kamer der Staten-Generaal</vt:lpwstr>
  </property>
  <property fmtid="{D5CDD505-2E9C-101B-9397-08002B2CF9AE}" pid="5" name="A_DATUM_DOC">
    <vt:lpwstr>5 april 2024</vt:lpwstr>
  </property>
  <property fmtid="{D5CDD505-2E9C-101B-9397-08002B2CF9AE}" pid="6" name="A_DOC_RICHTING_ID">
    <vt:lpwstr>Intern</vt:lpwstr>
  </property>
  <property fmtid="{D5CDD505-2E9C-101B-9397-08002B2CF9AE}" pid="7" name="ClassificationContentMarkingFooterFontProps">
    <vt:lpwstr>#000000,10,Calibri</vt:lpwstr>
  </property>
  <property fmtid="{D5CDD505-2E9C-101B-9397-08002B2CF9AE}" pid="8" name="ClassificationContentMarkingFooterShapeIds">
    <vt:lpwstr>22f0,230c,2328</vt:lpwstr>
  </property>
  <property fmtid="{D5CDD505-2E9C-101B-9397-08002B2CF9AE}" pid="9" name="ClassificationContentMarkingFooterText">
    <vt:lpwstr>Intern gebruik</vt:lpwstr>
  </property>
  <property fmtid="{D5CDD505-2E9C-101B-9397-08002B2CF9AE}" pid="10" name="DOCNAME">
    <vt:lpwstr>Position paper rondetafelgesprek arbitrage Groningen</vt:lpwstr>
  </property>
  <property fmtid="{D5CDD505-2E9C-101B-9397-08002B2CF9AE}" pid="11" name="documentId">
    <vt:lpwstr>52493706</vt:lpwstr>
  </property>
  <property fmtid="{D5CDD505-2E9C-101B-9397-08002B2CF9AE}" pid="12" name="Header">
    <vt:lpwstr>Memo (SODM)</vt:lpwstr>
  </property>
  <property fmtid="{D5CDD505-2E9C-101B-9397-08002B2CF9AE}" pid="13" name="HeaderId">
    <vt:lpwstr>DBA83A873FC2432296A9B712067A29E6</vt:lpwstr>
  </property>
  <property fmtid="{D5CDD505-2E9C-101B-9397-08002B2CF9AE}" pid="14" name="Template">
    <vt:lpwstr>Memo (SODM)</vt:lpwstr>
  </property>
  <property fmtid="{D5CDD505-2E9C-101B-9397-08002B2CF9AE}" pid="15" name="TemplateId">
    <vt:lpwstr>DDB46030802D421FBB9746DC1E95C362</vt:lpwstr>
  </property>
  <property fmtid="{D5CDD505-2E9C-101B-9397-08002B2CF9AE}" pid="16" name="TYPE_ID">
    <vt:lpwstr>Memo</vt:lpwstr>
  </property>
  <property fmtid="{D5CDD505-2E9C-101B-9397-08002B2CF9AE}" pid="17" name="Typist">
    <vt:lpwstr>HaanB1</vt:lpwstr>
  </property>
</Properties>
</file>