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40E7" w:rsidR="00AA40E7" w:rsidP="00AA40E7" w:rsidRDefault="00AA40E7" w14:paraId="205661CF" w14:textId="3E2C0C1F">
      <w:pPr>
        <w:ind w:left="1418" w:hanging="1418"/>
        <w:rPr>
          <w:rFonts w:ascii="Times New Roman" w:hAnsi="Times New Roman"/>
          <w:sz w:val="24"/>
          <w:szCs w:val="24"/>
        </w:rPr>
      </w:pPr>
      <w:r w:rsidRPr="00AA40E7">
        <w:rPr>
          <w:rFonts w:ascii="Times New Roman" w:hAnsi="Times New Roman"/>
          <w:b/>
          <w:bCs/>
          <w:sz w:val="24"/>
          <w:szCs w:val="24"/>
        </w:rPr>
        <w:t>36 528</w:t>
      </w:r>
      <w:r w:rsidRPr="00AA40E7">
        <w:rPr>
          <w:rFonts w:ascii="Times New Roman" w:hAnsi="Times New Roman"/>
          <w:b/>
          <w:bCs/>
          <w:sz w:val="24"/>
          <w:szCs w:val="24"/>
        </w:rPr>
        <w:tab/>
      </w:r>
      <w:r w:rsidRPr="00AA40E7">
        <w:rPr>
          <w:rFonts w:ascii="Times New Roman" w:hAnsi="Times New Roman"/>
          <w:b/>
          <w:sz w:val="24"/>
          <w:szCs w:val="24"/>
        </w:rPr>
        <w:t>Raming der voor de Tweede Kamer in 2025 benodigde uitgaven, alsmede aanwijzing en raming van de ontvangsten</w:t>
      </w:r>
    </w:p>
    <w:p w:rsidRPr="00AA40E7" w:rsidR="00AE25CB" w:rsidP="00654798" w:rsidRDefault="00AE25CB" w14:paraId="02D73891" w14:textId="77777777">
      <w:pPr>
        <w:tabs>
          <w:tab w:val="left" w:pos="-1440"/>
          <w:tab w:val="left" w:pos="-720"/>
          <w:tab w:val="left" w:pos="0"/>
          <w:tab w:val="left" w:pos="720"/>
        </w:tabs>
        <w:spacing w:line="240" w:lineRule="atLeast"/>
        <w:ind w:left="284" w:hanging="284"/>
        <w:rPr>
          <w:rFonts w:ascii="Times New Roman" w:hAnsi="Times New Roman"/>
          <w:b/>
          <w:sz w:val="24"/>
          <w:szCs w:val="24"/>
        </w:rPr>
      </w:pPr>
    </w:p>
    <w:p w:rsidRPr="00AA40E7" w:rsidR="00AE25CB" w:rsidP="00654798" w:rsidRDefault="00AE25CB" w14:paraId="15A1B6DE" w14:textId="77777777">
      <w:pPr>
        <w:tabs>
          <w:tab w:val="left" w:pos="-1440"/>
          <w:tab w:val="left" w:pos="-720"/>
        </w:tabs>
        <w:spacing w:line="240" w:lineRule="atLeast"/>
        <w:ind w:left="284" w:hanging="284"/>
        <w:rPr>
          <w:rFonts w:ascii="Times New Roman" w:hAnsi="Times New Roman"/>
          <w:b/>
          <w:bCs/>
          <w:sz w:val="24"/>
          <w:szCs w:val="24"/>
        </w:rPr>
      </w:pPr>
      <w:r w:rsidRPr="00AA40E7">
        <w:rPr>
          <w:rFonts w:ascii="Times New Roman" w:hAnsi="Times New Roman"/>
          <w:b/>
          <w:bCs/>
          <w:sz w:val="24"/>
          <w:szCs w:val="24"/>
        </w:rPr>
        <w:t xml:space="preserve">Nr. 3 </w:t>
      </w:r>
      <w:r w:rsidRPr="00AA40E7">
        <w:rPr>
          <w:rFonts w:ascii="Times New Roman" w:hAnsi="Times New Roman"/>
          <w:b/>
          <w:sz w:val="24"/>
          <w:szCs w:val="24"/>
        </w:rPr>
        <w:tab/>
      </w:r>
      <w:r w:rsidRPr="00AA40E7">
        <w:rPr>
          <w:rFonts w:ascii="Times New Roman" w:hAnsi="Times New Roman"/>
          <w:b/>
          <w:sz w:val="24"/>
          <w:szCs w:val="24"/>
        </w:rPr>
        <w:tab/>
      </w:r>
      <w:r w:rsidRPr="00AA40E7">
        <w:rPr>
          <w:rFonts w:ascii="Times New Roman" w:hAnsi="Times New Roman"/>
          <w:b/>
          <w:bCs/>
          <w:sz w:val="24"/>
          <w:szCs w:val="24"/>
        </w:rPr>
        <w:t>BEGROTINGSTOELICHTING (UITGAVEN EN ONTVANGSTEN)</w:t>
      </w:r>
    </w:p>
    <w:p w:rsidRPr="00AA40E7" w:rsidR="00AE25CB" w:rsidP="00654798" w:rsidRDefault="00AE25CB" w14:paraId="77F13239" w14:textId="77777777">
      <w:pPr>
        <w:tabs>
          <w:tab w:val="left" w:pos="-1440"/>
          <w:tab w:val="left" w:pos="-720"/>
        </w:tabs>
        <w:spacing w:line="240" w:lineRule="atLeast"/>
        <w:ind w:left="284" w:hanging="284"/>
        <w:rPr>
          <w:rFonts w:ascii="Times New Roman" w:hAnsi="Times New Roman"/>
          <w:sz w:val="24"/>
          <w:szCs w:val="24"/>
        </w:rPr>
      </w:pPr>
    </w:p>
    <w:p w:rsidRPr="00AA40E7" w:rsidR="00AE25CB" w:rsidP="00654798" w:rsidRDefault="51825749" w14:paraId="7B20A1CD" w14:textId="77777777">
      <w:pPr>
        <w:tabs>
          <w:tab w:val="left" w:pos="-1440"/>
          <w:tab w:val="left" w:pos="-720"/>
        </w:tabs>
        <w:spacing w:line="240" w:lineRule="atLeast"/>
        <w:ind w:left="284" w:hanging="284"/>
        <w:rPr>
          <w:rFonts w:ascii="Times New Roman" w:hAnsi="Times New Roman"/>
          <w:b/>
          <w:bCs/>
          <w:sz w:val="24"/>
          <w:szCs w:val="24"/>
        </w:rPr>
      </w:pPr>
      <w:r w:rsidRPr="00AA40E7">
        <w:rPr>
          <w:rFonts w:ascii="Times New Roman" w:hAnsi="Times New Roman"/>
          <w:b/>
          <w:bCs/>
          <w:sz w:val="24"/>
          <w:szCs w:val="24"/>
        </w:rPr>
        <w:t>1. Algemeen</w:t>
      </w:r>
    </w:p>
    <w:p w:rsidRPr="00AA40E7" w:rsidR="00AE25CB" w:rsidP="00654798" w:rsidRDefault="00AE25CB" w14:paraId="2DEC214C" w14:textId="77777777">
      <w:pPr>
        <w:tabs>
          <w:tab w:val="left" w:pos="-1440"/>
          <w:tab w:val="left" w:pos="-720"/>
        </w:tabs>
        <w:spacing w:line="240" w:lineRule="atLeast"/>
        <w:ind w:left="284" w:hanging="284"/>
        <w:rPr>
          <w:rFonts w:ascii="Times New Roman" w:hAnsi="Times New Roman"/>
          <w:b/>
          <w:bCs/>
          <w:sz w:val="24"/>
          <w:szCs w:val="24"/>
        </w:rPr>
      </w:pPr>
    </w:p>
    <w:p w:rsidRPr="00AA40E7" w:rsidR="00AE25CB" w:rsidP="00654798" w:rsidRDefault="51825749" w14:paraId="56C622C5" w14:textId="77777777">
      <w:pPr>
        <w:tabs>
          <w:tab w:val="left" w:pos="-1440"/>
          <w:tab w:val="left" w:pos="-720"/>
        </w:tabs>
        <w:spacing w:line="240" w:lineRule="atLeast"/>
        <w:ind w:left="284" w:hanging="284"/>
        <w:rPr>
          <w:rFonts w:ascii="Times New Roman" w:hAnsi="Times New Roman"/>
          <w:b/>
          <w:bCs/>
          <w:i/>
          <w:iCs/>
          <w:sz w:val="24"/>
          <w:szCs w:val="24"/>
        </w:rPr>
      </w:pPr>
      <w:r w:rsidRPr="00AA40E7">
        <w:rPr>
          <w:rFonts w:ascii="Times New Roman" w:hAnsi="Times New Roman"/>
          <w:b/>
          <w:bCs/>
          <w:i/>
          <w:iCs/>
          <w:sz w:val="24"/>
          <w:szCs w:val="24"/>
        </w:rPr>
        <w:t>a. Algemene uitgangspunten</w:t>
      </w:r>
    </w:p>
    <w:p w:rsidRPr="00AA40E7" w:rsidR="00906782" w:rsidP="00654798" w:rsidRDefault="51825749" w14:paraId="3D520324" w14:textId="3CBBC17C">
      <w:pPr>
        <w:pStyle w:val="Normaalweb"/>
        <w:spacing w:before="0" w:beforeAutospacing="0" w:after="300" w:afterAutospacing="0" w:line="240" w:lineRule="atLeast"/>
        <w:rPr>
          <w:color w:val="000000" w:themeColor="text1"/>
        </w:rPr>
      </w:pPr>
      <w:r w:rsidRPr="00AA40E7">
        <w:rPr>
          <w:color w:val="000000" w:themeColor="text1"/>
        </w:rPr>
        <w:t>De Minister van Binnenlandse Zaken en Koninkrijksrelaties is verantwoordelijk voor het beheer van de begroting van de Staten-Generaal. De colleges voeren zelf het beheer over hun begroting of hun begrotingsdeel. Over de inhoud van dit beheer zijn</w:t>
      </w:r>
      <w:r w:rsidRPr="00AA40E7" w:rsidR="006E535A">
        <w:rPr>
          <w:color w:val="000000" w:themeColor="text1"/>
        </w:rPr>
        <w:t xml:space="preserve"> op grond van </w:t>
      </w:r>
      <w:hyperlink r:id="rId12">
        <w:r w:rsidRPr="00AA40E7" w:rsidR="00AE4428">
          <w:rPr>
            <w:rStyle w:val="Hyperlink"/>
            <w:color w:val="01689B"/>
          </w:rPr>
          <w:t xml:space="preserve">artikel 4.4, lid 4 </w:t>
        </w:r>
        <w:r w:rsidRPr="00AA40E7">
          <w:rPr>
            <w:rStyle w:val="Hyperlink"/>
            <w:color w:val="01689B"/>
          </w:rPr>
          <w:t>Comptabiliteitswet 2016</w:t>
        </w:r>
      </w:hyperlink>
      <w:r w:rsidRPr="00AA40E7" w:rsidR="00AE4428">
        <w:rPr>
          <w:color w:val="000000" w:themeColor="text1"/>
        </w:rPr>
        <w:t xml:space="preserve"> </w:t>
      </w:r>
      <w:r w:rsidRPr="00AA40E7">
        <w:rPr>
          <w:color w:val="000000" w:themeColor="text1"/>
        </w:rPr>
        <w:t>afspraken vastgelegd (de zogenoemde beheerafspraken) tussen de minister en de colleges, waarin recht gedaan wordt aan hun staatsrechtelijke positie.</w:t>
      </w:r>
    </w:p>
    <w:p w:rsidRPr="00AA40E7" w:rsidR="00906782" w:rsidP="00654798" w:rsidRDefault="00906782" w14:paraId="440CFF89" w14:textId="02FD9847">
      <w:pPr>
        <w:pStyle w:val="Normaalweb"/>
        <w:spacing w:before="0" w:beforeAutospacing="0" w:after="300" w:afterAutospacing="0" w:line="240" w:lineRule="atLeast"/>
        <w:rPr>
          <w:color w:val="000000" w:themeColor="text1"/>
        </w:rPr>
      </w:pPr>
      <w:r w:rsidRPr="00AA40E7">
        <w:rPr>
          <w:color w:val="000000" w:themeColor="text1"/>
        </w:rPr>
        <w:t>De Minister van Binnenlandse Zaken en Koninkrijksrelaties neemt de ramingen, zoals opgesteld door de Kamers der Staten-Generaal, op in het voorstel van wet tot vaststelling van de begrotingsstaten van de Staten-Generaal, tenzij een evident zwaarwegende reden zich hiertegen verzet. Indien de Minister van Binnenlandse Zaken en Koninkrijksrelaties ramingen wegens evident zwaarwegende redenen niet of niet geheel opneemt, dan licht hij dit gemotiveerd toe (</w:t>
      </w:r>
      <w:hyperlink r:id="rId13">
        <w:r w:rsidRPr="00AA40E7">
          <w:rPr>
            <w:rStyle w:val="Hyperlink"/>
            <w:color w:val="01689B"/>
          </w:rPr>
          <w:t>artikel 4.5, lid 2 en 3 Comptabiliteitswet 2016</w:t>
        </w:r>
      </w:hyperlink>
      <w:r w:rsidRPr="00AA40E7">
        <w:rPr>
          <w:rStyle w:val="Hyperlink"/>
          <w:color w:val="01689B"/>
        </w:rPr>
        <w:t>)</w:t>
      </w:r>
      <w:r w:rsidRPr="00AA40E7">
        <w:rPr>
          <w:color w:val="000000" w:themeColor="text1"/>
        </w:rPr>
        <w:t>.</w:t>
      </w:r>
    </w:p>
    <w:p w:rsidRPr="00AA40E7" w:rsidR="00906782" w:rsidP="00654798" w:rsidRDefault="51825749" w14:paraId="1B5D582F" w14:textId="17B581DC">
      <w:pPr>
        <w:pStyle w:val="Normaalweb"/>
        <w:spacing w:before="0" w:beforeAutospacing="0" w:after="300" w:afterAutospacing="0" w:line="240" w:lineRule="atLeast"/>
      </w:pPr>
      <w:r w:rsidRPr="00AA40E7">
        <w:rPr>
          <w:color w:val="000000" w:themeColor="text1"/>
        </w:rPr>
        <w:t>Een College dient, conform</w:t>
      </w:r>
      <w:r w:rsidRPr="00AA40E7" w:rsidR="00AE4428">
        <w:rPr>
          <w:color w:val="000000" w:themeColor="text1"/>
        </w:rPr>
        <w:t xml:space="preserve"> </w:t>
      </w:r>
      <w:hyperlink r:id="rId14">
        <w:r w:rsidRPr="00AA40E7">
          <w:rPr>
            <w:rStyle w:val="Hyperlink"/>
            <w:color w:val="01689B"/>
          </w:rPr>
          <w:t>art</w:t>
        </w:r>
        <w:r w:rsidRPr="00AA40E7" w:rsidR="00AE4428">
          <w:rPr>
            <w:rStyle w:val="Hyperlink"/>
            <w:color w:val="01689B"/>
          </w:rPr>
          <w:t xml:space="preserve">ikel 2.1 lid 7 </w:t>
        </w:r>
        <w:r w:rsidRPr="00AA40E7">
          <w:rPr>
            <w:rStyle w:val="Hyperlink"/>
            <w:color w:val="01689B"/>
          </w:rPr>
          <w:t>van de Comptabiliteitswet 2016</w:t>
        </w:r>
      </w:hyperlink>
      <w:r w:rsidRPr="00AA40E7" w:rsidR="00AE4428">
        <w:rPr>
          <w:color w:val="000000" w:themeColor="text1"/>
        </w:rPr>
        <w:t xml:space="preserve"> </w:t>
      </w:r>
      <w:r w:rsidRPr="00AA40E7">
        <w:rPr>
          <w:color w:val="000000" w:themeColor="text1"/>
        </w:rPr>
        <w:t>betreffende een niet-departementale begroting, enkel haar taken en bedrijfsvoering weer te geven. Derhalve bevat deze niet-departementale begroting – in vergelijking met departementale begrotingen waarbij wel een weergave van het beleid wordt opgenomen – geen beleidsagenda.</w:t>
      </w:r>
      <w:r w:rsidRPr="00AA40E7" w:rsidR="00906782">
        <w:rPr>
          <w:color w:val="000000" w:themeColor="text1"/>
        </w:rPr>
        <w:t xml:space="preserve"> </w:t>
      </w:r>
      <w:r w:rsidRPr="00AA40E7" w:rsidR="00906782">
        <w:t>Vanwege de bijzondere positie van de Staten-Generaal wijkt de presentatie op deze punten af van de in de Rijksbegroting</w:t>
      </w:r>
      <w:r w:rsidRPr="00AA40E7" w:rsidR="00863EEF">
        <w:t>s</w:t>
      </w:r>
      <w:r w:rsidRPr="00AA40E7" w:rsidR="00906782">
        <w:t xml:space="preserve">voorschriften (Rbv) voorgeschreven sjablonen en richtlijnen. </w:t>
      </w:r>
    </w:p>
    <w:p w:rsidRPr="00AA40E7" w:rsidR="00AE25CB" w:rsidP="00654798" w:rsidRDefault="51825749" w14:paraId="314CFE88" w14:textId="77777777">
      <w:pPr>
        <w:spacing w:line="240" w:lineRule="atLeast"/>
        <w:outlineLvl w:val="0"/>
        <w:rPr>
          <w:rFonts w:ascii="Times New Roman" w:hAnsi="Times New Roman"/>
          <w:b/>
          <w:bCs/>
          <w:i/>
          <w:iCs/>
          <w:sz w:val="24"/>
          <w:szCs w:val="24"/>
        </w:rPr>
      </w:pPr>
      <w:r w:rsidRPr="00AA40E7">
        <w:rPr>
          <w:rFonts w:ascii="Times New Roman" w:hAnsi="Times New Roman"/>
          <w:b/>
          <w:bCs/>
          <w:i/>
          <w:iCs/>
          <w:sz w:val="24"/>
          <w:szCs w:val="24"/>
        </w:rPr>
        <w:t>b. Financiële uitgangspunten</w:t>
      </w:r>
    </w:p>
    <w:p w:rsidRPr="00AA40E7" w:rsidR="00AE25CB" w:rsidP="00654798" w:rsidRDefault="6A329A42" w14:paraId="71CD812B" w14:textId="02B76673">
      <w:pPr>
        <w:spacing w:line="240" w:lineRule="atLeast"/>
        <w:rPr>
          <w:rFonts w:ascii="Times New Roman" w:hAnsi="Times New Roman"/>
          <w:sz w:val="24"/>
          <w:szCs w:val="24"/>
        </w:rPr>
      </w:pPr>
      <w:r w:rsidRPr="00AA40E7">
        <w:rPr>
          <w:rFonts w:ascii="Times New Roman" w:hAnsi="Times New Roman"/>
          <w:sz w:val="24"/>
          <w:szCs w:val="24"/>
        </w:rPr>
        <w:t xml:space="preserve">Het </w:t>
      </w:r>
      <w:r w:rsidRPr="00AA40E7" w:rsidR="00B25B5E">
        <w:rPr>
          <w:rFonts w:ascii="Times New Roman" w:hAnsi="Times New Roman"/>
          <w:sz w:val="24"/>
          <w:szCs w:val="24"/>
        </w:rPr>
        <w:t>uitgangspunt voor de Raming 2025</w:t>
      </w:r>
      <w:r w:rsidRPr="00AA40E7">
        <w:rPr>
          <w:rFonts w:ascii="Times New Roman" w:hAnsi="Times New Roman"/>
          <w:sz w:val="24"/>
          <w:szCs w:val="24"/>
        </w:rPr>
        <w:t xml:space="preserve"> is het meerjarencijfer voor dat jaar zoals opgenomen in hoofdstuk IIA</w:t>
      </w:r>
      <w:r w:rsidRPr="00AA40E7" w:rsidR="00B25B5E">
        <w:rPr>
          <w:rFonts w:ascii="Times New Roman" w:hAnsi="Times New Roman"/>
          <w:sz w:val="24"/>
          <w:szCs w:val="24"/>
        </w:rPr>
        <w:t xml:space="preserve"> van de Rijksbegroting voor 2024</w:t>
      </w:r>
      <w:r w:rsidRPr="00AA40E7">
        <w:rPr>
          <w:rFonts w:ascii="Times New Roman" w:hAnsi="Times New Roman"/>
          <w:sz w:val="24"/>
          <w:szCs w:val="24"/>
        </w:rPr>
        <w:t xml:space="preserve"> (Kamerstuk </w:t>
      </w:r>
      <w:r w:rsidRPr="00AA40E7" w:rsidR="00C81E4A">
        <w:rPr>
          <w:rFonts w:ascii="Times New Roman" w:hAnsi="Times New Roman"/>
          <w:sz w:val="24"/>
          <w:szCs w:val="24"/>
        </w:rPr>
        <w:t>36410-IIA</w:t>
      </w:r>
      <w:r w:rsidRPr="00AA40E7">
        <w:rPr>
          <w:rFonts w:ascii="Times New Roman" w:hAnsi="Times New Roman"/>
          <w:sz w:val="24"/>
          <w:szCs w:val="24"/>
        </w:rPr>
        <w:t>)</w:t>
      </w:r>
      <w:r w:rsidRPr="00AA40E7" w:rsidR="00AE4428">
        <w:rPr>
          <w:rFonts w:ascii="Times New Roman" w:hAnsi="Times New Roman"/>
          <w:sz w:val="24"/>
          <w:szCs w:val="24"/>
        </w:rPr>
        <w:t>.</w:t>
      </w:r>
    </w:p>
    <w:p w:rsidRPr="00AA40E7" w:rsidR="00AE25CB" w:rsidP="00654798" w:rsidRDefault="00AE25CB" w14:paraId="73E13FAF" w14:textId="77777777">
      <w:pPr>
        <w:spacing w:line="240" w:lineRule="atLeast"/>
        <w:rPr>
          <w:rFonts w:ascii="Times New Roman" w:hAnsi="Times New Roman"/>
          <w:sz w:val="24"/>
          <w:szCs w:val="24"/>
        </w:rPr>
      </w:pPr>
    </w:p>
    <w:p w:rsidRPr="00AA40E7" w:rsidR="00AE25CB" w:rsidP="00654798" w:rsidRDefault="51825749" w14:paraId="23552086" w14:textId="06C9A796">
      <w:pPr>
        <w:spacing w:line="240" w:lineRule="atLeast"/>
        <w:rPr>
          <w:rFonts w:ascii="Times New Roman" w:hAnsi="Times New Roman"/>
          <w:sz w:val="24"/>
          <w:szCs w:val="24"/>
        </w:rPr>
      </w:pPr>
      <w:r w:rsidRPr="00AA40E7">
        <w:rPr>
          <w:rFonts w:ascii="Times New Roman" w:hAnsi="Times New Roman"/>
          <w:sz w:val="24"/>
          <w:szCs w:val="24"/>
        </w:rPr>
        <w:t>De mutaties naar aanl</w:t>
      </w:r>
      <w:r w:rsidRPr="00AA40E7" w:rsidR="00B25B5E">
        <w:rPr>
          <w:rFonts w:ascii="Times New Roman" w:hAnsi="Times New Roman"/>
          <w:sz w:val="24"/>
          <w:szCs w:val="24"/>
        </w:rPr>
        <w:t>eiding van de Voorjaarsnota 2024</w:t>
      </w:r>
      <w:r w:rsidRPr="00AA40E7">
        <w:rPr>
          <w:rFonts w:ascii="Times New Roman" w:hAnsi="Times New Roman"/>
          <w:sz w:val="24"/>
          <w:szCs w:val="24"/>
        </w:rPr>
        <w:t xml:space="preserve"> hebben betrekking op het jaar 202</w:t>
      </w:r>
      <w:r w:rsidRPr="00AA40E7" w:rsidR="00B25B5E">
        <w:rPr>
          <w:rFonts w:ascii="Times New Roman" w:hAnsi="Times New Roman"/>
          <w:sz w:val="24"/>
          <w:szCs w:val="24"/>
        </w:rPr>
        <w:t>4</w:t>
      </w:r>
      <w:r w:rsidRPr="00AA40E7">
        <w:rPr>
          <w:rFonts w:ascii="Times New Roman" w:hAnsi="Times New Roman"/>
          <w:sz w:val="24"/>
          <w:szCs w:val="24"/>
        </w:rPr>
        <w:t xml:space="preserve"> (en op de jaren na 202</w:t>
      </w:r>
      <w:r w:rsidRPr="00AA40E7" w:rsidR="00B25B5E">
        <w:rPr>
          <w:rFonts w:ascii="Times New Roman" w:hAnsi="Times New Roman"/>
          <w:sz w:val="24"/>
          <w:szCs w:val="24"/>
        </w:rPr>
        <w:t>4</w:t>
      </w:r>
      <w:r w:rsidRPr="00AA40E7">
        <w:rPr>
          <w:rFonts w:ascii="Times New Roman" w:hAnsi="Times New Roman"/>
          <w:sz w:val="24"/>
          <w:szCs w:val="24"/>
        </w:rPr>
        <w:t xml:space="preserve">). </w:t>
      </w:r>
    </w:p>
    <w:p w:rsidRPr="00AA40E7" w:rsidR="00AE25CB" w:rsidP="00654798" w:rsidRDefault="00AE25CB" w14:paraId="13CD8994" w14:textId="77777777">
      <w:pPr>
        <w:spacing w:line="240" w:lineRule="atLeast"/>
        <w:rPr>
          <w:rFonts w:ascii="Times New Roman" w:hAnsi="Times New Roman"/>
          <w:sz w:val="24"/>
          <w:szCs w:val="24"/>
        </w:rPr>
      </w:pPr>
    </w:p>
    <w:p w:rsidRPr="00AA40E7" w:rsidR="00AE25CB" w:rsidP="00654798" w:rsidRDefault="51825749" w14:paraId="4F239E86" w14:textId="77777777">
      <w:pPr>
        <w:spacing w:line="240" w:lineRule="atLeast"/>
        <w:rPr>
          <w:rFonts w:ascii="Times New Roman" w:hAnsi="Times New Roman"/>
          <w:sz w:val="24"/>
          <w:szCs w:val="24"/>
        </w:rPr>
      </w:pPr>
      <w:r w:rsidRPr="00AA40E7">
        <w:rPr>
          <w:rFonts w:ascii="Times New Roman" w:hAnsi="Times New Roman"/>
          <w:sz w:val="24"/>
          <w:szCs w:val="24"/>
        </w:rPr>
        <w:t>De afronding van de Rijksbegroting is later dan de behandeling van de Raming in de Kamer. Uit deze afronding kunnen nog generieke mutaties voor de Raming voortvloeien, die vanzelfsprekend nog niet zijn verwerkt.</w:t>
      </w:r>
    </w:p>
    <w:p w:rsidRPr="00AA40E7" w:rsidR="00AE25CB" w:rsidP="00654798" w:rsidRDefault="00AE25CB" w14:paraId="24855785" w14:textId="77777777">
      <w:pPr>
        <w:tabs>
          <w:tab w:val="left" w:pos="-1440"/>
          <w:tab w:val="left" w:pos="-720"/>
        </w:tabs>
        <w:spacing w:line="240" w:lineRule="atLeast"/>
        <w:rPr>
          <w:rFonts w:ascii="Times New Roman" w:hAnsi="Times New Roman"/>
          <w:bCs/>
          <w:sz w:val="24"/>
          <w:szCs w:val="24"/>
        </w:rPr>
      </w:pPr>
      <w:r w:rsidRPr="00AA40E7">
        <w:rPr>
          <w:rFonts w:ascii="Times New Roman" w:hAnsi="Times New Roman"/>
          <w:bCs/>
          <w:sz w:val="24"/>
          <w:szCs w:val="24"/>
        </w:rPr>
        <w:tab/>
      </w:r>
      <w:r w:rsidRPr="00AA40E7">
        <w:rPr>
          <w:rFonts w:ascii="Times New Roman" w:hAnsi="Times New Roman"/>
          <w:bCs/>
          <w:sz w:val="24"/>
          <w:szCs w:val="24"/>
        </w:rPr>
        <w:tab/>
      </w:r>
    </w:p>
    <w:p w:rsidRPr="00AA40E7" w:rsidR="00AE25CB" w:rsidP="00654798" w:rsidRDefault="51825749" w14:paraId="2A7B3ED1" w14:textId="710391B0">
      <w:pPr>
        <w:tabs>
          <w:tab w:val="left" w:pos="-1440"/>
          <w:tab w:val="left" w:pos="-720"/>
        </w:tabs>
        <w:spacing w:line="240" w:lineRule="atLeast"/>
        <w:ind w:left="284" w:hanging="284"/>
        <w:rPr>
          <w:rFonts w:ascii="Times New Roman" w:hAnsi="Times New Roman"/>
          <w:b/>
          <w:bCs/>
          <w:i/>
          <w:iCs/>
          <w:sz w:val="24"/>
          <w:szCs w:val="24"/>
        </w:rPr>
      </w:pPr>
      <w:r w:rsidRPr="00AA40E7">
        <w:rPr>
          <w:rFonts w:ascii="Times New Roman" w:hAnsi="Times New Roman"/>
          <w:b/>
          <w:bCs/>
          <w:i/>
          <w:iCs/>
          <w:sz w:val="24"/>
          <w:szCs w:val="24"/>
        </w:rPr>
        <w:t>c. Opbouw</w:t>
      </w:r>
    </w:p>
    <w:p w:rsidRPr="00AA40E7" w:rsidR="00AE4428" w:rsidP="00654798" w:rsidRDefault="51825749" w14:paraId="76CA948D" w14:textId="77777777">
      <w:pPr>
        <w:spacing w:line="240" w:lineRule="atLeast"/>
        <w:rPr>
          <w:rFonts w:ascii="Times New Roman" w:hAnsi="Times New Roman"/>
          <w:sz w:val="24"/>
          <w:szCs w:val="24"/>
        </w:rPr>
      </w:pPr>
      <w:r w:rsidRPr="00AA40E7">
        <w:rPr>
          <w:rFonts w:ascii="Times New Roman" w:hAnsi="Times New Roman"/>
          <w:sz w:val="24"/>
          <w:szCs w:val="24"/>
        </w:rPr>
        <w:t>Deze begroting is opgebouwd uit de volgende beleidsartikelen:</w:t>
      </w:r>
    </w:p>
    <w:p w:rsidRPr="00AA40E7" w:rsidR="00AE4428" w:rsidP="00654798" w:rsidRDefault="51825749" w14:paraId="29019FA9" w14:textId="5E6DFF9E">
      <w:pPr>
        <w:pStyle w:val="Lijstalinea"/>
        <w:numPr>
          <w:ilvl w:val="0"/>
          <w:numId w:val="19"/>
        </w:numPr>
        <w:spacing w:line="240" w:lineRule="atLeast"/>
        <w:rPr>
          <w:rFonts w:ascii="Times New Roman" w:hAnsi="Times New Roman"/>
          <w:sz w:val="24"/>
          <w:szCs w:val="24"/>
        </w:rPr>
      </w:pPr>
      <w:r w:rsidRPr="00AA40E7">
        <w:rPr>
          <w:rFonts w:ascii="Times New Roman" w:hAnsi="Times New Roman"/>
          <w:sz w:val="24"/>
          <w:szCs w:val="24"/>
        </w:rPr>
        <w:t>Artikel 2. Uitgaven ten behoeve van leden en oud-leden Tweede Kamer</w:t>
      </w:r>
      <w:r w:rsidRPr="00AA40E7" w:rsidR="00906782">
        <w:rPr>
          <w:rFonts w:ascii="Times New Roman" w:hAnsi="Times New Roman"/>
          <w:sz w:val="24"/>
          <w:szCs w:val="24"/>
        </w:rPr>
        <w:t>;</w:t>
      </w:r>
    </w:p>
    <w:p w:rsidRPr="00AA40E7" w:rsidR="00E151E9" w:rsidP="00654798" w:rsidRDefault="51825749" w14:paraId="5E61E0EC" w14:textId="561121AB">
      <w:pPr>
        <w:pStyle w:val="Lijstalinea"/>
        <w:numPr>
          <w:ilvl w:val="0"/>
          <w:numId w:val="19"/>
        </w:numPr>
        <w:spacing w:line="240" w:lineRule="atLeast"/>
        <w:rPr>
          <w:rFonts w:ascii="Times New Roman" w:hAnsi="Times New Roman"/>
          <w:sz w:val="24"/>
          <w:szCs w:val="24"/>
        </w:rPr>
      </w:pPr>
      <w:r w:rsidRPr="00AA40E7">
        <w:rPr>
          <w:rFonts w:ascii="Times New Roman" w:hAnsi="Times New Roman"/>
          <w:sz w:val="24"/>
          <w:szCs w:val="24"/>
        </w:rPr>
        <w:t>Artikel 3. Wetgeving en controle Tweede Kamer</w:t>
      </w:r>
      <w:r w:rsidRPr="00AA40E7" w:rsidR="00906782">
        <w:rPr>
          <w:rFonts w:ascii="Times New Roman" w:hAnsi="Times New Roman"/>
          <w:sz w:val="24"/>
          <w:szCs w:val="24"/>
        </w:rPr>
        <w:t>;</w:t>
      </w:r>
    </w:p>
    <w:p w:rsidRPr="00AA40E7" w:rsidR="00E151E9" w:rsidP="00654798" w:rsidRDefault="51825749" w14:paraId="6BFE9D44" w14:textId="4274EF97">
      <w:pPr>
        <w:pStyle w:val="Lijstalinea"/>
        <w:numPr>
          <w:ilvl w:val="0"/>
          <w:numId w:val="19"/>
        </w:numPr>
        <w:spacing w:line="240" w:lineRule="atLeast"/>
        <w:rPr>
          <w:rFonts w:ascii="Times New Roman" w:hAnsi="Times New Roman"/>
          <w:sz w:val="24"/>
          <w:szCs w:val="24"/>
        </w:rPr>
      </w:pPr>
      <w:r w:rsidRPr="00AA40E7">
        <w:rPr>
          <w:rFonts w:ascii="Times New Roman" w:hAnsi="Times New Roman"/>
          <w:sz w:val="24"/>
          <w:szCs w:val="24"/>
        </w:rPr>
        <w:t>Artikel 4. Wetgeving en controle Eerste en Tweede Kamer</w:t>
      </w:r>
      <w:r w:rsidRPr="00AA40E7" w:rsidR="00906782">
        <w:rPr>
          <w:rFonts w:ascii="Times New Roman" w:hAnsi="Times New Roman"/>
          <w:sz w:val="24"/>
          <w:szCs w:val="24"/>
        </w:rPr>
        <w:t>.</w:t>
      </w:r>
    </w:p>
    <w:p w:rsidRPr="00AA40E7" w:rsidR="00AE25CB" w:rsidP="00654798" w:rsidRDefault="00AE25CB" w14:paraId="7EB918C5" w14:textId="62D9C884">
      <w:pPr>
        <w:spacing w:line="240" w:lineRule="atLeast"/>
        <w:ind w:left="284" w:hanging="284"/>
        <w:rPr>
          <w:rFonts w:ascii="Times New Roman" w:hAnsi="Times New Roman"/>
          <w:b/>
          <w:sz w:val="24"/>
          <w:szCs w:val="24"/>
        </w:rPr>
      </w:pPr>
    </w:p>
    <w:p w:rsidRPr="00AA40E7" w:rsidR="00E3467E" w:rsidP="00654798" w:rsidRDefault="00E3467E" w14:paraId="57EE51BC" w14:textId="316D191F">
      <w:pPr>
        <w:spacing w:line="240" w:lineRule="atLeast"/>
        <w:ind w:left="284" w:hanging="284"/>
        <w:rPr>
          <w:rFonts w:ascii="Times New Roman" w:hAnsi="Times New Roman"/>
          <w:b/>
          <w:i/>
          <w:sz w:val="24"/>
          <w:szCs w:val="24"/>
        </w:rPr>
      </w:pPr>
      <w:r w:rsidRPr="00AA40E7">
        <w:rPr>
          <w:rFonts w:ascii="Times New Roman" w:hAnsi="Times New Roman"/>
          <w:b/>
          <w:i/>
          <w:sz w:val="24"/>
          <w:szCs w:val="24"/>
        </w:rPr>
        <w:t>d. Algemeen begrotingsbeeld</w:t>
      </w:r>
    </w:p>
    <w:p w:rsidRPr="00AA40E7" w:rsidR="00DD0AC9" w:rsidP="00654798" w:rsidRDefault="00C77781" w14:paraId="511175D5" w14:textId="1B57E54F">
      <w:pPr>
        <w:spacing w:line="240" w:lineRule="atLeast"/>
        <w:rPr>
          <w:rFonts w:ascii="Times New Roman" w:hAnsi="Times New Roman"/>
          <w:sz w:val="24"/>
          <w:szCs w:val="24"/>
        </w:rPr>
      </w:pPr>
      <w:r w:rsidRPr="00AA40E7">
        <w:rPr>
          <w:rFonts w:ascii="Times New Roman" w:hAnsi="Times New Roman"/>
          <w:sz w:val="24"/>
          <w:szCs w:val="24"/>
        </w:rPr>
        <w:lastRenderedPageBreak/>
        <w:t xml:space="preserve">De begroting van de Tweede </w:t>
      </w:r>
      <w:r w:rsidRPr="00AA40E7" w:rsidR="00861141">
        <w:rPr>
          <w:rFonts w:ascii="Times New Roman" w:hAnsi="Times New Roman"/>
          <w:sz w:val="24"/>
          <w:szCs w:val="24"/>
        </w:rPr>
        <w:t>Kamer stijgt in</w:t>
      </w:r>
      <w:r w:rsidRPr="00AA40E7">
        <w:rPr>
          <w:rFonts w:ascii="Times New Roman" w:hAnsi="Times New Roman"/>
          <w:sz w:val="24"/>
          <w:szCs w:val="24"/>
        </w:rPr>
        <w:t xml:space="preserve"> 202</w:t>
      </w:r>
      <w:r w:rsidRPr="00AA40E7" w:rsidR="00861141">
        <w:rPr>
          <w:rFonts w:ascii="Times New Roman" w:hAnsi="Times New Roman"/>
          <w:sz w:val="24"/>
          <w:szCs w:val="24"/>
        </w:rPr>
        <w:t>4</w:t>
      </w:r>
      <w:r w:rsidRPr="00AA40E7">
        <w:rPr>
          <w:rFonts w:ascii="Times New Roman" w:hAnsi="Times New Roman"/>
          <w:sz w:val="24"/>
          <w:szCs w:val="24"/>
        </w:rPr>
        <w:t xml:space="preserve"> </w:t>
      </w:r>
      <w:r w:rsidRPr="00AA40E7" w:rsidR="00861141">
        <w:rPr>
          <w:rFonts w:ascii="Times New Roman" w:hAnsi="Times New Roman"/>
          <w:sz w:val="24"/>
          <w:szCs w:val="24"/>
        </w:rPr>
        <w:t>met</w:t>
      </w:r>
      <w:r w:rsidRPr="00AA40E7" w:rsidR="004C105A">
        <w:rPr>
          <w:rFonts w:ascii="Times New Roman" w:hAnsi="Times New Roman"/>
          <w:sz w:val="24"/>
          <w:szCs w:val="24"/>
        </w:rPr>
        <w:t xml:space="preserve"> €</w:t>
      </w:r>
      <w:r w:rsidRPr="00AA40E7" w:rsidR="00861141">
        <w:rPr>
          <w:rFonts w:ascii="Times New Roman" w:hAnsi="Times New Roman"/>
          <w:sz w:val="24"/>
          <w:szCs w:val="24"/>
        </w:rPr>
        <w:t xml:space="preserve"> </w:t>
      </w:r>
      <w:r w:rsidRPr="00AA40E7" w:rsidR="0060712C">
        <w:rPr>
          <w:rFonts w:ascii="Times New Roman" w:hAnsi="Times New Roman"/>
          <w:sz w:val="24"/>
          <w:szCs w:val="24"/>
        </w:rPr>
        <w:t>34</w:t>
      </w:r>
      <w:r w:rsidRPr="00AA40E7" w:rsidR="001A3CEC">
        <w:rPr>
          <w:rFonts w:ascii="Times New Roman" w:hAnsi="Times New Roman"/>
          <w:sz w:val="24"/>
          <w:szCs w:val="24"/>
        </w:rPr>
        <w:t>,</w:t>
      </w:r>
      <w:r w:rsidRPr="00AA40E7" w:rsidR="0060712C">
        <w:rPr>
          <w:rFonts w:ascii="Times New Roman" w:hAnsi="Times New Roman"/>
          <w:sz w:val="24"/>
          <w:szCs w:val="24"/>
        </w:rPr>
        <w:t>5</w:t>
      </w:r>
      <w:r w:rsidRPr="00AA40E7" w:rsidR="00E46C1A">
        <w:rPr>
          <w:rFonts w:ascii="Times New Roman" w:hAnsi="Times New Roman"/>
          <w:sz w:val="24"/>
          <w:szCs w:val="24"/>
        </w:rPr>
        <w:t xml:space="preserve"> </w:t>
      </w:r>
      <w:r w:rsidRPr="00AA40E7" w:rsidR="00861141">
        <w:rPr>
          <w:rFonts w:ascii="Times New Roman" w:hAnsi="Times New Roman"/>
          <w:sz w:val="24"/>
          <w:szCs w:val="24"/>
        </w:rPr>
        <w:t xml:space="preserve">mln., bestaande uit circa </w:t>
      </w:r>
      <w:r w:rsidRPr="00AA40E7" w:rsidR="0060712C">
        <w:rPr>
          <w:rFonts w:ascii="Times New Roman" w:hAnsi="Times New Roman"/>
          <w:sz w:val="24"/>
          <w:szCs w:val="24"/>
        </w:rPr>
        <w:t>€ 21</w:t>
      </w:r>
      <w:r w:rsidRPr="00AA40E7" w:rsidR="00E46C1A">
        <w:rPr>
          <w:rFonts w:ascii="Times New Roman" w:hAnsi="Times New Roman"/>
          <w:sz w:val="24"/>
          <w:szCs w:val="24"/>
        </w:rPr>
        <w:t>,</w:t>
      </w:r>
      <w:r w:rsidRPr="00AA40E7" w:rsidR="0060712C">
        <w:rPr>
          <w:rFonts w:ascii="Times New Roman" w:hAnsi="Times New Roman"/>
          <w:sz w:val="24"/>
          <w:szCs w:val="24"/>
        </w:rPr>
        <w:t>6</w:t>
      </w:r>
      <w:r w:rsidRPr="00AA40E7">
        <w:rPr>
          <w:rFonts w:ascii="Times New Roman" w:hAnsi="Times New Roman"/>
          <w:sz w:val="24"/>
          <w:szCs w:val="24"/>
        </w:rPr>
        <w:t xml:space="preserve"> mln.</w:t>
      </w:r>
      <w:r w:rsidRPr="00AA40E7" w:rsidR="00861141">
        <w:rPr>
          <w:rFonts w:ascii="Times New Roman" w:hAnsi="Times New Roman"/>
          <w:sz w:val="24"/>
          <w:szCs w:val="24"/>
        </w:rPr>
        <w:t xml:space="preserve"> voor de politieke artikelen en </w:t>
      </w:r>
      <w:r w:rsidRPr="00AA40E7" w:rsidR="00BC41C8">
        <w:rPr>
          <w:rFonts w:ascii="Times New Roman" w:hAnsi="Times New Roman"/>
          <w:sz w:val="24"/>
          <w:szCs w:val="24"/>
        </w:rPr>
        <w:t>circa</w:t>
      </w:r>
      <w:r w:rsidRPr="00AA40E7" w:rsidR="00861141">
        <w:rPr>
          <w:rFonts w:ascii="Times New Roman" w:hAnsi="Times New Roman"/>
          <w:sz w:val="24"/>
          <w:szCs w:val="24"/>
        </w:rPr>
        <w:t xml:space="preserve"> </w:t>
      </w:r>
      <w:r w:rsidRPr="00AA40E7" w:rsidR="00E23AF8">
        <w:rPr>
          <w:rFonts w:ascii="Times New Roman" w:hAnsi="Times New Roman"/>
          <w:sz w:val="24"/>
          <w:szCs w:val="24"/>
        </w:rPr>
        <w:t xml:space="preserve">€ </w:t>
      </w:r>
      <w:r w:rsidRPr="00AA40E7" w:rsidR="001A3CEC">
        <w:rPr>
          <w:rFonts w:ascii="Times New Roman" w:hAnsi="Times New Roman"/>
          <w:sz w:val="24"/>
          <w:szCs w:val="24"/>
        </w:rPr>
        <w:t>12,9</w:t>
      </w:r>
      <w:r w:rsidRPr="00AA40E7" w:rsidR="00E46C1A">
        <w:rPr>
          <w:rFonts w:ascii="Times New Roman" w:hAnsi="Times New Roman"/>
          <w:sz w:val="24"/>
          <w:szCs w:val="24"/>
        </w:rPr>
        <w:t xml:space="preserve"> </w:t>
      </w:r>
      <w:r w:rsidRPr="00AA40E7" w:rsidR="00861141">
        <w:rPr>
          <w:rFonts w:ascii="Times New Roman" w:hAnsi="Times New Roman"/>
          <w:sz w:val="24"/>
          <w:szCs w:val="24"/>
        </w:rPr>
        <w:t>mln. voor de ambtelijke artikelen.</w:t>
      </w:r>
      <w:r w:rsidRPr="00AA40E7" w:rsidR="00C244D7">
        <w:rPr>
          <w:rFonts w:ascii="Times New Roman" w:hAnsi="Times New Roman"/>
          <w:sz w:val="24"/>
          <w:szCs w:val="24"/>
        </w:rPr>
        <w:t xml:space="preserve"> Deze stijging in 2024 is </w:t>
      </w:r>
      <w:r w:rsidRPr="00AA40E7" w:rsidR="00BA2DE9">
        <w:rPr>
          <w:rFonts w:ascii="Times New Roman" w:hAnsi="Times New Roman"/>
          <w:sz w:val="24"/>
          <w:szCs w:val="24"/>
        </w:rPr>
        <w:t>voornamelijk</w:t>
      </w:r>
      <w:r w:rsidRPr="00AA40E7" w:rsidR="00C244D7">
        <w:rPr>
          <w:rFonts w:ascii="Times New Roman" w:hAnsi="Times New Roman"/>
          <w:sz w:val="24"/>
          <w:szCs w:val="24"/>
        </w:rPr>
        <w:t xml:space="preserve"> incidenteel van aard en werkt maar beperkt structureel door in de toekomstige jaren op de ambtelijke en politieke artikelen.</w:t>
      </w:r>
      <w:r w:rsidRPr="00AA40E7" w:rsidR="00BA2DE9">
        <w:rPr>
          <w:rFonts w:ascii="Times New Roman" w:hAnsi="Times New Roman"/>
          <w:sz w:val="24"/>
          <w:szCs w:val="24"/>
        </w:rPr>
        <w:t xml:space="preserve"> Voor de ambtelijke artikelen is een stru</w:t>
      </w:r>
      <w:r w:rsidR="006A188C">
        <w:rPr>
          <w:rFonts w:ascii="Times New Roman" w:hAnsi="Times New Roman"/>
          <w:sz w:val="24"/>
          <w:szCs w:val="24"/>
        </w:rPr>
        <w:t>cturele ophoging nodig van</w:t>
      </w:r>
      <w:r w:rsidRPr="00AA40E7" w:rsidR="00BA2DE9">
        <w:rPr>
          <w:rFonts w:ascii="Times New Roman" w:hAnsi="Times New Roman"/>
          <w:sz w:val="24"/>
          <w:szCs w:val="24"/>
        </w:rPr>
        <w:t xml:space="preserve"> € 7,0 mln.</w:t>
      </w:r>
      <w:r w:rsidRPr="00AA40E7" w:rsidR="00C244D7">
        <w:rPr>
          <w:rFonts w:ascii="Times New Roman" w:hAnsi="Times New Roman"/>
          <w:sz w:val="24"/>
          <w:szCs w:val="24"/>
        </w:rPr>
        <w:t xml:space="preserve"> </w:t>
      </w:r>
      <w:r w:rsidRPr="00AA40E7" w:rsidR="00BA2DE9">
        <w:rPr>
          <w:rFonts w:ascii="Times New Roman" w:hAnsi="Times New Roman"/>
          <w:sz w:val="24"/>
          <w:szCs w:val="24"/>
        </w:rPr>
        <w:t>en voor de politieke artikelen</w:t>
      </w:r>
      <w:r w:rsidRPr="00AA40E7" w:rsidR="008A3E45">
        <w:rPr>
          <w:rFonts w:ascii="Times New Roman" w:hAnsi="Times New Roman"/>
          <w:sz w:val="24"/>
          <w:szCs w:val="24"/>
        </w:rPr>
        <w:t xml:space="preserve"> </w:t>
      </w:r>
      <w:r w:rsidRPr="00AA40E7" w:rsidR="009F02FC">
        <w:rPr>
          <w:rFonts w:ascii="Times New Roman" w:hAnsi="Times New Roman"/>
          <w:sz w:val="24"/>
          <w:szCs w:val="24"/>
        </w:rPr>
        <w:t xml:space="preserve">is </w:t>
      </w:r>
      <w:r w:rsidRPr="00AA40E7" w:rsidR="00DB23B6">
        <w:rPr>
          <w:rFonts w:ascii="Times New Roman" w:hAnsi="Times New Roman"/>
          <w:sz w:val="24"/>
          <w:szCs w:val="24"/>
        </w:rPr>
        <w:t>een structurele ophoging</w:t>
      </w:r>
      <w:r w:rsidRPr="00AA40E7" w:rsidR="009F02FC">
        <w:rPr>
          <w:rFonts w:ascii="Times New Roman" w:hAnsi="Times New Roman"/>
          <w:sz w:val="24"/>
          <w:szCs w:val="24"/>
        </w:rPr>
        <w:t xml:space="preserve"> nodig</w:t>
      </w:r>
      <w:r w:rsidRPr="00AA40E7" w:rsidR="00DB23B6">
        <w:rPr>
          <w:rFonts w:ascii="Times New Roman" w:hAnsi="Times New Roman"/>
          <w:sz w:val="24"/>
          <w:szCs w:val="24"/>
        </w:rPr>
        <w:t xml:space="preserve"> van </w:t>
      </w:r>
      <w:r w:rsidRPr="00AA40E7" w:rsidR="008A3E45">
        <w:rPr>
          <w:rFonts w:ascii="Times New Roman" w:hAnsi="Times New Roman"/>
          <w:sz w:val="24"/>
          <w:szCs w:val="24"/>
        </w:rPr>
        <w:t>€ 1,2 mln</w:t>
      </w:r>
      <w:r w:rsidRPr="00AA40E7" w:rsidR="00BA2DE9">
        <w:rPr>
          <w:rFonts w:ascii="Times New Roman" w:hAnsi="Times New Roman"/>
          <w:sz w:val="24"/>
          <w:szCs w:val="24"/>
        </w:rPr>
        <w:t xml:space="preserve">. De incidentele </w:t>
      </w:r>
      <w:r w:rsidRPr="00AA40E7" w:rsidR="00DB23B6">
        <w:rPr>
          <w:rFonts w:ascii="Times New Roman" w:hAnsi="Times New Roman"/>
          <w:sz w:val="24"/>
          <w:szCs w:val="24"/>
        </w:rPr>
        <w:t xml:space="preserve">en structurele effecten </w:t>
      </w:r>
      <w:r w:rsidRPr="00AA40E7" w:rsidR="00BA2DE9">
        <w:rPr>
          <w:rFonts w:ascii="Times New Roman" w:hAnsi="Times New Roman"/>
          <w:sz w:val="24"/>
          <w:szCs w:val="24"/>
        </w:rPr>
        <w:t>word</w:t>
      </w:r>
      <w:r w:rsidRPr="00AA40E7" w:rsidR="00DB23B6">
        <w:rPr>
          <w:rFonts w:ascii="Times New Roman" w:hAnsi="Times New Roman"/>
          <w:sz w:val="24"/>
          <w:szCs w:val="24"/>
        </w:rPr>
        <w:t>en</w:t>
      </w:r>
      <w:r w:rsidRPr="00AA40E7" w:rsidR="00BA2DE9">
        <w:rPr>
          <w:rFonts w:ascii="Times New Roman" w:hAnsi="Times New Roman"/>
          <w:sz w:val="24"/>
          <w:szCs w:val="24"/>
        </w:rPr>
        <w:t xml:space="preserve"> ook nader </w:t>
      </w:r>
      <w:r w:rsidRPr="00AA40E7" w:rsidR="008A3E45">
        <w:rPr>
          <w:rFonts w:ascii="Times New Roman" w:hAnsi="Times New Roman"/>
          <w:sz w:val="24"/>
          <w:szCs w:val="24"/>
        </w:rPr>
        <w:t>verklaard</w:t>
      </w:r>
      <w:r w:rsidRPr="00AA40E7" w:rsidR="00BA2DE9">
        <w:rPr>
          <w:rFonts w:ascii="Times New Roman" w:hAnsi="Times New Roman"/>
          <w:sz w:val="24"/>
          <w:szCs w:val="24"/>
        </w:rPr>
        <w:t xml:space="preserve"> </w:t>
      </w:r>
      <w:r w:rsidRPr="00AA40E7" w:rsidR="008A3E45">
        <w:rPr>
          <w:rFonts w:ascii="Times New Roman" w:hAnsi="Times New Roman"/>
          <w:sz w:val="24"/>
          <w:szCs w:val="24"/>
        </w:rPr>
        <w:t>in de</w:t>
      </w:r>
      <w:r w:rsidRPr="00AA40E7" w:rsidR="00DB23B6">
        <w:rPr>
          <w:rFonts w:ascii="Times New Roman" w:hAnsi="Times New Roman"/>
          <w:sz w:val="24"/>
          <w:szCs w:val="24"/>
        </w:rPr>
        <w:t>ze</w:t>
      </w:r>
      <w:r w:rsidRPr="00AA40E7" w:rsidR="00BA2DE9">
        <w:rPr>
          <w:rFonts w:ascii="Times New Roman" w:hAnsi="Times New Roman"/>
          <w:sz w:val="24"/>
          <w:szCs w:val="24"/>
        </w:rPr>
        <w:t xml:space="preserve"> Begrotingstoelichting</w:t>
      </w:r>
      <w:r w:rsidRPr="00AA40E7" w:rsidR="008A3E45">
        <w:rPr>
          <w:rFonts w:ascii="Times New Roman" w:hAnsi="Times New Roman"/>
          <w:sz w:val="24"/>
          <w:szCs w:val="24"/>
        </w:rPr>
        <w:t>.</w:t>
      </w:r>
      <w:r w:rsidRPr="00AA40E7" w:rsidR="00BA2DE9">
        <w:rPr>
          <w:rFonts w:ascii="Times New Roman" w:hAnsi="Times New Roman"/>
          <w:sz w:val="24"/>
          <w:szCs w:val="24"/>
        </w:rPr>
        <w:t xml:space="preserve"> </w:t>
      </w:r>
    </w:p>
    <w:p w:rsidRPr="00AA40E7" w:rsidR="00DD0AC9" w:rsidP="00654798" w:rsidRDefault="00DD0AC9" w14:paraId="2D26CB7C" w14:textId="6855AD87">
      <w:pPr>
        <w:spacing w:line="240" w:lineRule="atLeast"/>
        <w:rPr>
          <w:rFonts w:ascii="Times New Roman" w:hAnsi="Times New Roman"/>
          <w:sz w:val="24"/>
          <w:szCs w:val="24"/>
        </w:rPr>
      </w:pPr>
    </w:p>
    <w:p w:rsidRPr="00AA40E7" w:rsidR="00C244D7" w:rsidP="00654798" w:rsidRDefault="00C244D7" w14:paraId="39EF045C" w14:textId="5FB28F29">
      <w:pPr>
        <w:spacing w:line="240" w:lineRule="atLeast"/>
        <w:rPr>
          <w:rFonts w:ascii="Times New Roman" w:hAnsi="Times New Roman"/>
          <w:sz w:val="24"/>
          <w:szCs w:val="24"/>
        </w:rPr>
      </w:pPr>
    </w:p>
    <w:p w:rsidRPr="00AA40E7" w:rsidR="008A3E45" w:rsidP="00654798" w:rsidRDefault="00861141" w14:paraId="68318B16" w14:textId="77777777">
      <w:pPr>
        <w:spacing w:line="240" w:lineRule="atLeast"/>
        <w:rPr>
          <w:rFonts w:ascii="Times New Roman" w:hAnsi="Times New Roman"/>
          <w:sz w:val="24"/>
          <w:szCs w:val="24"/>
        </w:rPr>
      </w:pPr>
      <w:r w:rsidRPr="00AA40E7">
        <w:rPr>
          <w:rFonts w:ascii="Times New Roman" w:hAnsi="Times New Roman"/>
          <w:sz w:val="24"/>
          <w:szCs w:val="24"/>
        </w:rPr>
        <w:t xml:space="preserve">De stijging op de politieke artikelen is </w:t>
      </w:r>
      <w:r w:rsidRPr="00AA40E7" w:rsidR="008A3E45">
        <w:rPr>
          <w:rFonts w:ascii="Times New Roman" w:hAnsi="Times New Roman"/>
          <w:sz w:val="24"/>
          <w:szCs w:val="24"/>
        </w:rPr>
        <w:t>niet structureel</w:t>
      </w:r>
      <w:r w:rsidRPr="00AA40E7" w:rsidR="0060712C">
        <w:rPr>
          <w:rFonts w:ascii="Times New Roman" w:hAnsi="Times New Roman"/>
          <w:sz w:val="24"/>
          <w:szCs w:val="24"/>
        </w:rPr>
        <w:t xml:space="preserve"> van aard</w:t>
      </w:r>
      <w:r w:rsidRPr="00AA40E7" w:rsidR="000226AA">
        <w:rPr>
          <w:rFonts w:ascii="Times New Roman" w:hAnsi="Times New Roman"/>
          <w:sz w:val="24"/>
          <w:szCs w:val="24"/>
        </w:rPr>
        <w:t xml:space="preserve">. </w:t>
      </w:r>
      <w:r w:rsidRPr="00AA40E7" w:rsidR="00E23AF8">
        <w:rPr>
          <w:rFonts w:ascii="Times New Roman" w:hAnsi="Times New Roman"/>
          <w:sz w:val="24"/>
          <w:szCs w:val="24"/>
        </w:rPr>
        <w:t xml:space="preserve">De </w:t>
      </w:r>
      <w:r w:rsidRPr="00AA40E7" w:rsidR="00ED71DD">
        <w:rPr>
          <w:rFonts w:ascii="Times New Roman" w:hAnsi="Times New Roman"/>
          <w:sz w:val="24"/>
          <w:szCs w:val="24"/>
        </w:rPr>
        <w:t>doorlopende financiering (</w:t>
      </w:r>
      <w:r w:rsidRPr="00AA40E7" w:rsidR="00E23AF8">
        <w:rPr>
          <w:rFonts w:ascii="Times New Roman" w:hAnsi="Times New Roman"/>
          <w:sz w:val="24"/>
          <w:szCs w:val="24"/>
        </w:rPr>
        <w:t>‘schok</w:t>
      </w:r>
      <w:r w:rsidRPr="00AA40E7" w:rsidR="006A492F">
        <w:rPr>
          <w:rFonts w:ascii="Times New Roman" w:hAnsi="Times New Roman"/>
          <w:sz w:val="24"/>
          <w:szCs w:val="24"/>
        </w:rPr>
        <w:t>demping’</w:t>
      </w:r>
      <w:r w:rsidRPr="00AA40E7" w:rsidR="00ED71DD">
        <w:rPr>
          <w:rFonts w:ascii="Times New Roman" w:hAnsi="Times New Roman"/>
          <w:sz w:val="24"/>
          <w:szCs w:val="24"/>
        </w:rPr>
        <w:t>)</w:t>
      </w:r>
      <w:r w:rsidRPr="00AA40E7" w:rsidR="006A492F">
        <w:rPr>
          <w:rFonts w:ascii="Times New Roman" w:hAnsi="Times New Roman"/>
          <w:sz w:val="24"/>
          <w:szCs w:val="24"/>
        </w:rPr>
        <w:t xml:space="preserve"> </w:t>
      </w:r>
      <w:r w:rsidRPr="00AA40E7" w:rsidR="00ED71DD">
        <w:rPr>
          <w:rFonts w:ascii="Times New Roman" w:hAnsi="Times New Roman"/>
          <w:sz w:val="24"/>
          <w:szCs w:val="24"/>
        </w:rPr>
        <w:t>voor fracties</w:t>
      </w:r>
      <w:r w:rsidRPr="00AA40E7" w:rsidR="00E23AF8">
        <w:rPr>
          <w:rFonts w:ascii="Times New Roman" w:hAnsi="Times New Roman"/>
          <w:sz w:val="24"/>
          <w:szCs w:val="24"/>
        </w:rPr>
        <w:t xml:space="preserve"> die n</w:t>
      </w:r>
      <w:r w:rsidRPr="00AA40E7" w:rsidR="006A492F">
        <w:rPr>
          <w:rFonts w:ascii="Times New Roman" w:hAnsi="Times New Roman"/>
          <w:sz w:val="24"/>
          <w:szCs w:val="24"/>
        </w:rPr>
        <w:t>a</w:t>
      </w:r>
      <w:r w:rsidRPr="00AA40E7" w:rsidR="00E23AF8">
        <w:rPr>
          <w:rFonts w:ascii="Times New Roman" w:hAnsi="Times New Roman"/>
          <w:sz w:val="24"/>
          <w:szCs w:val="24"/>
        </w:rPr>
        <w:t xml:space="preserve"> de verkiezingen in zetels na</w:t>
      </w:r>
      <w:r w:rsidRPr="00AA40E7" w:rsidR="006A492F">
        <w:rPr>
          <w:rFonts w:ascii="Times New Roman" w:hAnsi="Times New Roman"/>
          <w:sz w:val="24"/>
          <w:szCs w:val="24"/>
        </w:rPr>
        <w:t xml:space="preserve">ar beneden zijn gegaan kost circa </w:t>
      </w:r>
    </w:p>
    <w:p w:rsidRPr="00AA40E7" w:rsidR="00861141" w:rsidP="00654798" w:rsidRDefault="006A492F" w14:paraId="502243C3" w14:textId="1CEA6BAD">
      <w:pPr>
        <w:spacing w:line="240" w:lineRule="atLeast"/>
        <w:rPr>
          <w:rFonts w:ascii="Times New Roman" w:hAnsi="Times New Roman"/>
          <w:sz w:val="24"/>
          <w:szCs w:val="24"/>
        </w:rPr>
      </w:pPr>
      <w:r w:rsidRPr="00AA40E7">
        <w:rPr>
          <w:rFonts w:ascii="Times New Roman" w:hAnsi="Times New Roman"/>
          <w:sz w:val="24"/>
          <w:szCs w:val="24"/>
        </w:rPr>
        <w:t xml:space="preserve">€ 11 mln. </w:t>
      </w:r>
      <w:r w:rsidRPr="00AA40E7" w:rsidR="00E23AF8">
        <w:rPr>
          <w:rFonts w:ascii="Times New Roman" w:hAnsi="Times New Roman"/>
          <w:sz w:val="24"/>
          <w:szCs w:val="24"/>
        </w:rPr>
        <w:t>en eind 2024 loopt deze schokdemp</w:t>
      </w:r>
      <w:r w:rsidRPr="00AA40E7" w:rsidR="00ED71DD">
        <w:rPr>
          <w:rFonts w:ascii="Times New Roman" w:hAnsi="Times New Roman"/>
          <w:sz w:val="24"/>
          <w:szCs w:val="24"/>
        </w:rPr>
        <w:t>ing</w:t>
      </w:r>
      <w:r w:rsidRPr="00AA40E7" w:rsidR="00E23AF8">
        <w:rPr>
          <w:rFonts w:ascii="Times New Roman" w:hAnsi="Times New Roman"/>
          <w:sz w:val="24"/>
          <w:szCs w:val="24"/>
        </w:rPr>
        <w:t xml:space="preserve"> af. Het budget voor de wachtgeldregeling wordt eveneens sterk aangesproken door vrijwillig vertrek van Kamerleden en Kamerleden die niet zijn</w:t>
      </w:r>
      <w:r w:rsidRPr="00AA40E7">
        <w:rPr>
          <w:rFonts w:ascii="Times New Roman" w:hAnsi="Times New Roman"/>
          <w:sz w:val="24"/>
          <w:szCs w:val="24"/>
        </w:rPr>
        <w:t xml:space="preserve"> herkozen. Dit kost circa </w:t>
      </w:r>
      <w:r w:rsidRPr="00AA40E7" w:rsidR="00E23AF8">
        <w:rPr>
          <w:rFonts w:ascii="Times New Roman" w:hAnsi="Times New Roman"/>
          <w:sz w:val="24"/>
          <w:szCs w:val="24"/>
        </w:rPr>
        <w:t>€ 6 mln.</w:t>
      </w:r>
      <w:r w:rsidRPr="00AA40E7">
        <w:rPr>
          <w:rFonts w:ascii="Times New Roman" w:hAnsi="Times New Roman"/>
          <w:sz w:val="24"/>
          <w:szCs w:val="24"/>
        </w:rPr>
        <w:t xml:space="preserve"> aan wachtgeld</w:t>
      </w:r>
      <w:r w:rsidRPr="00AA40E7" w:rsidR="00DD0AC9">
        <w:rPr>
          <w:rFonts w:ascii="Times New Roman" w:hAnsi="Times New Roman"/>
          <w:sz w:val="24"/>
          <w:szCs w:val="24"/>
        </w:rPr>
        <w:t xml:space="preserve"> in 2024 met de verwachting dat deze kosten in de volgende jaren aanzienlijk zullen afnemen. </w:t>
      </w:r>
      <w:r w:rsidRPr="00AA40E7" w:rsidR="000226AA">
        <w:rPr>
          <w:rFonts w:ascii="Times New Roman" w:hAnsi="Times New Roman"/>
          <w:sz w:val="24"/>
          <w:szCs w:val="24"/>
        </w:rPr>
        <w:t>Voor het onderdeel Parlementaire enquêtes is een budget nodig van € 3,4 mln. in 2024. D</w:t>
      </w:r>
      <w:r w:rsidRPr="00AA40E7">
        <w:rPr>
          <w:rFonts w:ascii="Times New Roman" w:hAnsi="Times New Roman"/>
          <w:sz w:val="24"/>
          <w:szCs w:val="24"/>
        </w:rPr>
        <w:t>i</w:t>
      </w:r>
      <w:r w:rsidRPr="00AA40E7" w:rsidR="0076523C">
        <w:rPr>
          <w:rFonts w:ascii="Times New Roman" w:hAnsi="Times New Roman"/>
          <w:sz w:val="24"/>
          <w:szCs w:val="24"/>
        </w:rPr>
        <w:t xml:space="preserve">t bestaat uit een restant van € 0,9 mln. van de </w:t>
      </w:r>
      <w:r w:rsidRPr="00AA40E7" w:rsidR="000226AA">
        <w:rPr>
          <w:rFonts w:ascii="Times New Roman" w:hAnsi="Times New Roman"/>
          <w:sz w:val="24"/>
          <w:szCs w:val="24"/>
        </w:rPr>
        <w:t xml:space="preserve">Parlementaire Enquête Fraudebeleid en Dienstverlening </w:t>
      </w:r>
      <w:r w:rsidRPr="00AA40E7" w:rsidR="0076523C">
        <w:rPr>
          <w:rFonts w:ascii="Times New Roman" w:hAnsi="Times New Roman"/>
          <w:sz w:val="24"/>
          <w:szCs w:val="24"/>
        </w:rPr>
        <w:t xml:space="preserve">dat </w:t>
      </w:r>
      <w:r w:rsidRPr="00AA40E7" w:rsidR="000226AA">
        <w:rPr>
          <w:rFonts w:ascii="Times New Roman" w:hAnsi="Times New Roman"/>
          <w:sz w:val="24"/>
          <w:szCs w:val="24"/>
        </w:rPr>
        <w:t>niet volledig</w:t>
      </w:r>
      <w:r w:rsidRPr="00AA40E7" w:rsidR="0076523C">
        <w:rPr>
          <w:rFonts w:ascii="Times New Roman" w:hAnsi="Times New Roman"/>
          <w:sz w:val="24"/>
          <w:szCs w:val="24"/>
        </w:rPr>
        <w:t xml:space="preserve"> is</w:t>
      </w:r>
      <w:r w:rsidRPr="00AA40E7" w:rsidR="000226AA">
        <w:rPr>
          <w:rFonts w:ascii="Times New Roman" w:hAnsi="Times New Roman"/>
          <w:sz w:val="24"/>
          <w:szCs w:val="24"/>
        </w:rPr>
        <w:t xml:space="preserve"> benut </w:t>
      </w:r>
      <w:r w:rsidRPr="00AA40E7" w:rsidR="0076523C">
        <w:rPr>
          <w:rFonts w:ascii="Times New Roman" w:hAnsi="Times New Roman"/>
          <w:sz w:val="24"/>
          <w:szCs w:val="24"/>
        </w:rPr>
        <w:t xml:space="preserve">in 2023 (en doorschuift naar 2024) en € 2,5 mln. voor het eerste jaar van de Parlementaire Enquête Corona in 2024. Als laatste dient </w:t>
      </w:r>
      <w:r w:rsidRPr="00AA40E7" w:rsidR="00DD0AC9">
        <w:rPr>
          <w:rFonts w:ascii="Times New Roman" w:hAnsi="Times New Roman"/>
          <w:sz w:val="24"/>
          <w:szCs w:val="24"/>
        </w:rPr>
        <w:t>het budget voor de scha</w:t>
      </w:r>
      <w:r w:rsidRPr="00AA40E7" w:rsidR="0076523C">
        <w:rPr>
          <w:rFonts w:ascii="Times New Roman" w:hAnsi="Times New Roman"/>
          <w:sz w:val="24"/>
          <w:szCs w:val="24"/>
        </w:rPr>
        <w:t xml:space="preserve">deloosstelling </w:t>
      </w:r>
      <w:r w:rsidRPr="00AA40E7" w:rsidR="00DD0AC9">
        <w:rPr>
          <w:rFonts w:ascii="Times New Roman" w:hAnsi="Times New Roman"/>
          <w:sz w:val="24"/>
          <w:szCs w:val="24"/>
        </w:rPr>
        <w:t xml:space="preserve">structureel </w:t>
      </w:r>
      <w:r w:rsidRPr="00AA40E7">
        <w:rPr>
          <w:rFonts w:ascii="Times New Roman" w:hAnsi="Times New Roman"/>
          <w:sz w:val="24"/>
          <w:szCs w:val="24"/>
        </w:rPr>
        <w:t xml:space="preserve">met </w:t>
      </w:r>
      <w:r w:rsidRPr="00AA40E7" w:rsidR="00DD0AC9">
        <w:rPr>
          <w:rFonts w:ascii="Times New Roman" w:hAnsi="Times New Roman"/>
          <w:sz w:val="24"/>
          <w:szCs w:val="24"/>
        </w:rPr>
        <w:t>€ 1</w:t>
      </w:r>
      <w:r w:rsidRPr="00AA40E7" w:rsidR="0076523C">
        <w:rPr>
          <w:rFonts w:ascii="Times New Roman" w:hAnsi="Times New Roman"/>
          <w:sz w:val="24"/>
          <w:szCs w:val="24"/>
        </w:rPr>
        <w:t>,2 mln. te worden opgehoogd</w:t>
      </w:r>
      <w:r w:rsidRPr="00AA40E7" w:rsidR="00DD0AC9">
        <w:rPr>
          <w:rFonts w:ascii="Times New Roman" w:hAnsi="Times New Roman"/>
          <w:sz w:val="24"/>
          <w:szCs w:val="24"/>
        </w:rPr>
        <w:t xml:space="preserve"> als gevolg van de </w:t>
      </w:r>
      <w:r w:rsidRPr="00AA40E7" w:rsidR="0088081A">
        <w:rPr>
          <w:rFonts w:ascii="Times New Roman" w:hAnsi="Times New Roman"/>
          <w:sz w:val="24"/>
          <w:szCs w:val="24"/>
        </w:rPr>
        <w:t>eindheffing</w:t>
      </w:r>
      <w:r w:rsidRPr="00AA40E7" w:rsidR="00DD0AC9">
        <w:rPr>
          <w:rFonts w:ascii="Times New Roman" w:hAnsi="Times New Roman"/>
          <w:sz w:val="24"/>
          <w:szCs w:val="24"/>
        </w:rPr>
        <w:t xml:space="preserve"> van de Werkkostenregeling. </w:t>
      </w:r>
      <w:r w:rsidRPr="00AA40E7" w:rsidR="00B81567">
        <w:rPr>
          <w:rFonts w:ascii="Times New Roman" w:hAnsi="Times New Roman"/>
          <w:sz w:val="24"/>
          <w:szCs w:val="24"/>
        </w:rPr>
        <w:t>Dit als effect van bepalingen uit de Wet Schadeloosstelling</w:t>
      </w:r>
      <w:r w:rsidRPr="00AA40E7" w:rsidR="00195B8F">
        <w:rPr>
          <w:rFonts w:ascii="Times New Roman" w:hAnsi="Times New Roman"/>
          <w:sz w:val="24"/>
          <w:szCs w:val="24"/>
        </w:rPr>
        <w:t xml:space="preserve"> leden Tweede Kamer</w:t>
      </w:r>
      <w:r w:rsidRPr="00AA40E7" w:rsidR="00B81567">
        <w:rPr>
          <w:rFonts w:ascii="Times New Roman" w:hAnsi="Times New Roman"/>
          <w:sz w:val="24"/>
          <w:szCs w:val="24"/>
        </w:rPr>
        <w:t xml:space="preserve">. </w:t>
      </w:r>
      <w:r w:rsidRPr="00AA40E7" w:rsidR="00DD0AC9">
        <w:rPr>
          <w:rFonts w:ascii="Times New Roman" w:hAnsi="Times New Roman"/>
          <w:sz w:val="24"/>
          <w:szCs w:val="24"/>
        </w:rPr>
        <w:t xml:space="preserve">Binnen de politieke artikelen was eerst </w:t>
      </w:r>
      <w:r w:rsidRPr="00AA40E7" w:rsidR="005B35DE">
        <w:rPr>
          <w:rFonts w:ascii="Times New Roman" w:hAnsi="Times New Roman"/>
          <w:sz w:val="24"/>
          <w:szCs w:val="24"/>
        </w:rPr>
        <w:t>budgettaire</w:t>
      </w:r>
      <w:r w:rsidRPr="00AA40E7" w:rsidR="00DD0AC9">
        <w:rPr>
          <w:rFonts w:ascii="Times New Roman" w:hAnsi="Times New Roman"/>
          <w:sz w:val="24"/>
          <w:szCs w:val="24"/>
        </w:rPr>
        <w:t xml:space="preserve"> ruimte om deze eindheffing</w:t>
      </w:r>
      <w:r w:rsidRPr="00AA40E7" w:rsidR="0088081A">
        <w:rPr>
          <w:rFonts w:ascii="Times New Roman" w:hAnsi="Times New Roman"/>
          <w:sz w:val="24"/>
          <w:szCs w:val="24"/>
        </w:rPr>
        <w:t xml:space="preserve"> zelf</w:t>
      </w:r>
      <w:r w:rsidRPr="00AA40E7" w:rsidR="00DD0AC9">
        <w:rPr>
          <w:rFonts w:ascii="Times New Roman" w:hAnsi="Times New Roman"/>
          <w:sz w:val="24"/>
          <w:szCs w:val="24"/>
        </w:rPr>
        <w:t xml:space="preserve"> te kunnen opvangen, maar deze </w:t>
      </w:r>
      <w:r w:rsidRPr="00AA40E7" w:rsidR="0088081A">
        <w:rPr>
          <w:rFonts w:ascii="Times New Roman" w:hAnsi="Times New Roman"/>
          <w:sz w:val="24"/>
          <w:szCs w:val="24"/>
        </w:rPr>
        <w:t xml:space="preserve">budgettaire </w:t>
      </w:r>
      <w:r w:rsidRPr="00AA40E7" w:rsidR="00DD0AC9">
        <w:rPr>
          <w:rFonts w:ascii="Times New Roman" w:hAnsi="Times New Roman"/>
          <w:sz w:val="24"/>
          <w:szCs w:val="24"/>
        </w:rPr>
        <w:t xml:space="preserve">ruimte is er niet meer. </w:t>
      </w:r>
    </w:p>
    <w:p w:rsidRPr="00AA40E7" w:rsidR="00861141" w:rsidP="00654798" w:rsidRDefault="00861141" w14:paraId="1FA51051" w14:textId="77777777">
      <w:pPr>
        <w:spacing w:line="240" w:lineRule="atLeast"/>
        <w:rPr>
          <w:rFonts w:ascii="Times New Roman" w:hAnsi="Times New Roman"/>
          <w:sz w:val="24"/>
          <w:szCs w:val="24"/>
        </w:rPr>
      </w:pPr>
    </w:p>
    <w:p w:rsidRPr="00AA40E7" w:rsidR="00FB6A8E" w:rsidP="00654798" w:rsidRDefault="00FB6A8E" w14:paraId="4F68279B" w14:textId="3D0B9C6B">
      <w:pPr>
        <w:spacing w:line="240" w:lineRule="atLeast"/>
        <w:rPr>
          <w:rFonts w:ascii="Times New Roman" w:hAnsi="Times New Roman"/>
          <w:sz w:val="24"/>
          <w:szCs w:val="24"/>
        </w:rPr>
      </w:pPr>
      <w:r w:rsidRPr="00AA40E7">
        <w:rPr>
          <w:rFonts w:ascii="Times New Roman" w:hAnsi="Times New Roman"/>
          <w:sz w:val="24"/>
          <w:szCs w:val="24"/>
        </w:rPr>
        <w:t xml:space="preserve">Op de ambtelijke artikelen is in 2024 € </w:t>
      </w:r>
      <w:r w:rsidRPr="00AA40E7" w:rsidR="001A3CEC">
        <w:rPr>
          <w:rFonts w:ascii="Times New Roman" w:hAnsi="Times New Roman"/>
          <w:sz w:val="24"/>
          <w:szCs w:val="24"/>
        </w:rPr>
        <w:t>12,9</w:t>
      </w:r>
      <w:r w:rsidRPr="00AA40E7" w:rsidR="00E46C1A">
        <w:rPr>
          <w:rFonts w:ascii="Times New Roman" w:hAnsi="Times New Roman"/>
          <w:sz w:val="24"/>
          <w:szCs w:val="24"/>
        </w:rPr>
        <w:t xml:space="preserve"> </w:t>
      </w:r>
      <w:r w:rsidRPr="00AA40E7">
        <w:rPr>
          <w:rFonts w:ascii="Times New Roman" w:hAnsi="Times New Roman"/>
          <w:sz w:val="24"/>
          <w:szCs w:val="24"/>
        </w:rPr>
        <w:t>mln. aanvullend budget nodig voor</w:t>
      </w:r>
      <w:r w:rsidRPr="00AA40E7" w:rsidR="00EF0275">
        <w:rPr>
          <w:rFonts w:ascii="Times New Roman" w:hAnsi="Times New Roman"/>
          <w:sz w:val="24"/>
          <w:szCs w:val="24"/>
        </w:rPr>
        <w:t xml:space="preserve"> met name</w:t>
      </w:r>
      <w:r w:rsidRPr="00AA40E7">
        <w:rPr>
          <w:rFonts w:ascii="Times New Roman" w:hAnsi="Times New Roman"/>
          <w:sz w:val="24"/>
          <w:szCs w:val="24"/>
        </w:rPr>
        <w:t xml:space="preserve"> </w:t>
      </w:r>
      <w:r w:rsidRPr="00AA40E7" w:rsidR="00EF0275">
        <w:rPr>
          <w:rFonts w:ascii="Times New Roman" w:hAnsi="Times New Roman"/>
          <w:sz w:val="24"/>
          <w:szCs w:val="24"/>
        </w:rPr>
        <w:t>veiligheid,</w:t>
      </w:r>
      <w:r w:rsidRPr="00AA40E7">
        <w:rPr>
          <w:rFonts w:ascii="Times New Roman" w:hAnsi="Times New Roman"/>
          <w:sz w:val="24"/>
          <w:szCs w:val="24"/>
        </w:rPr>
        <w:t xml:space="preserve"> </w:t>
      </w:r>
      <w:r w:rsidRPr="00AA40E7" w:rsidR="006A492F">
        <w:rPr>
          <w:rFonts w:ascii="Times New Roman" w:hAnsi="Times New Roman"/>
          <w:sz w:val="24"/>
          <w:szCs w:val="24"/>
        </w:rPr>
        <w:t>Kamerondersteuning</w:t>
      </w:r>
      <w:r w:rsidRPr="00AA40E7" w:rsidR="00EF0275">
        <w:rPr>
          <w:rFonts w:ascii="Times New Roman" w:hAnsi="Times New Roman"/>
          <w:sz w:val="24"/>
          <w:szCs w:val="24"/>
        </w:rPr>
        <w:t xml:space="preserve"> en automatisering. De veiligheidssituatie van het pand, de systemen en de leden</w:t>
      </w:r>
      <w:r w:rsidRPr="00AA40E7" w:rsidR="008A3E45">
        <w:rPr>
          <w:rFonts w:ascii="Times New Roman" w:hAnsi="Times New Roman"/>
          <w:sz w:val="24"/>
          <w:szCs w:val="24"/>
        </w:rPr>
        <w:t xml:space="preserve"> van de Tweede Kamer vragen om </w:t>
      </w:r>
      <w:r w:rsidRPr="00AA40E7" w:rsidR="00EF0275">
        <w:rPr>
          <w:rFonts w:ascii="Times New Roman" w:hAnsi="Times New Roman"/>
          <w:sz w:val="24"/>
          <w:szCs w:val="24"/>
        </w:rPr>
        <w:t xml:space="preserve">investeringen </w:t>
      </w:r>
      <w:r w:rsidRPr="00AA40E7" w:rsidR="008A3E45">
        <w:rPr>
          <w:rFonts w:ascii="Times New Roman" w:hAnsi="Times New Roman"/>
          <w:sz w:val="24"/>
          <w:szCs w:val="24"/>
        </w:rPr>
        <w:t xml:space="preserve">in </w:t>
      </w:r>
      <w:r w:rsidRPr="00AA40E7" w:rsidR="00EF0275">
        <w:rPr>
          <w:rFonts w:ascii="Times New Roman" w:hAnsi="Times New Roman"/>
          <w:sz w:val="24"/>
          <w:szCs w:val="24"/>
        </w:rPr>
        <w:t>materieel</w:t>
      </w:r>
      <w:r w:rsidRPr="00AA40E7" w:rsidR="008A3E45">
        <w:rPr>
          <w:rFonts w:ascii="Times New Roman" w:hAnsi="Times New Roman"/>
          <w:sz w:val="24"/>
          <w:szCs w:val="24"/>
        </w:rPr>
        <w:t xml:space="preserve"> en personeel</w:t>
      </w:r>
      <w:r w:rsidRPr="00AA40E7" w:rsidR="00EF0275">
        <w:rPr>
          <w:rFonts w:ascii="Times New Roman" w:hAnsi="Times New Roman"/>
          <w:sz w:val="24"/>
          <w:szCs w:val="24"/>
        </w:rPr>
        <w:t xml:space="preserve">. Werkzaamheden binnen de kamerorganisatie worden op sommige </w:t>
      </w:r>
      <w:r w:rsidRPr="00AA40E7" w:rsidR="005B35DE">
        <w:rPr>
          <w:rFonts w:ascii="Times New Roman" w:hAnsi="Times New Roman"/>
          <w:sz w:val="24"/>
          <w:szCs w:val="24"/>
        </w:rPr>
        <w:t>terreinen</w:t>
      </w:r>
      <w:r w:rsidRPr="00AA40E7" w:rsidR="00EF0275">
        <w:rPr>
          <w:rFonts w:ascii="Times New Roman" w:hAnsi="Times New Roman"/>
          <w:sz w:val="24"/>
          <w:szCs w:val="24"/>
        </w:rPr>
        <w:t xml:space="preserve"> complexer en dienen ook aan te sluiten op de organisatie van nu en die van in de toekomst. Deze versterking van de bedrijfsvoering is ook nodig op het gebied van automatisering</w:t>
      </w:r>
      <w:r w:rsidRPr="00AA40E7" w:rsidR="006B44E4">
        <w:rPr>
          <w:rFonts w:ascii="Times New Roman" w:hAnsi="Times New Roman"/>
          <w:sz w:val="24"/>
          <w:szCs w:val="24"/>
        </w:rPr>
        <w:t>; een wereld die mede door kunstmatige intelligentie nog sneller zal veranderen.</w:t>
      </w:r>
      <w:r w:rsidRPr="00AA40E7" w:rsidR="008A3E45">
        <w:rPr>
          <w:rFonts w:ascii="Times New Roman" w:hAnsi="Times New Roman"/>
          <w:sz w:val="24"/>
          <w:szCs w:val="24"/>
        </w:rPr>
        <w:t xml:space="preserve"> Structureel stijgt dit ambtelijke artikel met € 7,0 mln.</w:t>
      </w:r>
    </w:p>
    <w:p w:rsidRPr="00AA40E7" w:rsidR="00FB6A8E" w:rsidP="00654798" w:rsidRDefault="00FB6A8E" w14:paraId="175A8886" w14:textId="77777777">
      <w:pPr>
        <w:spacing w:line="240" w:lineRule="atLeast"/>
        <w:rPr>
          <w:rFonts w:ascii="Times New Roman" w:hAnsi="Times New Roman"/>
          <w:sz w:val="24"/>
          <w:szCs w:val="24"/>
        </w:rPr>
      </w:pPr>
    </w:p>
    <w:p w:rsidRPr="00AA40E7" w:rsidR="00C77781" w:rsidP="00654798" w:rsidRDefault="00C77781" w14:paraId="4BBE8461" w14:textId="63534593">
      <w:pPr>
        <w:spacing w:line="240" w:lineRule="atLeast"/>
        <w:rPr>
          <w:rFonts w:ascii="Times New Roman" w:hAnsi="Times New Roman"/>
          <w:sz w:val="24"/>
          <w:szCs w:val="24"/>
        </w:rPr>
      </w:pPr>
      <w:r w:rsidRPr="00AA40E7">
        <w:rPr>
          <w:rFonts w:ascii="Times New Roman" w:hAnsi="Times New Roman"/>
          <w:sz w:val="24"/>
          <w:szCs w:val="24"/>
        </w:rPr>
        <w:t>De fluctuaties in de meerj</w:t>
      </w:r>
      <w:r w:rsidRPr="00AA40E7" w:rsidR="00805332">
        <w:rPr>
          <w:rFonts w:ascii="Times New Roman" w:hAnsi="Times New Roman"/>
          <w:sz w:val="24"/>
          <w:szCs w:val="24"/>
        </w:rPr>
        <w:t>arenbegroting in de periode</w:t>
      </w:r>
      <w:r w:rsidRPr="00AA40E7" w:rsidR="006B44E4">
        <w:rPr>
          <w:rFonts w:ascii="Times New Roman" w:hAnsi="Times New Roman"/>
          <w:sz w:val="24"/>
          <w:szCs w:val="24"/>
        </w:rPr>
        <w:t xml:space="preserve"> na 2024 (</w:t>
      </w:r>
      <w:r w:rsidRPr="00AA40E7" w:rsidR="00805332">
        <w:rPr>
          <w:rFonts w:ascii="Times New Roman" w:hAnsi="Times New Roman"/>
          <w:sz w:val="24"/>
          <w:szCs w:val="24"/>
        </w:rPr>
        <w:t>2025-2029</w:t>
      </w:r>
      <w:r w:rsidRPr="00AA40E7" w:rsidR="006B44E4">
        <w:rPr>
          <w:rFonts w:ascii="Times New Roman" w:hAnsi="Times New Roman"/>
          <w:sz w:val="24"/>
          <w:szCs w:val="24"/>
        </w:rPr>
        <w:t>)</w:t>
      </w:r>
      <w:r w:rsidRPr="00AA40E7">
        <w:rPr>
          <w:rFonts w:ascii="Times New Roman" w:hAnsi="Times New Roman"/>
          <w:sz w:val="24"/>
          <w:szCs w:val="24"/>
        </w:rPr>
        <w:t xml:space="preserve"> worden verklaard door </w:t>
      </w:r>
      <w:r w:rsidRPr="00AA40E7" w:rsidR="00805332">
        <w:rPr>
          <w:rFonts w:ascii="Times New Roman" w:hAnsi="Times New Roman"/>
          <w:sz w:val="24"/>
          <w:szCs w:val="24"/>
        </w:rPr>
        <w:t xml:space="preserve">structurele en </w:t>
      </w:r>
      <w:r w:rsidRPr="00AA40E7">
        <w:rPr>
          <w:rFonts w:ascii="Times New Roman" w:hAnsi="Times New Roman"/>
          <w:sz w:val="24"/>
          <w:szCs w:val="24"/>
        </w:rPr>
        <w:t>incidentele uitgaven. Verder is in 202</w:t>
      </w:r>
      <w:r w:rsidRPr="00AA40E7" w:rsidR="00805332">
        <w:rPr>
          <w:rFonts w:ascii="Times New Roman" w:hAnsi="Times New Roman"/>
          <w:sz w:val="24"/>
          <w:szCs w:val="24"/>
        </w:rPr>
        <w:t>4</w:t>
      </w:r>
      <w:r w:rsidRPr="00AA40E7">
        <w:rPr>
          <w:rFonts w:ascii="Times New Roman" w:hAnsi="Times New Roman"/>
          <w:sz w:val="24"/>
          <w:szCs w:val="24"/>
        </w:rPr>
        <w:t xml:space="preserve"> sprake van incidenteel hogere ontvangsten</w:t>
      </w:r>
      <w:r w:rsidRPr="00AA40E7" w:rsidR="00805332">
        <w:rPr>
          <w:rFonts w:ascii="Times New Roman" w:hAnsi="Times New Roman"/>
          <w:sz w:val="24"/>
          <w:szCs w:val="24"/>
        </w:rPr>
        <w:t xml:space="preserve"> door terugbetalingen aan fra</w:t>
      </w:r>
      <w:r w:rsidRPr="00AA40E7" w:rsidR="00FB6A8E">
        <w:rPr>
          <w:rFonts w:ascii="Times New Roman" w:hAnsi="Times New Roman"/>
          <w:sz w:val="24"/>
          <w:szCs w:val="24"/>
        </w:rPr>
        <w:t>ctiegelden</w:t>
      </w:r>
      <w:r w:rsidRPr="00AA40E7">
        <w:rPr>
          <w:rFonts w:ascii="Times New Roman" w:hAnsi="Times New Roman"/>
          <w:sz w:val="24"/>
          <w:szCs w:val="24"/>
        </w:rPr>
        <w:t xml:space="preserve">. Deze </w:t>
      </w:r>
      <w:r w:rsidRPr="00AA40E7" w:rsidR="00FB6A8E">
        <w:rPr>
          <w:rFonts w:ascii="Times New Roman" w:hAnsi="Times New Roman"/>
          <w:sz w:val="24"/>
          <w:szCs w:val="24"/>
        </w:rPr>
        <w:t xml:space="preserve">baten </w:t>
      </w:r>
      <w:r w:rsidRPr="00AA40E7">
        <w:rPr>
          <w:rFonts w:ascii="Times New Roman" w:hAnsi="Times New Roman"/>
          <w:sz w:val="24"/>
          <w:szCs w:val="24"/>
        </w:rPr>
        <w:t>worden ingezet ter dekking</w:t>
      </w:r>
      <w:r w:rsidRPr="00AA40E7" w:rsidR="00FB6A8E">
        <w:rPr>
          <w:rFonts w:ascii="Times New Roman" w:hAnsi="Times New Roman"/>
          <w:sz w:val="24"/>
          <w:szCs w:val="24"/>
        </w:rPr>
        <w:t xml:space="preserve"> </w:t>
      </w:r>
      <w:r w:rsidRPr="00AA40E7">
        <w:rPr>
          <w:rFonts w:ascii="Times New Roman" w:hAnsi="Times New Roman"/>
          <w:sz w:val="24"/>
          <w:szCs w:val="24"/>
        </w:rPr>
        <w:t xml:space="preserve">van </w:t>
      </w:r>
      <w:r w:rsidRPr="00AA40E7" w:rsidR="00F416F9">
        <w:rPr>
          <w:rFonts w:ascii="Times New Roman" w:hAnsi="Times New Roman"/>
          <w:sz w:val="24"/>
          <w:szCs w:val="24"/>
        </w:rPr>
        <w:t xml:space="preserve">een deel van </w:t>
      </w:r>
      <w:r w:rsidRPr="00AA40E7">
        <w:rPr>
          <w:rFonts w:ascii="Times New Roman" w:hAnsi="Times New Roman"/>
          <w:sz w:val="24"/>
          <w:szCs w:val="24"/>
        </w:rPr>
        <w:t>de hogere uitgaven in 202</w:t>
      </w:r>
      <w:r w:rsidRPr="00AA40E7" w:rsidR="00805332">
        <w:rPr>
          <w:rFonts w:ascii="Times New Roman" w:hAnsi="Times New Roman"/>
          <w:sz w:val="24"/>
          <w:szCs w:val="24"/>
        </w:rPr>
        <w:t>4</w:t>
      </w:r>
      <w:r w:rsidRPr="00AA40E7" w:rsidR="00FB6A8E">
        <w:rPr>
          <w:rFonts w:ascii="Times New Roman" w:hAnsi="Times New Roman"/>
          <w:sz w:val="24"/>
          <w:szCs w:val="24"/>
        </w:rPr>
        <w:t xml:space="preserve"> (de</w:t>
      </w:r>
      <w:r w:rsidRPr="00AA40E7" w:rsidR="006B44E4">
        <w:rPr>
          <w:rFonts w:ascii="Times New Roman" w:hAnsi="Times New Roman"/>
          <w:sz w:val="24"/>
          <w:szCs w:val="24"/>
        </w:rPr>
        <w:t>-</w:t>
      </w:r>
      <w:r w:rsidRPr="00AA40E7" w:rsidR="00FB6A8E">
        <w:rPr>
          <w:rFonts w:ascii="Times New Roman" w:hAnsi="Times New Roman"/>
          <w:sz w:val="24"/>
          <w:szCs w:val="24"/>
        </w:rPr>
        <w:t>salderingsregel).</w:t>
      </w:r>
      <w:r w:rsidRPr="00AA40E7">
        <w:rPr>
          <w:rFonts w:ascii="Times New Roman" w:hAnsi="Times New Roman"/>
          <w:sz w:val="24"/>
          <w:szCs w:val="24"/>
        </w:rPr>
        <w:t xml:space="preserve"> In onderstaande tabel is het cijfermatig</w:t>
      </w:r>
      <w:r w:rsidRPr="00AA40E7" w:rsidR="006E2B2F">
        <w:rPr>
          <w:rFonts w:ascii="Times New Roman" w:hAnsi="Times New Roman"/>
          <w:sz w:val="24"/>
          <w:szCs w:val="24"/>
        </w:rPr>
        <w:t>e</w:t>
      </w:r>
      <w:r w:rsidRPr="00AA40E7">
        <w:rPr>
          <w:rFonts w:ascii="Times New Roman" w:hAnsi="Times New Roman"/>
          <w:sz w:val="24"/>
          <w:szCs w:val="24"/>
        </w:rPr>
        <w:t xml:space="preserve"> be</w:t>
      </w:r>
      <w:r w:rsidRPr="00AA40E7" w:rsidR="006B44E4">
        <w:rPr>
          <w:rFonts w:ascii="Times New Roman" w:hAnsi="Times New Roman"/>
          <w:sz w:val="24"/>
          <w:szCs w:val="24"/>
        </w:rPr>
        <w:t>eld opgenomen en vervolgens wordt dit</w:t>
      </w:r>
      <w:r w:rsidRPr="00AA40E7">
        <w:rPr>
          <w:rFonts w:ascii="Times New Roman" w:hAnsi="Times New Roman"/>
          <w:sz w:val="24"/>
          <w:szCs w:val="24"/>
        </w:rPr>
        <w:t xml:space="preserve"> per artikel (</w:t>
      </w:r>
      <w:r w:rsidRPr="00AA40E7" w:rsidR="00E22E90">
        <w:rPr>
          <w:rFonts w:ascii="Times New Roman" w:hAnsi="Times New Roman"/>
          <w:sz w:val="24"/>
          <w:szCs w:val="24"/>
        </w:rPr>
        <w:t>-</w:t>
      </w:r>
      <w:r w:rsidRPr="00AA40E7" w:rsidR="006B44E4">
        <w:rPr>
          <w:rFonts w:ascii="Times New Roman" w:hAnsi="Times New Roman"/>
          <w:sz w:val="24"/>
          <w:szCs w:val="24"/>
        </w:rPr>
        <w:t>onderdeel) toegelicht</w:t>
      </w:r>
      <w:r w:rsidRPr="00AA40E7">
        <w:rPr>
          <w:rFonts w:ascii="Times New Roman" w:hAnsi="Times New Roman"/>
          <w:sz w:val="24"/>
          <w:szCs w:val="24"/>
        </w:rPr>
        <w:t>.</w:t>
      </w:r>
    </w:p>
    <w:p w:rsidRPr="00AA40E7" w:rsidR="0019566D" w:rsidP="00E91FC0" w:rsidRDefault="0019566D" w14:paraId="5A3EB4D5" w14:textId="5B18746D">
      <w:pPr>
        <w:rPr>
          <w:rFonts w:ascii="Times New Roman" w:hAnsi="Times New Roman"/>
          <w:sz w:val="24"/>
          <w:szCs w:val="24"/>
        </w:rPr>
      </w:pPr>
    </w:p>
    <w:p w:rsidRPr="00AA40E7" w:rsidR="0019566D" w:rsidP="00654798" w:rsidRDefault="0019566D" w14:paraId="450B7122" w14:textId="1D82A31D">
      <w:pPr>
        <w:spacing w:line="240" w:lineRule="atLeast"/>
        <w:rPr>
          <w:rFonts w:ascii="Times New Roman" w:hAnsi="Times New Roman"/>
          <w:sz w:val="24"/>
          <w:szCs w:val="24"/>
        </w:rPr>
      </w:pPr>
      <w:r w:rsidRPr="00AA40E7">
        <w:rPr>
          <w:rFonts w:ascii="Times New Roman" w:hAnsi="Times New Roman"/>
          <w:i/>
          <w:iCs/>
          <w:color w:val="000000"/>
          <w:sz w:val="24"/>
          <w:szCs w:val="24"/>
        </w:rPr>
        <w:t>Tabel 0 Algemeen begrotingsbeeld</w:t>
      </w:r>
    </w:p>
    <w:tbl>
      <w:tblPr>
        <w:tblW w:w="9823" w:type="dxa"/>
        <w:tblCellMar>
          <w:left w:w="70" w:type="dxa"/>
          <w:right w:w="70" w:type="dxa"/>
        </w:tblCellMar>
        <w:tblLook w:val="04A0" w:firstRow="1" w:lastRow="0" w:firstColumn="1" w:lastColumn="0" w:noHBand="0" w:noVBand="1"/>
      </w:tblPr>
      <w:tblGrid>
        <w:gridCol w:w="3270"/>
        <w:gridCol w:w="1101"/>
        <w:gridCol w:w="1230"/>
        <w:gridCol w:w="1101"/>
        <w:gridCol w:w="1040"/>
        <w:gridCol w:w="1040"/>
        <w:gridCol w:w="1041"/>
      </w:tblGrid>
      <w:tr w:rsidRPr="00AA40E7" w:rsidR="0019566D" w:rsidTr="00DD2B01" w14:paraId="74D04219" w14:textId="77777777">
        <w:trPr>
          <w:trHeight w:val="300"/>
        </w:trPr>
        <w:tc>
          <w:tcPr>
            <w:tcW w:w="3270" w:type="dxa"/>
            <w:tcBorders>
              <w:top w:val="nil"/>
              <w:left w:val="nil"/>
              <w:bottom w:val="nil"/>
              <w:right w:val="nil"/>
            </w:tcBorders>
            <w:shd w:val="clear" w:color="000000" w:fill="002060"/>
            <w:noWrap/>
            <w:vAlign w:val="center"/>
            <w:hideMark/>
          </w:tcPr>
          <w:p w:rsidRPr="00AA40E7" w:rsidR="0019566D" w:rsidP="00654798" w:rsidRDefault="0019566D" w14:paraId="4180DBC2" w14:textId="7777777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Begroting uitgaven</w:t>
            </w:r>
          </w:p>
        </w:tc>
        <w:tc>
          <w:tcPr>
            <w:tcW w:w="1101" w:type="dxa"/>
            <w:vMerge w:val="restart"/>
            <w:tcBorders>
              <w:top w:val="nil"/>
              <w:left w:val="nil"/>
              <w:bottom w:val="nil"/>
              <w:right w:val="nil"/>
            </w:tcBorders>
            <w:shd w:val="clear" w:color="000000" w:fill="002060"/>
            <w:noWrap/>
            <w:vAlign w:val="center"/>
            <w:hideMark/>
          </w:tcPr>
          <w:p w:rsidRPr="00AA40E7" w:rsidR="0019566D" w:rsidP="00654798" w:rsidRDefault="0019566D" w14:paraId="077B6B49"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2024</w:t>
            </w:r>
          </w:p>
        </w:tc>
        <w:tc>
          <w:tcPr>
            <w:tcW w:w="1230" w:type="dxa"/>
            <w:vMerge w:val="restart"/>
            <w:tcBorders>
              <w:top w:val="nil"/>
              <w:left w:val="nil"/>
              <w:bottom w:val="nil"/>
              <w:right w:val="nil"/>
            </w:tcBorders>
            <w:shd w:val="clear" w:color="000000" w:fill="002060"/>
            <w:noWrap/>
            <w:vAlign w:val="center"/>
            <w:hideMark/>
          </w:tcPr>
          <w:p w:rsidRPr="00AA40E7" w:rsidR="0019566D" w:rsidP="00654798" w:rsidRDefault="0019566D" w14:paraId="24CF7FC6"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2025</w:t>
            </w:r>
          </w:p>
        </w:tc>
        <w:tc>
          <w:tcPr>
            <w:tcW w:w="1101" w:type="dxa"/>
            <w:vMerge w:val="restart"/>
            <w:tcBorders>
              <w:top w:val="nil"/>
              <w:left w:val="nil"/>
              <w:bottom w:val="nil"/>
              <w:right w:val="nil"/>
            </w:tcBorders>
            <w:shd w:val="clear" w:color="000000" w:fill="002060"/>
            <w:noWrap/>
            <w:vAlign w:val="center"/>
            <w:hideMark/>
          </w:tcPr>
          <w:p w:rsidRPr="00AA40E7" w:rsidR="0019566D" w:rsidP="00654798" w:rsidRDefault="0019566D" w14:paraId="4765A7DF"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2026</w:t>
            </w:r>
          </w:p>
        </w:tc>
        <w:tc>
          <w:tcPr>
            <w:tcW w:w="1040" w:type="dxa"/>
            <w:vMerge w:val="restart"/>
            <w:tcBorders>
              <w:top w:val="nil"/>
              <w:left w:val="nil"/>
              <w:bottom w:val="nil"/>
              <w:right w:val="nil"/>
            </w:tcBorders>
            <w:shd w:val="clear" w:color="000000" w:fill="002060"/>
            <w:noWrap/>
            <w:vAlign w:val="center"/>
            <w:hideMark/>
          </w:tcPr>
          <w:p w:rsidRPr="00AA40E7" w:rsidR="0019566D" w:rsidP="00654798" w:rsidRDefault="0019566D" w14:paraId="21E5E0CB"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2027</w:t>
            </w:r>
          </w:p>
        </w:tc>
        <w:tc>
          <w:tcPr>
            <w:tcW w:w="1040" w:type="dxa"/>
            <w:vMerge w:val="restart"/>
            <w:tcBorders>
              <w:top w:val="nil"/>
              <w:left w:val="nil"/>
              <w:bottom w:val="nil"/>
              <w:right w:val="nil"/>
            </w:tcBorders>
            <w:shd w:val="clear" w:color="000000" w:fill="002060"/>
            <w:noWrap/>
            <w:vAlign w:val="center"/>
            <w:hideMark/>
          </w:tcPr>
          <w:p w:rsidRPr="00AA40E7" w:rsidR="0019566D" w:rsidP="00654798" w:rsidRDefault="0019566D" w14:paraId="0AED89DD"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2028</w:t>
            </w:r>
          </w:p>
        </w:tc>
        <w:tc>
          <w:tcPr>
            <w:tcW w:w="1041" w:type="dxa"/>
            <w:vMerge w:val="restart"/>
            <w:tcBorders>
              <w:top w:val="nil"/>
              <w:left w:val="nil"/>
              <w:bottom w:val="nil"/>
              <w:right w:val="nil"/>
            </w:tcBorders>
            <w:shd w:val="clear" w:color="000000" w:fill="002060"/>
            <w:noWrap/>
            <w:vAlign w:val="center"/>
            <w:hideMark/>
          </w:tcPr>
          <w:p w:rsidRPr="00AA40E7" w:rsidR="0019566D" w:rsidP="00654798" w:rsidRDefault="0019566D" w14:paraId="55CEAD03"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2029</w:t>
            </w:r>
          </w:p>
        </w:tc>
      </w:tr>
      <w:tr w:rsidRPr="00AA40E7" w:rsidR="0019566D" w:rsidTr="00DD2B01" w14:paraId="144B56B6" w14:textId="77777777">
        <w:trPr>
          <w:trHeight w:val="168"/>
        </w:trPr>
        <w:tc>
          <w:tcPr>
            <w:tcW w:w="3270" w:type="dxa"/>
            <w:tcBorders>
              <w:top w:val="nil"/>
              <w:left w:val="nil"/>
              <w:bottom w:val="nil"/>
              <w:right w:val="nil"/>
            </w:tcBorders>
            <w:shd w:val="clear" w:color="000000" w:fill="002060"/>
            <w:noWrap/>
            <w:vAlign w:val="center"/>
            <w:hideMark/>
          </w:tcPr>
          <w:p w:rsidRPr="00AA40E7" w:rsidR="0019566D" w:rsidP="00654798" w:rsidRDefault="0019566D" w14:paraId="7484BC81" w14:textId="7777777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artikelen 2, 3 en 4</w:t>
            </w:r>
          </w:p>
        </w:tc>
        <w:tc>
          <w:tcPr>
            <w:tcW w:w="1101" w:type="dxa"/>
            <w:vMerge/>
            <w:tcBorders>
              <w:top w:val="nil"/>
              <w:left w:val="nil"/>
              <w:bottom w:val="nil"/>
              <w:right w:val="nil"/>
            </w:tcBorders>
            <w:vAlign w:val="center"/>
            <w:hideMark/>
          </w:tcPr>
          <w:p w:rsidRPr="00AA40E7" w:rsidR="0019566D" w:rsidP="00654798" w:rsidRDefault="0019566D" w14:paraId="234091C8" w14:textId="77777777">
            <w:pPr>
              <w:spacing w:line="240" w:lineRule="atLeast"/>
              <w:rPr>
                <w:rFonts w:ascii="Times New Roman" w:hAnsi="Times New Roman"/>
                <w:b/>
                <w:bCs/>
                <w:color w:val="FFFFFF"/>
                <w:sz w:val="24"/>
                <w:szCs w:val="24"/>
              </w:rPr>
            </w:pPr>
          </w:p>
        </w:tc>
        <w:tc>
          <w:tcPr>
            <w:tcW w:w="1230" w:type="dxa"/>
            <w:vMerge/>
            <w:tcBorders>
              <w:top w:val="nil"/>
              <w:left w:val="nil"/>
              <w:bottom w:val="nil"/>
              <w:right w:val="nil"/>
            </w:tcBorders>
            <w:vAlign w:val="center"/>
            <w:hideMark/>
          </w:tcPr>
          <w:p w:rsidRPr="00AA40E7" w:rsidR="0019566D" w:rsidP="00654798" w:rsidRDefault="0019566D" w14:paraId="7F25754D" w14:textId="77777777">
            <w:pPr>
              <w:spacing w:line="240" w:lineRule="atLeast"/>
              <w:rPr>
                <w:rFonts w:ascii="Times New Roman" w:hAnsi="Times New Roman"/>
                <w:b/>
                <w:bCs/>
                <w:color w:val="FFFFFF"/>
                <w:sz w:val="24"/>
                <w:szCs w:val="24"/>
              </w:rPr>
            </w:pPr>
          </w:p>
        </w:tc>
        <w:tc>
          <w:tcPr>
            <w:tcW w:w="1101" w:type="dxa"/>
            <w:vMerge/>
            <w:tcBorders>
              <w:top w:val="nil"/>
              <w:left w:val="nil"/>
              <w:bottom w:val="nil"/>
              <w:right w:val="nil"/>
            </w:tcBorders>
            <w:vAlign w:val="center"/>
            <w:hideMark/>
          </w:tcPr>
          <w:p w:rsidRPr="00AA40E7" w:rsidR="0019566D" w:rsidP="00654798" w:rsidRDefault="0019566D" w14:paraId="5B120E65" w14:textId="77777777">
            <w:pPr>
              <w:spacing w:line="240" w:lineRule="atLeast"/>
              <w:rPr>
                <w:rFonts w:ascii="Times New Roman" w:hAnsi="Times New Roman"/>
                <w:b/>
                <w:bCs/>
                <w:color w:val="FFFFFF"/>
                <w:sz w:val="24"/>
                <w:szCs w:val="24"/>
              </w:rPr>
            </w:pPr>
          </w:p>
        </w:tc>
        <w:tc>
          <w:tcPr>
            <w:tcW w:w="1040" w:type="dxa"/>
            <w:vMerge/>
            <w:tcBorders>
              <w:top w:val="nil"/>
              <w:left w:val="nil"/>
              <w:bottom w:val="nil"/>
              <w:right w:val="nil"/>
            </w:tcBorders>
            <w:vAlign w:val="center"/>
            <w:hideMark/>
          </w:tcPr>
          <w:p w:rsidRPr="00AA40E7" w:rsidR="0019566D" w:rsidP="00654798" w:rsidRDefault="0019566D" w14:paraId="5EBF299B" w14:textId="77777777">
            <w:pPr>
              <w:spacing w:line="240" w:lineRule="atLeast"/>
              <w:rPr>
                <w:rFonts w:ascii="Times New Roman" w:hAnsi="Times New Roman"/>
                <w:b/>
                <w:bCs/>
                <w:color w:val="FFFFFF"/>
                <w:sz w:val="24"/>
                <w:szCs w:val="24"/>
              </w:rPr>
            </w:pPr>
          </w:p>
        </w:tc>
        <w:tc>
          <w:tcPr>
            <w:tcW w:w="1040" w:type="dxa"/>
            <w:vMerge/>
            <w:tcBorders>
              <w:top w:val="nil"/>
              <w:left w:val="nil"/>
              <w:bottom w:val="nil"/>
              <w:right w:val="nil"/>
            </w:tcBorders>
            <w:vAlign w:val="center"/>
            <w:hideMark/>
          </w:tcPr>
          <w:p w:rsidRPr="00AA40E7" w:rsidR="0019566D" w:rsidP="00654798" w:rsidRDefault="0019566D" w14:paraId="66AC153E" w14:textId="77777777">
            <w:pPr>
              <w:spacing w:line="240" w:lineRule="atLeast"/>
              <w:rPr>
                <w:rFonts w:ascii="Times New Roman" w:hAnsi="Times New Roman"/>
                <w:b/>
                <w:bCs/>
                <w:color w:val="FFFFFF"/>
                <w:sz w:val="24"/>
                <w:szCs w:val="24"/>
              </w:rPr>
            </w:pPr>
          </w:p>
        </w:tc>
        <w:tc>
          <w:tcPr>
            <w:tcW w:w="1041" w:type="dxa"/>
            <w:vMerge/>
            <w:tcBorders>
              <w:top w:val="nil"/>
              <w:left w:val="nil"/>
              <w:bottom w:val="nil"/>
              <w:right w:val="nil"/>
            </w:tcBorders>
            <w:vAlign w:val="center"/>
            <w:hideMark/>
          </w:tcPr>
          <w:p w:rsidRPr="00AA40E7" w:rsidR="0019566D" w:rsidP="00654798" w:rsidRDefault="0019566D" w14:paraId="72B7E7FA" w14:textId="77777777">
            <w:pPr>
              <w:spacing w:line="240" w:lineRule="atLeast"/>
              <w:rPr>
                <w:rFonts w:ascii="Times New Roman" w:hAnsi="Times New Roman"/>
                <w:b/>
                <w:bCs/>
                <w:color w:val="FFFFFF"/>
                <w:sz w:val="24"/>
                <w:szCs w:val="24"/>
              </w:rPr>
            </w:pPr>
          </w:p>
        </w:tc>
      </w:tr>
      <w:tr w:rsidRPr="00AA40E7" w:rsidR="00DD2B01" w:rsidTr="00DD2B01" w14:paraId="29BC387E" w14:textId="77777777">
        <w:trPr>
          <w:trHeight w:val="300"/>
        </w:trPr>
        <w:tc>
          <w:tcPr>
            <w:tcW w:w="3270" w:type="dxa"/>
            <w:tcBorders>
              <w:top w:val="nil"/>
              <w:left w:val="nil"/>
              <w:bottom w:val="nil"/>
              <w:right w:val="nil"/>
            </w:tcBorders>
            <w:shd w:val="clear" w:color="auto" w:fill="auto"/>
            <w:noWrap/>
            <w:vAlign w:val="center"/>
            <w:hideMark/>
          </w:tcPr>
          <w:p w:rsidRPr="00AA40E7" w:rsidR="00DD2B01" w:rsidP="00DD2B01" w:rsidRDefault="00DD2B01" w14:paraId="294A4562"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Huidige meerjarenbegroting</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21547C19"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215.472</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4129871A" w14:textId="329B1433">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211.452</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7130B6E0" w14:textId="1FED1729">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215.951</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74E4A5AF" w14:textId="053EDCFD">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210.115</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02B52396" w14:textId="27F2CAE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207.455</w:t>
            </w:r>
          </w:p>
        </w:tc>
        <w:tc>
          <w:tcPr>
            <w:tcW w:w="1041" w:type="dxa"/>
            <w:tcBorders>
              <w:top w:val="nil"/>
              <w:left w:val="nil"/>
              <w:bottom w:val="nil"/>
              <w:right w:val="nil"/>
            </w:tcBorders>
            <w:shd w:val="clear" w:color="auto" w:fill="auto"/>
            <w:noWrap/>
            <w:vAlign w:val="center"/>
            <w:hideMark/>
          </w:tcPr>
          <w:p w:rsidRPr="00AA40E7" w:rsidR="00DD2B01" w:rsidP="00DD2B01" w:rsidRDefault="00611BE4" w14:paraId="7A22F274" w14:textId="77D787F9">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211.995</w:t>
            </w:r>
          </w:p>
        </w:tc>
      </w:tr>
      <w:tr w:rsidRPr="00AA40E7" w:rsidR="00DD2B01" w:rsidTr="00DD2B01" w14:paraId="572B33A8" w14:textId="77777777">
        <w:trPr>
          <w:trHeight w:val="300"/>
        </w:trPr>
        <w:tc>
          <w:tcPr>
            <w:tcW w:w="3270" w:type="dxa"/>
            <w:tcBorders>
              <w:top w:val="nil"/>
              <w:left w:val="nil"/>
              <w:bottom w:val="nil"/>
              <w:right w:val="nil"/>
            </w:tcBorders>
            <w:shd w:val="clear" w:color="auto" w:fill="auto"/>
            <w:vAlign w:val="center"/>
            <w:hideMark/>
          </w:tcPr>
          <w:p w:rsidRPr="00AA40E7" w:rsidR="00DD2B01" w:rsidP="00DD2B01" w:rsidRDefault="00DD2B01" w14:paraId="34CFF6FE" w14:textId="77777777">
            <w:pPr>
              <w:spacing w:line="240" w:lineRule="atLeast"/>
              <w:rPr>
                <w:rFonts w:ascii="Times New Roman" w:hAnsi="Times New Roman"/>
                <w:i/>
                <w:iCs/>
                <w:color w:val="000000"/>
                <w:sz w:val="24"/>
                <w:szCs w:val="24"/>
              </w:rPr>
            </w:pPr>
            <w:r w:rsidRPr="00AA40E7">
              <w:rPr>
                <w:rFonts w:ascii="Times New Roman" w:hAnsi="Times New Roman"/>
                <w:i/>
                <w:iCs/>
                <w:color w:val="000000"/>
                <w:sz w:val="24"/>
                <w:szCs w:val="24"/>
              </w:rPr>
              <w:t>Mutaties Voorjaarsnota 2024</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2943311C" w14:textId="77777777">
            <w:pPr>
              <w:spacing w:line="240" w:lineRule="atLeast"/>
              <w:rPr>
                <w:rFonts w:ascii="Times New Roman" w:hAnsi="Times New Roman"/>
                <w:i/>
                <w:iCs/>
                <w:color w:val="000000"/>
                <w:sz w:val="24"/>
                <w:szCs w:val="24"/>
              </w:rPr>
            </w:pP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11BFD9EA" w14:textId="77777777">
            <w:pPr>
              <w:spacing w:line="240" w:lineRule="atLeast"/>
              <w:jc w:val="right"/>
              <w:rPr>
                <w:rFonts w:ascii="Times New Roman" w:hAnsi="Times New Roman"/>
                <w:sz w:val="24"/>
                <w:szCs w:val="24"/>
              </w:rPr>
            </w:pP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08179837" w14:textId="77777777">
            <w:pPr>
              <w:spacing w:line="240" w:lineRule="atLeast"/>
              <w:jc w:val="right"/>
              <w:rPr>
                <w:rFonts w:ascii="Times New Roman" w:hAnsi="Times New Roman"/>
                <w:sz w:val="24"/>
                <w:szCs w:val="24"/>
              </w:rPr>
            </w:pP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0C371DEC" w14:textId="77777777">
            <w:pPr>
              <w:spacing w:line="240" w:lineRule="atLeast"/>
              <w:jc w:val="right"/>
              <w:rPr>
                <w:rFonts w:ascii="Times New Roman" w:hAnsi="Times New Roman"/>
                <w:sz w:val="24"/>
                <w:szCs w:val="24"/>
              </w:rPr>
            </w:pP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39839318" w14:textId="77777777">
            <w:pPr>
              <w:spacing w:line="240" w:lineRule="atLeast"/>
              <w:jc w:val="right"/>
              <w:rPr>
                <w:rFonts w:ascii="Times New Roman" w:hAnsi="Times New Roman"/>
                <w:sz w:val="24"/>
                <w:szCs w:val="24"/>
              </w:rPr>
            </w:pPr>
          </w:p>
        </w:tc>
        <w:tc>
          <w:tcPr>
            <w:tcW w:w="1041" w:type="dxa"/>
            <w:tcBorders>
              <w:top w:val="nil"/>
              <w:left w:val="nil"/>
              <w:bottom w:val="nil"/>
              <w:right w:val="nil"/>
            </w:tcBorders>
            <w:shd w:val="clear" w:color="auto" w:fill="auto"/>
            <w:noWrap/>
            <w:vAlign w:val="center"/>
            <w:hideMark/>
          </w:tcPr>
          <w:p w:rsidRPr="00AA40E7" w:rsidR="00DD2B01" w:rsidP="00DD2B01" w:rsidRDefault="00DD2B01" w14:paraId="07AEC794" w14:textId="77777777">
            <w:pPr>
              <w:spacing w:line="240" w:lineRule="atLeast"/>
              <w:jc w:val="right"/>
              <w:rPr>
                <w:rFonts w:ascii="Times New Roman" w:hAnsi="Times New Roman"/>
                <w:sz w:val="24"/>
                <w:szCs w:val="24"/>
              </w:rPr>
            </w:pPr>
          </w:p>
        </w:tc>
      </w:tr>
      <w:tr w:rsidRPr="00AA40E7" w:rsidR="00DD2B01" w:rsidTr="00DD2B01" w14:paraId="7D00C566" w14:textId="77777777">
        <w:trPr>
          <w:trHeight w:val="300"/>
        </w:trPr>
        <w:tc>
          <w:tcPr>
            <w:tcW w:w="3270" w:type="dxa"/>
            <w:tcBorders>
              <w:top w:val="nil"/>
              <w:left w:val="nil"/>
              <w:bottom w:val="nil"/>
              <w:right w:val="nil"/>
            </w:tcBorders>
            <w:shd w:val="clear" w:color="auto" w:fill="auto"/>
            <w:noWrap/>
            <w:vAlign w:val="center"/>
            <w:hideMark/>
          </w:tcPr>
          <w:p w:rsidRPr="00AA40E7" w:rsidR="00DD2B01" w:rsidP="00DD2B01" w:rsidRDefault="00DD2B01" w14:paraId="2F69AB65"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Artikelonderdeel 2.1 Schadeloosstelling</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03E102BC" w14:textId="7777777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1.200</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6A328CE2" w14:textId="0780B18E">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1.200</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3053A8D9" w14:textId="75FCEF85">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1.200</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14815225" w14:textId="06820A9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1.200</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40390998" w14:textId="48C90DB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1.200</w:t>
            </w:r>
          </w:p>
        </w:tc>
        <w:tc>
          <w:tcPr>
            <w:tcW w:w="1041" w:type="dxa"/>
            <w:tcBorders>
              <w:top w:val="nil"/>
              <w:left w:val="nil"/>
              <w:bottom w:val="nil"/>
              <w:right w:val="nil"/>
            </w:tcBorders>
            <w:shd w:val="clear" w:color="auto" w:fill="auto"/>
            <w:noWrap/>
            <w:vAlign w:val="center"/>
            <w:hideMark/>
          </w:tcPr>
          <w:p w:rsidRPr="00AA40E7" w:rsidR="00DD2B01" w:rsidP="00DD2B01" w:rsidRDefault="00DD2B01" w14:paraId="6731CFE0" w14:textId="3A50A170">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1.200</w:t>
            </w:r>
          </w:p>
        </w:tc>
      </w:tr>
      <w:tr w:rsidRPr="00AA40E7" w:rsidR="00DD2B01" w:rsidTr="00DD2B01" w14:paraId="6D7F7F65" w14:textId="77777777">
        <w:trPr>
          <w:trHeight w:val="300"/>
        </w:trPr>
        <w:tc>
          <w:tcPr>
            <w:tcW w:w="3270" w:type="dxa"/>
            <w:tcBorders>
              <w:top w:val="nil"/>
              <w:left w:val="nil"/>
              <w:bottom w:val="nil"/>
              <w:right w:val="nil"/>
            </w:tcBorders>
            <w:shd w:val="clear" w:color="auto" w:fill="auto"/>
            <w:noWrap/>
            <w:vAlign w:val="center"/>
            <w:hideMark/>
          </w:tcPr>
          <w:p w:rsidRPr="00AA40E7" w:rsidR="00DD2B01" w:rsidP="00DD2B01" w:rsidRDefault="00DD2B01" w14:paraId="61B66790"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Artikelonderdeel 2.2</w:t>
            </w:r>
          </w:p>
          <w:p w:rsidRPr="00AA40E7" w:rsidR="00DD2B01" w:rsidP="00DD2B01" w:rsidRDefault="00DD2B01" w14:paraId="21A1D204" w14:textId="7765335B">
            <w:pPr>
              <w:spacing w:line="240" w:lineRule="atLeast"/>
              <w:rPr>
                <w:rFonts w:ascii="Times New Roman" w:hAnsi="Times New Roman"/>
                <w:color w:val="000000"/>
                <w:sz w:val="24"/>
                <w:szCs w:val="24"/>
              </w:rPr>
            </w:pPr>
            <w:r w:rsidRPr="00AA40E7">
              <w:rPr>
                <w:rFonts w:ascii="Times New Roman" w:hAnsi="Times New Roman"/>
                <w:color w:val="000000"/>
                <w:sz w:val="24"/>
                <w:szCs w:val="24"/>
              </w:rPr>
              <w:t>Pensioenen en wachtgelden</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5802B5F3" w14:textId="7777777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6.000</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7B0B0497" w14:textId="4700138A">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1.000</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70BC0279" w14:textId="69078912">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0</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77B7D244" w14:textId="7CF1E3E6">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0</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620A73B6" w14:textId="109D50C9">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6.000</w:t>
            </w:r>
          </w:p>
        </w:tc>
        <w:tc>
          <w:tcPr>
            <w:tcW w:w="1041" w:type="dxa"/>
            <w:tcBorders>
              <w:top w:val="nil"/>
              <w:left w:val="nil"/>
              <w:bottom w:val="nil"/>
              <w:right w:val="nil"/>
            </w:tcBorders>
            <w:shd w:val="clear" w:color="auto" w:fill="auto"/>
            <w:noWrap/>
            <w:vAlign w:val="center"/>
            <w:hideMark/>
          </w:tcPr>
          <w:p w:rsidRPr="00AA40E7" w:rsidR="00DD2B01" w:rsidP="00611BE4" w:rsidRDefault="00611BE4" w14:paraId="4605F471" w14:textId="3B1D1545">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-500</w:t>
            </w:r>
          </w:p>
        </w:tc>
      </w:tr>
      <w:tr w:rsidRPr="00AA40E7" w:rsidR="00DD2B01" w:rsidTr="00DD2B01" w14:paraId="43091808" w14:textId="77777777">
        <w:trPr>
          <w:trHeight w:val="300"/>
        </w:trPr>
        <w:tc>
          <w:tcPr>
            <w:tcW w:w="3270" w:type="dxa"/>
            <w:tcBorders>
              <w:top w:val="nil"/>
              <w:left w:val="nil"/>
              <w:bottom w:val="nil"/>
              <w:right w:val="nil"/>
            </w:tcBorders>
            <w:shd w:val="clear" w:color="auto" w:fill="auto"/>
            <w:noWrap/>
            <w:vAlign w:val="center"/>
            <w:hideMark/>
          </w:tcPr>
          <w:p w:rsidRPr="00AA40E7" w:rsidR="00DD2B01" w:rsidP="00DD2B01" w:rsidRDefault="00DD2B01" w14:paraId="4F47388E"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Artikelonderdeel 3.1 Apparaatsuitgaven</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7A518AF4" w14:textId="7777777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12.912</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254CBE02" w14:textId="394699DA">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10.947</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0C2226E0" w14:textId="7806BBFA">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7.047</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153A122E" w14:textId="33119530">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7.047</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6FD82807" w14:textId="28ED5BAF">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8.592</w:t>
            </w:r>
          </w:p>
        </w:tc>
        <w:tc>
          <w:tcPr>
            <w:tcW w:w="1041" w:type="dxa"/>
            <w:tcBorders>
              <w:top w:val="nil"/>
              <w:left w:val="nil"/>
              <w:bottom w:val="nil"/>
              <w:right w:val="nil"/>
            </w:tcBorders>
            <w:shd w:val="clear" w:color="auto" w:fill="auto"/>
            <w:noWrap/>
            <w:vAlign w:val="center"/>
            <w:hideMark/>
          </w:tcPr>
          <w:p w:rsidRPr="00AA40E7" w:rsidR="00DD2B01" w:rsidP="00DD2B01" w:rsidRDefault="00E43777" w14:paraId="52849305" w14:textId="1075B2F6">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6.627</w:t>
            </w:r>
          </w:p>
        </w:tc>
      </w:tr>
      <w:tr w:rsidRPr="00AA40E7" w:rsidR="00DD2B01" w:rsidTr="00DD2B01" w14:paraId="72E1FF00" w14:textId="77777777">
        <w:trPr>
          <w:trHeight w:val="300"/>
        </w:trPr>
        <w:tc>
          <w:tcPr>
            <w:tcW w:w="3270" w:type="dxa"/>
            <w:tcBorders>
              <w:top w:val="nil"/>
              <w:left w:val="nil"/>
              <w:bottom w:val="nil"/>
              <w:right w:val="nil"/>
            </w:tcBorders>
            <w:shd w:val="clear" w:color="auto" w:fill="auto"/>
            <w:noWrap/>
            <w:vAlign w:val="center"/>
            <w:hideMark/>
          </w:tcPr>
          <w:p w:rsidRPr="00AA40E7" w:rsidR="00DD2B01" w:rsidP="00DD2B01" w:rsidRDefault="00DD2B01" w14:paraId="4EEBD65A"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Artikelonderdeel 3.4 Fractiekosten</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488B26AB" w14:textId="7777777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11.000</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1D573E26" w14:textId="2FAD7121">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-3.269</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36F7EAFB" w14:textId="5B833B2D">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-1.091</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5FFE7B58" w14:textId="1B0451FE">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0</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40CEC8D8" w14:textId="5BF37974">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8.000</w:t>
            </w:r>
          </w:p>
        </w:tc>
        <w:tc>
          <w:tcPr>
            <w:tcW w:w="1041" w:type="dxa"/>
            <w:tcBorders>
              <w:top w:val="nil"/>
              <w:left w:val="nil"/>
              <w:bottom w:val="nil"/>
              <w:right w:val="nil"/>
            </w:tcBorders>
            <w:shd w:val="clear" w:color="auto" w:fill="auto"/>
            <w:noWrap/>
            <w:vAlign w:val="center"/>
            <w:hideMark/>
          </w:tcPr>
          <w:p w:rsidRPr="00AA40E7" w:rsidR="00DD2B01" w:rsidP="00DD2B01" w:rsidRDefault="00611BE4" w14:paraId="57FBD332" w14:textId="04BB9A85">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-3.000</w:t>
            </w:r>
          </w:p>
        </w:tc>
      </w:tr>
      <w:tr w:rsidRPr="00AA40E7" w:rsidR="00DD2B01" w:rsidTr="00DD2B01" w14:paraId="19D77C5D" w14:textId="77777777">
        <w:trPr>
          <w:trHeight w:val="300"/>
        </w:trPr>
        <w:tc>
          <w:tcPr>
            <w:tcW w:w="3270" w:type="dxa"/>
            <w:tcBorders>
              <w:top w:val="nil"/>
              <w:left w:val="nil"/>
              <w:bottom w:val="nil"/>
              <w:right w:val="nil"/>
            </w:tcBorders>
            <w:shd w:val="clear" w:color="auto" w:fill="auto"/>
            <w:noWrap/>
            <w:vAlign w:val="center"/>
            <w:hideMark/>
          </w:tcPr>
          <w:p w:rsidRPr="00AA40E7" w:rsidR="00DD2B01" w:rsidP="00DD2B01" w:rsidRDefault="00DD2B01" w14:paraId="63009B09"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Artikelonderdeel 3.6 Parlementaire enquêtes</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294881D0" w14:textId="60D589A2">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3.401</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5DA8BE5C" w14:textId="64FC50A6">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2.700</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2D9BB94C" w14:textId="552E60DA">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1.700</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4A206556" w14:textId="79C465C4">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0</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57DC6E15" w14:textId="39452D2F">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0</w:t>
            </w:r>
          </w:p>
        </w:tc>
        <w:tc>
          <w:tcPr>
            <w:tcW w:w="1041" w:type="dxa"/>
            <w:tcBorders>
              <w:top w:val="nil"/>
              <w:left w:val="nil"/>
              <w:bottom w:val="nil"/>
              <w:right w:val="nil"/>
            </w:tcBorders>
            <w:shd w:val="clear" w:color="auto" w:fill="auto"/>
            <w:noWrap/>
            <w:vAlign w:val="center"/>
            <w:hideMark/>
          </w:tcPr>
          <w:p w:rsidRPr="00AA40E7" w:rsidR="00DD2B01" w:rsidP="00DD2B01" w:rsidRDefault="00DD2B01" w14:paraId="3E77ED4D" w14:textId="7F5E279C">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0</w:t>
            </w:r>
          </w:p>
        </w:tc>
      </w:tr>
      <w:tr w:rsidRPr="00AA40E7" w:rsidR="00DD2B01" w:rsidTr="00DD2B01" w14:paraId="4A68A35B" w14:textId="77777777">
        <w:trPr>
          <w:trHeight w:val="300"/>
        </w:trPr>
        <w:tc>
          <w:tcPr>
            <w:tcW w:w="3270" w:type="dxa"/>
            <w:tcBorders>
              <w:top w:val="nil"/>
              <w:left w:val="nil"/>
              <w:bottom w:val="nil"/>
              <w:right w:val="nil"/>
            </w:tcBorders>
            <w:shd w:val="clear" w:color="auto" w:fill="auto"/>
            <w:noWrap/>
            <w:vAlign w:val="center"/>
            <w:hideMark/>
          </w:tcPr>
          <w:p w:rsidRPr="00AA40E7" w:rsidR="00DD2B01" w:rsidP="00DD2B01" w:rsidRDefault="00DD2B01" w14:paraId="7ACACA02" w14:textId="52F493C8">
            <w:pPr>
              <w:spacing w:line="240" w:lineRule="atLeast"/>
              <w:rPr>
                <w:rFonts w:ascii="Times New Roman" w:hAnsi="Times New Roman"/>
                <w:b/>
                <w:bCs/>
                <w:i/>
                <w:iCs/>
                <w:color w:val="000000"/>
                <w:sz w:val="24"/>
                <w:szCs w:val="24"/>
              </w:rPr>
            </w:pPr>
            <w:r w:rsidRPr="00AA40E7">
              <w:rPr>
                <w:rFonts w:ascii="Times New Roman" w:hAnsi="Times New Roman"/>
                <w:b/>
                <w:bCs/>
                <w:i/>
                <w:iCs/>
                <w:color w:val="000000"/>
                <w:sz w:val="24"/>
                <w:szCs w:val="24"/>
              </w:rPr>
              <w:t>Totaal mutaties</w:t>
            </w:r>
            <w:r w:rsidRPr="00AA40E7">
              <w:rPr>
                <w:rFonts w:ascii="Times New Roman" w:hAnsi="Times New Roman"/>
                <w:i/>
                <w:iCs/>
                <w:color w:val="000000"/>
                <w:sz w:val="24"/>
                <w:szCs w:val="24"/>
              </w:rPr>
              <w:t xml:space="preserve"> </w:t>
            </w:r>
            <w:r w:rsidRPr="00AA40E7">
              <w:rPr>
                <w:rFonts w:ascii="Times New Roman" w:hAnsi="Times New Roman"/>
                <w:b/>
                <w:bCs/>
                <w:i/>
                <w:iCs/>
                <w:color w:val="000000"/>
                <w:sz w:val="24"/>
                <w:szCs w:val="24"/>
              </w:rPr>
              <w:t>Voorjaarsnota 2024</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50B4A0D7" w14:textId="326D6391">
            <w:pPr>
              <w:spacing w:line="240" w:lineRule="atLeast"/>
              <w:jc w:val="right"/>
              <w:rPr>
                <w:rFonts w:ascii="Times New Roman" w:hAnsi="Times New Roman"/>
                <w:b/>
                <w:bCs/>
                <w:i/>
                <w:iCs/>
                <w:color w:val="000000"/>
                <w:sz w:val="24"/>
                <w:szCs w:val="24"/>
              </w:rPr>
            </w:pPr>
            <w:r w:rsidRPr="00AA40E7">
              <w:rPr>
                <w:rFonts w:ascii="Times New Roman" w:hAnsi="Times New Roman"/>
                <w:b/>
                <w:bCs/>
                <w:i/>
                <w:iCs/>
                <w:color w:val="000000"/>
                <w:sz w:val="24"/>
                <w:szCs w:val="24"/>
              </w:rPr>
              <w:t>34.513</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3C8B4A86" w14:textId="7B769572">
            <w:pPr>
              <w:spacing w:line="240" w:lineRule="atLeast"/>
              <w:jc w:val="right"/>
              <w:rPr>
                <w:rFonts w:ascii="Times New Roman" w:hAnsi="Times New Roman"/>
                <w:b/>
                <w:bCs/>
                <w:i/>
                <w:iCs/>
                <w:color w:val="000000"/>
                <w:sz w:val="24"/>
                <w:szCs w:val="24"/>
              </w:rPr>
            </w:pPr>
            <w:r w:rsidRPr="00AA40E7">
              <w:rPr>
                <w:rFonts w:ascii="Times New Roman" w:hAnsi="Times New Roman"/>
                <w:b/>
                <w:bCs/>
                <w:i/>
                <w:iCs/>
                <w:color w:val="000000"/>
                <w:sz w:val="24"/>
                <w:szCs w:val="24"/>
              </w:rPr>
              <w:t>12.578</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46B6B82B" w14:textId="113E14BD">
            <w:pPr>
              <w:spacing w:line="240" w:lineRule="atLeast"/>
              <w:jc w:val="right"/>
              <w:rPr>
                <w:rFonts w:ascii="Times New Roman" w:hAnsi="Times New Roman"/>
                <w:b/>
                <w:bCs/>
                <w:i/>
                <w:iCs/>
                <w:color w:val="000000"/>
                <w:sz w:val="24"/>
                <w:szCs w:val="24"/>
              </w:rPr>
            </w:pPr>
            <w:r w:rsidRPr="00AA40E7">
              <w:rPr>
                <w:rFonts w:ascii="Times New Roman" w:hAnsi="Times New Roman"/>
                <w:b/>
                <w:bCs/>
                <w:i/>
                <w:iCs/>
                <w:color w:val="000000"/>
                <w:sz w:val="24"/>
                <w:szCs w:val="24"/>
              </w:rPr>
              <w:t>8.856</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6AC41A04" w14:textId="5E166794">
            <w:pPr>
              <w:spacing w:line="240" w:lineRule="atLeast"/>
              <w:jc w:val="right"/>
              <w:rPr>
                <w:rFonts w:ascii="Times New Roman" w:hAnsi="Times New Roman"/>
                <w:b/>
                <w:bCs/>
                <w:i/>
                <w:iCs/>
                <w:color w:val="000000"/>
                <w:sz w:val="24"/>
                <w:szCs w:val="24"/>
              </w:rPr>
            </w:pPr>
            <w:r w:rsidRPr="00AA40E7">
              <w:rPr>
                <w:rFonts w:ascii="Times New Roman" w:hAnsi="Times New Roman"/>
                <w:b/>
                <w:bCs/>
                <w:i/>
                <w:iCs/>
                <w:color w:val="000000"/>
                <w:sz w:val="24"/>
                <w:szCs w:val="24"/>
              </w:rPr>
              <w:t>8.247</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002707D7" w14:textId="6F04B966">
            <w:pPr>
              <w:spacing w:line="240" w:lineRule="atLeast"/>
              <w:jc w:val="right"/>
              <w:rPr>
                <w:rFonts w:ascii="Times New Roman" w:hAnsi="Times New Roman"/>
                <w:b/>
                <w:bCs/>
                <w:i/>
                <w:iCs/>
                <w:color w:val="000000"/>
                <w:sz w:val="24"/>
                <w:szCs w:val="24"/>
              </w:rPr>
            </w:pPr>
            <w:r w:rsidRPr="00AA40E7">
              <w:rPr>
                <w:rFonts w:ascii="Times New Roman" w:hAnsi="Times New Roman"/>
                <w:b/>
                <w:bCs/>
                <w:i/>
                <w:iCs/>
                <w:color w:val="000000"/>
                <w:sz w:val="24"/>
                <w:szCs w:val="24"/>
              </w:rPr>
              <w:t>23.792</w:t>
            </w:r>
          </w:p>
        </w:tc>
        <w:tc>
          <w:tcPr>
            <w:tcW w:w="1041" w:type="dxa"/>
            <w:tcBorders>
              <w:top w:val="nil"/>
              <w:left w:val="nil"/>
              <w:bottom w:val="nil"/>
              <w:right w:val="nil"/>
            </w:tcBorders>
            <w:shd w:val="clear" w:color="auto" w:fill="auto"/>
            <w:noWrap/>
            <w:vAlign w:val="center"/>
            <w:hideMark/>
          </w:tcPr>
          <w:p w:rsidRPr="00AA40E7" w:rsidR="00DD2B01" w:rsidP="00E43777" w:rsidRDefault="00611BE4" w14:paraId="7464644C" w14:textId="1961BBF0">
            <w:pPr>
              <w:spacing w:line="240" w:lineRule="atLeast"/>
              <w:jc w:val="center"/>
              <w:rPr>
                <w:rFonts w:ascii="Times New Roman" w:hAnsi="Times New Roman"/>
                <w:b/>
                <w:bCs/>
                <w:i/>
                <w:iCs/>
                <w:color w:val="000000"/>
                <w:sz w:val="24"/>
                <w:szCs w:val="24"/>
              </w:rPr>
            </w:pPr>
            <w:r w:rsidRPr="00AA40E7">
              <w:rPr>
                <w:rFonts w:ascii="Times New Roman" w:hAnsi="Times New Roman"/>
                <w:b/>
                <w:bCs/>
                <w:i/>
                <w:iCs/>
                <w:color w:val="000000"/>
                <w:sz w:val="24"/>
                <w:szCs w:val="24"/>
              </w:rPr>
              <w:t xml:space="preserve">     </w:t>
            </w:r>
            <w:r w:rsidRPr="00AA40E7" w:rsidR="00E43777">
              <w:rPr>
                <w:rFonts w:ascii="Times New Roman" w:hAnsi="Times New Roman"/>
                <w:b/>
                <w:bCs/>
                <w:i/>
                <w:iCs/>
                <w:color w:val="000000"/>
                <w:sz w:val="24"/>
                <w:szCs w:val="24"/>
              </w:rPr>
              <w:t>4.327</w:t>
            </w:r>
          </w:p>
        </w:tc>
      </w:tr>
      <w:tr w:rsidRPr="00AA40E7" w:rsidR="00DD2B01" w:rsidTr="00E91FC0" w14:paraId="7CFE80A9" w14:textId="77777777">
        <w:trPr>
          <w:trHeight w:val="544"/>
        </w:trPr>
        <w:tc>
          <w:tcPr>
            <w:tcW w:w="3270" w:type="dxa"/>
            <w:tcBorders>
              <w:top w:val="nil"/>
              <w:left w:val="nil"/>
              <w:bottom w:val="nil"/>
              <w:right w:val="nil"/>
            </w:tcBorders>
            <w:shd w:val="clear" w:color="auto" w:fill="auto"/>
            <w:noWrap/>
            <w:vAlign w:val="center"/>
            <w:hideMark/>
          </w:tcPr>
          <w:p w:rsidRPr="00AA40E7" w:rsidR="00DD2B01" w:rsidP="00DD2B01" w:rsidRDefault="00DD2B01" w14:paraId="2B4FC9EE" w14:textId="63910087">
            <w:pPr>
              <w:spacing w:line="240" w:lineRule="atLeast"/>
              <w:rPr>
                <w:rFonts w:ascii="Times New Roman" w:hAnsi="Times New Roman"/>
                <w:b/>
                <w:bCs/>
                <w:color w:val="000000"/>
                <w:sz w:val="24"/>
                <w:szCs w:val="24"/>
              </w:rPr>
            </w:pPr>
            <w:r w:rsidRPr="00AA40E7">
              <w:rPr>
                <w:rFonts w:ascii="Times New Roman" w:hAnsi="Times New Roman"/>
                <w:b/>
                <w:bCs/>
                <w:color w:val="000000"/>
                <w:sz w:val="24"/>
                <w:szCs w:val="24"/>
              </w:rPr>
              <w:t>Meerjarenbegroting inclusief mutaties</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2F026A35" w14:textId="70AA334B">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249.985</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0AB13651" w14:textId="006E789C">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224.030</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4B7D8AB5" w14:textId="3F743FBD">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224.807</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2A3F0DF5" w14:textId="3889E420">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218.362</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50073F6D" w14:textId="59450271">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231.247</w:t>
            </w:r>
          </w:p>
        </w:tc>
        <w:tc>
          <w:tcPr>
            <w:tcW w:w="1041" w:type="dxa"/>
            <w:tcBorders>
              <w:top w:val="nil"/>
              <w:left w:val="nil"/>
              <w:bottom w:val="nil"/>
              <w:right w:val="nil"/>
            </w:tcBorders>
            <w:shd w:val="clear" w:color="auto" w:fill="auto"/>
            <w:noWrap/>
            <w:vAlign w:val="center"/>
            <w:hideMark/>
          </w:tcPr>
          <w:p w:rsidRPr="00AA40E7" w:rsidR="00DD2B01" w:rsidP="00E43777" w:rsidRDefault="00DD2B01" w14:paraId="4119271E" w14:textId="6B155B54">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216.</w:t>
            </w:r>
            <w:r w:rsidRPr="00AA40E7" w:rsidR="00E43777">
              <w:rPr>
                <w:rFonts w:ascii="Times New Roman" w:hAnsi="Times New Roman"/>
                <w:b/>
                <w:bCs/>
                <w:color w:val="000000"/>
                <w:sz w:val="24"/>
                <w:szCs w:val="24"/>
              </w:rPr>
              <w:t>282</w:t>
            </w:r>
          </w:p>
        </w:tc>
      </w:tr>
      <w:tr w:rsidRPr="00AA40E7" w:rsidR="00DD2B01" w:rsidTr="00E91FC0" w14:paraId="69BBBC61" w14:textId="77777777">
        <w:trPr>
          <w:trHeight w:val="70"/>
        </w:trPr>
        <w:tc>
          <w:tcPr>
            <w:tcW w:w="3270" w:type="dxa"/>
            <w:tcBorders>
              <w:top w:val="nil"/>
              <w:left w:val="nil"/>
              <w:bottom w:val="nil"/>
              <w:right w:val="nil"/>
            </w:tcBorders>
            <w:shd w:val="clear" w:color="auto" w:fill="auto"/>
            <w:noWrap/>
            <w:vAlign w:val="bottom"/>
            <w:hideMark/>
          </w:tcPr>
          <w:p w:rsidRPr="00AA40E7" w:rsidR="00DD2B01" w:rsidP="00DD2B01" w:rsidRDefault="00DD2B01" w14:paraId="4A9AE0A2" w14:textId="5DA599E3">
            <w:pPr>
              <w:spacing w:line="240" w:lineRule="atLeast"/>
              <w:jc w:val="right"/>
              <w:rPr>
                <w:rFonts w:ascii="Times New Roman" w:hAnsi="Times New Roman"/>
                <w:b/>
                <w:bCs/>
                <w:color w:val="000000"/>
                <w:sz w:val="24"/>
                <w:szCs w:val="24"/>
              </w:rPr>
            </w:pPr>
          </w:p>
        </w:tc>
        <w:tc>
          <w:tcPr>
            <w:tcW w:w="1101" w:type="dxa"/>
            <w:tcBorders>
              <w:top w:val="nil"/>
              <w:left w:val="nil"/>
              <w:bottom w:val="nil"/>
              <w:right w:val="nil"/>
            </w:tcBorders>
            <w:shd w:val="clear" w:color="auto" w:fill="auto"/>
            <w:noWrap/>
            <w:vAlign w:val="bottom"/>
            <w:hideMark/>
          </w:tcPr>
          <w:p w:rsidRPr="00AA40E7" w:rsidR="00DD2B01" w:rsidP="00DD2B01" w:rsidRDefault="00DD2B01" w14:paraId="32A88FD4" w14:textId="77777777">
            <w:pPr>
              <w:spacing w:line="240" w:lineRule="atLeast"/>
              <w:rPr>
                <w:rFonts w:ascii="Times New Roman" w:hAnsi="Times New Roman"/>
                <w:sz w:val="24"/>
                <w:szCs w:val="24"/>
              </w:rPr>
            </w:pPr>
          </w:p>
        </w:tc>
        <w:tc>
          <w:tcPr>
            <w:tcW w:w="1230" w:type="dxa"/>
            <w:tcBorders>
              <w:top w:val="nil"/>
              <w:left w:val="nil"/>
              <w:bottom w:val="nil"/>
              <w:right w:val="nil"/>
            </w:tcBorders>
            <w:shd w:val="clear" w:color="auto" w:fill="auto"/>
            <w:noWrap/>
            <w:vAlign w:val="bottom"/>
            <w:hideMark/>
          </w:tcPr>
          <w:p w:rsidRPr="00AA40E7" w:rsidR="00DD2B01" w:rsidP="00DD2B01" w:rsidRDefault="00DD2B01" w14:paraId="07A27DDA" w14:textId="77777777">
            <w:pPr>
              <w:spacing w:line="240" w:lineRule="atLeast"/>
              <w:rPr>
                <w:rFonts w:ascii="Times New Roman" w:hAnsi="Times New Roman"/>
                <w:sz w:val="24"/>
                <w:szCs w:val="24"/>
              </w:rPr>
            </w:pPr>
          </w:p>
        </w:tc>
        <w:tc>
          <w:tcPr>
            <w:tcW w:w="1101" w:type="dxa"/>
            <w:tcBorders>
              <w:top w:val="nil"/>
              <w:left w:val="nil"/>
              <w:bottom w:val="nil"/>
              <w:right w:val="nil"/>
            </w:tcBorders>
            <w:shd w:val="clear" w:color="auto" w:fill="auto"/>
            <w:noWrap/>
            <w:vAlign w:val="bottom"/>
            <w:hideMark/>
          </w:tcPr>
          <w:p w:rsidRPr="00AA40E7" w:rsidR="00DD2B01" w:rsidP="00DD2B01" w:rsidRDefault="00DD2B01" w14:paraId="7FC2D2C2" w14:textId="77777777">
            <w:pPr>
              <w:spacing w:line="240" w:lineRule="atLeast"/>
              <w:rPr>
                <w:rFonts w:ascii="Times New Roman" w:hAnsi="Times New Roman"/>
                <w:sz w:val="24"/>
                <w:szCs w:val="24"/>
              </w:rPr>
            </w:pPr>
          </w:p>
        </w:tc>
        <w:tc>
          <w:tcPr>
            <w:tcW w:w="1040" w:type="dxa"/>
            <w:tcBorders>
              <w:top w:val="nil"/>
              <w:left w:val="nil"/>
              <w:bottom w:val="nil"/>
              <w:right w:val="nil"/>
            </w:tcBorders>
            <w:shd w:val="clear" w:color="auto" w:fill="auto"/>
            <w:noWrap/>
            <w:vAlign w:val="bottom"/>
            <w:hideMark/>
          </w:tcPr>
          <w:p w:rsidRPr="00AA40E7" w:rsidR="00DD2B01" w:rsidP="00DD2B01" w:rsidRDefault="00DD2B01" w14:paraId="701C5003" w14:textId="77777777">
            <w:pPr>
              <w:spacing w:line="240" w:lineRule="atLeast"/>
              <w:rPr>
                <w:rFonts w:ascii="Times New Roman" w:hAnsi="Times New Roman"/>
                <w:sz w:val="24"/>
                <w:szCs w:val="24"/>
              </w:rPr>
            </w:pPr>
          </w:p>
        </w:tc>
        <w:tc>
          <w:tcPr>
            <w:tcW w:w="1040" w:type="dxa"/>
            <w:tcBorders>
              <w:top w:val="nil"/>
              <w:left w:val="nil"/>
              <w:bottom w:val="nil"/>
              <w:right w:val="nil"/>
            </w:tcBorders>
            <w:shd w:val="clear" w:color="auto" w:fill="auto"/>
            <w:noWrap/>
            <w:vAlign w:val="bottom"/>
            <w:hideMark/>
          </w:tcPr>
          <w:p w:rsidRPr="00AA40E7" w:rsidR="00DD2B01" w:rsidP="00DD2B01" w:rsidRDefault="00DD2B01" w14:paraId="093686E4" w14:textId="77777777">
            <w:pPr>
              <w:spacing w:line="240" w:lineRule="atLeast"/>
              <w:rPr>
                <w:rFonts w:ascii="Times New Roman" w:hAnsi="Times New Roman"/>
                <w:sz w:val="24"/>
                <w:szCs w:val="24"/>
              </w:rPr>
            </w:pPr>
          </w:p>
        </w:tc>
        <w:tc>
          <w:tcPr>
            <w:tcW w:w="1041" w:type="dxa"/>
            <w:tcBorders>
              <w:top w:val="nil"/>
              <w:left w:val="nil"/>
              <w:bottom w:val="nil"/>
              <w:right w:val="nil"/>
            </w:tcBorders>
            <w:shd w:val="clear" w:color="auto" w:fill="auto"/>
            <w:noWrap/>
            <w:vAlign w:val="bottom"/>
            <w:hideMark/>
          </w:tcPr>
          <w:p w:rsidRPr="00AA40E7" w:rsidR="00DD2B01" w:rsidP="00DD2B01" w:rsidRDefault="00DD2B01" w14:paraId="0BE19FCA" w14:textId="3FA9516D">
            <w:pPr>
              <w:spacing w:line="240" w:lineRule="atLeast"/>
              <w:rPr>
                <w:rFonts w:ascii="Times New Roman" w:hAnsi="Times New Roman"/>
                <w:sz w:val="24"/>
                <w:szCs w:val="24"/>
              </w:rPr>
            </w:pPr>
          </w:p>
        </w:tc>
      </w:tr>
      <w:tr w:rsidRPr="00AA40E7" w:rsidR="00DD2B01" w:rsidTr="00DD2B01" w14:paraId="7844A9BC" w14:textId="77777777">
        <w:trPr>
          <w:trHeight w:val="300"/>
        </w:trPr>
        <w:tc>
          <w:tcPr>
            <w:tcW w:w="3270" w:type="dxa"/>
            <w:tcBorders>
              <w:top w:val="nil"/>
              <w:left w:val="nil"/>
              <w:bottom w:val="nil"/>
              <w:right w:val="nil"/>
            </w:tcBorders>
            <w:shd w:val="clear" w:color="000000" w:fill="002060"/>
            <w:noWrap/>
            <w:vAlign w:val="center"/>
            <w:hideMark/>
          </w:tcPr>
          <w:p w:rsidRPr="00AA40E7" w:rsidR="00DD2B01" w:rsidP="00DD2B01" w:rsidRDefault="00DD2B01" w14:paraId="6236D7B0" w14:textId="271A8692">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Begroting ontvangsten</w:t>
            </w:r>
          </w:p>
        </w:tc>
        <w:tc>
          <w:tcPr>
            <w:tcW w:w="1101" w:type="dxa"/>
            <w:vMerge w:val="restart"/>
            <w:tcBorders>
              <w:top w:val="nil"/>
              <w:left w:val="nil"/>
              <w:bottom w:val="nil"/>
              <w:right w:val="nil"/>
            </w:tcBorders>
            <w:shd w:val="clear" w:color="000000" w:fill="002060"/>
            <w:noWrap/>
            <w:vAlign w:val="center"/>
            <w:hideMark/>
          </w:tcPr>
          <w:p w:rsidRPr="00AA40E7" w:rsidR="00DD2B01" w:rsidP="00DD2B01" w:rsidRDefault="00DD2B01" w14:paraId="6CFD5DD7"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2024</w:t>
            </w:r>
          </w:p>
        </w:tc>
        <w:tc>
          <w:tcPr>
            <w:tcW w:w="1230" w:type="dxa"/>
            <w:vMerge w:val="restart"/>
            <w:tcBorders>
              <w:top w:val="nil"/>
              <w:left w:val="nil"/>
              <w:bottom w:val="nil"/>
              <w:right w:val="nil"/>
            </w:tcBorders>
            <w:shd w:val="clear" w:color="000000" w:fill="002060"/>
            <w:noWrap/>
            <w:vAlign w:val="center"/>
            <w:hideMark/>
          </w:tcPr>
          <w:p w:rsidRPr="00AA40E7" w:rsidR="00DD2B01" w:rsidP="00DD2B01" w:rsidRDefault="00DD2B01" w14:paraId="4F05F851"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2025</w:t>
            </w:r>
          </w:p>
        </w:tc>
        <w:tc>
          <w:tcPr>
            <w:tcW w:w="1101" w:type="dxa"/>
            <w:vMerge w:val="restart"/>
            <w:tcBorders>
              <w:top w:val="nil"/>
              <w:left w:val="nil"/>
              <w:bottom w:val="nil"/>
              <w:right w:val="nil"/>
            </w:tcBorders>
            <w:shd w:val="clear" w:color="000000" w:fill="002060"/>
            <w:noWrap/>
            <w:vAlign w:val="center"/>
            <w:hideMark/>
          </w:tcPr>
          <w:p w:rsidRPr="00AA40E7" w:rsidR="00DD2B01" w:rsidP="00DD2B01" w:rsidRDefault="00DD2B01" w14:paraId="331414F7"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2026</w:t>
            </w:r>
          </w:p>
        </w:tc>
        <w:tc>
          <w:tcPr>
            <w:tcW w:w="1040" w:type="dxa"/>
            <w:vMerge w:val="restart"/>
            <w:tcBorders>
              <w:top w:val="nil"/>
              <w:left w:val="nil"/>
              <w:bottom w:val="nil"/>
              <w:right w:val="nil"/>
            </w:tcBorders>
            <w:shd w:val="clear" w:color="000000" w:fill="002060"/>
            <w:noWrap/>
            <w:vAlign w:val="center"/>
            <w:hideMark/>
          </w:tcPr>
          <w:p w:rsidRPr="00AA40E7" w:rsidR="00DD2B01" w:rsidP="00DD2B01" w:rsidRDefault="00DD2B01" w14:paraId="247523E5"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2027</w:t>
            </w:r>
          </w:p>
        </w:tc>
        <w:tc>
          <w:tcPr>
            <w:tcW w:w="1040" w:type="dxa"/>
            <w:vMerge w:val="restart"/>
            <w:tcBorders>
              <w:top w:val="nil"/>
              <w:left w:val="nil"/>
              <w:bottom w:val="nil"/>
              <w:right w:val="nil"/>
            </w:tcBorders>
            <w:shd w:val="clear" w:color="000000" w:fill="002060"/>
            <w:noWrap/>
            <w:vAlign w:val="center"/>
            <w:hideMark/>
          </w:tcPr>
          <w:p w:rsidRPr="00AA40E7" w:rsidR="00DD2B01" w:rsidP="00DD2B01" w:rsidRDefault="00DD2B01" w14:paraId="3CEECBB4"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2028</w:t>
            </w:r>
          </w:p>
        </w:tc>
        <w:tc>
          <w:tcPr>
            <w:tcW w:w="1041" w:type="dxa"/>
            <w:vMerge w:val="restart"/>
            <w:tcBorders>
              <w:top w:val="nil"/>
              <w:left w:val="nil"/>
              <w:bottom w:val="nil"/>
              <w:right w:val="nil"/>
            </w:tcBorders>
            <w:shd w:val="clear" w:color="000000" w:fill="002060"/>
            <w:noWrap/>
            <w:vAlign w:val="center"/>
            <w:hideMark/>
          </w:tcPr>
          <w:p w:rsidRPr="00AA40E7" w:rsidR="00DD2B01" w:rsidP="00DD2B01" w:rsidRDefault="00DD2B01" w14:paraId="3009851E" w14:textId="4322BF8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2029</w:t>
            </w:r>
          </w:p>
        </w:tc>
      </w:tr>
      <w:tr w:rsidRPr="00AA40E7" w:rsidR="00DD2B01" w:rsidTr="00DD2B01" w14:paraId="24B5BF81" w14:textId="77777777">
        <w:trPr>
          <w:trHeight w:val="78"/>
        </w:trPr>
        <w:tc>
          <w:tcPr>
            <w:tcW w:w="3270" w:type="dxa"/>
            <w:tcBorders>
              <w:top w:val="nil"/>
              <w:left w:val="nil"/>
              <w:bottom w:val="nil"/>
              <w:right w:val="nil"/>
            </w:tcBorders>
            <w:shd w:val="clear" w:color="000000" w:fill="002060"/>
            <w:noWrap/>
            <w:vAlign w:val="center"/>
            <w:hideMark/>
          </w:tcPr>
          <w:p w:rsidRPr="00AA40E7" w:rsidR="00DD2B01" w:rsidP="00DD2B01" w:rsidRDefault="00DD2B01" w14:paraId="7D308954" w14:textId="18E5CE29">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artikelen 2 en 3</w:t>
            </w:r>
          </w:p>
        </w:tc>
        <w:tc>
          <w:tcPr>
            <w:tcW w:w="1101" w:type="dxa"/>
            <w:vMerge/>
            <w:tcBorders>
              <w:top w:val="nil"/>
              <w:left w:val="nil"/>
              <w:bottom w:val="nil"/>
              <w:right w:val="nil"/>
            </w:tcBorders>
            <w:vAlign w:val="center"/>
            <w:hideMark/>
          </w:tcPr>
          <w:p w:rsidRPr="00AA40E7" w:rsidR="00DD2B01" w:rsidP="00DD2B01" w:rsidRDefault="00DD2B01" w14:paraId="4A115B6B" w14:textId="77777777">
            <w:pPr>
              <w:spacing w:line="240" w:lineRule="atLeast"/>
              <w:rPr>
                <w:rFonts w:ascii="Times New Roman" w:hAnsi="Times New Roman"/>
                <w:b/>
                <w:bCs/>
                <w:color w:val="FFFFFF"/>
                <w:sz w:val="24"/>
                <w:szCs w:val="24"/>
              </w:rPr>
            </w:pPr>
          </w:p>
        </w:tc>
        <w:tc>
          <w:tcPr>
            <w:tcW w:w="1230" w:type="dxa"/>
            <w:vMerge/>
            <w:tcBorders>
              <w:top w:val="nil"/>
              <w:left w:val="nil"/>
              <w:bottom w:val="nil"/>
              <w:right w:val="nil"/>
            </w:tcBorders>
            <w:vAlign w:val="center"/>
            <w:hideMark/>
          </w:tcPr>
          <w:p w:rsidRPr="00AA40E7" w:rsidR="00DD2B01" w:rsidP="00DD2B01" w:rsidRDefault="00DD2B01" w14:paraId="16ECF41C" w14:textId="77777777">
            <w:pPr>
              <w:spacing w:line="240" w:lineRule="atLeast"/>
              <w:rPr>
                <w:rFonts w:ascii="Times New Roman" w:hAnsi="Times New Roman"/>
                <w:b/>
                <w:bCs/>
                <w:color w:val="FFFFFF"/>
                <w:sz w:val="24"/>
                <w:szCs w:val="24"/>
              </w:rPr>
            </w:pPr>
          </w:p>
        </w:tc>
        <w:tc>
          <w:tcPr>
            <w:tcW w:w="1101" w:type="dxa"/>
            <w:vMerge/>
            <w:tcBorders>
              <w:top w:val="nil"/>
              <w:left w:val="nil"/>
              <w:bottom w:val="nil"/>
              <w:right w:val="nil"/>
            </w:tcBorders>
            <w:vAlign w:val="center"/>
            <w:hideMark/>
          </w:tcPr>
          <w:p w:rsidRPr="00AA40E7" w:rsidR="00DD2B01" w:rsidP="00DD2B01" w:rsidRDefault="00DD2B01" w14:paraId="1B5DA0A7" w14:textId="77777777">
            <w:pPr>
              <w:spacing w:line="240" w:lineRule="atLeast"/>
              <w:rPr>
                <w:rFonts w:ascii="Times New Roman" w:hAnsi="Times New Roman"/>
                <w:b/>
                <w:bCs/>
                <w:color w:val="FFFFFF"/>
                <w:sz w:val="24"/>
                <w:szCs w:val="24"/>
              </w:rPr>
            </w:pPr>
          </w:p>
        </w:tc>
        <w:tc>
          <w:tcPr>
            <w:tcW w:w="1040" w:type="dxa"/>
            <w:vMerge/>
            <w:tcBorders>
              <w:top w:val="nil"/>
              <w:left w:val="nil"/>
              <w:bottom w:val="nil"/>
              <w:right w:val="nil"/>
            </w:tcBorders>
            <w:vAlign w:val="center"/>
            <w:hideMark/>
          </w:tcPr>
          <w:p w:rsidRPr="00AA40E7" w:rsidR="00DD2B01" w:rsidP="00DD2B01" w:rsidRDefault="00DD2B01" w14:paraId="71E8EF45" w14:textId="77777777">
            <w:pPr>
              <w:spacing w:line="240" w:lineRule="atLeast"/>
              <w:rPr>
                <w:rFonts w:ascii="Times New Roman" w:hAnsi="Times New Roman"/>
                <w:b/>
                <w:bCs/>
                <w:color w:val="FFFFFF"/>
                <w:sz w:val="24"/>
                <w:szCs w:val="24"/>
              </w:rPr>
            </w:pPr>
          </w:p>
        </w:tc>
        <w:tc>
          <w:tcPr>
            <w:tcW w:w="1040" w:type="dxa"/>
            <w:vMerge/>
            <w:tcBorders>
              <w:top w:val="nil"/>
              <w:left w:val="nil"/>
              <w:bottom w:val="nil"/>
              <w:right w:val="nil"/>
            </w:tcBorders>
            <w:vAlign w:val="center"/>
            <w:hideMark/>
          </w:tcPr>
          <w:p w:rsidRPr="00AA40E7" w:rsidR="00DD2B01" w:rsidP="00DD2B01" w:rsidRDefault="00DD2B01" w14:paraId="10302AA6" w14:textId="77777777">
            <w:pPr>
              <w:spacing w:line="240" w:lineRule="atLeast"/>
              <w:rPr>
                <w:rFonts w:ascii="Times New Roman" w:hAnsi="Times New Roman"/>
                <w:b/>
                <w:bCs/>
                <w:color w:val="FFFFFF"/>
                <w:sz w:val="24"/>
                <w:szCs w:val="24"/>
              </w:rPr>
            </w:pPr>
          </w:p>
        </w:tc>
        <w:tc>
          <w:tcPr>
            <w:tcW w:w="1041" w:type="dxa"/>
            <w:vMerge/>
            <w:tcBorders>
              <w:top w:val="nil"/>
              <w:left w:val="nil"/>
              <w:bottom w:val="nil"/>
              <w:right w:val="nil"/>
            </w:tcBorders>
            <w:vAlign w:val="center"/>
            <w:hideMark/>
          </w:tcPr>
          <w:p w:rsidRPr="00AA40E7" w:rsidR="00DD2B01" w:rsidP="00DD2B01" w:rsidRDefault="00DD2B01" w14:paraId="22E0CA18" w14:textId="77777777">
            <w:pPr>
              <w:spacing w:line="240" w:lineRule="atLeast"/>
              <w:rPr>
                <w:rFonts w:ascii="Times New Roman" w:hAnsi="Times New Roman"/>
                <w:b/>
                <w:bCs/>
                <w:color w:val="FFFFFF"/>
                <w:sz w:val="24"/>
                <w:szCs w:val="24"/>
              </w:rPr>
            </w:pPr>
          </w:p>
        </w:tc>
      </w:tr>
      <w:tr w:rsidRPr="00AA40E7" w:rsidR="00DD2B01" w:rsidTr="00DD2B01" w14:paraId="687CDD2A" w14:textId="77777777">
        <w:trPr>
          <w:trHeight w:val="300"/>
        </w:trPr>
        <w:tc>
          <w:tcPr>
            <w:tcW w:w="3270" w:type="dxa"/>
            <w:tcBorders>
              <w:top w:val="nil"/>
              <w:left w:val="nil"/>
              <w:bottom w:val="nil"/>
              <w:right w:val="nil"/>
            </w:tcBorders>
            <w:shd w:val="clear" w:color="auto" w:fill="auto"/>
            <w:noWrap/>
            <w:vAlign w:val="center"/>
            <w:hideMark/>
          </w:tcPr>
          <w:p w:rsidRPr="00AA40E7" w:rsidR="00DD2B01" w:rsidP="00DD2B01" w:rsidRDefault="00DD2B01" w14:paraId="6B8087F6" w14:textId="49FA6C62">
            <w:pPr>
              <w:spacing w:line="240" w:lineRule="atLeast"/>
              <w:rPr>
                <w:rFonts w:ascii="Times New Roman" w:hAnsi="Times New Roman"/>
                <w:color w:val="000000"/>
                <w:sz w:val="24"/>
                <w:szCs w:val="24"/>
              </w:rPr>
            </w:pPr>
            <w:r w:rsidRPr="00AA40E7">
              <w:rPr>
                <w:rFonts w:ascii="Times New Roman" w:hAnsi="Times New Roman"/>
                <w:color w:val="000000"/>
                <w:sz w:val="24"/>
                <w:szCs w:val="24"/>
              </w:rPr>
              <w:t>Huidige meerjarenbegroting</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3CECC8E0"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3.725</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62E3116A"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3.725</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3C1FF9C2"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3.725</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31BD50AF"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3.725</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46CD0ECF"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3.725</w:t>
            </w:r>
          </w:p>
        </w:tc>
        <w:tc>
          <w:tcPr>
            <w:tcW w:w="1041" w:type="dxa"/>
            <w:tcBorders>
              <w:top w:val="nil"/>
              <w:left w:val="nil"/>
              <w:bottom w:val="nil"/>
              <w:right w:val="nil"/>
            </w:tcBorders>
            <w:shd w:val="clear" w:color="auto" w:fill="auto"/>
            <w:noWrap/>
            <w:vAlign w:val="center"/>
            <w:hideMark/>
          </w:tcPr>
          <w:p w:rsidRPr="00AA40E7" w:rsidR="00DD2B01" w:rsidP="00DD2B01" w:rsidRDefault="00DD2B01" w14:paraId="43BDEEBF" w14:textId="1CF3A47F">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3.725</w:t>
            </w:r>
          </w:p>
        </w:tc>
      </w:tr>
      <w:tr w:rsidRPr="00AA40E7" w:rsidR="00DD2B01" w:rsidTr="00DD2B01" w14:paraId="502BD2A0" w14:textId="77777777">
        <w:trPr>
          <w:trHeight w:val="300"/>
        </w:trPr>
        <w:tc>
          <w:tcPr>
            <w:tcW w:w="3270" w:type="dxa"/>
            <w:tcBorders>
              <w:top w:val="nil"/>
              <w:left w:val="nil"/>
              <w:bottom w:val="nil"/>
              <w:right w:val="nil"/>
            </w:tcBorders>
            <w:shd w:val="clear" w:color="auto" w:fill="auto"/>
            <w:vAlign w:val="center"/>
            <w:hideMark/>
          </w:tcPr>
          <w:p w:rsidRPr="00AA40E7" w:rsidR="00DD2B01" w:rsidP="00DD2B01" w:rsidRDefault="00DD2B01" w14:paraId="193D94EA" w14:textId="085E190C">
            <w:pPr>
              <w:spacing w:line="240" w:lineRule="atLeast"/>
              <w:rPr>
                <w:rFonts w:ascii="Times New Roman" w:hAnsi="Times New Roman"/>
                <w:i/>
                <w:iCs/>
                <w:color w:val="000000"/>
                <w:sz w:val="24"/>
                <w:szCs w:val="24"/>
              </w:rPr>
            </w:pPr>
            <w:r w:rsidRPr="00AA40E7">
              <w:rPr>
                <w:rFonts w:ascii="Times New Roman" w:hAnsi="Times New Roman"/>
                <w:i/>
                <w:iCs/>
                <w:color w:val="000000"/>
                <w:sz w:val="24"/>
                <w:szCs w:val="24"/>
              </w:rPr>
              <w:t>Mutaties Voorjaarsnota 2024</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6A8683C3" w14:textId="7777777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4.500</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4579B6DE" w14:textId="77777777">
            <w:pPr>
              <w:spacing w:line="240" w:lineRule="atLeast"/>
              <w:jc w:val="right"/>
              <w:rPr>
                <w:rFonts w:ascii="Times New Roman" w:hAnsi="Times New Roman"/>
                <w:i/>
                <w:iCs/>
                <w:color w:val="000000"/>
                <w:sz w:val="24"/>
                <w:szCs w:val="24"/>
              </w:rPr>
            </w:pP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6969331F" w14:textId="77777777">
            <w:pPr>
              <w:spacing w:line="240" w:lineRule="atLeast"/>
              <w:jc w:val="right"/>
              <w:rPr>
                <w:rFonts w:ascii="Times New Roman" w:hAnsi="Times New Roman"/>
                <w:sz w:val="24"/>
                <w:szCs w:val="24"/>
              </w:rPr>
            </w:pP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03DB0940" w14:textId="77777777">
            <w:pPr>
              <w:spacing w:line="240" w:lineRule="atLeast"/>
              <w:jc w:val="right"/>
              <w:rPr>
                <w:rFonts w:ascii="Times New Roman" w:hAnsi="Times New Roman"/>
                <w:sz w:val="24"/>
                <w:szCs w:val="24"/>
              </w:rPr>
            </w:pP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04FE9FB0" w14:textId="77777777">
            <w:pPr>
              <w:spacing w:line="240" w:lineRule="atLeast"/>
              <w:jc w:val="right"/>
              <w:rPr>
                <w:rFonts w:ascii="Times New Roman" w:hAnsi="Times New Roman"/>
                <w:sz w:val="24"/>
                <w:szCs w:val="24"/>
              </w:rPr>
            </w:pPr>
          </w:p>
        </w:tc>
        <w:tc>
          <w:tcPr>
            <w:tcW w:w="1041" w:type="dxa"/>
            <w:tcBorders>
              <w:top w:val="nil"/>
              <w:left w:val="nil"/>
              <w:bottom w:val="nil"/>
              <w:right w:val="nil"/>
            </w:tcBorders>
            <w:shd w:val="clear" w:color="auto" w:fill="auto"/>
            <w:noWrap/>
            <w:vAlign w:val="center"/>
            <w:hideMark/>
          </w:tcPr>
          <w:p w:rsidRPr="00AA40E7" w:rsidR="00DD2B01" w:rsidP="00DD2B01" w:rsidRDefault="00DD2B01" w14:paraId="3740E8B2" w14:textId="591EA99F">
            <w:pPr>
              <w:spacing w:line="240" w:lineRule="atLeast"/>
              <w:jc w:val="right"/>
              <w:rPr>
                <w:rFonts w:ascii="Times New Roman" w:hAnsi="Times New Roman"/>
                <w:sz w:val="24"/>
                <w:szCs w:val="24"/>
              </w:rPr>
            </w:pPr>
          </w:p>
        </w:tc>
      </w:tr>
      <w:tr w:rsidRPr="00AA40E7" w:rsidR="00DD2B01" w:rsidTr="00DD2B01" w14:paraId="75A2DA6E" w14:textId="77777777">
        <w:trPr>
          <w:trHeight w:val="300"/>
        </w:trPr>
        <w:tc>
          <w:tcPr>
            <w:tcW w:w="3270" w:type="dxa"/>
            <w:tcBorders>
              <w:top w:val="nil"/>
              <w:left w:val="nil"/>
              <w:bottom w:val="nil"/>
              <w:right w:val="nil"/>
            </w:tcBorders>
            <w:shd w:val="clear" w:color="auto" w:fill="auto"/>
            <w:noWrap/>
            <w:vAlign w:val="center"/>
            <w:hideMark/>
          </w:tcPr>
          <w:p w:rsidRPr="00AA40E7" w:rsidR="00DD2B01" w:rsidP="00DD2B01" w:rsidRDefault="00DD2B01" w14:paraId="3C3C156C" w14:textId="07260872">
            <w:pPr>
              <w:spacing w:line="240" w:lineRule="atLeast"/>
              <w:rPr>
                <w:rFonts w:ascii="Times New Roman" w:hAnsi="Times New Roman"/>
                <w:b/>
                <w:bCs/>
                <w:color w:val="000000"/>
                <w:sz w:val="24"/>
                <w:szCs w:val="24"/>
              </w:rPr>
            </w:pPr>
            <w:r w:rsidRPr="00AA40E7">
              <w:rPr>
                <w:rFonts w:ascii="Times New Roman" w:hAnsi="Times New Roman"/>
                <w:b/>
                <w:bCs/>
                <w:color w:val="000000"/>
                <w:sz w:val="24"/>
                <w:szCs w:val="24"/>
              </w:rPr>
              <w:t>Meerjarenbegroting inclusief mutaties</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680EAD25"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8.225</w:t>
            </w:r>
          </w:p>
        </w:tc>
        <w:tc>
          <w:tcPr>
            <w:tcW w:w="1230" w:type="dxa"/>
            <w:tcBorders>
              <w:top w:val="nil"/>
              <w:left w:val="nil"/>
              <w:bottom w:val="nil"/>
              <w:right w:val="nil"/>
            </w:tcBorders>
            <w:shd w:val="clear" w:color="auto" w:fill="auto"/>
            <w:noWrap/>
            <w:vAlign w:val="center"/>
            <w:hideMark/>
          </w:tcPr>
          <w:p w:rsidRPr="00AA40E7" w:rsidR="00DD2B01" w:rsidP="00DD2B01" w:rsidRDefault="00DD2B01" w14:paraId="16154746"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3.725</w:t>
            </w:r>
          </w:p>
        </w:tc>
        <w:tc>
          <w:tcPr>
            <w:tcW w:w="1101" w:type="dxa"/>
            <w:tcBorders>
              <w:top w:val="nil"/>
              <w:left w:val="nil"/>
              <w:bottom w:val="nil"/>
              <w:right w:val="nil"/>
            </w:tcBorders>
            <w:shd w:val="clear" w:color="auto" w:fill="auto"/>
            <w:noWrap/>
            <w:vAlign w:val="center"/>
            <w:hideMark/>
          </w:tcPr>
          <w:p w:rsidRPr="00AA40E7" w:rsidR="00DD2B01" w:rsidP="00DD2B01" w:rsidRDefault="00DD2B01" w14:paraId="495C124F"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3.725</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6C373E48"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3.725</w:t>
            </w:r>
          </w:p>
        </w:tc>
        <w:tc>
          <w:tcPr>
            <w:tcW w:w="1040" w:type="dxa"/>
            <w:tcBorders>
              <w:top w:val="nil"/>
              <w:left w:val="nil"/>
              <w:bottom w:val="nil"/>
              <w:right w:val="nil"/>
            </w:tcBorders>
            <w:shd w:val="clear" w:color="auto" w:fill="auto"/>
            <w:noWrap/>
            <w:vAlign w:val="center"/>
            <w:hideMark/>
          </w:tcPr>
          <w:p w:rsidRPr="00AA40E7" w:rsidR="00DD2B01" w:rsidP="00DD2B01" w:rsidRDefault="00DD2B01" w14:paraId="1E5D4B57"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3.725</w:t>
            </w:r>
          </w:p>
        </w:tc>
        <w:tc>
          <w:tcPr>
            <w:tcW w:w="1041" w:type="dxa"/>
            <w:tcBorders>
              <w:top w:val="nil"/>
              <w:left w:val="nil"/>
              <w:bottom w:val="nil"/>
              <w:right w:val="nil"/>
            </w:tcBorders>
            <w:shd w:val="clear" w:color="auto" w:fill="auto"/>
            <w:noWrap/>
            <w:vAlign w:val="center"/>
            <w:hideMark/>
          </w:tcPr>
          <w:p w:rsidRPr="00AA40E7" w:rsidR="00DD2B01" w:rsidP="00DD2B01" w:rsidRDefault="00DD2B01" w14:paraId="7C2013C1" w14:textId="3AA5D696">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3.725</w:t>
            </w:r>
          </w:p>
        </w:tc>
      </w:tr>
    </w:tbl>
    <w:p w:rsidRPr="00AA40E7" w:rsidR="00AE25CB" w:rsidP="00654798" w:rsidRDefault="51825749" w14:paraId="1DF84650" w14:textId="77777777">
      <w:pPr>
        <w:spacing w:line="240" w:lineRule="atLeast"/>
        <w:ind w:left="284" w:hanging="284"/>
        <w:rPr>
          <w:rFonts w:ascii="Times New Roman" w:hAnsi="Times New Roman"/>
          <w:b/>
          <w:bCs/>
          <w:sz w:val="24"/>
          <w:szCs w:val="24"/>
        </w:rPr>
      </w:pPr>
      <w:r w:rsidRPr="00AA40E7">
        <w:rPr>
          <w:rFonts w:ascii="Times New Roman" w:hAnsi="Times New Roman"/>
          <w:b/>
          <w:bCs/>
          <w:sz w:val="24"/>
          <w:szCs w:val="24"/>
        </w:rPr>
        <w:t xml:space="preserve">2. </w:t>
      </w:r>
      <w:r w:rsidRPr="00AA40E7">
        <w:rPr>
          <w:rFonts w:ascii="Times New Roman" w:hAnsi="Times New Roman"/>
          <w:b/>
          <w:bCs/>
          <w:sz w:val="24"/>
          <w:szCs w:val="24"/>
          <w:u w:val="single"/>
        </w:rPr>
        <w:t>Artikel 2: Uitgaven ten behoeve van leden en oud-leden Tweede Kamer</w:t>
      </w:r>
    </w:p>
    <w:p w:rsidRPr="00AA40E7" w:rsidR="00950DF8" w:rsidP="00654798" w:rsidRDefault="51825749" w14:paraId="2DB084F5" w14:textId="77777777">
      <w:pPr>
        <w:spacing w:line="240" w:lineRule="atLeast"/>
        <w:outlineLvl w:val="0"/>
        <w:rPr>
          <w:rFonts w:ascii="Times New Roman" w:hAnsi="Times New Roman"/>
          <w:sz w:val="24"/>
          <w:szCs w:val="24"/>
        </w:rPr>
      </w:pPr>
      <w:r w:rsidRPr="00AA40E7">
        <w:rPr>
          <w:rFonts w:ascii="Times New Roman" w:hAnsi="Times New Roman"/>
          <w:sz w:val="24"/>
          <w:szCs w:val="24"/>
        </w:rPr>
        <w:t>Onder dit artikel worden rechtspositionele uitgaven aan leden en oud-leden van de Tweede Kamer, alsmede hun nagelaten betrekkingen geraamd.</w:t>
      </w:r>
    </w:p>
    <w:p w:rsidRPr="00AA40E7" w:rsidR="00950DF8" w:rsidP="00654798" w:rsidRDefault="51825749" w14:paraId="67E97974" w14:textId="77777777">
      <w:pPr>
        <w:spacing w:line="240" w:lineRule="atLeast"/>
        <w:outlineLvl w:val="0"/>
        <w:rPr>
          <w:rFonts w:ascii="Times New Roman" w:hAnsi="Times New Roman"/>
          <w:sz w:val="24"/>
          <w:szCs w:val="24"/>
        </w:rPr>
      </w:pPr>
      <w:r w:rsidRPr="00AA40E7">
        <w:rPr>
          <w:rFonts w:ascii="Times New Roman" w:hAnsi="Times New Roman"/>
          <w:sz w:val="24"/>
          <w:szCs w:val="24"/>
        </w:rPr>
        <w:t>De Tweede Kamer draagt ingevolge de Wet schadeloosstelling leden Tweede Kamer, de Algemene pensioenwet politieke ambtsdragers en de Wet schadeloosstelling, uitkering en pensioen leden zorg voor de uitgaven ten behoeve van:</w:t>
      </w:r>
    </w:p>
    <w:p w:rsidRPr="00AA40E7" w:rsidR="00950DF8" w:rsidP="00654798" w:rsidRDefault="00950DF8" w14:paraId="02E537CD" w14:textId="77777777">
      <w:pPr>
        <w:spacing w:line="240" w:lineRule="atLeast"/>
        <w:outlineLvl w:val="0"/>
        <w:rPr>
          <w:rFonts w:ascii="Times New Roman" w:hAnsi="Times New Roman"/>
          <w:sz w:val="24"/>
          <w:szCs w:val="24"/>
        </w:rPr>
      </w:pPr>
      <w:r w:rsidRPr="00AA40E7">
        <w:rPr>
          <w:rFonts w:ascii="Times New Roman" w:hAnsi="Times New Roman"/>
          <w:sz w:val="24"/>
          <w:szCs w:val="24"/>
        </w:rPr>
        <w:t>–</w:t>
      </w:r>
      <w:r w:rsidRPr="00AA40E7">
        <w:rPr>
          <w:rFonts w:ascii="Times New Roman" w:hAnsi="Times New Roman"/>
          <w:sz w:val="24"/>
          <w:szCs w:val="24"/>
        </w:rPr>
        <w:tab/>
        <w:t>de schadeloosstelling van de leden van de Tweede Kamer (artikel 2.1);</w:t>
      </w:r>
    </w:p>
    <w:p w:rsidRPr="00AA40E7" w:rsidR="00950DF8" w:rsidP="00654798" w:rsidRDefault="00950DF8" w14:paraId="2E9A7317" w14:textId="77777777">
      <w:pPr>
        <w:spacing w:line="240" w:lineRule="atLeast"/>
        <w:outlineLvl w:val="0"/>
        <w:rPr>
          <w:rFonts w:ascii="Times New Roman" w:hAnsi="Times New Roman"/>
          <w:sz w:val="24"/>
          <w:szCs w:val="24"/>
        </w:rPr>
      </w:pPr>
      <w:r w:rsidRPr="00AA40E7">
        <w:rPr>
          <w:rFonts w:ascii="Times New Roman" w:hAnsi="Times New Roman"/>
          <w:sz w:val="24"/>
          <w:szCs w:val="24"/>
        </w:rPr>
        <w:t>–</w:t>
      </w:r>
      <w:r w:rsidRPr="00AA40E7">
        <w:rPr>
          <w:rFonts w:ascii="Times New Roman" w:hAnsi="Times New Roman"/>
          <w:sz w:val="24"/>
          <w:szCs w:val="24"/>
        </w:rPr>
        <w:tab/>
        <w:t>de reis- en overige kostenvergoedingen van de leden van de Tweede Kamer (artikel 2.1);</w:t>
      </w:r>
    </w:p>
    <w:p w:rsidRPr="00AA40E7" w:rsidR="00950DF8" w:rsidP="00654798" w:rsidRDefault="00950DF8" w14:paraId="763DF4FF" w14:textId="77777777">
      <w:pPr>
        <w:spacing w:line="240" w:lineRule="atLeast"/>
        <w:outlineLvl w:val="0"/>
        <w:rPr>
          <w:rFonts w:ascii="Times New Roman" w:hAnsi="Times New Roman"/>
          <w:sz w:val="24"/>
          <w:szCs w:val="24"/>
        </w:rPr>
      </w:pPr>
      <w:r w:rsidRPr="00AA40E7">
        <w:rPr>
          <w:rFonts w:ascii="Times New Roman" w:hAnsi="Times New Roman"/>
          <w:sz w:val="24"/>
          <w:szCs w:val="24"/>
        </w:rPr>
        <w:t>–</w:t>
      </w:r>
      <w:r w:rsidRPr="00AA40E7">
        <w:rPr>
          <w:rFonts w:ascii="Times New Roman" w:hAnsi="Times New Roman"/>
          <w:sz w:val="24"/>
          <w:szCs w:val="24"/>
        </w:rPr>
        <w:tab/>
        <w:t>de wachtgelden van oud-leden van de Tweede Kamer (artikel 2.2);</w:t>
      </w:r>
    </w:p>
    <w:p w:rsidRPr="00AA40E7" w:rsidR="00950DF8" w:rsidP="00654798" w:rsidRDefault="00950DF8" w14:paraId="41ECE1F5" w14:textId="17893CFC">
      <w:pPr>
        <w:spacing w:line="240" w:lineRule="atLeast"/>
        <w:outlineLvl w:val="0"/>
        <w:rPr>
          <w:rFonts w:ascii="Times New Roman" w:hAnsi="Times New Roman"/>
          <w:sz w:val="24"/>
          <w:szCs w:val="24"/>
        </w:rPr>
      </w:pPr>
      <w:r w:rsidRPr="00AA40E7">
        <w:rPr>
          <w:rFonts w:ascii="Times New Roman" w:hAnsi="Times New Roman"/>
          <w:sz w:val="24"/>
          <w:szCs w:val="24"/>
        </w:rPr>
        <w:t>–</w:t>
      </w:r>
      <w:r w:rsidRPr="00AA40E7">
        <w:rPr>
          <w:rFonts w:ascii="Times New Roman" w:hAnsi="Times New Roman"/>
          <w:sz w:val="24"/>
          <w:szCs w:val="24"/>
        </w:rPr>
        <w:tab/>
        <w:t xml:space="preserve">de pensioenen van oud-leden van de Tweede Kamer en hun nabestaanden (artikel 2.2); </w:t>
      </w:r>
    </w:p>
    <w:p w:rsidRPr="00AA40E7" w:rsidR="000C568F" w:rsidP="00654798" w:rsidRDefault="000C568F" w14:paraId="37A54FA4" w14:textId="063D9635">
      <w:pPr>
        <w:spacing w:line="240" w:lineRule="atLeast"/>
        <w:rPr>
          <w:rFonts w:ascii="Times New Roman" w:hAnsi="Times New Roman"/>
          <w:sz w:val="24"/>
          <w:szCs w:val="24"/>
        </w:rPr>
      </w:pPr>
    </w:p>
    <w:p w:rsidRPr="00AA40E7" w:rsidR="00AE25CB" w:rsidP="00654798" w:rsidRDefault="51825749" w14:paraId="195AD611" w14:textId="1AECD1B1">
      <w:pPr>
        <w:tabs>
          <w:tab w:val="left" w:pos="2160"/>
        </w:tabs>
        <w:spacing w:line="240" w:lineRule="atLeast"/>
        <w:rPr>
          <w:rFonts w:ascii="Times New Roman" w:hAnsi="Times New Roman"/>
          <w:i/>
          <w:iCs/>
          <w:sz w:val="24"/>
          <w:szCs w:val="24"/>
        </w:rPr>
      </w:pPr>
      <w:r w:rsidRPr="00AA40E7">
        <w:rPr>
          <w:rFonts w:ascii="Times New Roman" w:hAnsi="Times New Roman"/>
          <w:sz w:val="24"/>
          <w:szCs w:val="24"/>
        </w:rPr>
        <w:t>De uitgaven bedragen:</w:t>
      </w:r>
    </w:p>
    <w:p w:rsidRPr="00AA40E7" w:rsidR="00AE25CB" w:rsidP="00654798" w:rsidRDefault="00AE25CB" w14:paraId="4CD3000C" w14:textId="77777777">
      <w:pPr>
        <w:tabs>
          <w:tab w:val="left" w:pos="2160"/>
        </w:tabs>
        <w:spacing w:line="240" w:lineRule="atLeast"/>
        <w:rPr>
          <w:rFonts w:ascii="Times New Roman" w:hAnsi="Times New Roman"/>
          <w:bCs/>
          <w:i/>
          <w:sz w:val="24"/>
          <w:szCs w:val="24"/>
        </w:rPr>
      </w:pPr>
    </w:p>
    <w:p w:rsidRPr="00AA40E7" w:rsidR="00AE25CB" w:rsidP="00654798" w:rsidRDefault="51825749" w14:paraId="55B5BD33" w14:textId="2E0E5D3A">
      <w:pPr>
        <w:tabs>
          <w:tab w:val="left" w:pos="2160"/>
        </w:tabs>
        <w:spacing w:line="240" w:lineRule="atLeast"/>
        <w:rPr>
          <w:rFonts w:ascii="Times New Roman" w:hAnsi="Times New Roman"/>
          <w:i/>
          <w:iCs/>
          <w:sz w:val="24"/>
          <w:szCs w:val="24"/>
        </w:rPr>
      </w:pPr>
      <w:r w:rsidRPr="00AA40E7">
        <w:rPr>
          <w:rFonts w:ascii="Times New Roman" w:hAnsi="Times New Roman"/>
          <w:i/>
          <w:iCs/>
          <w:sz w:val="24"/>
          <w:szCs w:val="24"/>
        </w:rPr>
        <w:t>Tabel 1: budgettaire gevolgen (x € 1.000,-)</w:t>
      </w:r>
    </w:p>
    <w:tbl>
      <w:tblPr>
        <w:tblW w:w="9640" w:type="dxa"/>
        <w:tblCellMar>
          <w:left w:w="70" w:type="dxa"/>
          <w:right w:w="70" w:type="dxa"/>
        </w:tblCellMar>
        <w:tblLook w:val="04A0" w:firstRow="1" w:lastRow="0" w:firstColumn="1" w:lastColumn="0" w:noHBand="0" w:noVBand="1"/>
      </w:tblPr>
      <w:tblGrid>
        <w:gridCol w:w="4360"/>
        <w:gridCol w:w="880"/>
        <w:gridCol w:w="880"/>
        <w:gridCol w:w="880"/>
        <w:gridCol w:w="880"/>
        <w:gridCol w:w="880"/>
        <w:gridCol w:w="880"/>
      </w:tblGrid>
      <w:tr w:rsidRPr="00AA40E7" w:rsidR="00801934" w:rsidTr="00801934" w14:paraId="4A523626" w14:textId="77777777">
        <w:trPr>
          <w:trHeight w:val="675"/>
        </w:trPr>
        <w:tc>
          <w:tcPr>
            <w:tcW w:w="4360" w:type="dxa"/>
            <w:tcBorders>
              <w:top w:val="nil"/>
              <w:left w:val="nil"/>
              <w:bottom w:val="nil"/>
              <w:right w:val="nil"/>
            </w:tcBorders>
            <w:shd w:val="clear" w:color="000000" w:fill="002060"/>
            <w:vAlign w:val="center"/>
            <w:hideMark/>
          </w:tcPr>
          <w:p w:rsidRPr="00AA40E7" w:rsidR="00801934" w:rsidP="00654798" w:rsidRDefault="00801934" w14:paraId="46566614" w14:textId="3F76A83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Artikel 2: Uitgaven ten behoeve van leden en oud-leden Tweede Kamer (in €1.000)</w:t>
            </w:r>
          </w:p>
        </w:tc>
        <w:tc>
          <w:tcPr>
            <w:tcW w:w="880" w:type="dxa"/>
            <w:tcBorders>
              <w:top w:val="nil"/>
              <w:left w:val="nil"/>
              <w:bottom w:val="nil"/>
              <w:right w:val="nil"/>
            </w:tcBorders>
            <w:shd w:val="clear" w:color="000000" w:fill="002060"/>
            <w:noWrap/>
            <w:vAlign w:val="center"/>
            <w:hideMark/>
          </w:tcPr>
          <w:p w:rsidRPr="00AA40E7" w:rsidR="00801934" w:rsidP="00654798" w:rsidRDefault="00801934" w14:paraId="7B96E5E7"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2024</w:t>
            </w:r>
          </w:p>
        </w:tc>
        <w:tc>
          <w:tcPr>
            <w:tcW w:w="880" w:type="dxa"/>
            <w:tcBorders>
              <w:top w:val="nil"/>
              <w:left w:val="nil"/>
              <w:bottom w:val="nil"/>
              <w:right w:val="nil"/>
            </w:tcBorders>
            <w:shd w:val="clear" w:color="000000" w:fill="002060"/>
            <w:noWrap/>
            <w:vAlign w:val="center"/>
            <w:hideMark/>
          </w:tcPr>
          <w:p w:rsidRPr="00AA40E7" w:rsidR="00801934" w:rsidP="00654798" w:rsidRDefault="00801934" w14:paraId="66FECA8C"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2025</w:t>
            </w:r>
          </w:p>
        </w:tc>
        <w:tc>
          <w:tcPr>
            <w:tcW w:w="880" w:type="dxa"/>
            <w:tcBorders>
              <w:top w:val="nil"/>
              <w:left w:val="nil"/>
              <w:bottom w:val="nil"/>
              <w:right w:val="nil"/>
            </w:tcBorders>
            <w:shd w:val="clear" w:color="000000" w:fill="002060"/>
            <w:noWrap/>
            <w:vAlign w:val="center"/>
            <w:hideMark/>
          </w:tcPr>
          <w:p w:rsidRPr="00AA40E7" w:rsidR="00801934" w:rsidP="00654798" w:rsidRDefault="00801934" w14:paraId="57AD51F9"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2026</w:t>
            </w:r>
          </w:p>
        </w:tc>
        <w:tc>
          <w:tcPr>
            <w:tcW w:w="880" w:type="dxa"/>
            <w:tcBorders>
              <w:top w:val="nil"/>
              <w:left w:val="nil"/>
              <w:bottom w:val="nil"/>
              <w:right w:val="nil"/>
            </w:tcBorders>
            <w:shd w:val="clear" w:color="000000" w:fill="002060"/>
            <w:noWrap/>
            <w:vAlign w:val="center"/>
            <w:hideMark/>
          </w:tcPr>
          <w:p w:rsidRPr="00AA40E7" w:rsidR="00801934" w:rsidP="00654798" w:rsidRDefault="00801934" w14:paraId="2F2E93A0"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2027</w:t>
            </w:r>
          </w:p>
        </w:tc>
        <w:tc>
          <w:tcPr>
            <w:tcW w:w="880" w:type="dxa"/>
            <w:tcBorders>
              <w:top w:val="nil"/>
              <w:left w:val="nil"/>
              <w:bottom w:val="nil"/>
              <w:right w:val="nil"/>
            </w:tcBorders>
            <w:shd w:val="clear" w:color="000000" w:fill="002060"/>
            <w:noWrap/>
            <w:vAlign w:val="center"/>
            <w:hideMark/>
          </w:tcPr>
          <w:p w:rsidRPr="00AA40E7" w:rsidR="00801934" w:rsidP="00654798" w:rsidRDefault="00801934" w14:paraId="28E2369F"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2028</w:t>
            </w:r>
          </w:p>
        </w:tc>
        <w:tc>
          <w:tcPr>
            <w:tcW w:w="880" w:type="dxa"/>
            <w:tcBorders>
              <w:top w:val="nil"/>
              <w:left w:val="nil"/>
              <w:bottom w:val="nil"/>
              <w:right w:val="nil"/>
            </w:tcBorders>
            <w:shd w:val="clear" w:color="000000" w:fill="002060"/>
            <w:noWrap/>
            <w:vAlign w:val="center"/>
            <w:hideMark/>
          </w:tcPr>
          <w:p w:rsidRPr="00AA40E7" w:rsidR="00801934" w:rsidP="00654798" w:rsidRDefault="00801934" w14:paraId="09562EE8"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2029</w:t>
            </w:r>
          </w:p>
        </w:tc>
      </w:tr>
      <w:tr w:rsidRPr="00AA40E7" w:rsidR="00801934" w:rsidTr="00801934" w14:paraId="116BC4CB" w14:textId="77777777">
        <w:trPr>
          <w:trHeight w:val="555"/>
        </w:trPr>
        <w:tc>
          <w:tcPr>
            <w:tcW w:w="4360" w:type="dxa"/>
            <w:tcBorders>
              <w:top w:val="nil"/>
              <w:left w:val="nil"/>
              <w:bottom w:val="nil"/>
              <w:right w:val="nil"/>
            </w:tcBorders>
            <w:shd w:val="clear" w:color="auto" w:fill="auto"/>
            <w:vAlign w:val="center"/>
            <w:hideMark/>
          </w:tcPr>
          <w:p w:rsidRPr="00AA40E7" w:rsidR="00801934" w:rsidP="00654798" w:rsidRDefault="00801934" w14:paraId="4EF42EAA"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2: Uitgaven t.b.v. leden en oud-leden Tweede Kamer</w:t>
            </w:r>
          </w:p>
        </w:tc>
        <w:tc>
          <w:tcPr>
            <w:tcW w:w="880" w:type="dxa"/>
            <w:tcBorders>
              <w:top w:val="nil"/>
              <w:left w:val="nil"/>
              <w:bottom w:val="nil"/>
              <w:right w:val="nil"/>
            </w:tcBorders>
            <w:shd w:val="clear" w:color="auto" w:fill="auto"/>
            <w:vAlign w:val="center"/>
            <w:hideMark/>
          </w:tcPr>
          <w:p w:rsidRPr="00AA40E7" w:rsidR="00801934" w:rsidP="00654798" w:rsidRDefault="00801934" w14:paraId="08AF07F4" w14:textId="77777777">
            <w:pPr>
              <w:spacing w:line="240" w:lineRule="atLeast"/>
              <w:rPr>
                <w:rFonts w:ascii="Times New Roman" w:hAnsi="Times New Roman"/>
                <w:color w:val="000000"/>
                <w:sz w:val="24"/>
                <w:szCs w:val="24"/>
              </w:rPr>
            </w:pPr>
          </w:p>
        </w:tc>
        <w:tc>
          <w:tcPr>
            <w:tcW w:w="880" w:type="dxa"/>
            <w:tcBorders>
              <w:top w:val="nil"/>
              <w:left w:val="nil"/>
              <w:bottom w:val="nil"/>
              <w:right w:val="nil"/>
            </w:tcBorders>
            <w:shd w:val="clear" w:color="auto" w:fill="auto"/>
            <w:vAlign w:val="center"/>
            <w:hideMark/>
          </w:tcPr>
          <w:p w:rsidRPr="00AA40E7" w:rsidR="00801934" w:rsidP="00654798" w:rsidRDefault="00801934" w14:paraId="3DD0C719" w14:textId="77777777">
            <w:pPr>
              <w:spacing w:line="240" w:lineRule="atLeast"/>
              <w:ind w:firstLine="480" w:firstLineChars="200"/>
              <w:jc w:val="right"/>
              <w:rPr>
                <w:rFonts w:ascii="Times New Roman" w:hAnsi="Times New Roman"/>
                <w:sz w:val="24"/>
                <w:szCs w:val="24"/>
              </w:rPr>
            </w:pPr>
          </w:p>
        </w:tc>
        <w:tc>
          <w:tcPr>
            <w:tcW w:w="880" w:type="dxa"/>
            <w:tcBorders>
              <w:top w:val="nil"/>
              <w:left w:val="nil"/>
              <w:bottom w:val="nil"/>
              <w:right w:val="nil"/>
            </w:tcBorders>
            <w:shd w:val="clear" w:color="auto" w:fill="auto"/>
            <w:vAlign w:val="center"/>
            <w:hideMark/>
          </w:tcPr>
          <w:p w:rsidRPr="00AA40E7" w:rsidR="00801934" w:rsidP="00654798" w:rsidRDefault="00801934" w14:paraId="0D72F169" w14:textId="77777777">
            <w:pPr>
              <w:spacing w:line="240" w:lineRule="atLeast"/>
              <w:ind w:firstLine="480" w:firstLineChars="200"/>
              <w:jc w:val="right"/>
              <w:rPr>
                <w:rFonts w:ascii="Times New Roman" w:hAnsi="Times New Roman"/>
                <w:sz w:val="24"/>
                <w:szCs w:val="24"/>
              </w:rPr>
            </w:pPr>
          </w:p>
        </w:tc>
        <w:tc>
          <w:tcPr>
            <w:tcW w:w="880" w:type="dxa"/>
            <w:tcBorders>
              <w:top w:val="nil"/>
              <w:left w:val="nil"/>
              <w:bottom w:val="nil"/>
              <w:right w:val="nil"/>
            </w:tcBorders>
            <w:shd w:val="clear" w:color="auto" w:fill="auto"/>
            <w:vAlign w:val="center"/>
            <w:hideMark/>
          </w:tcPr>
          <w:p w:rsidRPr="00AA40E7" w:rsidR="00801934" w:rsidP="00654798" w:rsidRDefault="00801934" w14:paraId="0DA40F22" w14:textId="77777777">
            <w:pPr>
              <w:spacing w:line="240" w:lineRule="atLeast"/>
              <w:ind w:firstLine="480" w:firstLineChars="200"/>
              <w:jc w:val="right"/>
              <w:rPr>
                <w:rFonts w:ascii="Times New Roman" w:hAnsi="Times New Roman"/>
                <w:sz w:val="24"/>
                <w:szCs w:val="24"/>
              </w:rPr>
            </w:pPr>
          </w:p>
        </w:tc>
        <w:tc>
          <w:tcPr>
            <w:tcW w:w="880" w:type="dxa"/>
            <w:tcBorders>
              <w:top w:val="nil"/>
              <w:left w:val="nil"/>
              <w:bottom w:val="nil"/>
              <w:right w:val="nil"/>
            </w:tcBorders>
            <w:shd w:val="clear" w:color="auto" w:fill="auto"/>
            <w:vAlign w:val="center"/>
            <w:hideMark/>
          </w:tcPr>
          <w:p w:rsidRPr="00AA40E7" w:rsidR="00801934" w:rsidP="00654798" w:rsidRDefault="00801934" w14:paraId="69E5317D" w14:textId="77777777">
            <w:pPr>
              <w:spacing w:line="240" w:lineRule="atLeast"/>
              <w:ind w:firstLine="480" w:firstLineChars="200"/>
              <w:jc w:val="right"/>
              <w:rPr>
                <w:rFonts w:ascii="Times New Roman" w:hAnsi="Times New Roman"/>
                <w:sz w:val="24"/>
                <w:szCs w:val="24"/>
              </w:rPr>
            </w:pPr>
          </w:p>
        </w:tc>
        <w:tc>
          <w:tcPr>
            <w:tcW w:w="880" w:type="dxa"/>
            <w:tcBorders>
              <w:top w:val="nil"/>
              <w:left w:val="nil"/>
              <w:bottom w:val="nil"/>
              <w:right w:val="nil"/>
            </w:tcBorders>
            <w:shd w:val="clear" w:color="auto" w:fill="auto"/>
            <w:vAlign w:val="center"/>
            <w:hideMark/>
          </w:tcPr>
          <w:p w:rsidRPr="00AA40E7" w:rsidR="00801934" w:rsidP="00654798" w:rsidRDefault="00801934" w14:paraId="18A873B6" w14:textId="77777777">
            <w:pPr>
              <w:spacing w:line="240" w:lineRule="atLeast"/>
              <w:ind w:firstLine="480" w:firstLineChars="200"/>
              <w:jc w:val="right"/>
              <w:rPr>
                <w:rFonts w:ascii="Times New Roman" w:hAnsi="Times New Roman"/>
                <w:sz w:val="24"/>
                <w:szCs w:val="24"/>
              </w:rPr>
            </w:pPr>
          </w:p>
        </w:tc>
      </w:tr>
      <w:tr w:rsidRPr="00AA40E7" w:rsidR="00801934" w:rsidTr="00801934" w14:paraId="46DFAB9A" w14:textId="77777777">
        <w:trPr>
          <w:trHeight w:val="300"/>
        </w:trPr>
        <w:tc>
          <w:tcPr>
            <w:tcW w:w="4360" w:type="dxa"/>
            <w:tcBorders>
              <w:top w:val="nil"/>
              <w:left w:val="nil"/>
              <w:bottom w:val="nil"/>
              <w:right w:val="nil"/>
            </w:tcBorders>
            <w:shd w:val="clear" w:color="auto" w:fill="auto"/>
            <w:vAlign w:val="center"/>
            <w:hideMark/>
          </w:tcPr>
          <w:p w:rsidRPr="00AA40E7" w:rsidR="00801934" w:rsidP="00654798" w:rsidRDefault="00801934" w14:paraId="6E6951A5" w14:textId="77777777">
            <w:pPr>
              <w:spacing w:line="240" w:lineRule="atLeast"/>
              <w:ind w:firstLine="480" w:firstLineChars="200"/>
              <w:rPr>
                <w:rFonts w:ascii="Times New Roman" w:hAnsi="Times New Roman"/>
                <w:color w:val="000000"/>
                <w:sz w:val="24"/>
                <w:szCs w:val="24"/>
              </w:rPr>
            </w:pPr>
            <w:r w:rsidRPr="00AA40E7">
              <w:rPr>
                <w:rFonts w:ascii="Times New Roman" w:hAnsi="Times New Roman"/>
                <w:color w:val="000000"/>
                <w:sz w:val="24"/>
                <w:szCs w:val="24"/>
              </w:rPr>
              <w:t>Verplichtingen</w:t>
            </w:r>
          </w:p>
        </w:tc>
        <w:tc>
          <w:tcPr>
            <w:tcW w:w="880" w:type="dxa"/>
            <w:tcBorders>
              <w:top w:val="nil"/>
              <w:left w:val="nil"/>
              <w:bottom w:val="nil"/>
              <w:right w:val="nil"/>
            </w:tcBorders>
            <w:shd w:val="clear" w:color="auto" w:fill="auto"/>
            <w:vAlign w:val="center"/>
            <w:hideMark/>
          </w:tcPr>
          <w:p w:rsidRPr="00AA40E7" w:rsidR="00801934" w:rsidP="00654798" w:rsidRDefault="00801934" w14:paraId="596E2618"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44.929</w:t>
            </w:r>
          </w:p>
        </w:tc>
        <w:tc>
          <w:tcPr>
            <w:tcW w:w="880" w:type="dxa"/>
            <w:tcBorders>
              <w:top w:val="nil"/>
              <w:left w:val="nil"/>
              <w:bottom w:val="nil"/>
              <w:right w:val="nil"/>
            </w:tcBorders>
            <w:shd w:val="clear" w:color="auto" w:fill="auto"/>
            <w:vAlign w:val="center"/>
            <w:hideMark/>
          </w:tcPr>
          <w:p w:rsidRPr="00AA40E7" w:rsidR="00801934" w:rsidP="00654798" w:rsidRDefault="00801934" w14:paraId="71B849FF"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41.676</w:t>
            </w:r>
          </w:p>
        </w:tc>
        <w:tc>
          <w:tcPr>
            <w:tcW w:w="880" w:type="dxa"/>
            <w:tcBorders>
              <w:top w:val="nil"/>
              <w:left w:val="nil"/>
              <w:bottom w:val="nil"/>
              <w:right w:val="nil"/>
            </w:tcBorders>
            <w:shd w:val="clear" w:color="auto" w:fill="auto"/>
            <w:vAlign w:val="center"/>
            <w:hideMark/>
          </w:tcPr>
          <w:p w:rsidRPr="00AA40E7" w:rsidR="00801934" w:rsidP="00654798" w:rsidRDefault="00801934" w14:paraId="45FBAF53"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39.550</w:t>
            </w:r>
          </w:p>
        </w:tc>
        <w:tc>
          <w:tcPr>
            <w:tcW w:w="880" w:type="dxa"/>
            <w:tcBorders>
              <w:top w:val="nil"/>
              <w:left w:val="nil"/>
              <w:bottom w:val="nil"/>
              <w:right w:val="nil"/>
            </w:tcBorders>
            <w:shd w:val="clear" w:color="auto" w:fill="auto"/>
            <w:vAlign w:val="center"/>
            <w:hideMark/>
          </w:tcPr>
          <w:p w:rsidRPr="00AA40E7" w:rsidR="00801934" w:rsidP="00654798" w:rsidRDefault="00801934" w14:paraId="6381EE5F"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39.004</w:t>
            </w:r>
          </w:p>
        </w:tc>
        <w:tc>
          <w:tcPr>
            <w:tcW w:w="880" w:type="dxa"/>
            <w:tcBorders>
              <w:top w:val="nil"/>
              <w:left w:val="nil"/>
              <w:bottom w:val="nil"/>
              <w:right w:val="nil"/>
            </w:tcBorders>
            <w:shd w:val="clear" w:color="auto" w:fill="auto"/>
            <w:vAlign w:val="center"/>
            <w:hideMark/>
          </w:tcPr>
          <w:p w:rsidRPr="00AA40E7" w:rsidR="00801934" w:rsidP="00654798" w:rsidRDefault="00801934" w14:paraId="0AA2AFF2"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45.004</w:t>
            </w:r>
          </w:p>
        </w:tc>
        <w:tc>
          <w:tcPr>
            <w:tcW w:w="880" w:type="dxa"/>
            <w:tcBorders>
              <w:top w:val="nil"/>
              <w:left w:val="nil"/>
              <w:bottom w:val="nil"/>
              <w:right w:val="nil"/>
            </w:tcBorders>
            <w:shd w:val="clear" w:color="auto" w:fill="auto"/>
            <w:vAlign w:val="center"/>
            <w:hideMark/>
          </w:tcPr>
          <w:p w:rsidRPr="00AA40E7" w:rsidR="00801934" w:rsidP="00654798" w:rsidRDefault="00801934" w14:paraId="1E448CF1"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40.004</w:t>
            </w:r>
          </w:p>
        </w:tc>
      </w:tr>
      <w:tr w:rsidRPr="00AA40E7" w:rsidR="00801934" w:rsidTr="00801934" w14:paraId="6C3E6FAA" w14:textId="77777777">
        <w:trPr>
          <w:trHeight w:val="300"/>
        </w:trPr>
        <w:tc>
          <w:tcPr>
            <w:tcW w:w="4360" w:type="dxa"/>
            <w:tcBorders>
              <w:top w:val="nil"/>
              <w:left w:val="nil"/>
              <w:bottom w:val="nil"/>
              <w:right w:val="nil"/>
            </w:tcBorders>
            <w:shd w:val="clear" w:color="auto" w:fill="auto"/>
            <w:vAlign w:val="center"/>
            <w:hideMark/>
          </w:tcPr>
          <w:p w:rsidRPr="00AA40E7" w:rsidR="00801934" w:rsidP="00654798" w:rsidRDefault="00801934" w14:paraId="0DC719AD" w14:textId="77777777">
            <w:pPr>
              <w:spacing w:line="240" w:lineRule="atLeast"/>
              <w:ind w:firstLine="480" w:firstLineChars="200"/>
              <w:rPr>
                <w:rFonts w:ascii="Times New Roman" w:hAnsi="Times New Roman"/>
                <w:color w:val="000000"/>
                <w:sz w:val="24"/>
                <w:szCs w:val="24"/>
              </w:rPr>
            </w:pPr>
            <w:r w:rsidRPr="00AA40E7">
              <w:rPr>
                <w:rFonts w:ascii="Times New Roman" w:hAnsi="Times New Roman"/>
                <w:color w:val="000000"/>
                <w:sz w:val="24"/>
                <w:szCs w:val="24"/>
              </w:rPr>
              <w:t>Uitgaven</w:t>
            </w:r>
          </w:p>
        </w:tc>
        <w:tc>
          <w:tcPr>
            <w:tcW w:w="880" w:type="dxa"/>
            <w:tcBorders>
              <w:top w:val="nil"/>
              <w:left w:val="nil"/>
              <w:bottom w:val="nil"/>
              <w:right w:val="nil"/>
            </w:tcBorders>
            <w:shd w:val="clear" w:color="auto" w:fill="auto"/>
            <w:vAlign w:val="center"/>
            <w:hideMark/>
          </w:tcPr>
          <w:p w:rsidRPr="00AA40E7" w:rsidR="00801934" w:rsidP="00654798" w:rsidRDefault="00801934" w14:paraId="2A30B673"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44.929</w:t>
            </w:r>
          </w:p>
        </w:tc>
        <w:tc>
          <w:tcPr>
            <w:tcW w:w="880" w:type="dxa"/>
            <w:tcBorders>
              <w:top w:val="nil"/>
              <w:left w:val="nil"/>
              <w:bottom w:val="nil"/>
              <w:right w:val="nil"/>
            </w:tcBorders>
            <w:shd w:val="clear" w:color="auto" w:fill="auto"/>
            <w:vAlign w:val="center"/>
            <w:hideMark/>
          </w:tcPr>
          <w:p w:rsidRPr="00AA40E7" w:rsidR="00801934" w:rsidP="00654798" w:rsidRDefault="00801934" w14:paraId="29D420E3"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41.676</w:t>
            </w:r>
          </w:p>
        </w:tc>
        <w:tc>
          <w:tcPr>
            <w:tcW w:w="880" w:type="dxa"/>
            <w:tcBorders>
              <w:top w:val="nil"/>
              <w:left w:val="nil"/>
              <w:bottom w:val="nil"/>
              <w:right w:val="nil"/>
            </w:tcBorders>
            <w:shd w:val="clear" w:color="auto" w:fill="auto"/>
            <w:vAlign w:val="center"/>
            <w:hideMark/>
          </w:tcPr>
          <w:p w:rsidRPr="00AA40E7" w:rsidR="00801934" w:rsidP="00654798" w:rsidRDefault="00801934" w14:paraId="49FE6667"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39.550</w:t>
            </w:r>
          </w:p>
        </w:tc>
        <w:tc>
          <w:tcPr>
            <w:tcW w:w="880" w:type="dxa"/>
            <w:tcBorders>
              <w:top w:val="nil"/>
              <w:left w:val="nil"/>
              <w:bottom w:val="nil"/>
              <w:right w:val="nil"/>
            </w:tcBorders>
            <w:shd w:val="clear" w:color="auto" w:fill="auto"/>
            <w:vAlign w:val="center"/>
            <w:hideMark/>
          </w:tcPr>
          <w:p w:rsidRPr="00AA40E7" w:rsidR="00801934" w:rsidP="00654798" w:rsidRDefault="00801934" w14:paraId="3FAB5143"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39.004</w:t>
            </w:r>
          </w:p>
        </w:tc>
        <w:tc>
          <w:tcPr>
            <w:tcW w:w="880" w:type="dxa"/>
            <w:tcBorders>
              <w:top w:val="nil"/>
              <w:left w:val="nil"/>
              <w:bottom w:val="nil"/>
              <w:right w:val="nil"/>
            </w:tcBorders>
            <w:shd w:val="clear" w:color="auto" w:fill="auto"/>
            <w:vAlign w:val="center"/>
            <w:hideMark/>
          </w:tcPr>
          <w:p w:rsidRPr="00AA40E7" w:rsidR="00801934" w:rsidP="00654798" w:rsidRDefault="00801934" w14:paraId="2A595AFF"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45.004</w:t>
            </w:r>
          </w:p>
        </w:tc>
        <w:tc>
          <w:tcPr>
            <w:tcW w:w="880" w:type="dxa"/>
            <w:tcBorders>
              <w:top w:val="nil"/>
              <w:left w:val="nil"/>
              <w:bottom w:val="nil"/>
              <w:right w:val="nil"/>
            </w:tcBorders>
            <w:shd w:val="clear" w:color="auto" w:fill="auto"/>
            <w:vAlign w:val="center"/>
            <w:hideMark/>
          </w:tcPr>
          <w:p w:rsidRPr="00AA40E7" w:rsidR="00801934" w:rsidP="00654798" w:rsidRDefault="00801934" w14:paraId="4104B271" w14:textId="77777777">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40.004</w:t>
            </w:r>
          </w:p>
        </w:tc>
      </w:tr>
      <w:tr w:rsidRPr="00AA40E7" w:rsidR="00801934" w:rsidTr="00801934" w14:paraId="22FF8CAA" w14:textId="77777777">
        <w:trPr>
          <w:trHeight w:val="300"/>
        </w:trPr>
        <w:tc>
          <w:tcPr>
            <w:tcW w:w="4360" w:type="dxa"/>
            <w:tcBorders>
              <w:top w:val="nil"/>
              <w:left w:val="nil"/>
              <w:bottom w:val="nil"/>
              <w:right w:val="nil"/>
            </w:tcBorders>
            <w:shd w:val="clear" w:color="auto" w:fill="auto"/>
            <w:vAlign w:val="center"/>
            <w:hideMark/>
          </w:tcPr>
          <w:p w:rsidRPr="00AA40E7" w:rsidR="00801934" w:rsidP="00654798" w:rsidRDefault="00801934" w14:paraId="324ECC10"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1. schadeloosstelling</w:t>
            </w:r>
          </w:p>
        </w:tc>
        <w:tc>
          <w:tcPr>
            <w:tcW w:w="880" w:type="dxa"/>
            <w:tcBorders>
              <w:top w:val="nil"/>
              <w:left w:val="nil"/>
              <w:bottom w:val="nil"/>
              <w:right w:val="nil"/>
            </w:tcBorders>
            <w:shd w:val="clear" w:color="auto" w:fill="auto"/>
            <w:vAlign w:val="center"/>
            <w:hideMark/>
          </w:tcPr>
          <w:p w:rsidRPr="00AA40E7" w:rsidR="00801934" w:rsidP="00654798" w:rsidRDefault="00801934" w14:paraId="13F74CAB"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25.245</w:t>
            </w:r>
          </w:p>
        </w:tc>
        <w:tc>
          <w:tcPr>
            <w:tcW w:w="880" w:type="dxa"/>
            <w:tcBorders>
              <w:top w:val="nil"/>
              <w:left w:val="nil"/>
              <w:bottom w:val="nil"/>
              <w:right w:val="nil"/>
            </w:tcBorders>
            <w:shd w:val="clear" w:color="auto" w:fill="auto"/>
            <w:vAlign w:val="center"/>
            <w:hideMark/>
          </w:tcPr>
          <w:p w:rsidRPr="00AA40E7" w:rsidR="00801934" w:rsidP="00654798" w:rsidRDefault="00801934" w14:paraId="11450135"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25.247</w:t>
            </w:r>
          </w:p>
        </w:tc>
        <w:tc>
          <w:tcPr>
            <w:tcW w:w="880" w:type="dxa"/>
            <w:tcBorders>
              <w:top w:val="nil"/>
              <w:left w:val="nil"/>
              <w:bottom w:val="nil"/>
              <w:right w:val="nil"/>
            </w:tcBorders>
            <w:shd w:val="clear" w:color="auto" w:fill="auto"/>
            <w:vAlign w:val="center"/>
            <w:hideMark/>
          </w:tcPr>
          <w:p w:rsidRPr="00AA40E7" w:rsidR="00801934" w:rsidP="00654798" w:rsidRDefault="00801934" w14:paraId="1F4C13DD"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25.247</w:t>
            </w:r>
          </w:p>
        </w:tc>
        <w:tc>
          <w:tcPr>
            <w:tcW w:w="880" w:type="dxa"/>
            <w:tcBorders>
              <w:top w:val="nil"/>
              <w:left w:val="nil"/>
              <w:bottom w:val="nil"/>
              <w:right w:val="nil"/>
            </w:tcBorders>
            <w:shd w:val="clear" w:color="auto" w:fill="auto"/>
            <w:vAlign w:val="center"/>
            <w:hideMark/>
          </w:tcPr>
          <w:p w:rsidRPr="00AA40E7" w:rsidR="00801934" w:rsidP="00654798" w:rsidRDefault="00801934" w14:paraId="44A2D54F"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25.247</w:t>
            </w:r>
          </w:p>
        </w:tc>
        <w:tc>
          <w:tcPr>
            <w:tcW w:w="880" w:type="dxa"/>
            <w:tcBorders>
              <w:top w:val="nil"/>
              <w:left w:val="nil"/>
              <w:bottom w:val="nil"/>
              <w:right w:val="nil"/>
            </w:tcBorders>
            <w:shd w:val="clear" w:color="auto" w:fill="auto"/>
            <w:vAlign w:val="center"/>
            <w:hideMark/>
          </w:tcPr>
          <w:p w:rsidRPr="00AA40E7" w:rsidR="00801934" w:rsidP="00654798" w:rsidRDefault="00801934" w14:paraId="35DE113D"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25.247</w:t>
            </w:r>
          </w:p>
        </w:tc>
        <w:tc>
          <w:tcPr>
            <w:tcW w:w="880" w:type="dxa"/>
            <w:tcBorders>
              <w:top w:val="nil"/>
              <w:left w:val="nil"/>
              <w:bottom w:val="nil"/>
              <w:right w:val="nil"/>
            </w:tcBorders>
            <w:shd w:val="clear" w:color="auto" w:fill="auto"/>
            <w:vAlign w:val="center"/>
            <w:hideMark/>
          </w:tcPr>
          <w:p w:rsidRPr="00AA40E7" w:rsidR="00801934" w:rsidP="00654798" w:rsidRDefault="00801934" w14:paraId="23482D53"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25.247</w:t>
            </w:r>
          </w:p>
        </w:tc>
      </w:tr>
      <w:tr w:rsidRPr="00AA40E7" w:rsidR="00801934" w:rsidTr="00801934" w14:paraId="3283F649" w14:textId="77777777">
        <w:trPr>
          <w:trHeight w:val="300"/>
        </w:trPr>
        <w:tc>
          <w:tcPr>
            <w:tcW w:w="4360" w:type="dxa"/>
            <w:tcBorders>
              <w:top w:val="nil"/>
              <w:left w:val="nil"/>
              <w:bottom w:val="nil"/>
              <w:right w:val="nil"/>
            </w:tcBorders>
            <w:shd w:val="clear" w:color="auto" w:fill="auto"/>
            <w:vAlign w:val="center"/>
            <w:hideMark/>
          </w:tcPr>
          <w:p w:rsidRPr="00AA40E7" w:rsidR="00801934" w:rsidP="00654798" w:rsidRDefault="00801934" w14:paraId="40C4227C" w14:textId="77777777">
            <w:pPr>
              <w:spacing w:line="240" w:lineRule="atLeast"/>
              <w:ind w:firstLine="480" w:firstLineChars="200"/>
              <w:rPr>
                <w:rFonts w:ascii="Times New Roman" w:hAnsi="Times New Roman"/>
                <w:color w:val="000000"/>
                <w:sz w:val="24"/>
                <w:szCs w:val="24"/>
              </w:rPr>
            </w:pPr>
            <w:r w:rsidRPr="00AA40E7">
              <w:rPr>
                <w:rFonts w:ascii="Times New Roman" w:hAnsi="Times New Roman"/>
                <w:color w:val="000000"/>
                <w:sz w:val="24"/>
                <w:szCs w:val="24"/>
              </w:rPr>
              <w:t>Ramingsbijstelling</w:t>
            </w:r>
          </w:p>
        </w:tc>
        <w:tc>
          <w:tcPr>
            <w:tcW w:w="880" w:type="dxa"/>
            <w:tcBorders>
              <w:top w:val="nil"/>
              <w:left w:val="nil"/>
              <w:bottom w:val="nil"/>
              <w:right w:val="nil"/>
            </w:tcBorders>
            <w:shd w:val="clear" w:color="auto" w:fill="auto"/>
            <w:vAlign w:val="center"/>
            <w:hideMark/>
          </w:tcPr>
          <w:p w:rsidRPr="00AA40E7" w:rsidR="00801934" w:rsidP="00654798" w:rsidRDefault="00801934" w14:paraId="3F6BC8E3"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1.200</w:t>
            </w:r>
          </w:p>
        </w:tc>
        <w:tc>
          <w:tcPr>
            <w:tcW w:w="880" w:type="dxa"/>
            <w:tcBorders>
              <w:top w:val="nil"/>
              <w:left w:val="nil"/>
              <w:bottom w:val="nil"/>
              <w:right w:val="nil"/>
            </w:tcBorders>
            <w:shd w:val="clear" w:color="auto" w:fill="auto"/>
            <w:vAlign w:val="center"/>
            <w:hideMark/>
          </w:tcPr>
          <w:p w:rsidRPr="00AA40E7" w:rsidR="00801934" w:rsidP="00654798" w:rsidRDefault="00801934" w14:paraId="25067E23"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1.200</w:t>
            </w:r>
          </w:p>
        </w:tc>
        <w:tc>
          <w:tcPr>
            <w:tcW w:w="880" w:type="dxa"/>
            <w:tcBorders>
              <w:top w:val="nil"/>
              <w:left w:val="nil"/>
              <w:bottom w:val="nil"/>
              <w:right w:val="nil"/>
            </w:tcBorders>
            <w:shd w:val="clear" w:color="auto" w:fill="auto"/>
            <w:vAlign w:val="center"/>
            <w:hideMark/>
          </w:tcPr>
          <w:p w:rsidRPr="00AA40E7" w:rsidR="00801934" w:rsidP="00654798" w:rsidRDefault="00801934" w14:paraId="0521DE1C"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1.200</w:t>
            </w:r>
          </w:p>
        </w:tc>
        <w:tc>
          <w:tcPr>
            <w:tcW w:w="880" w:type="dxa"/>
            <w:tcBorders>
              <w:top w:val="nil"/>
              <w:left w:val="nil"/>
              <w:bottom w:val="nil"/>
              <w:right w:val="nil"/>
            </w:tcBorders>
            <w:shd w:val="clear" w:color="auto" w:fill="auto"/>
            <w:vAlign w:val="center"/>
            <w:hideMark/>
          </w:tcPr>
          <w:p w:rsidRPr="00AA40E7" w:rsidR="00801934" w:rsidP="00654798" w:rsidRDefault="00801934" w14:paraId="7F528008"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1.200</w:t>
            </w:r>
          </w:p>
        </w:tc>
        <w:tc>
          <w:tcPr>
            <w:tcW w:w="880" w:type="dxa"/>
            <w:tcBorders>
              <w:top w:val="nil"/>
              <w:left w:val="nil"/>
              <w:bottom w:val="nil"/>
              <w:right w:val="nil"/>
            </w:tcBorders>
            <w:shd w:val="clear" w:color="auto" w:fill="auto"/>
            <w:vAlign w:val="center"/>
            <w:hideMark/>
          </w:tcPr>
          <w:p w:rsidRPr="00AA40E7" w:rsidR="00801934" w:rsidP="00654798" w:rsidRDefault="00801934" w14:paraId="1B06A506"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1.200</w:t>
            </w:r>
          </w:p>
        </w:tc>
        <w:tc>
          <w:tcPr>
            <w:tcW w:w="880" w:type="dxa"/>
            <w:tcBorders>
              <w:top w:val="nil"/>
              <w:left w:val="nil"/>
              <w:bottom w:val="nil"/>
              <w:right w:val="nil"/>
            </w:tcBorders>
            <w:shd w:val="clear" w:color="auto" w:fill="auto"/>
            <w:vAlign w:val="center"/>
            <w:hideMark/>
          </w:tcPr>
          <w:p w:rsidRPr="00AA40E7" w:rsidR="00801934" w:rsidP="00654798" w:rsidRDefault="00801934" w14:paraId="68F5A33B"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1.200</w:t>
            </w:r>
          </w:p>
        </w:tc>
      </w:tr>
      <w:tr w:rsidRPr="00AA40E7" w:rsidR="00801934" w:rsidTr="00801934" w14:paraId="35D4F3D9" w14:textId="77777777">
        <w:trPr>
          <w:trHeight w:val="300"/>
        </w:trPr>
        <w:tc>
          <w:tcPr>
            <w:tcW w:w="4360" w:type="dxa"/>
            <w:tcBorders>
              <w:top w:val="nil"/>
              <w:left w:val="nil"/>
              <w:bottom w:val="nil"/>
              <w:right w:val="nil"/>
            </w:tcBorders>
            <w:shd w:val="clear" w:color="auto" w:fill="auto"/>
            <w:vAlign w:val="center"/>
            <w:hideMark/>
          </w:tcPr>
          <w:p w:rsidRPr="00AA40E7" w:rsidR="00801934" w:rsidP="00654798" w:rsidRDefault="00801934" w14:paraId="0B8C1EEC"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2. pensioenen en wachtgelden</w:t>
            </w:r>
          </w:p>
        </w:tc>
        <w:tc>
          <w:tcPr>
            <w:tcW w:w="880" w:type="dxa"/>
            <w:tcBorders>
              <w:top w:val="nil"/>
              <w:left w:val="nil"/>
              <w:bottom w:val="nil"/>
              <w:right w:val="nil"/>
            </w:tcBorders>
            <w:shd w:val="clear" w:color="auto" w:fill="auto"/>
            <w:vAlign w:val="center"/>
            <w:hideMark/>
          </w:tcPr>
          <w:p w:rsidRPr="00AA40E7" w:rsidR="00801934" w:rsidP="00654798" w:rsidRDefault="00801934" w14:paraId="198AF364"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12.484</w:t>
            </w:r>
          </w:p>
        </w:tc>
        <w:tc>
          <w:tcPr>
            <w:tcW w:w="880" w:type="dxa"/>
            <w:tcBorders>
              <w:top w:val="nil"/>
              <w:left w:val="nil"/>
              <w:bottom w:val="nil"/>
              <w:right w:val="nil"/>
            </w:tcBorders>
            <w:shd w:val="clear" w:color="auto" w:fill="auto"/>
            <w:vAlign w:val="center"/>
            <w:hideMark/>
          </w:tcPr>
          <w:p w:rsidRPr="00AA40E7" w:rsidR="00801934" w:rsidP="00654798" w:rsidRDefault="00801934" w14:paraId="02A80AE4"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14.229</w:t>
            </w:r>
          </w:p>
        </w:tc>
        <w:tc>
          <w:tcPr>
            <w:tcW w:w="880" w:type="dxa"/>
            <w:tcBorders>
              <w:top w:val="nil"/>
              <w:left w:val="nil"/>
              <w:bottom w:val="nil"/>
              <w:right w:val="nil"/>
            </w:tcBorders>
            <w:shd w:val="clear" w:color="auto" w:fill="auto"/>
            <w:vAlign w:val="center"/>
            <w:hideMark/>
          </w:tcPr>
          <w:p w:rsidRPr="00AA40E7" w:rsidR="00801934" w:rsidP="00654798" w:rsidRDefault="00801934" w14:paraId="03B66BDA"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13.103</w:t>
            </w:r>
          </w:p>
        </w:tc>
        <w:tc>
          <w:tcPr>
            <w:tcW w:w="880" w:type="dxa"/>
            <w:tcBorders>
              <w:top w:val="nil"/>
              <w:left w:val="nil"/>
              <w:bottom w:val="nil"/>
              <w:right w:val="nil"/>
            </w:tcBorders>
            <w:shd w:val="clear" w:color="auto" w:fill="auto"/>
            <w:vAlign w:val="center"/>
            <w:hideMark/>
          </w:tcPr>
          <w:p w:rsidRPr="00AA40E7" w:rsidR="00801934" w:rsidP="00654798" w:rsidRDefault="00801934" w14:paraId="08544552"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12.557</w:t>
            </w:r>
          </w:p>
        </w:tc>
        <w:tc>
          <w:tcPr>
            <w:tcW w:w="880" w:type="dxa"/>
            <w:tcBorders>
              <w:top w:val="nil"/>
              <w:left w:val="nil"/>
              <w:bottom w:val="nil"/>
              <w:right w:val="nil"/>
            </w:tcBorders>
            <w:shd w:val="clear" w:color="auto" w:fill="auto"/>
            <w:vAlign w:val="center"/>
            <w:hideMark/>
          </w:tcPr>
          <w:p w:rsidRPr="00AA40E7" w:rsidR="00801934" w:rsidP="00654798" w:rsidRDefault="00801934" w14:paraId="23F40AF6"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12.557</w:t>
            </w:r>
          </w:p>
        </w:tc>
        <w:tc>
          <w:tcPr>
            <w:tcW w:w="880" w:type="dxa"/>
            <w:tcBorders>
              <w:top w:val="nil"/>
              <w:left w:val="nil"/>
              <w:bottom w:val="nil"/>
              <w:right w:val="nil"/>
            </w:tcBorders>
            <w:shd w:val="clear" w:color="auto" w:fill="auto"/>
            <w:vAlign w:val="center"/>
            <w:hideMark/>
          </w:tcPr>
          <w:p w:rsidRPr="00AA40E7" w:rsidR="00801934" w:rsidP="00654798" w:rsidRDefault="00611BE4" w14:paraId="64554214" w14:textId="67E66D04">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14.057</w:t>
            </w:r>
          </w:p>
        </w:tc>
      </w:tr>
      <w:tr w:rsidRPr="00AA40E7" w:rsidR="00801934" w:rsidTr="00801934" w14:paraId="08BB1505" w14:textId="77777777">
        <w:trPr>
          <w:trHeight w:val="300"/>
        </w:trPr>
        <w:tc>
          <w:tcPr>
            <w:tcW w:w="4360" w:type="dxa"/>
            <w:tcBorders>
              <w:top w:val="nil"/>
              <w:left w:val="nil"/>
              <w:bottom w:val="nil"/>
              <w:right w:val="nil"/>
            </w:tcBorders>
            <w:shd w:val="clear" w:color="auto" w:fill="auto"/>
            <w:vAlign w:val="center"/>
            <w:hideMark/>
          </w:tcPr>
          <w:p w:rsidRPr="00AA40E7" w:rsidR="00801934" w:rsidP="00654798" w:rsidRDefault="00801934" w14:paraId="459BABF7" w14:textId="77777777">
            <w:pPr>
              <w:spacing w:line="240" w:lineRule="atLeast"/>
              <w:ind w:firstLine="480" w:firstLineChars="200"/>
              <w:rPr>
                <w:rFonts w:ascii="Times New Roman" w:hAnsi="Times New Roman"/>
                <w:color w:val="000000"/>
                <w:sz w:val="24"/>
                <w:szCs w:val="24"/>
              </w:rPr>
            </w:pPr>
            <w:r w:rsidRPr="00AA40E7">
              <w:rPr>
                <w:rFonts w:ascii="Times New Roman" w:hAnsi="Times New Roman"/>
                <w:color w:val="000000"/>
                <w:sz w:val="24"/>
                <w:szCs w:val="24"/>
              </w:rPr>
              <w:t>Ramingsbijstelling</w:t>
            </w:r>
          </w:p>
        </w:tc>
        <w:tc>
          <w:tcPr>
            <w:tcW w:w="880" w:type="dxa"/>
            <w:tcBorders>
              <w:top w:val="nil"/>
              <w:left w:val="nil"/>
              <w:bottom w:val="nil"/>
              <w:right w:val="nil"/>
            </w:tcBorders>
            <w:shd w:val="clear" w:color="auto" w:fill="auto"/>
            <w:vAlign w:val="center"/>
            <w:hideMark/>
          </w:tcPr>
          <w:p w:rsidRPr="00AA40E7" w:rsidR="00801934" w:rsidP="00654798" w:rsidRDefault="00801934" w14:paraId="0020FE4C"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6.000</w:t>
            </w:r>
          </w:p>
        </w:tc>
        <w:tc>
          <w:tcPr>
            <w:tcW w:w="880" w:type="dxa"/>
            <w:tcBorders>
              <w:top w:val="nil"/>
              <w:left w:val="nil"/>
              <w:bottom w:val="nil"/>
              <w:right w:val="nil"/>
            </w:tcBorders>
            <w:shd w:val="clear" w:color="auto" w:fill="auto"/>
            <w:vAlign w:val="center"/>
            <w:hideMark/>
          </w:tcPr>
          <w:p w:rsidRPr="00AA40E7" w:rsidR="00801934" w:rsidP="00654798" w:rsidRDefault="00801934" w14:paraId="0CC85BBD"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1.000</w:t>
            </w:r>
          </w:p>
        </w:tc>
        <w:tc>
          <w:tcPr>
            <w:tcW w:w="880" w:type="dxa"/>
            <w:tcBorders>
              <w:top w:val="nil"/>
              <w:left w:val="nil"/>
              <w:bottom w:val="nil"/>
              <w:right w:val="nil"/>
            </w:tcBorders>
            <w:shd w:val="clear" w:color="auto" w:fill="auto"/>
            <w:vAlign w:val="center"/>
            <w:hideMark/>
          </w:tcPr>
          <w:p w:rsidRPr="00AA40E7" w:rsidR="00801934" w:rsidP="00654798" w:rsidRDefault="00801934" w14:paraId="7D7428FD"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0</w:t>
            </w:r>
          </w:p>
        </w:tc>
        <w:tc>
          <w:tcPr>
            <w:tcW w:w="880" w:type="dxa"/>
            <w:tcBorders>
              <w:top w:val="nil"/>
              <w:left w:val="nil"/>
              <w:bottom w:val="nil"/>
              <w:right w:val="nil"/>
            </w:tcBorders>
            <w:shd w:val="clear" w:color="auto" w:fill="auto"/>
            <w:vAlign w:val="center"/>
            <w:hideMark/>
          </w:tcPr>
          <w:p w:rsidRPr="00AA40E7" w:rsidR="00801934" w:rsidP="00654798" w:rsidRDefault="00801934" w14:paraId="6C557D7D"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0</w:t>
            </w:r>
          </w:p>
        </w:tc>
        <w:tc>
          <w:tcPr>
            <w:tcW w:w="880" w:type="dxa"/>
            <w:tcBorders>
              <w:top w:val="nil"/>
              <w:left w:val="nil"/>
              <w:bottom w:val="nil"/>
              <w:right w:val="nil"/>
            </w:tcBorders>
            <w:shd w:val="clear" w:color="auto" w:fill="auto"/>
            <w:vAlign w:val="center"/>
            <w:hideMark/>
          </w:tcPr>
          <w:p w:rsidRPr="00AA40E7" w:rsidR="00801934" w:rsidP="00654798" w:rsidRDefault="00801934" w14:paraId="26BC249D"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6.000</w:t>
            </w:r>
          </w:p>
        </w:tc>
        <w:tc>
          <w:tcPr>
            <w:tcW w:w="880" w:type="dxa"/>
            <w:tcBorders>
              <w:top w:val="nil"/>
              <w:left w:val="nil"/>
              <w:bottom w:val="nil"/>
              <w:right w:val="nil"/>
            </w:tcBorders>
            <w:shd w:val="clear" w:color="auto" w:fill="auto"/>
            <w:vAlign w:val="center"/>
            <w:hideMark/>
          </w:tcPr>
          <w:p w:rsidRPr="00AA40E7" w:rsidR="00801934" w:rsidP="00654798" w:rsidRDefault="00611BE4" w14:paraId="1AD56CC9" w14:textId="6B9C8B78">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-500</w:t>
            </w:r>
          </w:p>
        </w:tc>
      </w:tr>
      <w:tr w:rsidRPr="00AA40E7" w:rsidR="00801934" w:rsidTr="00801934" w14:paraId="72A322B4" w14:textId="77777777">
        <w:trPr>
          <w:trHeight w:val="315"/>
        </w:trPr>
        <w:tc>
          <w:tcPr>
            <w:tcW w:w="4360" w:type="dxa"/>
            <w:tcBorders>
              <w:top w:val="nil"/>
              <w:left w:val="nil"/>
              <w:bottom w:val="single" w:color="auto" w:sz="8" w:space="0"/>
              <w:right w:val="nil"/>
            </w:tcBorders>
            <w:shd w:val="clear" w:color="auto" w:fill="auto"/>
            <w:vAlign w:val="center"/>
            <w:hideMark/>
          </w:tcPr>
          <w:p w:rsidRPr="00AA40E7" w:rsidR="00801934" w:rsidP="00654798" w:rsidRDefault="00801934" w14:paraId="0C220490" w14:textId="77777777">
            <w:pPr>
              <w:spacing w:line="240" w:lineRule="atLeast"/>
              <w:ind w:firstLine="480" w:firstLineChars="200"/>
              <w:rPr>
                <w:rFonts w:ascii="Times New Roman" w:hAnsi="Times New Roman"/>
                <w:color w:val="000000"/>
                <w:sz w:val="24"/>
                <w:szCs w:val="24"/>
              </w:rPr>
            </w:pPr>
            <w:r w:rsidRPr="00AA40E7">
              <w:rPr>
                <w:rFonts w:ascii="Times New Roman" w:hAnsi="Times New Roman"/>
                <w:color w:val="000000"/>
                <w:sz w:val="24"/>
                <w:szCs w:val="24"/>
              </w:rPr>
              <w:t>Ontvangsten</w:t>
            </w:r>
          </w:p>
        </w:tc>
        <w:tc>
          <w:tcPr>
            <w:tcW w:w="880" w:type="dxa"/>
            <w:tcBorders>
              <w:top w:val="nil"/>
              <w:left w:val="nil"/>
              <w:bottom w:val="single" w:color="auto" w:sz="8" w:space="0"/>
              <w:right w:val="nil"/>
            </w:tcBorders>
            <w:shd w:val="clear" w:color="auto" w:fill="auto"/>
            <w:vAlign w:val="center"/>
            <w:hideMark/>
          </w:tcPr>
          <w:p w:rsidRPr="00AA40E7" w:rsidR="00801934" w:rsidP="00654798" w:rsidRDefault="00801934" w14:paraId="1015AE14"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86</w:t>
            </w:r>
          </w:p>
        </w:tc>
        <w:tc>
          <w:tcPr>
            <w:tcW w:w="880" w:type="dxa"/>
            <w:tcBorders>
              <w:top w:val="nil"/>
              <w:left w:val="nil"/>
              <w:bottom w:val="single" w:color="auto" w:sz="8" w:space="0"/>
              <w:right w:val="nil"/>
            </w:tcBorders>
            <w:shd w:val="clear" w:color="auto" w:fill="auto"/>
            <w:vAlign w:val="center"/>
            <w:hideMark/>
          </w:tcPr>
          <w:p w:rsidRPr="00AA40E7" w:rsidR="00801934" w:rsidP="00654798" w:rsidRDefault="00801934" w14:paraId="2AC3FDB9"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86</w:t>
            </w:r>
          </w:p>
        </w:tc>
        <w:tc>
          <w:tcPr>
            <w:tcW w:w="880" w:type="dxa"/>
            <w:tcBorders>
              <w:top w:val="nil"/>
              <w:left w:val="nil"/>
              <w:bottom w:val="single" w:color="auto" w:sz="8" w:space="0"/>
              <w:right w:val="nil"/>
            </w:tcBorders>
            <w:shd w:val="clear" w:color="auto" w:fill="auto"/>
            <w:vAlign w:val="center"/>
            <w:hideMark/>
          </w:tcPr>
          <w:p w:rsidRPr="00AA40E7" w:rsidR="00801934" w:rsidP="00654798" w:rsidRDefault="00801934" w14:paraId="3BE96E7C"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86</w:t>
            </w:r>
          </w:p>
        </w:tc>
        <w:tc>
          <w:tcPr>
            <w:tcW w:w="880" w:type="dxa"/>
            <w:tcBorders>
              <w:top w:val="nil"/>
              <w:left w:val="nil"/>
              <w:bottom w:val="single" w:color="auto" w:sz="8" w:space="0"/>
              <w:right w:val="nil"/>
            </w:tcBorders>
            <w:shd w:val="clear" w:color="auto" w:fill="auto"/>
            <w:vAlign w:val="center"/>
            <w:hideMark/>
          </w:tcPr>
          <w:p w:rsidRPr="00AA40E7" w:rsidR="00801934" w:rsidP="00654798" w:rsidRDefault="00801934" w14:paraId="05406171"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86</w:t>
            </w:r>
          </w:p>
        </w:tc>
        <w:tc>
          <w:tcPr>
            <w:tcW w:w="880" w:type="dxa"/>
            <w:tcBorders>
              <w:top w:val="nil"/>
              <w:left w:val="nil"/>
              <w:bottom w:val="single" w:color="auto" w:sz="8" w:space="0"/>
              <w:right w:val="nil"/>
            </w:tcBorders>
            <w:shd w:val="clear" w:color="auto" w:fill="auto"/>
            <w:vAlign w:val="center"/>
            <w:hideMark/>
          </w:tcPr>
          <w:p w:rsidRPr="00AA40E7" w:rsidR="00801934" w:rsidP="00654798" w:rsidRDefault="00801934" w14:paraId="11E6F017"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86</w:t>
            </w:r>
          </w:p>
        </w:tc>
        <w:tc>
          <w:tcPr>
            <w:tcW w:w="880" w:type="dxa"/>
            <w:tcBorders>
              <w:top w:val="nil"/>
              <w:left w:val="nil"/>
              <w:bottom w:val="single" w:color="auto" w:sz="8" w:space="0"/>
              <w:right w:val="nil"/>
            </w:tcBorders>
            <w:shd w:val="clear" w:color="auto" w:fill="auto"/>
            <w:vAlign w:val="center"/>
            <w:hideMark/>
          </w:tcPr>
          <w:p w:rsidRPr="00AA40E7" w:rsidR="00801934" w:rsidP="00654798" w:rsidRDefault="00801934" w14:paraId="63955322"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86</w:t>
            </w:r>
          </w:p>
        </w:tc>
      </w:tr>
    </w:tbl>
    <w:p w:rsidRPr="00AA40E7" w:rsidR="0019566D" w:rsidP="00654798" w:rsidRDefault="0019566D" w14:paraId="1AC059D9" w14:textId="3849268B">
      <w:pPr>
        <w:tabs>
          <w:tab w:val="left" w:pos="2160"/>
        </w:tabs>
        <w:spacing w:line="240" w:lineRule="atLeast"/>
        <w:rPr>
          <w:rFonts w:ascii="Times New Roman" w:hAnsi="Times New Roman"/>
          <w:sz w:val="24"/>
          <w:szCs w:val="24"/>
        </w:rPr>
      </w:pPr>
    </w:p>
    <w:p w:rsidRPr="00AA40E7" w:rsidR="0060484D" w:rsidP="00654798" w:rsidRDefault="51825749" w14:paraId="164DAA1B" w14:textId="1E12783E">
      <w:pPr>
        <w:pStyle w:val="tussenkop"/>
        <w:spacing w:before="0" w:beforeAutospacing="0" w:after="0" w:afterAutospacing="0" w:line="240" w:lineRule="atLeast"/>
        <w:rPr>
          <w:color w:val="000000" w:themeColor="text1"/>
        </w:rPr>
      </w:pPr>
      <w:r w:rsidRPr="00AA40E7">
        <w:rPr>
          <w:rStyle w:val="Zwaar"/>
          <w:color w:val="000000" w:themeColor="text1"/>
        </w:rPr>
        <w:t>Schadeloosstelling</w:t>
      </w:r>
    </w:p>
    <w:p w:rsidRPr="00AA40E7" w:rsidR="006B44E4" w:rsidP="00654798" w:rsidRDefault="51825749" w14:paraId="41522B41" w14:textId="77777777">
      <w:pPr>
        <w:pStyle w:val="Normaalweb"/>
        <w:spacing w:before="0" w:beforeAutospacing="0" w:after="0" w:afterAutospacing="0" w:line="240" w:lineRule="atLeast"/>
        <w:rPr>
          <w:color w:val="000000" w:themeColor="text1"/>
        </w:rPr>
      </w:pPr>
      <w:r w:rsidRPr="00AA40E7">
        <w:rPr>
          <w:color w:val="000000" w:themeColor="text1"/>
        </w:rPr>
        <w:t>Op dit artikelonderdeel staan de uitgaven voor de schadeloosstelling van de leden van de Tweede Kamer. Ingevolge de</w:t>
      </w:r>
      <w:r w:rsidRPr="00AA40E7" w:rsidR="000C568F">
        <w:rPr>
          <w:color w:val="000000" w:themeColor="text1"/>
        </w:rPr>
        <w:t xml:space="preserve"> </w:t>
      </w:r>
      <w:hyperlink w:history="1" r:id="rId15">
        <w:r w:rsidRPr="00AA40E7" w:rsidR="006D7FEE">
          <w:rPr>
            <w:rStyle w:val="Hyperlink"/>
          </w:rPr>
          <w:t>Wet schadeloosstelling leden Tweede Kamer</w:t>
        </w:r>
      </w:hyperlink>
      <w:r w:rsidRPr="00AA40E7" w:rsidR="000C568F">
        <w:t xml:space="preserve"> </w:t>
      </w:r>
      <w:r w:rsidRPr="00AA40E7">
        <w:rPr>
          <w:color w:val="000000" w:themeColor="text1"/>
        </w:rPr>
        <w:t>draagt de Tweede Kamer de uitgaven voor schadeloosstelling en de reis- en overige kostenvergoedingen voor de leden van de Tweede Kamer.</w:t>
      </w:r>
    </w:p>
    <w:p w:rsidRPr="00AA40E7" w:rsidR="00120720" w:rsidP="00654798" w:rsidRDefault="006B44E4" w14:paraId="42164F56" w14:textId="5BA9CB5E">
      <w:pPr>
        <w:pStyle w:val="Normaalweb"/>
        <w:spacing w:before="0" w:beforeAutospacing="0" w:after="0" w:afterAutospacing="0" w:line="240" w:lineRule="atLeast"/>
        <w:rPr>
          <w:rStyle w:val="Zwaar"/>
          <w:b w:val="0"/>
          <w:bCs w:val="0"/>
          <w:color w:val="000000" w:themeColor="text1"/>
        </w:rPr>
      </w:pPr>
      <w:r w:rsidRPr="00AA40E7">
        <w:rPr>
          <w:color w:val="000000" w:themeColor="text1"/>
        </w:rPr>
        <w:t>In</w:t>
      </w:r>
      <w:r w:rsidRPr="00AA40E7" w:rsidR="00F4698F">
        <w:rPr>
          <w:color w:val="000000" w:themeColor="text1"/>
        </w:rPr>
        <w:t xml:space="preserve"> eerdere jaren was er </w:t>
      </w:r>
      <w:r w:rsidRPr="00AA40E7">
        <w:rPr>
          <w:color w:val="000000" w:themeColor="text1"/>
        </w:rPr>
        <w:t xml:space="preserve">budgettaire ruimte </w:t>
      </w:r>
      <w:r w:rsidRPr="00AA40E7" w:rsidR="00F4698F">
        <w:rPr>
          <w:color w:val="000000" w:themeColor="text1"/>
        </w:rPr>
        <w:t>binnen de politieke artikelen voor</w:t>
      </w:r>
      <w:r w:rsidRPr="00AA40E7">
        <w:rPr>
          <w:color w:val="000000" w:themeColor="text1"/>
        </w:rPr>
        <w:t xml:space="preserve"> de</w:t>
      </w:r>
      <w:r w:rsidRPr="00AA40E7" w:rsidR="00F4698F">
        <w:rPr>
          <w:color w:val="000000" w:themeColor="text1"/>
        </w:rPr>
        <w:t>ze</w:t>
      </w:r>
      <w:r w:rsidRPr="00AA40E7">
        <w:rPr>
          <w:color w:val="000000" w:themeColor="text1"/>
        </w:rPr>
        <w:t xml:space="preserve"> eind</w:t>
      </w:r>
      <w:r w:rsidRPr="00AA40E7" w:rsidR="00F4698F">
        <w:rPr>
          <w:color w:val="000000" w:themeColor="text1"/>
        </w:rPr>
        <w:t>heffing van de Werkkostenregeling</w:t>
      </w:r>
      <w:r w:rsidRPr="00AA40E7" w:rsidR="0062640D">
        <w:rPr>
          <w:color w:val="000000" w:themeColor="text1"/>
        </w:rPr>
        <w:t xml:space="preserve"> (WKR)</w:t>
      </w:r>
      <w:r w:rsidRPr="00AA40E7" w:rsidR="00F4698F">
        <w:rPr>
          <w:color w:val="000000" w:themeColor="text1"/>
        </w:rPr>
        <w:t xml:space="preserve">. Deze ruimte is er nu niet meer en ook nam deze eindheffing over de jaren heen toe.  </w:t>
      </w:r>
      <w:r w:rsidRPr="00AA40E7" w:rsidR="00120720">
        <w:rPr>
          <w:rStyle w:val="Zwaar"/>
          <w:color w:val="000000" w:themeColor="text1"/>
        </w:rPr>
        <w:br w:type="page"/>
      </w:r>
    </w:p>
    <w:p w:rsidRPr="00AA40E7" w:rsidR="0060484D" w:rsidP="00654798" w:rsidRDefault="51825749" w14:paraId="65613426" w14:textId="7AA25EA8">
      <w:pPr>
        <w:pStyle w:val="tussenkop"/>
        <w:spacing w:before="0" w:beforeAutospacing="0" w:after="0" w:afterAutospacing="0" w:line="240" w:lineRule="atLeast"/>
        <w:rPr>
          <w:color w:val="000000" w:themeColor="text1"/>
        </w:rPr>
      </w:pPr>
      <w:r w:rsidRPr="00AA40E7">
        <w:rPr>
          <w:rStyle w:val="Zwaar"/>
          <w:color w:val="000000" w:themeColor="text1"/>
        </w:rPr>
        <w:t>Pensioenen en wachtgelden</w:t>
      </w:r>
    </w:p>
    <w:p w:rsidRPr="00AA40E7" w:rsidR="0060484D" w:rsidP="00654798" w:rsidRDefault="51825749" w14:paraId="5D1A7B7B" w14:textId="20F9C985">
      <w:pPr>
        <w:pStyle w:val="Normaalweb"/>
        <w:spacing w:before="0" w:beforeAutospacing="0" w:after="0" w:afterAutospacing="0" w:line="240" w:lineRule="atLeast"/>
        <w:rPr>
          <w:color w:val="000000" w:themeColor="text1"/>
        </w:rPr>
      </w:pPr>
      <w:r w:rsidRPr="00AA40E7">
        <w:rPr>
          <w:color w:val="000000" w:themeColor="text1"/>
        </w:rPr>
        <w:t xml:space="preserve">Op basis van </w:t>
      </w:r>
      <w:r w:rsidRPr="00AA40E7" w:rsidR="00CA5DC7">
        <w:rPr>
          <w:color w:val="000000" w:themeColor="text1"/>
        </w:rPr>
        <w:t>de</w:t>
      </w:r>
      <w:r w:rsidRPr="00AA40E7" w:rsidR="007750AC">
        <w:rPr>
          <w:color w:val="000000" w:themeColor="text1"/>
        </w:rPr>
        <w:t xml:space="preserve"> </w:t>
      </w:r>
      <w:hyperlink w:history="1" r:id="rId16">
        <w:r w:rsidRPr="00AA40E7" w:rsidR="00CA5DC7">
          <w:rPr>
            <w:rStyle w:val="Hyperlink"/>
          </w:rPr>
          <w:t>Algemene pensioenwet politieke ambtsdragers</w:t>
        </w:r>
      </w:hyperlink>
      <w:r w:rsidRPr="00AA40E7" w:rsidR="000C568F">
        <w:rPr>
          <w:color w:val="000000" w:themeColor="text1"/>
        </w:rPr>
        <w:t xml:space="preserve"> </w:t>
      </w:r>
      <w:r w:rsidRPr="00AA40E7">
        <w:rPr>
          <w:color w:val="000000" w:themeColor="text1"/>
        </w:rPr>
        <w:t>draagt de Tweede Kamer zorg voor de uitgaven aan pensioenen en wachtgelden voor de oud-leden van de</w:t>
      </w:r>
      <w:r w:rsidRPr="00AA40E7" w:rsidR="0062640D">
        <w:rPr>
          <w:color w:val="000000" w:themeColor="text1"/>
        </w:rPr>
        <w:t xml:space="preserve"> Tweede Kamer. De wachtgelden in 2024 en 2025 zullen hoger zijn dan normaal, vanwege het vrijwillige vertrek van Kamerleden en Kamerleden die niet zijn gekozen of herkozen na de Tweede Kamer Verkiezingen van 22 november </w:t>
      </w:r>
      <w:r w:rsidRPr="00AA40E7" w:rsidR="00422AE3">
        <w:rPr>
          <w:color w:val="000000" w:themeColor="text1"/>
        </w:rPr>
        <w:t>20</w:t>
      </w:r>
      <w:r w:rsidRPr="00AA40E7" w:rsidR="0062640D">
        <w:rPr>
          <w:color w:val="000000" w:themeColor="text1"/>
        </w:rPr>
        <w:t>23.</w:t>
      </w:r>
    </w:p>
    <w:p w:rsidRPr="00AA40E7" w:rsidR="000C568F" w:rsidP="00654798" w:rsidRDefault="000C568F" w14:paraId="6C094772" w14:textId="77777777">
      <w:pPr>
        <w:pStyle w:val="tussenkop"/>
        <w:spacing w:before="0" w:beforeAutospacing="0" w:after="0" w:afterAutospacing="0" w:line="240" w:lineRule="atLeast"/>
        <w:rPr>
          <w:rStyle w:val="Zwaar"/>
          <w:color w:val="000000" w:themeColor="text1"/>
        </w:rPr>
      </w:pPr>
    </w:p>
    <w:p w:rsidRPr="00AA40E7" w:rsidR="000C568F" w:rsidP="00654798" w:rsidRDefault="51825749" w14:paraId="0057F410" w14:textId="552448CA">
      <w:pPr>
        <w:pStyle w:val="tussenkop"/>
        <w:spacing w:before="0" w:beforeAutospacing="0" w:after="0" w:afterAutospacing="0" w:line="240" w:lineRule="atLeast"/>
        <w:rPr>
          <w:rStyle w:val="Zwaar"/>
          <w:color w:val="000000" w:themeColor="text1"/>
        </w:rPr>
      </w:pPr>
      <w:r w:rsidRPr="00AA40E7">
        <w:rPr>
          <w:rStyle w:val="Zwaar"/>
          <w:color w:val="000000" w:themeColor="text1"/>
        </w:rPr>
        <w:t>Ontvangsten</w:t>
      </w:r>
    </w:p>
    <w:p w:rsidRPr="00AA40E7" w:rsidR="0060484D" w:rsidP="00654798" w:rsidRDefault="51825749" w14:paraId="08936127" w14:textId="1D1316A2">
      <w:pPr>
        <w:pStyle w:val="tussenkop"/>
        <w:spacing w:before="0" w:beforeAutospacing="0" w:after="0" w:afterAutospacing="0" w:line="240" w:lineRule="atLeast"/>
        <w:rPr>
          <w:color w:val="000000" w:themeColor="text1"/>
        </w:rPr>
      </w:pPr>
      <w:r w:rsidRPr="00AA40E7">
        <w:rPr>
          <w:color w:val="000000" w:themeColor="text1"/>
        </w:rPr>
        <w:t>De ontvangsten op dit onderdeel hebben betrekking op de verrekening van neveninkomsten.</w:t>
      </w:r>
    </w:p>
    <w:p w:rsidRPr="00AA40E7" w:rsidR="0060484D" w:rsidP="00654798" w:rsidRDefault="0060484D" w14:paraId="1042FD8F" w14:textId="77777777">
      <w:pPr>
        <w:spacing w:line="240" w:lineRule="atLeast"/>
        <w:rPr>
          <w:rFonts w:ascii="Times New Roman" w:hAnsi="Times New Roman"/>
          <w:sz w:val="24"/>
          <w:szCs w:val="24"/>
        </w:rPr>
      </w:pPr>
    </w:p>
    <w:p w:rsidRPr="00AA40E7" w:rsidR="00AE25CB" w:rsidP="00654798" w:rsidRDefault="51825749" w14:paraId="04832E92" w14:textId="489934B2">
      <w:pPr>
        <w:spacing w:line="240" w:lineRule="atLeast"/>
        <w:rPr>
          <w:rFonts w:ascii="Times New Roman" w:hAnsi="Times New Roman"/>
          <w:i/>
          <w:iCs/>
          <w:sz w:val="24"/>
          <w:szCs w:val="24"/>
        </w:rPr>
      </w:pPr>
      <w:r w:rsidRPr="00AA40E7">
        <w:rPr>
          <w:rFonts w:ascii="Times New Roman" w:hAnsi="Times New Roman"/>
          <w:sz w:val="24"/>
          <w:szCs w:val="24"/>
        </w:rPr>
        <w:t>In onderstaand overzicht zijn, als kengetallen, de gerealiseerde uitgaven en gemiddelden van de artikelonderde</w:t>
      </w:r>
      <w:r w:rsidRPr="00AA40E7" w:rsidR="007A7829">
        <w:rPr>
          <w:rFonts w:ascii="Times New Roman" w:hAnsi="Times New Roman"/>
          <w:sz w:val="24"/>
          <w:szCs w:val="24"/>
        </w:rPr>
        <w:t>len opgenomen voor de jaren 2019</w:t>
      </w:r>
      <w:r w:rsidRPr="00AA40E7">
        <w:rPr>
          <w:rFonts w:ascii="Times New Roman" w:hAnsi="Times New Roman"/>
          <w:sz w:val="24"/>
          <w:szCs w:val="24"/>
        </w:rPr>
        <w:t>-202</w:t>
      </w:r>
      <w:r w:rsidRPr="00AA40E7" w:rsidR="00483D85">
        <w:rPr>
          <w:rFonts w:ascii="Times New Roman" w:hAnsi="Times New Roman"/>
          <w:sz w:val="24"/>
          <w:szCs w:val="24"/>
        </w:rPr>
        <w:t>3</w:t>
      </w:r>
      <w:r w:rsidRPr="00AA40E7">
        <w:rPr>
          <w:rFonts w:ascii="Times New Roman" w:hAnsi="Times New Roman"/>
          <w:sz w:val="24"/>
          <w:szCs w:val="24"/>
        </w:rPr>
        <w:t xml:space="preserve">. </w:t>
      </w:r>
    </w:p>
    <w:p w:rsidRPr="00AA40E7" w:rsidR="00AE25CB" w:rsidP="00654798" w:rsidRDefault="00AE25CB" w14:paraId="379E4280" w14:textId="15E1FD36">
      <w:pPr>
        <w:spacing w:line="240" w:lineRule="atLeast"/>
        <w:rPr>
          <w:rFonts w:ascii="Times New Roman" w:hAnsi="Times New Roman"/>
          <w:i/>
          <w:sz w:val="24"/>
          <w:szCs w:val="24"/>
        </w:rPr>
      </w:pPr>
    </w:p>
    <w:p w:rsidRPr="00AA40E7" w:rsidR="00801934" w:rsidP="00654798" w:rsidRDefault="00F54EB5" w14:paraId="719A2D69" w14:textId="4775EA39">
      <w:pPr>
        <w:spacing w:line="240" w:lineRule="atLeast"/>
        <w:rPr>
          <w:rFonts w:ascii="Times New Roman" w:hAnsi="Times New Roman"/>
          <w:i/>
          <w:sz w:val="24"/>
          <w:szCs w:val="24"/>
        </w:rPr>
      </w:pPr>
      <w:r w:rsidRPr="00AA40E7">
        <w:rPr>
          <w:rFonts w:ascii="Times New Roman" w:hAnsi="Times New Roman"/>
          <w:i/>
          <w:iCs/>
          <w:sz w:val="24"/>
          <w:szCs w:val="24"/>
        </w:rPr>
        <w:t xml:space="preserve">Tabel </w:t>
      </w:r>
      <w:r w:rsidRPr="00AA40E7" w:rsidR="005B35DE">
        <w:rPr>
          <w:rFonts w:ascii="Times New Roman" w:hAnsi="Times New Roman"/>
          <w:i/>
          <w:iCs/>
          <w:sz w:val="24"/>
          <w:szCs w:val="24"/>
        </w:rPr>
        <w:t>2:</w:t>
      </w:r>
      <w:r w:rsidRPr="00AA40E7" w:rsidR="00AE25CB">
        <w:rPr>
          <w:rFonts w:ascii="Times New Roman" w:hAnsi="Times New Roman"/>
          <w:i/>
          <w:iCs/>
          <w:sz w:val="24"/>
          <w:szCs w:val="24"/>
        </w:rPr>
        <w:t xml:space="preserve"> gemiddelde uitgaven per </w:t>
      </w:r>
      <w:r w:rsidRPr="00AA40E7" w:rsidR="00AE7CB4">
        <w:rPr>
          <w:rFonts w:ascii="Times New Roman" w:hAnsi="Times New Roman"/>
          <w:i/>
          <w:iCs/>
          <w:sz w:val="24"/>
          <w:szCs w:val="24"/>
        </w:rPr>
        <w:t>kamer</w:t>
      </w:r>
      <w:r w:rsidRPr="00AA40E7" w:rsidR="00AE25CB">
        <w:rPr>
          <w:rFonts w:ascii="Times New Roman" w:hAnsi="Times New Roman"/>
          <w:i/>
          <w:iCs/>
          <w:sz w:val="24"/>
          <w:szCs w:val="24"/>
        </w:rPr>
        <w:t>lid</w:t>
      </w:r>
      <w:r w:rsidRPr="00AA40E7" w:rsidR="00AE25CB">
        <w:rPr>
          <w:rFonts w:ascii="Times New Roman" w:hAnsi="Times New Roman"/>
          <w:i/>
          <w:sz w:val="24"/>
          <w:szCs w:val="24"/>
        </w:rPr>
        <w:tab/>
      </w:r>
    </w:p>
    <w:tbl>
      <w:tblPr>
        <w:tblW w:w="9200" w:type="dxa"/>
        <w:tblCellMar>
          <w:left w:w="70" w:type="dxa"/>
          <w:right w:w="70" w:type="dxa"/>
        </w:tblCellMar>
        <w:tblLook w:val="04A0" w:firstRow="1" w:lastRow="0" w:firstColumn="1" w:lastColumn="0" w:noHBand="0" w:noVBand="1"/>
      </w:tblPr>
      <w:tblGrid>
        <w:gridCol w:w="2785"/>
        <w:gridCol w:w="1283"/>
        <w:gridCol w:w="1283"/>
        <w:gridCol w:w="1283"/>
        <w:gridCol w:w="1283"/>
        <w:gridCol w:w="1283"/>
      </w:tblGrid>
      <w:tr w:rsidRPr="00AA40E7" w:rsidR="00801934" w:rsidTr="00801934" w14:paraId="1AC7F47E" w14:textId="77777777">
        <w:trPr>
          <w:trHeight w:val="825"/>
        </w:trPr>
        <w:tc>
          <w:tcPr>
            <w:tcW w:w="2785" w:type="dxa"/>
            <w:tcBorders>
              <w:top w:val="nil"/>
              <w:left w:val="nil"/>
              <w:bottom w:val="nil"/>
              <w:right w:val="nil"/>
            </w:tcBorders>
            <w:shd w:val="clear" w:color="000000" w:fill="002060"/>
            <w:vAlign w:val="center"/>
            <w:hideMark/>
          </w:tcPr>
          <w:p w:rsidRPr="00AA40E7" w:rsidR="00801934" w:rsidP="00654798" w:rsidRDefault="00801934" w14:paraId="5E65FCC1" w14:textId="7777777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Artikel 2: Uitgaven ten behoeve van leden en oud-leden Tweede Kamer (in €1.000)</w:t>
            </w:r>
          </w:p>
        </w:tc>
        <w:tc>
          <w:tcPr>
            <w:tcW w:w="1283" w:type="dxa"/>
            <w:tcBorders>
              <w:top w:val="nil"/>
              <w:left w:val="nil"/>
              <w:bottom w:val="nil"/>
              <w:right w:val="nil"/>
            </w:tcBorders>
            <w:shd w:val="clear" w:color="000000" w:fill="002060"/>
            <w:noWrap/>
            <w:vAlign w:val="center"/>
            <w:hideMark/>
          </w:tcPr>
          <w:p w:rsidRPr="00AA40E7" w:rsidR="00801934" w:rsidP="00654798" w:rsidRDefault="00801934" w14:paraId="099E6A4F"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2019</w:t>
            </w:r>
          </w:p>
        </w:tc>
        <w:tc>
          <w:tcPr>
            <w:tcW w:w="1283" w:type="dxa"/>
            <w:tcBorders>
              <w:top w:val="nil"/>
              <w:left w:val="nil"/>
              <w:bottom w:val="nil"/>
              <w:right w:val="nil"/>
            </w:tcBorders>
            <w:shd w:val="clear" w:color="000000" w:fill="002060"/>
            <w:noWrap/>
            <w:vAlign w:val="center"/>
            <w:hideMark/>
          </w:tcPr>
          <w:p w:rsidRPr="00AA40E7" w:rsidR="00801934" w:rsidP="00654798" w:rsidRDefault="00801934" w14:paraId="1D610549"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2020</w:t>
            </w:r>
          </w:p>
        </w:tc>
        <w:tc>
          <w:tcPr>
            <w:tcW w:w="1283" w:type="dxa"/>
            <w:tcBorders>
              <w:top w:val="nil"/>
              <w:left w:val="nil"/>
              <w:bottom w:val="nil"/>
              <w:right w:val="nil"/>
            </w:tcBorders>
            <w:shd w:val="clear" w:color="000000" w:fill="002060"/>
            <w:noWrap/>
            <w:vAlign w:val="center"/>
            <w:hideMark/>
          </w:tcPr>
          <w:p w:rsidRPr="00AA40E7" w:rsidR="00801934" w:rsidP="00654798" w:rsidRDefault="00801934" w14:paraId="2E1477EB"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2021</w:t>
            </w:r>
          </w:p>
        </w:tc>
        <w:tc>
          <w:tcPr>
            <w:tcW w:w="1283" w:type="dxa"/>
            <w:tcBorders>
              <w:top w:val="nil"/>
              <w:left w:val="nil"/>
              <w:bottom w:val="nil"/>
              <w:right w:val="nil"/>
            </w:tcBorders>
            <w:shd w:val="clear" w:color="000000" w:fill="002060"/>
            <w:noWrap/>
            <w:vAlign w:val="center"/>
            <w:hideMark/>
          </w:tcPr>
          <w:p w:rsidRPr="00AA40E7" w:rsidR="00801934" w:rsidP="00654798" w:rsidRDefault="00801934" w14:paraId="62494743"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2022</w:t>
            </w:r>
          </w:p>
        </w:tc>
        <w:tc>
          <w:tcPr>
            <w:tcW w:w="1283" w:type="dxa"/>
            <w:tcBorders>
              <w:top w:val="nil"/>
              <w:left w:val="nil"/>
              <w:bottom w:val="nil"/>
              <w:right w:val="nil"/>
            </w:tcBorders>
            <w:shd w:val="clear" w:color="000000" w:fill="002060"/>
            <w:noWrap/>
            <w:vAlign w:val="center"/>
            <w:hideMark/>
          </w:tcPr>
          <w:p w:rsidRPr="00AA40E7" w:rsidR="00801934" w:rsidP="00654798" w:rsidRDefault="00801934" w14:paraId="303FCDD3"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2023</w:t>
            </w:r>
          </w:p>
        </w:tc>
      </w:tr>
      <w:tr w:rsidRPr="00AA40E7" w:rsidR="00801934" w:rsidTr="00801934" w14:paraId="674FE3BD" w14:textId="77777777">
        <w:trPr>
          <w:trHeight w:val="300"/>
        </w:trPr>
        <w:tc>
          <w:tcPr>
            <w:tcW w:w="2785" w:type="dxa"/>
            <w:tcBorders>
              <w:top w:val="nil"/>
              <w:left w:val="nil"/>
              <w:bottom w:val="nil"/>
              <w:right w:val="nil"/>
            </w:tcBorders>
            <w:shd w:val="clear" w:color="auto" w:fill="auto"/>
            <w:vAlign w:val="center"/>
            <w:hideMark/>
          </w:tcPr>
          <w:p w:rsidRPr="00AA40E7" w:rsidR="00801934" w:rsidP="00654798" w:rsidRDefault="00801934" w14:paraId="03FB3B47" w14:textId="77777777">
            <w:pPr>
              <w:spacing w:line="240" w:lineRule="atLeast"/>
              <w:jc w:val="center"/>
              <w:rPr>
                <w:rFonts w:ascii="Times New Roman" w:hAnsi="Times New Roman"/>
                <w:b/>
                <w:bCs/>
                <w:color w:val="FFFFFF"/>
                <w:sz w:val="24"/>
                <w:szCs w:val="24"/>
              </w:rPr>
            </w:pPr>
          </w:p>
        </w:tc>
        <w:tc>
          <w:tcPr>
            <w:tcW w:w="1283" w:type="dxa"/>
            <w:tcBorders>
              <w:top w:val="nil"/>
              <w:left w:val="nil"/>
              <w:bottom w:val="nil"/>
              <w:right w:val="nil"/>
            </w:tcBorders>
            <w:shd w:val="clear" w:color="auto" w:fill="auto"/>
            <w:vAlign w:val="center"/>
            <w:hideMark/>
          </w:tcPr>
          <w:p w:rsidRPr="00AA40E7" w:rsidR="00801934" w:rsidP="00654798" w:rsidRDefault="00801934" w14:paraId="581DBA6E" w14:textId="77777777">
            <w:pPr>
              <w:spacing w:line="240" w:lineRule="atLeast"/>
              <w:ind w:firstLine="480" w:firstLineChars="200"/>
              <w:rPr>
                <w:rFonts w:ascii="Times New Roman" w:hAnsi="Times New Roman"/>
                <w:sz w:val="24"/>
                <w:szCs w:val="24"/>
              </w:rPr>
            </w:pPr>
          </w:p>
        </w:tc>
        <w:tc>
          <w:tcPr>
            <w:tcW w:w="1283" w:type="dxa"/>
            <w:tcBorders>
              <w:top w:val="nil"/>
              <w:left w:val="nil"/>
              <w:bottom w:val="nil"/>
              <w:right w:val="nil"/>
            </w:tcBorders>
            <w:shd w:val="clear" w:color="auto" w:fill="auto"/>
            <w:vAlign w:val="center"/>
            <w:hideMark/>
          </w:tcPr>
          <w:p w:rsidRPr="00AA40E7" w:rsidR="00801934" w:rsidP="00654798" w:rsidRDefault="00801934" w14:paraId="0785EB2D" w14:textId="77777777">
            <w:pPr>
              <w:spacing w:line="240" w:lineRule="atLeast"/>
              <w:ind w:firstLine="480" w:firstLineChars="200"/>
              <w:jc w:val="right"/>
              <w:rPr>
                <w:rFonts w:ascii="Times New Roman" w:hAnsi="Times New Roman"/>
                <w:sz w:val="24"/>
                <w:szCs w:val="24"/>
              </w:rPr>
            </w:pPr>
          </w:p>
        </w:tc>
        <w:tc>
          <w:tcPr>
            <w:tcW w:w="1283" w:type="dxa"/>
            <w:tcBorders>
              <w:top w:val="nil"/>
              <w:left w:val="nil"/>
              <w:bottom w:val="nil"/>
              <w:right w:val="nil"/>
            </w:tcBorders>
            <w:shd w:val="clear" w:color="auto" w:fill="auto"/>
            <w:vAlign w:val="center"/>
            <w:hideMark/>
          </w:tcPr>
          <w:p w:rsidRPr="00AA40E7" w:rsidR="00801934" w:rsidP="00654798" w:rsidRDefault="00801934" w14:paraId="379BCF53" w14:textId="77777777">
            <w:pPr>
              <w:spacing w:line="240" w:lineRule="atLeast"/>
              <w:ind w:firstLine="480" w:firstLineChars="200"/>
              <w:jc w:val="right"/>
              <w:rPr>
                <w:rFonts w:ascii="Times New Roman" w:hAnsi="Times New Roman"/>
                <w:sz w:val="24"/>
                <w:szCs w:val="24"/>
              </w:rPr>
            </w:pPr>
          </w:p>
        </w:tc>
        <w:tc>
          <w:tcPr>
            <w:tcW w:w="1283" w:type="dxa"/>
            <w:tcBorders>
              <w:top w:val="nil"/>
              <w:left w:val="nil"/>
              <w:bottom w:val="nil"/>
              <w:right w:val="nil"/>
            </w:tcBorders>
            <w:shd w:val="clear" w:color="auto" w:fill="auto"/>
            <w:vAlign w:val="center"/>
            <w:hideMark/>
          </w:tcPr>
          <w:p w:rsidRPr="00AA40E7" w:rsidR="00801934" w:rsidP="00654798" w:rsidRDefault="00801934" w14:paraId="6F6D82E8" w14:textId="77777777">
            <w:pPr>
              <w:spacing w:line="240" w:lineRule="atLeast"/>
              <w:ind w:firstLine="480" w:firstLineChars="200"/>
              <w:jc w:val="right"/>
              <w:rPr>
                <w:rFonts w:ascii="Times New Roman" w:hAnsi="Times New Roman"/>
                <w:sz w:val="24"/>
                <w:szCs w:val="24"/>
              </w:rPr>
            </w:pPr>
          </w:p>
        </w:tc>
        <w:tc>
          <w:tcPr>
            <w:tcW w:w="1283" w:type="dxa"/>
            <w:tcBorders>
              <w:top w:val="nil"/>
              <w:left w:val="nil"/>
              <w:bottom w:val="nil"/>
              <w:right w:val="nil"/>
            </w:tcBorders>
            <w:shd w:val="clear" w:color="auto" w:fill="auto"/>
            <w:vAlign w:val="center"/>
            <w:hideMark/>
          </w:tcPr>
          <w:p w:rsidRPr="00AA40E7" w:rsidR="00801934" w:rsidP="00654798" w:rsidRDefault="00801934" w14:paraId="574403BA" w14:textId="77777777">
            <w:pPr>
              <w:spacing w:line="240" w:lineRule="atLeast"/>
              <w:ind w:firstLine="480" w:firstLineChars="200"/>
              <w:jc w:val="right"/>
              <w:rPr>
                <w:rFonts w:ascii="Times New Roman" w:hAnsi="Times New Roman"/>
                <w:sz w:val="24"/>
                <w:szCs w:val="24"/>
              </w:rPr>
            </w:pPr>
          </w:p>
        </w:tc>
      </w:tr>
      <w:tr w:rsidRPr="00AA40E7" w:rsidR="00237DD5" w:rsidTr="00237DD5" w14:paraId="26B9CA8D" w14:textId="77777777">
        <w:trPr>
          <w:trHeight w:val="300"/>
        </w:trPr>
        <w:tc>
          <w:tcPr>
            <w:tcW w:w="2785" w:type="dxa"/>
            <w:tcBorders>
              <w:top w:val="nil"/>
              <w:left w:val="nil"/>
              <w:bottom w:val="nil"/>
              <w:right w:val="nil"/>
            </w:tcBorders>
            <w:shd w:val="clear" w:color="auto" w:fill="auto"/>
            <w:vAlign w:val="center"/>
            <w:hideMark/>
          </w:tcPr>
          <w:p w:rsidRPr="00AA40E7" w:rsidR="00237DD5" w:rsidP="00654798" w:rsidRDefault="00237DD5" w14:paraId="7EE0BC72"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2.1. schadeloosstelling</w:t>
            </w:r>
          </w:p>
        </w:tc>
        <w:tc>
          <w:tcPr>
            <w:tcW w:w="1283" w:type="dxa"/>
            <w:tcBorders>
              <w:top w:val="nil"/>
              <w:left w:val="nil"/>
              <w:bottom w:val="nil"/>
              <w:right w:val="nil"/>
            </w:tcBorders>
            <w:shd w:val="clear" w:color="auto" w:fill="auto"/>
            <w:vAlign w:val="center"/>
            <w:hideMark/>
          </w:tcPr>
          <w:p w:rsidRPr="00AA40E7" w:rsidR="00237DD5" w:rsidP="00654798" w:rsidRDefault="00237DD5" w14:paraId="0EAA6C1C"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24.416</w:t>
            </w:r>
          </w:p>
        </w:tc>
        <w:tc>
          <w:tcPr>
            <w:tcW w:w="1283" w:type="dxa"/>
            <w:tcBorders>
              <w:top w:val="nil"/>
              <w:left w:val="nil"/>
              <w:bottom w:val="nil"/>
              <w:right w:val="nil"/>
            </w:tcBorders>
            <w:shd w:val="clear" w:color="auto" w:fill="auto"/>
            <w:vAlign w:val="center"/>
            <w:hideMark/>
          </w:tcPr>
          <w:p w:rsidRPr="00AA40E7" w:rsidR="00237DD5" w:rsidP="00654798" w:rsidRDefault="00237DD5" w14:paraId="3B022A0A"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24.393</w:t>
            </w:r>
          </w:p>
        </w:tc>
        <w:tc>
          <w:tcPr>
            <w:tcW w:w="1283" w:type="dxa"/>
            <w:tcBorders>
              <w:top w:val="nil"/>
              <w:left w:val="nil"/>
              <w:bottom w:val="nil"/>
              <w:right w:val="nil"/>
            </w:tcBorders>
            <w:shd w:val="clear" w:color="auto" w:fill="auto"/>
            <w:vAlign w:val="center"/>
            <w:hideMark/>
          </w:tcPr>
          <w:p w:rsidRPr="00AA40E7" w:rsidR="00237DD5" w:rsidP="00654798" w:rsidRDefault="00237DD5" w14:paraId="5D13A07E"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23.515</w:t>
            </w:r>
          </w:p>
        </w:tc>
        <w:tc>
          <w:tcPr>
            <w:tcW w:w="1283" w:type="dxa"/>
            <w:tcBorders>
              <w:top w:val="nil"/>
              <w:left w:val="nil"/>
              <w:bottom w:val="nil"/>
              <w:right w:val="nil"/>
            </w:tcBorders>
            <w:shd w:val="clear" w:color="auto" w:fill="auto"/>
            <w:vAlign w:val="center"/>
            <w:hideMark/>
          </w:tcPr>
          <w:p w:rsidRPr="00AA40E7" w:rsidR="00237DD5" w:rsidP="00654798" w:rsidRDefault="00237DD5" w14:paraId="5500D9F7"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25.054</w:t>
            </w:r>
          </w:p>
        </w:tc>
        <w:tc>
          <w:tcPr>
            <w:tcW w:w="1283" w:type="dxa"/>
            <w:tcBorders>
              <w:top w:val="nil"/>
              <w:left w:val="nil"/>
              <w:bottom w:val="nil"/>
              <w:right w:val="nil"/>
            </w:tcBorders>
            <w:shd w:val="clear" w:color="auto" w:fill="auto"/>
            <w:vAlign w:val="center"/>
            <w:hideMark/>
          </w:tcPr>
          <w:p w:rsidRPr="00AA40E7" w:rsidR="00237DD5" w:rsidP="00654798" w:rsidRDefault="00237DD5" w14:paraId="1CB6AA8E" w14:textId="684FED50">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26.461</w:t>
            </w:r>
          </w:p>
        </w:tc>
      </w:tr>
      <w:tr w:rsidRPr="00AA40E7" w:rsidR="00237DD5" w:rsidTr="00237DD5" w14:paraId="378A35E1" w14:textId="77777777">
        <w:trPr>
          <w:trHeight w:val="300"/>
        </w:trPr>
        <w:tc>
          <w:tcPr>
            <w:tcW w:w="2785" w:type="dxa"/>
            <w:tcBorders>
              <w:top w:val="nil"/>
              <w:left w:val="nil"/>
              <w:bottom w:val="nil"/>
              <w:right w:val="nil"/>
            </w:tcBorders>
            <w:shd w:val="clear" w:color="auto" w:fill="auto"/>
            <w:vAlign w:val="center"/>
            <w:hideMark/>
          </w:tcPr>
          <w:p w:rsidRPr="00AA40E7" w:rsidR="00237DD5" w:rsidP="00654798" w:rsidRDefault="00237DD5" w14:paraId="409C4935" w14:textId="77777777">
            <w:pPr>
              <w:spacing w:line="240" w:lineRule="atLeast"/>
              <w:rPr>
                <w:rFonts w:ascii="Times New Roman" w:hAnsi="Times New Roman"/>
                <w:i/>
                <w:iCs/>
                <w:color w:val="000000"/>
                <w:sz w:val="24"/>
                <w:szCs w:val="24"/>
              </w:rPr>
            </w:pPr>
            <w:r w:rsidRPr="00AA40E7">
              <w:rPr>
                <w:rFonts w:ascii="Times New Roman" w:hAnsi="Times New Roman"/>
                <w:i/>
                <w:iCs/>
                <w:color w:val="000000"/>
                <w:sz w:val="24"/>
                <w:szCs w:val="24"/>
              </w:rPr>
              <w:t>gemiddeld per lid TK</w:t>
            </w:r>
          </w:p>
        </w:tc>
        <w:tc>
          <w:tcPr>
            <w:tcW w:w="1283" w:type="dxa"/>
            <w:tcBorders>
              <w:top w:val="nil"/>
              <w:left w:val="nil"/>
              <w:bottom w:val="nil"/>
              <w:right w:val="nil"/>
            </w:tcBorders>
            <w:shd w:val="clear" w:color="auto" w:fill="auto"/>
            <w:vAlign w:val="center"/>
            <w:hideMark/>
          </w:tcPr>
          <w:p w:rsidRPr="00AA40E7" w:rsidR="00237DD5" w:rsidP="00654798" w:rsidRDefault="00237DD5" w14:paraId="46B142C1"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163</w:t>
            </w:r>
          </w:p>
        </w:tc>
        <w:tc>
          <w:tcPr>
            <w:tcW w:w="1283" w:type="dxa"/>
            <w:tcBorders>
              <w:top w:val="nil"/>
              <w:left w:val="nil"/>
              <w:bottom w:val="nil"/>
              <w:right w:val="nil"/>
            </w:tcBorders>
            <w:shd w:val="clear" w:color="auto" w:fill="auto"/>
            <w:vAlign w:val="center"/>
            <w:hideMark/>
          </w:tcPr>
          <w:p w:rsidRPr="00AA40E7" w:rsidR="00237DD5" w:rsidP="00654798" w:rsidRDefault="00237DD5" w14:paraId="195AD16A"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163</w:t>
            </w:r>
          </w:p>
        </w:tc>
        <w:tc>
          <w:tcPr>
            <w:tcW w:w="1283" w:type="dxa"/>
            <w:tcBorders>
              <w:top w:val="nil"/>
              <w:left w:val="nil"/>
              <w:bottom w:val="nil"/>
              <w:right w:val="nil"/>
            </w:tcBorders>
            <w:shd w:val="clear" w:color="auto" w:fill="auto"/>
            <w:vAlign w:val="center"/>
            <w:hideMark/>
          </w:tcPr>
          <w:p w:rsidRPr="00AA40E7" w:rsidR="00237DD5" w:rsidP="00654798" w:rsidRDefault="00237DD5" w14:paraId="4C20872E"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157</w:t>
            </w:r>
          </w:p>
        </w:tc>
        <w:tc>
          <w:tcPr>
            <w:tcW w:w="1283" w:type="dxa"/>
            <w:tcBorders>
              <w:top w:val="nil"/>
              <w:left w:val="nil"/>
              <w:bottom w:val="nil"/>
              <w:right w:val="nil"/>
            </w:tcBorders>
            <w:shd w:val="clear" w:color="auto" w:fill="auto"/>
            <w:vAlign w:val="center"/>
            <w:hideMark/>
          </w:tcPr>
          <w:p w:rsidRPr="00AA40E7" w:rsidR="00237DD5" w:rsidP="00654798" w:rsidRDefault="00237DD5" w14:paraId="16EEC7FB"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167</w:t>
            </w:r>
          </w:p>
        </w:tc>
        <w:tc>
          <w:tcPr>
            <w:tcW w:w="1283" w:type="dxa"/>
            <w:tcBorders>
              <w:top w:val="nil"/>
              <w:left w:val="nil"/>
              <w:bottom w:val="nil"/>
              <w:right w:val="nil"/>
            </w:tcBorders>
            <w:shd w:val="clear" w:color="auto" w:fill="auto"/>
            <w:vAlign w:val="center"/>
            <w:hideMark/>
          </w:tcPr>
          <w:p w:rsidRPr="00AA40E7" w:rsidR="00237DD5" w:rsidP="00654798" w:rsidRDefault="00237DD5" w14:paraId="617A9A9C" w14:textId="63E346D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176</w:t>
            </w:r>
          </w:p>
        </w:tc>
      </w:tr>
      <w:tr w:rsidRPr="00AA40E7" w:rsidR="00237DD5" w:rsidTr="00237DD5" w14:paraId="6F29B08A" w14:textId="77777777">
        <w:trPr>
          <w:trHeight w:val="300"/>
        </w:trPr>
        <w:tc>
          <w:tcPr>
            <w:tcW w:w="2785" w:type="dxa"/>
            <w:tcBorders>
              <w:top w:val="nil"/>
              <w:left w:val="nil"/>
              <w:bottom w:val="nil"/>
              <w:right w:val="nil"/>
            </w:tcBorders>
            <w:shd w:val="clear" w:color="auto" w:fill="auto"/>
            <w:vAlign w:val="center"/>
            <w:hideMark/>
          </w:tcPr>
          <w:p w:rsidRPr="00AA40E7" w:rsidR="00237DD5" w:rsidP="00654798" w:rsidRDefault="00237DD5" w14:paraId="4C41BF18"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2.2. pensioenen en wachtgelden</w:t>
            </w:r>
          </w:p>
        </w:tc>
        <w:tc>
          <w:tcPr>
            <w:tcW w:w="1283" w:type="dxa"/>
            <w:tcBorders>
              <w:top w:val="nil"/>
              <w:left w:val="nil"/>
              <w:bottom w:val="nil"/>
              <w:right w:val="nil"/>
            </w:tcBorders>
            <w:shd w:val="clear" w:color="auto" w:fill="auto"/>
            <w:vAlign w:val="center"/>
            <w:hideMark/>
          </w:tcPr>
          <w:p w:rsidRPr="00AA40E7" w:rsidR="00237DD5" w:rsidP="00654798" w:rsidRDefault="00237DD5" w14:paraId="114CEB11"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9.463</w:t>
            </w:r>
          </w:p>
        </w:tc>
        <w:tc>
          <w:tcPr>
            <w:tcW w:w="1283" w:type="dxa"/>
            <w:tcBorders>
              <w:top w:val="nil"/>
              <w:left w:val="nil"/>
              <w:bottom w:val="nil"/>
              <w:right w:val="nil"/>
            </w:tcBorders>
            <w:shd w:val="clear" w:color="auto" w:fill="auto"/>
            <w:vAlign w:val="center"/>
            <w:hideMark/>
          </w:tcPr>
          <w:p w:rsidRPr="00AA40E7" w:rsidR="00237DD5" w:rsidP="00654798" w:rsidRDefault="00237DD5" w14:paraId="4EE29B81"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9.468</w:t>
            </w:r>
          </w:p>
        </w:tc>
        <w:tc>
          <w:tcPr>
            <w:tcW w:w="1283" w:type="dxa"/>
            <w:tcBorders>
              <w:top w:val="nil"/>
              <w:left w:val="nil"/>
              <w:bottom w:val="nil"/>
              <w:right w:val="nil"/>
            </w:tcBorders>
            <w:shd w:val="clear" w:color="auto" w:fill="auto"/>
            <w:vAlign w:val="center"/>
            <w:hideMark/>
          </w:tcPr>
          <w:p w:rsidRPr="00AA40E7" w:rsidR="00237DD5" w:rsidP="00654798" w:rsidRDefault="00237DD5" w14:paraId="667483C5"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11.918</w:t>
            </w:r>
          </w:p>
        </w:tc>
        <w:tc>
          <w:tcPr>
            <w:tcW w:w="1283" w:type="dxa"/>
            <w:tcBorders>
              <w:top w:val="nil"/>
              <w:left w:val="nil"/>
              <w:bottom w:val="nil"/>
              <w:right w:val="nil"/>
            </w:tcBorders>
            <w:shd w:val="clear" w:color="auto" w:fill="auto"/>
            <w:vAlign w:val="center"/>
            <w:hideMark/>
          </w:tcPr>
          <w:p w:rsidRPr="00AA40E7" w:rsidR="00237DD5" w:rsidP="00654798" w:rsidRDefault="00237DD5" w14:paraId="1EF00997"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10.275</w:t>
            </w:r>
          </w:p>
        </w:tc>
        <w:tc>
          <w:tcPr>
            <w:tcW w:w="1283" w:type="dxa"/>
            <w:tcBorders>
              <w:top w:val="nil"/>
              <w:left w:val="nil"/>
              <w:bottom w:val="nil"/>
              <w:right w:val="nil"/>
            </w:tcBorders>
            <w:shd w:val="clear" w:color="auto" w:fill="auto"/>
            <w:vAlign w:val="center"/>
            <w:hideMark/>
          </w:tcPr>
          <w:p w:rsidRPr="00AA40E7" w:rsidR="00237DD5" w:rsidP="00654798" w:rsidRDefault="00237DD5" w14:paraId="79ACA458" w14:textId="1F4720CB">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12.372</w:t>
            </w:r>
          </w:p>
        </w:tc>
      </w:tr>
      <w:tr w:rsidRPr="00AA40E7" w:rsidR="00237DD5" w:rsidTr="00237DD5" w14:paraId="5D9D4C1D" w14:textId="77777777">
        <w:trPr>
          <w:trHeight w:val="450"/>
        </w:trPr>
        <w:tc>
          <w:tcPr>
            <w:tcW w:w="2785" w:type="dxa"/>
            <w:tcBorders>
              <w:top w:val="nil"/>
              <w:left w:val="nil"/>
              <w:bottom w:val="nil"/>
              <w:right w:val="nil"/>
            </w:tcBorders>
            <w:shd w:val="clear" w:color="auto" w:fill="auto"/>
            <w:vAlign w:val="center"/>
            <w:hideMark/>
          </w:tcPr>
          <w:p w:rsidRPr="00AA40E7" w:rsidR="00237DD5" w:rsidP="00654798" w:rsidRDefault="00237DD5" w14:paraId="2D667F9E"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2.3. schadeloosstelling leden Europees Parlement</w:t>
            </w:r>
          </w:p>
        </w:tc>
        <w:tc>
          <w:tcPr>
            <w:tcW w:w="1283" w:type="dxa"/>
            <w:tcBorders>
              <w:top w:val="nil"/>
              <w:left w:val="nil"/>
              <w:bottom w:val="nil"/>
              <w:right w:val="nil"/>
            </w:tcBorders>
            <w:shd w:val="clear" w:color="auto" w:fill="auto"/>
            <w:vAlign w:val="center"/>
            <w:hideMark/>
          </w:tcPr>
          <w:p w:rsidRPr="00AA40E7" w:rsidR="00237DD5" w:rsidP="00654798" w:rsidRDefault="00237DD5" w14:paraId="503A9003"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45</w:t>
            </w:r>
          </w:p>
        </w:tc>
        <w:tc>
          <w:tcPr>
            <w:tcW w:w="1283" w:type="dxa"/>
            <w:tcBorders>
              <w:top w:val="nil"/>
              <w:left w:val="nil"/>
              <w:bottom w:val="nil"/>
              <w:right w:val="nil"/>
            </w:tcBorders>
            <w:shd w:val="clear" w:color="auto" w:fill="auto"/>
            <w:vAlign w:val="center"/>
            <w:hideMark/>
          </w:tcPr>
          <w:p w:rsidRPr="00AA40E7" w:rsidR="00237DD5" w:rsidP="00654798" w:rsidRDefault="00237DD5" w14:paraId="71B3A518"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0</w:t>
            </w:r>
          </w:p>
        </w:tc>
        <w:tc>
          <w:tcPr>
            <w:tcW w:w="1283" w:type="dxa"/>
            <w:tcBorders>
              <w:top w:val="nil"/>
              <w:left w:val="nil"/>
              <w:bottom w:val="nil"/>
              <w:right w:val="nil"/>
            </w:tcBorders>
            <w:shd w:val="clear" w:color="auto" w:fill="auto"/>
            <w:vAlign w:val="center"/>
            <w:hideMark/>
          </w:tcPr>
          <w:p w:rsidRPr="00AA40E7" w:rsidR="00237DD5" w:rsidP="00654798" w:rsidRDefault="00237DD5" w14:paraId="13D17A0A"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0</w:t>
            </w:r>
          </w:p>
        </w:tc>
        <w:tc>
          <w:tcPr>
            <w:tcW w:w="1283" w:type="dxa"/>
            <w:tcBorders>
              <w:top w:val="nil"/>
              <w:left w:val="nil"/>
              <w:bottom w:val="nil"/>
              <w:right w:val="nil"/>
            </w:tcBorders>
            <w:shd w:val="clear" w:color="auto" w:fill="auto"/>
            <w:vAlign w:val="center"/>
            <w:hideMark/>
          </w:tcPr>
          <w:p w:rsidRPr="00AA40E7" w:rsidR="00237DD5" w:rsidP="00654798" w:rsidRDefault="00237DD5" w14:paraId="66438FE5"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0</w:t>
            </w:r>
          </w:p>
        </w:tc>
        <w:tc>
          <w:tcPr>
            <w:tcW w:w="1283" w:type="dxa"/>
            <w:tcBorders>
              <w:top w:val="nil"/>
              <w:left w:val="nil"/>
              <w:bottom w:val="nil"/>
              <w:right w:val="nil"/>
            </w:tcBorders>
            <w:shd w:val="clear" w:color="auto" w:fill="auto"/>
            <w:vAlign w:val="center"/>
            <w:hideMark/>
          </w:tcPr>
          <w:p w:rsidRPr="00AA40E7" w:rsidR="00237DD5" w:rsidP="00654798" w:rsidRDefault="00237DD5" w14:paraId="48F44238" w14:textId="531970A3">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0</w:t>
            </w:r>
          </w:p>
        </w:tc>
      </w:tr>
    </w:tbl>
    <w:p w:rsidRPr="00AA40E7" w:rsidR="00AE25CB" w:rsidP="00654798" w:rsidRDefault="00AE25CB" w14:paraId="6771D86B" w14:textId="28B4F6F9">
      <w:pPr>
        <w:spacing w:line="240" w:lineRule="atLeast"/>
        <w:rPr>
          <w:rFonts w:ascii="Times New Roman" w:hAnsi="Times New Roman"/>
          <w:i/>
          <w:iCs/>
          <w:sz w:val="24"/>
          <w:szCs w:val="24"/>
        </w:rPr>
      </w:pPr>
    </w:p>
    <w:p w:rsidRPr="00AA40E7" w:rsidR="00F54EB5" w:rsidP="00654798" w:rsidRDefault="51825749" w14:paraId="2DC617C1" w14:textId="77777777">
      <w:pPr>
        <w:spacing w:line="240" w:lineRule="atLeast"/>
        <w:outlineLvl w:val="0"/>
        <w:rPr>
          <w:rFonts w:ascii="Times New Roman" w:hAnsi="Times New Roman"/>
          <w:sz w:val="24"/>
          <w:szCs w:val="24"/>
        </w:rPr>
      </w:pPr>
      <w:r w:rsidRPr="00AA40E7">
        <w:rPr>
          <w:rFonts w:ascii="Times New Roman" w:hAnsi="Times New Roman"/>
          <w:sz w:val="24"/>
          <w:szCs w:val="24"/>
        </w:rPr>
        <w:t xml:space="preserve">Het betreft de volgende aantallen gerechtigden voor de pensioenen en wachtgelden: </w:t>
      </w:r>
    </w:p>
    <w:p w:rsidRPr="00AA40E7" w:rsidR="00F54EB5" w:rsidP="00654798" w:rsidRDefault="00F54EB5" w14:paraId="751A1C41" w14:textId="77777777">
      <w:pPr>
        <w:spacing w:line="240" w:lineRule="atLeast"/>
        <w:ind w:left="284" w:hanging="284"/>
        <w:outlineLvl w:val="0"/>
        <w:rPr>
          <w:rFonts w:ascii="Times New Roman" w:hAnsi="Times New Roman"/>
          <w:i/>
          <w:sz w:val="24"/>
          <w:szCs w:val="24"/>
        </w:rPr>
      </w:pPr>
    </w:p>
    <w:p w:rsidRPr="00AA40E7" w:rsidR="00F54EB5" w:rsidP="00654798" w:rsidRDefault="51825749" w14:paraId="05BAD48A" w14:textId="334CA87E">
      <w:pPr>
        <w:spacing w:line="240" w:lineRule="atLeast"/>
        <w:ind w:left="284" w:hanging="284"/>
        <w:outlineLvl w:val="0"/>
        <w:rPr>
          <w:rFonts w:ascii="Times New Roman" w:hAnsi="Times New Roman"/>
          <w:i/>
          <w:iCs/>
          <w:sz w:val="24"/>
          <w:szCs w:val="24"/>
        </w:rPr>
      </w:pPr>
      <w:r w:rsidRPr="00AA40E7">
        <w:rPr>
          <w:rFonts w:ascii="Times New Roman" w:hAnsi="Times New Roman"/>
          <w:i/>
          <w:iCs/>
          <w:sz w:val="24"/>
          <w:szCs w:val="24"/>
        </w:rPr>
        <w:t>Tabel 3: aantallen gerechtigden pensioenen en wachtgelden oud-leden</w:t>
      </w:r>
    </w:p>
    <w:tbl>
      <w:tblPr>
        <w:tblW w:w="7371" w:type="dxa"/>
        <w:tblCellMar>
          <w:left w:w="70" w:type="dxa"/>
          <w:right w:w="70" w:type="dxa"/>
        </w:tblCellMar>
        <w:tblLook w:val="04A0" w:firstRow="1" w:lastRow="0" w:firstColumn="1" w:lastColumn="0" w:noHBand="0" w:noVBand="1"/>
      </w:tblPr>
      <w:tblGrid>
        <w:gridCol w:w="2369"/>
        <w:gridCol w:w="992"/>
        <w:gridCol w:w="980"/>
        <w:gridCol w:w="980"/>
        <w:gridCol w:w="980"/>
        <w:gridCol w:w="1070"/>
      </w:tblGrid>
      <w:tr w:rsidRPr="00AA40E7" w:rsidR="00D8728D" w:rsidTr="00237DD5" w14:paraId="2FC2D6D9" w14:textId="77777777">
        <w:trPr>
          <w:trHeight w:val="435"/>
        </w:trPr>
        <w:tc>
          <w:tcPr>
            <w:tcW w:w="2757" w:type="dxa"/>
            <w:tcBorders>
              <w:top w:val="nil"/>
              <w:left w:val="nil"/>
              <w:bottom w:val="nil"/>
              <w:right w:val="nil"/>
            </w:tcBorders>
            <w:shd w:val="clear" w:color="000000" w:fill="002060"/>
            <w:vAlign w:val="center"/>
            <w:hideMark/>
          </w:tcPr>
          <w:p w:rsidRPr="00AA40E7" w:rsidR="00801934" w:rsidP="00654798" w:rsidRDefault="00801934" w14:paraId="602390D7" w14:textId="4D24525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Aantallen deelgerechtigden</w:t>
            </w:r>
          </w:p>
        </w:tc>
        <w:tc>
          <w:tcPr>
            <w:tcW w:w="992" w:type="dxa"/>
            <w:tcBorders>
              <w:top w:val="nil"/>
              <w:left w:val="nil"/>
              <w:bottom w:val="nil"/>
              <w:right w:val="nil"/>
            </w:tcBorders>
            <w:shd w:val="clear" w:color="000000" w:fill="002060"/>
            <w:noWrap/>
            <w:vAlign w:val="center"/>
            <w:hideMark/>
          </w:tcPr>
          <w:p w:rsidRPr="00AA40E7" w:rsidR="00801934" w:rsidP="00654798" w:rsidRDefault="00801934" w14:paraId="4F786A1C"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2019</w:t>
            </w:r>
          </w:p>
        </w:tc>
        <w:tc>
          <w:tcPr>
            <w:tcW w:w="851" w:type="dxa"/>
            <w:tcBorders>
              <w:top w:val="nil"/>
              <w:left w:val="nil"/>
              <w:bottom w:val="nil"/>
              <w:right w:val="nil"/>
            </w:tcBorders>
            <w:shd w:val="clear" w:color="000000" w:fill="002060"/>
            <w:noWrap/>
            <w:vAlign w:val="center"/>
            <w:hideMark/>
          </w:tcPr>
          <w:p w:rsidRPr="00AA40E7" w:rsidR="00801934" w:rsidP="00654798" w:rsidRDefault="00801934" w14:paraId="598BA47D"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2020</w:t>
            </w:r>
          </w:p>
        </w:tc>
        <w:tc>
          <w:tcPr>
            <w:tcW w:w="850" w:type="dxa"/>
            <w:tcBorders>
              <w:top w:val="nil"/>
              <w:left w:val="nil"/>
              <w:bottom w:val="nil"/>
              <w:right w:val="nil"/>
            </w:tcBorders>
            <w:shd w:val="clear" w:color="000000" w:fill="002060"/>
            <w:noWrap/>
            <w:vAlign w:val="center"/>
            <w:hideMark/>
          </w:tcPr>
          <w:p w:rsidRPr="00AA40E7" w:rsidR="00801934" w:rsidP="00654798" w:rsidRDefault="00801934" w14:paraId="5D3233F6"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2021</w:t>
            </w:r>
          </w:p>
        </w:tc>
        <w:tc>
          <w:tcPr>
            <w:tcW w:w="851" w:type="dxa"/>
            <w:tcBorders>
              <w:top w:val="nil"/>
              <w:left w:val="nil"/>
              <w:bottom w:val="nil"/>
              <w:right w:val="nil"/>
            </w:tcBorders>
            <w:shd w:val="clear" w:color="000000" w:fill="002060"/>
            <w:noWrap/>
            <w:vAlign w:val="center"/>
            <w:hideMark/>
          </w:tcPr>
          <w:p w:rsidRPr="00AA40E7" w:rsidR="00801934" w:rsidP="00654798" w:rsidRDefault="00801934" w14:paraId="6A005B6D"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2022</w:t>
            </w:r>
          </w:p>
        </w:tc>
        <w:tc>
          <w:tcPr>
            <w:tcW w:w="1070" w:type="dxa"/>
            <w:tcBorders>
              <w:top w:val="nil"/>
              <w:left w:val="nil"/>
              <w:bottom w:val="nil"/>
              <w:right w:val="nil"/>
            </w:tcBorders>
            <w:shd w:val="clear" w:color="000000" w:fill="002060"/>
            <w:noWrap/>
            <w:vAlign w:val="center"/>
            <w:hideMark/>
          </w:tcPr>
          <w:p w:rsidRPr="00AA40E7" w:rsidR="00801934" w:rsidP="00654798" w:rsidRDefault="00801934" w14:paraId="2AC0567E"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2023</w:t>
            </w:r>
          </w:p>
        </w:tc>
      </w:tr>
      <w:tr w:rsidRPr="00AA40E7" w:rsidR="00237DD5" w:rsidTr="00237DD5" w14:paraId="570CADF7" w14:textId="77777777">
        <w:trPr>
          <w:trHeight w:val="300"/>
        </w:trPr>
        <w:tc>
          <w:tcPr>
            <w:tcW w:w="2757" w:type="dxa"/>
            <w:tcBorders>
              <w:top w:val="nil"/>
              <w:left w:val="nil"/>
              <w:bottom w:val="nil"/>
              <w:right w:val="nil"/>
            </w:tcBorders>
            <w:shd w:val="clear" w:color="auto" w:fill="auto"/>
            <w:vAlign w:val="center"/>
            <w:hideMark/>
          </w:tcPr>
          <w:p w:rsidRPr="00AA40E7" w:rsidR="00237DD5" w:rsidP="00654798" w:rsidRDefault="00237DD5" w14:paraId="60B909B6" w14:textId="77777777">
            <w:pPr>
              <w:spacing w:line="240" w:lineRule="atLeast"/>
              <w:ind w:firstLine="480" w:firstLineChars="200"/>
              <w:rPr>
                <w:rFonts w:ascii="Times New Roman" w:hAnsi="Times New Roman"/>
                <w:color w:val="000000"/>
                <w:sz w:val="24"/>
                <w:szCs w:val="24"/>
              </w:rPr>
            </w:pPr>
            <w:r w:rsidRPr="00AA40E7">
              <w:rPr>
                <w:rFonts w:ascii="Times New Roman" w:hAnsi="Times New Roman"/>
                <w:color w:val="000000"/>
                <w:sz w:val="24"/>
                <w:szCs w:val="24"/>
              </w:rPr>
              <w:t>Pensioenen oud-leden</w:t>
            </w:r>
          </w:p>
        </w:tc>
        <w:tc>
          <w:tcPr>
            <w:tcW w:w="992" w:type="dxa"/>
            <w:tcBorders>
              <w:top w:val="nil"/>
              <w:left w:val="nil"/>
              <w:bottom w:val="nil"/>
              <w:right w:val="nil"/>
            </w:tcBorders>
            <w:shd w:val="clear" w:color="auto" w:fill="auto"/>
            <w:vAlign w:val="center"/>
            <w:hideMark/>
          </w:tcPr>
          <w:p w:rsidRPr="00AA40E7" w:rsidR="00237DD5" w:rsidP="00654798" w:rsidRDefault="00237DD5" w14:paraId="35B684E0"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430</w:t>
            </w:r>
          </w:p>
        </w:tc>
        <w:tc>
          <w:tcPr>
            <w:tcW w:w="851" w:type="dxa"/>
            <w:tcBorders>
              <w:top w:val="nil"/>
              <w:left w:val="nil"/>
              <w:bottom w:val="nil"/>
              <w:right w:val="nil"/>
            </w:tcBorders>
            <w:shd w:val="clear" w:color="auto" w:fill="auto"/>
            <w:vAlign w:val="center"/>
            <w:hideMark/>
          </w:tcPr>
          <w:p w:rsidRPr="00AA40E7" w:rsidR="00237DD5" w:rsidP="00654798" w:rsidRDefault="00237DD5" w14:paraId="36146595"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432</w:t>
            </w:r>
          </w:p>
        </w:tc>
        <w:tc>
          <w:tcPr>
            <w:tcW w:w="850" w:type="dxa"/>
            <w:tcBorders>
              <w:top w:val="nil"/>
              <w:left w:val="nil"/>
              <w:bottom w:val="nil"/>
              <w:right w:val="nil"/>
            </w:tcBorders>
            <w:shd w:val="clear" w:color="auto" w:fill="auto"/>
            <w:vAlign w:val="center"/>
            <w:hideMark/>
          </w:tcPr>
          <w:p w:rsidRPr="00AA40E7" w:rsidR="00237DD5" w:rsidP="00654798" w:rsidRDefault="00237DD5" w14:paraId="4789E7A9"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451</w:t>
            </w:r>
          </w:p>
        </w:tc>
        <w:tc>
          <w:tcPr>
            <w:tcW w:w="851" w:type="dxa"/>
            <w:tcBorders>
              <w:top w:val="nil"/>
              <w:left w:val="nil"/>
              <w:bottom w:val="nil"/>
              <w:right w:val="nil"/>
            </w:tcBorders>
            <w:shd w:val="clear" w:color="auto" w:fill="auto"/>
            <w:vAlign w:val="center"/>
            <w:hideMark/>
          </w:tcPr>
          <w:p w:rsidRPr="00AA40E7" w:rsidR="00237DD5" w:rsidP="00654798" w:rsidRDefault="00237DD5" w14:paraId="108912C4"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448</w:t>
            </w:r>
          </w:p>
        </w:tc>
        <w:tc>
          <w:tcPr>
            <w:tcW w:w="1070" w:type="dxa"/>
            <w:tcBorders>
              <w:top w:val="nil"/>
              <w:left w:val="nil"/>
              <w:bottom w:val="nil"/>
              <w:right w:val="nil"/>
            </w:tcBorders>
            <w:shd w:val="clear" w:color="auto" w:fill="auto"/>
            <w:vAlign w:val="center"/>
            <w:hideMark/>
          </w:tcPr>
          <w:p w:rsidRPr="00AA40E7" w:rsidR="00237DD5" w:rsidP="00654798" w:rsidRDefault="00237DD5" w14:paraId="75A1B0E8" w14:textId="39CD745B">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470</w:t>
            </w:r>
          </w:p>
        </w:tc>
      </w:tr>
      <w:tr w:rsidRPr="00AA40E7" w:rsidR="00237DD5" w:rsidTr="00237DD5" w14:paraId="015C5B24" w14:textId="77777777">
        <w:trPr>
          <w:trHeight w:val="300"/>
        </w:trPr>
        <w:tc>
          <w:tcPr>
            <w:tcW w:w="2757" w:type="dxa"/>
            <w:tcBorders>
              <w:top w:val="nil"/>
              <w:left w:val="nil"/>
              <w:bottom w:val="nil"/>
              <w:right w:val="nil"/>
            </w:tcBorders>
            <w:shd w:val="clear" w:color="auto" w:fill="auto"/>
            <w:vAlign w:val="center"/>
            <w:hideMark/>
          </w:tcPr>
          <w:p w:rsidRPr="00AA40E7" w:rsidR="00237DD5" w:rsidP="00654798" w:rsidRDefault="00237DD5" w14:paraId="1C7AB5F9" w14:textId="77777777">
            <w:pPr>
              <w:spacing w:line="240" w:lineRule="atLeast"/>
              <w:ind w:firstLine="480" w:firstLineChars="200"/>
              <w:rPr>
                <w:rFonts w:ascii="Times New Roman" w:hAnsi="Times New Roman"/>
                <w:color w:val="000000"/>
                <w:sz w:val="24"/>
                <w:szCs w:val="24"/>
              </w:rPr>
            </w:pPr>
            <w:r w:rsidRPr="00AA40E7">
              <w:rPr>
                <w:rFonts w:ascii="Times New Roman" w:hAnsi="Times New Roman"/>
                <w:color w:val="000000"/>
                <w:sz w:val="24"/>
                <w:szCs w:val="24"/>
              </w:rPr>
              <w:t>Wachtgelden oud-leden</w:t>
            </w:r>
          </w:p>
        </w:tc>
        <w:tc>
          <w:tcPr>
            <w:tcW w:w="992" w:type="dxa"/>
            <w:tcBorders>
              <w:top w:val="nil"/>
              <w:left w:val="nil"/>
              <w:bottom w:val="nil"/>
              <w:right w:val="nil"/>
            </w:tcBorders>
            <w:shd w:val="clear" w:color="auto" w:fill="auto"/>
            <w:vAlign w:val="center"/>
            <w:hideMark/>
          </w:tcPr>
          <w:p w:rsidRPr="00AA40E7" w:rsidR="00237DD5" w:rsidP="00654798" w:rsidRDefault="00237DD5" w14:paraId="2AA3D1BF"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54</w:t>
            </w:r>
          </w:p>
        </w:tc>
        <w:tc>
          <w:tcPr>
            <w:tcW w:w="851" w:type="dxa"/>
            <w:tcBorders>
              <w:top w:val="nil"/>
              <w:left w:val="nil"/>
              <w:bottom w:val="nil"/>
              <w:right w:val="nil"/>
            </w:tcBorders>
            <w:shd w:val="clear" w:color="auto" w:fill="auto"/>
            <w:vAlign w:val="center"/>
            <w:hideMark/>
          </w:tcPr>
          <w:p w:rsidRPr="00AA40E7" w:rsidR="00237DD5" w:rsidP="00654798" w:rsidRDefault="00237DD5" w14:paraId="69B26061"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14</w:t>
            </w:r>
          </w:p>
        </w:tc>
        <w:tc>
          <w:tcPr>
            <w:tcW w:w="850" w:type="dxa"/>
            <w:tcBorders>
              <w:top w:val="nil"/>
              <w:left w:val="nil"/>
              <w:bottom w:val="nil"/>
              <w:right w:val="nil"/>
            </w:tcBorders>
            <w:shd w:val="clear" w:color="auto" w:fill="auto"/>
            <w:vAlign w:val="center"/>
            <w:hideMark/>
          </w:tcPr>
          <w:p w:rsidRPr="00AA40E7" w:rsidR="00237DD5" w:rsidP="00654798" w:rsidRDefault="00237DD5" w14:paraId="7B285AD4"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58</w:t>
            </w:r>
          </w:p>
        </w:tc>
        <w:tc>
          <w:tcPr>
            <w:tcW w:w="851" w:type="dxa"/>
            <w:tcBorders>
              <w:top w:val="nil"/>
              <w:left w:val="nil"/>
              <w:bottom w:val="nil"/>
              <w:right w:val="nil"/>
            </w:tcBorders>
            <w:shd w:val="clear" w:color="auto" w:fill="auto"/>
            <w:vAlign w:val="center"/>
            <w:hideMark/>
          </w:tcPr>
          <w:p w:rsidRPr="00AA40E7" w:rsidR="00237DD5" w:rsidP="00654798" w:rsidRDefault="00237DD5" w14:paraId="56315EF1"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48</w:t>
            </w:r>
          </w:p>
        </w:tc>
        <w:tc>
          <w:tcPr>
            <w:tcW w:w="1070" w:type="dxa"/>
            <w:tcBorders>
              <w:top w:val="nil"/>
              <w:left w:val="nil"/>
              <w:bottom w:val="nil"/>
              <w:right w:val="nil"/>
            </w:tcBorders>
            <w:shd w:val="clear" w:color="auto" w:fill="auto"/>
            <w:vAlign w:val="center"/>
            <w:hideMark/>
          </w:tcPr>
          <w:p w:rsidRPr="00AA40E7" w:rsidR="00237DD5" w:rsidP="00654798" w:rsidRDefault="00237DD5" w14:paraId="3F141AFE" w14:textId="00F374AB">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103</w:t>
            </w:r>
          </w:p>
        </w:tc>
      </w:tr>
      <w:tr w:rsidRPr="00AA40E7" w:rsidR="00237DD5" w:rsidTr="00237DD5" w14:paraId="50C59E3D" w14:textId="77777777">
        <w:trPr>
          <w:trHeight w:val="315"/>
        </w:trPr>
        <w:tc>
          <w:tcPr>
            <w:tcW w:w="2757" w:type="dxa"/>
            <w:tcBorders>
              <w:top w:val="nil"/>
              <w:left w:val="nil"/>
              <w:bottom w:val="single" w:color="auto" w:sz="8" w:space="0"/>
              <w:right w:val="nil"/>
            </w:tcBorders>
            <w:shd w:val="clear" w:color="auto" w:fill="auto"/>
            <w:vAlign w:val="center"/>
            <w:hideMark/>
          </w:tcPr>
          <w:p w:rsidRPr="00AA40E7" w:rsidR="00237DD5" w:rsidP="00654798" w:rsidRDefault="00237DD5" w14:paraId="4F2137E3" w14:textId="77777777">
            <w:pPr>
              <w:spacing w:line="240" w:lineRule="atLeast"/>
              <w:ind w:firstLine="480" w:firstLineChars="200"/>
              <w:rPr>
                <w:rFonts w:ascii="Times New Roman" w:hAnsi="Times New Roman"/>
                <w:color w:val="000000"/>
                <w:sz w:val="24"/>
                <w:szCs w:val="24"/>
              </w:rPr>
            </w:pPr>
            <w:r w:rsidRPr="00AA40E7">
              <w:rPr>
                <w:rFonts w:ascii="Times New Roman" w:hAnsi="Times New Roman"/>
                <w:color w:val="000000"/>
                <w:sz w:val="24"/>
                <w:szCs w:val="24"/>
              </w:rPr>
              <w:t>Totaal</w:t>
            </w:r>
          </w:p>
        </w:tc>
        <w:tc>
          <w:tcPr>
            <w:tcW w:w="992" w:type="dxa"/>
            <w:tcBorders>
              <w:top w:val="nil"/>
              <w:left w:val="nil"/>
              <w:bottom w:val="single" w:color="auto" w:sz="8" w:space="0"/>
              <w:right w:val="nil"/>
            </w:tcBorders>
            <w:shd w:val="clear" w:color="auto" w:fill="auto"/>
            <w:vAlign w:val="center"/>
            <w:hideMark/>
          </w:tcPr>
          <w:p w:rsidRPr="00AA40E7" w:rsidR="00237DD5" w:rsidP="00654798" w:rsidRDefault="00237DD5" w14:paraId="4869E811"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484</w:t>
            </w:r>
          </w:p>
        </w:tc>
        <w:tc>
          <w:tcPr>
            <w:tcW w:w="851" w:type="dxa"/>
            <w:tcBorders>
              <w:top w:val="nil"/>
              <w:left w:val="nil"/>
              <w:bottom w:val="single" w:color="auto" w:sz="8" w:space="0"/>
              <w:right w:val="nil"/>
            </w:tcBorders>
            <w:shd w:val="clear" w:color="auto" w:fill="auto"/>
            <w:vAlign w:val="center"/>
            <w:hideMark/>
          </w:tcPr>
          <w:p w:rsidRPr="00AA40E7" w:rsidR="00237DD5" w:rsidP="00654798" w:rsidRDefault="00237DD5" w14:paraId="21F8A8FF"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446</w:t>
            </w:r>
          </w:p>
        </w:tc>
        <w:tc>
          <w:tcPr>
            <w:tcW w:w="850" w:type="dxa"/>
            <w:tcBorders>
              <w:top w:val="nil"/>
              <w:left w:val="nil"/>
              <w:bottom w:val="single" w:color="auto" w:sz="8" w:space="0"/>
              <w:right w:val="nil"/>
            </w:tcBorders>
            <w:shd w:val="clear" w:color="auto" w:fill="auto"/>
            <w:vAlign w:val="center"/>
            <w:hideMark/>
          </w:tcPr>
          <w:p w:rsidRPr="00AA40E7" w:rsidR="00237DD5" w:rsidP="00654798" w:rsidRDefault="00237DD5" w14:paraId="5B7809CA"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509</w:t>
            </w:r>
          </w:p>
        </w:tc>
        <w:tc>
          <w:tcPr>
            <w:tcW w:w="851" w:type="dxa"/>
            <w:tcBorders>
              <w:top w:val="nil"/>
              <w:left w:val="nil"/>
              <w:bottom w:val="single" w:color="auto" w:sz="8" w:space="0"/>
              <w:right w:val="nil"/>
            </w:tcBorders>
            <w:shd w:val="clear" w:color="auto" w:fill="auto"/>
            <w:vAlign w:val="center"/>
            <w:hideMark/>
          </w:tcPr>
          <w:p w:rsidRPr="00AA40E7" w:rsidR="00237DD5" w:rsidP="00654798" w:rsidRDefault="00237DD5" w14:paraId="271C6B58" w14:textId="77777777">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496</w:t>
            </w:r>
          </w:p>
        </w:tc>
        <w:tc>
          <w:tcPr>
            <w:tcW w:w="1070" w:type="dxa"/>
            <w:tcBorders>
              <w:top w:val="nil"/>
              <w:left w:val="nil"/>
              <w:bottom w:val="single" w:color="auto" w:sz="8" w:space="0"/>
              <w:right w:val="nil"/>
            </w:tcBorders>
            <w:shd w:val="clear" w:color="auto" w:fill="auto"/>
            <w:vAlign w:val="center"/>
            <w:hideMark/>
          </w:tcPr>
          <w:p w:rsidRPr="00AA40E7" w:rsidR="00237DD5" w:rsidP="00654798" w:rsidRDefault="00237DD5" w14:paraId="084EC419" w14:textId="2FA4E056">
            <w:pPr>
              <w:spacing w:line="240" w:lineRule="atLeast"/>
              <w:ind w:firstLine="480" w:firstLineChars="200"/>
              <w:jc w:val="right"/>
              <w:rPr>
                <w:rFonts w:ascii="Times New Roman" w:hAnsi="Times New Roman"/>
                <w:color w:val="000000"/>
                <w:sz w:val="24"/>
                <w:szCs w:val="24"/>
              </w:rPr>
            </w:pPr>
            <w:r w:rsidRPr="00AA40E7">
              <w:rPr>
                <w:rFonts w:ascii="Times New Roman" w:hAnsi="Times New Roman"/>
                <w:color w:val="000000"/>
                <w:sz w:val="24"/>
                <w:szCs w:val="24"/>
              </w:rPr>
              <w:t>573</w:t>
            </w:r>
          </w:p>
        </w:tc>
      </w:tr>
    </w:tbl>
    <w:p w:rsidRPr="00AA40E7" w:rsidR="00801934" w:rsidP="00654798" w:rsidRDefault="00801934" w14:paraId="2B201425" w14:textId="77777777">
      <w:pPr>
        <w:spacing w:line="240" w:lineRule="atLeast"/>
        <w:ind w:left="284" w:hanging="284"/>
        <w:outlineLvl w:val="0"/>
        <w:rPr>
          <w:rFonts w:ascii="Times New Roman" w:hAnsi="Times New Roman"/>
          <w:i/>
          <w:iCs/>
          <w:sz w:val="24"/>
          <w:szCs w:val="24"/>
        </w:rPr>
      </w:pPr>
    </w:p>
    <w:p w:rsidRPr="00AA40E7" w:rsidR="0039050C" w:rsidP="00654798" w:rsidRDefault="51825749" w14:paraId="079F4A82" w14:textId="296138BE">
      <w:pPr>
        <w:spacing w:line="240" w:lineRule="atLeast"/>
        <w:rPr>
          <w:rFonts w:ascii="Times New Roman" w:hAnsi="Times New Roman"/>
          <w:color w:val="000000" w:themeColor="text1"/>
          <w:sz w:val="24"/>
          <w:szCs w:val="24"/>
        </w:rPr>
      </w:pPr>
      <w:r w:rsidRPr="00AA40E7">
        <w:rPr>
          <w:rFonts w:ascii="Times New Roman" w:hAnsi="Times New Roman"/>
          <w:b/>
          <w:bCs/>
          <w:sz w:val="24"/>
          <w:szCs w:val="24"/>
        </w:rPr>
        <w:t>3.</w:t>
      </w:r>
      <w:r w:rsidRPr="00AA40E7">
        <w:rPr>
          <w:rFonts w:ascii="Times New Roman" w:hAnsi="Times New Roman"/>
          <w:b/>
          <w:bCs/>
          <w:sz w:val="24"/>
          <w:szCs w:val="24"/>
          <w:u w:val="single"/>
        </w:rPr>
        <w:t xml:space="preserve"> Artikel 3: Wetgeving en controle Tweede Kamer </w:t>
      </w:r>
      <w:r w:rsidRPr="00AA40E7">
        <w:rPr>
          <w:rStyle w:val="Zwaar"/>
          <w:rFonts w:ascii="Times New Roman" w:hAnsi="Times New Roman"/>
          <w:color w:val="000000" w:themeColor="text1"/>
          <w:sz w:val="24"/>
          <w:szCs w:val="24"/>
          <w:u w:val="single"/>
        </w:rPr>
        <w:t>Volksvertegenwoordiging</w:t>
      </w:r>
    </w:p>
    <w:p w:rsidRPr="00AA40E7" w:rsidR="0039050C" w:rsidP="00654798" w:rsidRDefault="51825749" w14:paraId="04FA1833" w14:textId="740E609C">
      <w:pPr>
        <w:pStyle w:val="Normaalweb"/>
        <w:spacing w:before="0" w:beforeAutospacing="0" w:after="0" w:afterAutospacing="0" w:line="240" w:lineRule="atLeast"/>
        <w:rPr>
          <w:color w:val="000000" w:themeColor="text1"/>
        </w:rPr>
      </w:pPr>
      <w:r w:rsidRPr="00AA40E7">
        <w:rPr>
          <w:color w:val="000000" w:themeColor="text1"/>
        </w:rPr>
        <w:t>Als volksvertegenwoordiging heeft de Tweede Kamer twee hoofdtaken: controle van de regering en (mede)wetgeving. Deze taken vloeien voort uit de</w:t>
      </w:r>
      <w:r w:rsidRPr="00AA40E7" w:rsidR="00752D50">
        <w:rPr>
          <w:color w:val="000000" w:themeColor="text1"/>
        </w:rPr>
        <w:t xml:space="preserve"> </w:t>
      </w:r>
      <w:hyperlink r:id="rId17">
        <w:r w:rsidRPr="00AA40E7">
          <w:rPr>
            <w:rStyle w:val="Hyperlink"/>
            <w:color w:val="01689B"/>
          </w:rPr>
          <w:t>artikelen 50 (vertegenwoordiging van het gehele Nederlandse volk)</w:t>
        </w:r>
      </w:hyperlink>
      <w:r w:rsidRPr="00AA40E7">
        <w:rPr>
          <w:color w:val="000000" w:themeColor="text1"/>
        </w:rPr>
        <w:t>,</w:t>
      </w:r>
      <w:r w:rsidRPr="00AA40E7" w:rsidR="00752D50">
        <w:rPr>
          <w:color w:val="000000" w:themeColor="text1"/>
        </w:rPr>
        <w:t xml:space="preserve"> </w:t>
      </w:r>
      <w:hyperlink r:id="rId18">
        <w:r w:rsidRPr="00AA40E7">
          <w:rPr>
            <w:rStyle w:val="Hyperlink"/>
            <w:color w:val="01689B"/>
          </w:rPr>
          <w:t>65 tot en met 72 (werkwijze)</w:t>
        </w:r>
      </w:hyperlink>
      <w:r w:rsidRPr="00AA40E7">
        <w:rPr>
          <w:color w:val="000000" w:themeColor="text1"/>
        </w:rPr>
        <w:t>,</w:t>
      </w:r>
      <w:r w:rsidRPr="00AA40E7" w:rsidR="00752D50">
        <w:rPr>
          <w:color w:val="000000" w:themeColor="text1"/>
        </w:rPr>
        <w:t xml:space="preserve"> </w:t>
      </w:r>
      <w:hyperlink r:id="rId19">
        <w:r w:rsidRPr="00AA40E7">
          <w:rPr>
            <w:rStyle w:val="Hyperlink"/>
            <w:color w:val="01689B"/>
          </w:rPr>
          <w:t>81 tot en met 87 (wetten en andere voorschriften)</w:t>
        </w:r>
      </w:hyperlink>
      <w:r w:rsidRPr="00AA40E7">
        <w:rPr>
          <w:color w:val="000000" w:themeColor="text1"/>
        </w:rPr>
        <w:t>,</w:t>
      </w:r>
      <w:r w:rsidRPr="00AA40E7" w:rsidR="00752D50">
        <w:rPr>
          <w:color w:val="000000" w:themeColor="text1"/>
        </w:rPr>
        <w:t xml:space="preserve"> </w:t>
      </w:r>
      <w:hyperlink r:id="rId20">
        <w:r w:rsidRPr="00AA40E7">
          <w:rPr>
            <w:rStyle w:val="Hyperlink"/>
            <w:color w:val="01689B"/>
          </w:rPr>
          <w:t>105 (begrotingen)</w:t>
        </w:r>
      </w:hyperlink>
      <w:r w:rsidRPr="00AA40E7">
        <w:rPr>
          <w:color w:val="000000" w:themeColor="text1"/>
        </w:rPr>
        <w:t>, en</w:t>
      </w:r>
      <w:r w:rsidRPr="00AA40E7" w:rsidR="00752D50">
        <w:rPr>
          <w:color w:val="000000" w:themeColor="text1"/>
        </w:rPr>
        <w:t xml:space="preserve"> </w:t>
      </w:r>
      <w:hyperlink r:id="rId21">
        <w:r w:rsidRPr="00AA40E7">
          <w:rPr>
            <w:rStyle w:val="Hyperlink"/>
            <w:color w:val="01689B"/>
          </w:rPr>
          <w:t>137 en 138 (grondwetgeving)</w:t>
        </w:r>
      </w:hyperlink>
      <w:r w:rsidRPr="00AA40E7" w:rsidR="00752D50">
        <w:rPr>
          <w:color w:val="000000" w:themeColor="text1"/>
        </w:rPr>
        <w:t xml:space="preserve"> </w:t>
      </w:r>
      <w:r w:rsidRPr="00AA40E7">
        <w:rPr>
          <w:color w:val="000000" w:themeColor="text1"/>
        </w:rPr>
        <w:t>van de grondwet en enkele andere (grond)wetsartikelen.</w:t>
      </w:r>
    </w:p>
    <w:p w:rsidRPr="00AA40E7" w:rsidR="00752D50" w:rsidP="00654798" w:rsidRDefault="00752D50" w14:paraId="598C86EE" w14:textId="77777777">
      <w:pPr>
        <w:pStyle w:val="tussenkop"/>
        <w:spacing w:before="0" w:beforeAutospacing="0" w:after="0" w:afterAutospacing="0" w:line="240" w:lineRule="atLeast"/>
        <w:rPr>
          <w:rStyle w:val="Zwaar"/>
          <w:color w:val="000000" w:themeColor="text1"/>
        </w:rPr>
      </w:pPr>
    </w:p>
    <w:p w:rsidRPr="00AA40E7" w:rsidR="0039050C" w:rsidP="00654798" w:rsidRDefault="51825749" w14:paraId="097F0E22" w14:textId="48F42717">
      <w:pPr>
        <w:pStyle w:val="tussenkop"/>
        <w:spacing w:before="0" w:beforeAutospacing="0" w:after="0" w:afterAutospacing="0" w:line="240" w:lineRule="atLeast"/>
        <w:rPr>
          <w:color w:val="000000" w:themeColor="text1"/>
        </w:rPr>
      </w:pPr>
      <w:r w:rsidRPr="00AA40E7">
        <w:rPr>
          <w:rStyle w:val="Zwaar"/>
          <w:color w:val="000000" w:themeColor="text1"/>
        </w:rPr>
        <w:t>De ambtelijke diensten</w:t>
      </w:r>
    </w:p>
    <w:p w:rsidRPr="00AA40E7" w:rsidR="0039050C" w:rsidP="00654798" w:rsidRDefault="00662138" w14:paraId="6A4DEB44" w14:textId="701C389F">
      <w:pPr>
        <w:pStyle w:val="Normaalweb"/>
        <w:spacing w:before="0" w:beforeAutospacing="0" w:after="0" w:afterAutospacing="0" w:line="240" w:lineRule="atLeast"/>
        <w:rPr>
          <w:color w:val="000000" w:themeColor="text1"/>
        </w:rPr>
      </w:pPr>
      <w:r w:rsidRPr="00AA40E7">
        <w:rPr>
          <w:color w:val="000000" w:themeColor="text1"/>
        </w:rPr>
        <w:t xml:space="preserve">De ambtelijke diensten </w:t>
      </w:r>
      <w:r w:rsidRPr="00AA40E7" w:rsidR="51825749">
        <w:rPr>
          <w:color w:val="000000" w:themeColor="text1"/>
        </w:rPr>
        <w:t>ondersteunen het constitutioneel proces. Dit doen de ambtelijke diensten door middel van het bieden van een politiek neutrale, adequate en innovatieve ondersteuning van de Kamerleden in alle facetten van hun werk als volksvertegenwoordiger. De politieke prioriteiten, zoals door de Kamer bepaald, zijn daarbij leidend.</w:t>
      </w:r>
    </w:p>
    <w:p w:rsidRPr="00AA40E7" w:rsidR="00850BB5" w:rsidP="00654798" w:rsidRDefault="00850BB5" w14:paraId="738A70D6" w14:textId="77777777">
      <w:pPr>
        <w:spacing w:line="240" w:lineRule="atLeast"/>
        <w:rPr>
          <w:rFonts w:ascii="Times New Roman" w:hAnsi="Times New Roman"/>
          <w:sz w:val="24"/>
          <w:szCs w:val="24"/>
          <w:highlight w:val="yellow"/>
        </w:rPr>
      </w:pPr>
    </w:p>
    <w:p w:rsidRPr="00AA40E7" w:rsidR="00AE25CB" w:rsidP="00654798" w:rsidRDefault="0093551D" w14:paraId="2117B4FC" w14:textId="71A08248">
      <w:pPr>
        <w:spacing w:line="240" w:lineRule="atLeast"/>
        <w:rPr>
          <w:rFonts w:ascii="Times New Roman" w:hAnsi="Times New Roman"/>
          <w:sz w:val="24"/>
          <w:szCs w:val="24"/>
        </w:rPr>
      </w:pPr>
      <w:r w:rsidRPr="00AA40E7">
        <w:rPr>
          <w:rFonts w:ascii="Times New Roman" w:hAnsi="Times New Roman"/>
          <w:sz w:val="24"/>
          <w:szCs w:val="24"/>
        </w:rPr>
        <w:t>De</w:t>
      </w:r>
      <w:r w:rsidRPr="00AA40E7" w:rsidR="51825749">
        <w:rPr>
          <w:rFonts w:ascii="Times New Roman" w:hAnsi="Times New Roman"/>
          <w:sz w:val="24"/>
          <w:szCs w:val="24"/>
        </w:rPr>
        <w:t xml:space="preserve"> </w:t>
      </w:r>
      <w:r w:rsidRPr="00AA40E7" w:rsidR="00C75089">
        <w:rPr>
          <w:rFonts w:ascii="Times New Roman" w:hAnsi="Times New Roman"/>
          <w:sz w:val="24"/>
          <w:szCs w:val="24"/>
        </w:rPr>
        <w:t xml:space="preserve">aandachtspunten </w:t>
      </w:r>
      <w:r w:rsidRPr="00AA40E7" w:rsidR="002D7E22">
        <w:rPr>
          <w:rFonts w:ascii="Times New Roman" w:hAnsi="Times New Roman"/>
          <w:sz w:val="24"/>
          <w:szCs w:val="24"/>
        </w:rPr>
        <w:t>voor de Raming 2025</w:t>
      </w:r>
      <w:r w:rsidRPr="00AA40E7" w:rsidR="51825749">
        <w:rPr>
          <w:rFonts w:ascii="Times New Roman" w:hAnsi="Times New Roman"/>
          <w:sz w:val="24"/>
          <w:szCs w:val="24"/>
        </w:rPr>
        <w:t xml:space="preserve"> </w:t>
      </w:r>
      <w:r w:rsidRPr="00AA40E7" w:rsidR="006E2B2F">
        <w:rPr>
          <w:rFonts w:ascii="Times New Roman" w:hAnsi="Times New Roman"/>
          <w:sz w:val="24"/>
          <w:szCs w:val="24"/>
        </w:rPr>
        <w:t xml:space="preserve">zijn </w:t>
      </w:r>
      <w:r w:rsidRPr="00AA40E7" w:rsidR="51825749">
        <w:rPr>
          <w:rFonts w:ascii="Times New Roman" w:hAnsi="Times New Roman"/>
          <w:sz w:val="24"/>
          <w:szCs w:val="24"/>
        </w:rPr>
        <w:t xml:space="preserve">toegelicht in de </w:t>
      </w:r>
      <w:r w:rsidRPr="00AA40E7" w:rsidR="00374847">
        <w:rPr>
          <w:rFonts w:ascii="Times New Roman" w:hAnsi="Times New Roman"/>
          <w:sz w:val="24"/>
          <w:szCs w:val="24"/>
        </w:rPr>
        <w:t>be</w:t>
      </w:r>
      <w:r w:rsidRPr="00AA40E7" w:rsidR="51825749">
        <w:rPr>
          <w:rFonts w:ascii="Times New Roman" w:hAnsi="Times New Roman"/>
          <w:sz w:val="24"/>
          <w:szCs w:val="24"/>
        </w:rPr>
        <w:t>geleidende brief (</w:t>
      </w:r>
      <w:r w:rsidRPr="00AA40E7" w:rsidR="00671274">
        <w:rPr>
          <w:rFonts w:ascii="Times New Roman" w:hAnsi="Times New Roman"/>
          <w:sz w:val="24"/>
          <w:szCs w:val="24"/>
        </w:rPr>
        <w:t>s</w:t>
      </w:r>
      <w:r w:rsidRPr="00AA40E7" w:rsidR="00B36A0B">
        <w:rPr>
          <w:rFonts w:ascii="Times New Roman" w:hAnsi="Times New Roman"/>
          <w:sz w:val="24"/>
          <w:szCs w:val="24"/>
        </w:rPr>
        <w:t>tuknummer</w:t>
      </w:r>
      <w:r w:rsidRPr="00AA40E7" w:rsidR="51825749">
        <w:rPr>
          <w:rFonts w:ascii="Times New Roman" w:hAnsi="Times New Roman"/>
          <w:sz w:val="24"/>
          <w:szCs w:val="24"/>
        </w:rPr>
        <w:t xml:space="preserve"> 1). </w:t>
      </w:r>
    </w:p>
    <w:p w:rsidRPr="00AA40E7" w:rsidR="00AE25CB" w:rsidP="00654798" w:rsidRDefault="00AE25CB" w14:paraId="2586E91C" w14:textId="77777777">
      <w:pPr>
        <w:spacing w:line="240" w:lineRule="atLeast"/>
        <w:ind w:left="284" w:hanging="284"/>
        <w:rPr>
          <w:rFonts w:ascii="Times New Roman" w:hAnsi="Times New Roman"/>
          <w:sz w:val="24"/>
          <w:szCs w:val="24"/>
          <w:highlight w:val="yellow"/>
        </w:rPr>
      </w:pPr>
    </w:p>
    <w:p w:rsidRPr="00AA40E7" w:rsidR="00162928" w:rsidP="00654798" w:rsidRDefault="6A329A42" w14:paraId="7E97226F" w14:textId="239D6FAC">
      <w:pPr>
        <w:spacing w:line="240" w:lineRule="atLeast"/>
        <w:rPr>
          <w:rFonts w:ascii="Times New Roman" w:hAnsi="Times New Roman"/>
          <w:sz w:val="24"/>
          <w:szCs w:val="24"/>
        </w:rPr>
      </w:pPr>
      <w:r w:rsidRPr="00AA40E7">
        <w:rPr>
          <w:rFonts w:ascii="Times New Roman" w:hAnsi="Times New Roman"/>
          <w:sz w:val="24"/>
          <w:szCs w:val="24"/>
        </w:rPr>
        <w:t xml:space="preserve">De uitgangspositie voor dit artikel is het meerjarencijfer bezien vanuit de </w:t>
      </w:r>
      <w:r w:rsidRPr="00AA40E7" w:rsidR="003403D3">
        <w:rPr>
          <w:rFonts w:ascii="Times New Roman" w:hAnsi="Times New Roman"/>
          <w:sz w:val="24"/>
          <w:szCs w:val="24"/>
        </w:rPr>
        <w:t xml:space="preserve">begroting </w:t>
      </w:r>
      <w:r w:rsidRPr="00AA40E7" w:rsidR="002D7E22">
        <w:rPr>
          <w:rFonts w:ascii="Times New Roman" w:hAnsi="Times New Roman"/>
          <w:sz w:val="24"/>
          <w:szCs w:val="24"/>
        </w:rPr>
        <w:t>2024</w:t>
      </w:r>
      <w:r w:rsidRPr="00AA40E7">
        <w:rPr>
          <w:rFonts w:ascii="Times New Roman" w:hAnsi="Times New Roman"/>
          <w:sz w:val="24"/>
          <w:szCs w:val="24"/>
        </w:rPr>
        <w:t xml:space="preserve"> </w:t>
      </w:r>
      <w:r w:rsidRPr="00AA40E7" w:rsidR="00C81E4A">
        <w:rPr>
          <w:rFonts w:ascii="Times New Roman" w:hAnsi="Times New Roman"/>
          <w:sz w:val="24"/>
          <w:szCs w:val="24"/>
        </w:rPr>
        <w:t>(Kamerstuk 36410-IIA</w:t>
      </w:r>
      <w:r w:rsidRPr="00AA40E7" w:rsidR="003403D3">
        <w:rPr>
          <w:rFonts w:ascii="Times New Roman" w:hAnsi="Times New Roman"/>
          <w:sz w:val="24"/>
          <w:szCs w:val="24"/>
        </w:rPr>
        <w:t xml:space="preserve">) </w:t>
      </w:r>
      <w:r w:rsidRPr="00AA40E7">
        <w:rPr>
          <w:rFonts w:ascii="Times New Roman" w:hAnsi="Times New Roman"/>
          <w:sz w:val="24"/>
          <w:szCs w:val="24"/>
        </w:rPr>
        <w:t>aangevuld met (structurele doorwerking van) de mutaties naar aanleiding van de Voorjaarsnota 2</w:t>
      </w:r>
      <w:r w:rsidRPr="00AA40E7" w:rsidR="002D7E22">
        <w:rPr>
          <w:rFonts w:ascii="Times New Roman" w:hAnsi="Times New Roman"/>
          <w:sz w:val="24"/>
          <w:szCs w:val="24"/>
        </w:rPr>
        <w:t>024</w:t>
      </w:r>
      <w:r w:rsidRPr="00AA40E7">
        <w:rPr>
          <w:rFonts w:ascii="Times New Roman" w:hAnsi="Times New Roman"/>
          <w:sz w:val="24"/>
          <w:szCs w:val="24"/>
        </w:rPr>
        <w:t>. De Tweede Kamer heeft ‘Voorjaarsnotamutatie(s)’ (suppletoire begrotingswijziging bij gelegenheid van de Voorjaarsnota</w:t>
      </w:r>
      <w:r w:rsidRPr="00AA40E7" w:rsidR="002D7E22">
        <w:rPr>
          <w:rFonts w:ascii="Times New Roman" w:hAnsi="Times New Roman"/>
          <w:sz w:val="24"/>
          <w:szCs w:val="24"/>
        </w:rPr>
        <w:t xml:space="preserve"> 2024</w:t>
      </w:r>
      <w:r w:rsidRPr="00AA40E7">
        <w:rPr>
          <w:rFonts w:ascii="Times New Roman" w:hAnsi="Times New Roman"/>
          <w:sz w:val="24"/>
          <w:szCs w:val="24"/>
        </w:rPr>
        <w:t>) aangemeld bij het ministerie van B</w:t>
      </w:r>
      <w:r w:rsidRPr="00AA40E7" w:rsidR="002D3677">
        <w:rPr>
          <w:rFonts w:ascii="Times New Roman" w:hAnsi="Times New Roman"/>
          <w:sz w:val="24"/>
          <w:szCs w:val="24"/>
        </w:rPr>
        <w:t xml:space="preserve">innenlandse Zaken en </w:t>
      </w:r>
    </w:p>
    <w:p w:rsidRPr="00AA40E7" w:rsidR="00D67FE2" w:rsidP="00654798" w:rsidRDefault="002D3677" w14:paraId="4070D705" w14:textId="1FE4BB01">
      <w:pPr>
        <w:spacing w:line="240" w:lineRule="atLeast"/>
        <w:rPr>
          <w:rFonts w:ascii="Times New Roman" w:hAnsi="Times New Roman"/>
          <w:sz w:val="24"/>
          <w:szCs w:val="24"/>
        </w:rPr>
      </w:pPr>
      <w:r w:rsidRPr="00AA40E7">
        <w:rPr>
          <w:rFonts w:ascii="Times New Roman" w:hAnsi="Times New Roman"/>
          <w:sz w:val="24"/>
          <w:szCs w:val="24"/>
        </w:rPr>
        <w:t>Koninkrijksrelaties</w:t>
      </w:r>
      <w:r w:rsidRPr="00AA40E7" w:rsidR="6A329A42">
        <w:rPr>
          <w:rFonts w:ascii="Times New Roman" w:hAnsi="Times New Roman"/>
          <w:sz w:val="24"/>
          <w:szCs w:val="24"/>
        </w:rPr>
        <w:t xml:space="preserve">. </w:t>
      </w:r>
    </w:p>
    <w:p w:rsidRPr="00AA40E7" w:rsidR="00D67FE2" w:rsidP="00654798" w:rsidRDefault="00D67FE2" w14:paraId="24E6DFEB" w14:textId="77777777">
      <w:pPr>
        <w:spacing w:line="240" w:lineRule="atLeast"/>
        <w:rPr>
          <w:rFonts w:ascii="Times New Roman" w:hAnsi="Times New Roman"/>
          <w:sz w:val="24"/>
          <w:szCs w:val="24"/>
        </w:rPr>
      </w:pPr>
      <w:r w:rsidRPr="00AA40E7">
        <w:rPr>
          <w:rFonts w:ascii="Times New Roman" w:hAnsi="Times New Roman"/>
          <w:sz w:val="24"/>
          <w:szCs w:val="24"/>
        </w:rPr>
        <w:br w:type="page"/>
      </w:r>
    </w:p>
    <w:p w:rsidRPr="00AA40E7" w:rsidR="00DC63F0" w:rsidP="00654798" w:rsidRDefault="00DC63F0" w14:paraId="421BCAF8" w14:textId="25F956CC">
      <w:pPr>
        <w:spacing w:line="240" w:lineRule="atLeast"/>
        <w:rPr>
          <w:rFonts w:ascii="Times New Roman" w:hAnsi="Times New Roman"/>
          <w:i/>
          <w:iCs/>
          <w:sz w:val="24"/>
          <w:szCs w:val="24"/>
        </w:rPr>
      </w:pPr>
      <w:r w:rsidRPr="00AA40E7">
        <w:rPr>
          <w:rFonts w:ascii="Times New Roman" w:hAnsi="Times New Roman"/>
          <w:i/>
          <w:iCs/>
          <w:sz w:val="24"/>
          <w:szCs w:val="24"/>
        </w:rPr>
        <w:t>Tabel 4 Budgettaire gevolgen van beleid</w:t>
      </w:r>
    </w:p>
    <w:tbl>
      <w:tblPr>
        <w:tblW w:w="9072" w:type="dxa"/>
        <w:tblLayout w:type="fixed"/>
        <w:tblCellMar>
          <w:left w:w="70" w:type="dxa"/>
          <w:right w:w="70" w:type="dxa"/>
        </w:tblCellMar>
        <w:tblLook w:val="04A0" w:firstRow="1" w:lastRow="0" w:firstColumn="1" w:lastColumn="0" w:noHBand="0" w:noVBand="1"/>
      </w:tblPr>
      <w:tblGrid>
        <w:gridCol w:w="2694"/>
        <w:gridCol w:w="1134"/>
        <w:gridCol w:w="708"/>
        <w:gridCol w:w="284"/>
        <w:gridCol w:w="992"/>
        <w:gridCol w:w="1134"/>
        <w:gridCol w:w="992"/>
        <w:gridCol w:w="1134"/>
      </w:tblGrid>
      <w:tr w:rsidRPr="00AA40E7" w:rsidR="00810BA0" w:rsidTr="00810BA0" w14:paraId="6BC97884" w14:textId="77777777">
        <w:trPr>
          <w:trHeight w:val="300"/>
        </w:trPr>
        <w:tc>
          <w:tcPr>
            <w:tcW w:w="2694" w:type="dxa"/>
            <w:tcBorders>
              <w:top w:val="nil"/>
              <w:left w:val="nil"/>
              <w:bottom w:val="nil"/>
              <w:right w:val="nil"/>
            </w:tcBorders>
            <w:shd w:val="clear" w:color="000000" w:fill="002060"/>
            <w:vAlign w:val="center"/>
            <w:hideMark/>
          </w:tcPr>
          <w:p w:rsidRPr="00AA40E7" w:rsidR="00810BA0" w:rsidP="00654798" w:rsidRDefault="00810BA0" w14:paraId="0C8E39A8" w14:textId="17D266E4">
            <w:pPr>
              <w:spacing w:line="240" w:lineRule="atLeast"/>
              <w:rPr>
                <w:rFonts w:ascii="Times New Roman" w:hAnsi="Times New Roman"/>
                <w:b/>
                <w:bCs/>
                <w:iCs/>
                <w:sz w:val="24"/>
                <w:szCs w:val="24"/>
              </w:rPr>
            </w:pPr>
            <w:r w:rsidRPr="00AA40E7">
              <w:rPr>
                <w:rFonts w:ascii="Times New Roman" w:hAnsi="Times New Roman"/>
                <w:b/>
                <w:bCs/>
                <w:iCs/>
                <w:sz w:val="24"/>
                <w:szCs w:val="24"/>
              </w:rPr>
              <w:t xml:space="preserve">Artikel 3: Wetgeving en controle </w:t>
            </w:r>
          </w:p>
        </w:tc>
        <w:tc>
          <w:tcPr>
            <w:tcW w:w="1134" w:type="dxa"/>
            <w:tcBorders>
              <w:top w:val="nil"/>
              <w:left w:val="nil"/>
              <w:bottom w:val="nil"/>
              <w:right w:val="nil"/>
            </w:tcBorders>
            <w:shd w:val="clear" w:color="000000" w:fill="002060"/>
            <w:noWrap/>
            <w:vAlign w:val="center"/>
          </w:tcPr>
          <w:p w:rsidRPr="00AA40E7" w:rsidR="00810BA0" w:rsidP="00654798" w:rsidRDefault="00810BA0" w14:paraId="474690F0" w14:textId="6C9E396A">
            <w:pPr>
              <w:spacing w:line="240" w:lineRule="atLeast"/>
              <w:jc w:val="right"/>
              <w:rPr>
                <w:rFonts w:ascii="Times New Roman" w:hAnsi="Times New Roman"/>
                <w:b/>
                <w:bCs/>
                <w:iCs/>
                <w:sz w:val="24"/>
                <w:szCs w:val="24"/>
              </w:rPr>
            </w:pPr>
          </w:p>
        </w:tc>
        <w:tc>
          <w:tcPr>
            <w:tcW w:w="708" w:type="dxa"/>
            <w:tcBorders>
              <w:top w:val="nil"/>
              <w:left w:val="nil"/>
              <w:bottom w:val="nil"/>
              <w:right w:val="nil"/>
            </w:tcBorders>
            <w:shd w:val="clear" w:color="000000" w:fill="002060"/>
            <w:noWrap/>
            <w:vAlign w:val="center"/>
          </w:tcPr>
          <w:p w:rsidRPr="00AA40E7" w:rsidR="00810BA0" w:rsidP="00654798" w:rsidRDefault="00810BA0" w14:paraId="793315C9" w14:textId="68324C19">
            <w:pPr>
              <w:spacing w:line="240" w:lineRule="atLeast"/>
              <w:jc w:val="right"/>
              <w:rPr>
                <w:rFonts w:ascii="Times New Roman" w:hAnsi="Times New Roman"/>
                <w:b/>
                <w:bCs/>
                <w:iCs/>
                <w:sz w:val="24"/>
                <w:szCs w:val="24"/>
              </w:rPr>
            </w:pPr>
          </w:p>
        </w:tc>
        <w:tc>
          <w:tcPr>
            <w:tcW w:w="1276" w:type="dxa"/>
            <w:gridSpan w:val="2"/>
            <w:tcBorders>
              <w:top w:val="nil"/>
              <w:left w:val="nil"/>
              <w:bottom w:val="nil"/>
              <w:right w:val="nil"/>
            </w:tcBorders>
            <w:shd w:val="clear" w:color="000000" w:fill="002060"/>
            <w:noWrap/>
            <w:vAlign w:val="center"/>
          </w:tcPr>
          <w:p w:rsidRPr="00AA40E7" w:rsidR="00810BA0" w:rsidP="00654798" w:rsidRDefault="00810BA0" w14:paraId="37D7AE9D" w14:textId="312B60EE">
            <w:pPr>
              <w:spacing w:line="240" w:lineRule="atLeast"/>
              <w:jc w:val="right"/>
              <w:rPr>
                <w:rFonts w:ascii="Times New Roman" w:hAnsi="Times New Roman"/>
                <w:b/>
                <w:bCs/>
                <w:iCs/>
                <w:sz w:val="24"/>
                <w:szCs w:val="24"/>
              </w:rPr>
            </w:pPr>
          </w:p>
        </w:tc>
        <w:tc>
          <w:tcPr>
            <w:tcW w:w="1134" w:type="dxa"/>
            <w:tcBorders>
              <w:top w:val="nil"/>
              <w:left w:val="nil"/>
              <w:bottom w:val="nil"/>
              <w:right w:val="nil"/>
            </w:tcBorders>
            <w:shd w:val="clear" w:color="000000" w:fill="002060"/>
            <w:noWrap/>
            <w:vAlign w:val="center"/>
          </w:tcPr>
          <w:p w:rsidRPr="00AA40E7" w:rsidR="00810BA0" w:rsidP="00654798" w:rsidRDefault="00810BA0" w14:paraId="68529AC5" w14:textId="50FDBC3D">
            <w:pPr>
              <w:spacing w:line="240" w:lineRule="atLeast"/>
              <w:jc w:val="right"/>
              <w:rPr>
                <w:rFonts w:ascii="Times New Roman" w:hAnsi="Times New Roman"/>
                <w:b/>
                <w:bCs/>
                <w:iCs/>
                <w:sz w:val="24"/>
                <w:szCs w:val="24"/>
              </w:rPr>
            </w:pPr>
          </w:p>
        </w:tc>
        <w:tc>
          <w:tcPr>
            <w:tcW w:w="992" w:type="dxa"/>
            <w:tcBorders>
              <w:top w:val="nil"/>
              <w:left w:val="nil"/>
              <w:bottom w:val="nil"/>
              <w:right w:val="nil"/>
            </w:tcBorders>
            <w:shd w:val="clear" w:color="000000" w:fill="002060"/>
            <w:noWrap/>
            <w:vAlign w:val="center"/>
          </w:tcPr>
          <w:p w:rsidRPr="00AA40E7" w:rsidR="00810BA0" w:rsidP="00654798" w:rsidRDefault="00810BA0" w14:paraId="44085A52" w14:textId="219E4D07">
            <w:pPr>
              <w:spacing w:line="240" w:lineRule="atLeast"/>
              <w:jc w:val="right"/>
              <w:rPr>
                <w:rFonts w:ascii="Times New Roman" w:hAnsi="Times New Roman"/>
                <w:b/>
                <w:bCs/>
                <w:iCs/>
                <w:sz w:val="24"/>
                <w:szCs w:val="24"/>
              </w:rPr>
            </w:pPr>
          </w:p>
        </w:tc>
        <w:tc>
          <w:tcPr>
            <w:tcW w:w="1134" w:type="dxa"/>
            <w:tcBorders>
              <w:top w:val="nil"/>
              <w:left w:val="nil"/>
              <w:bottom w:val="nil"/>
              <w:right w:val="nil"/>
            </w:tcBorders>
            <w:shd w:val="clear" w:color="000000" w:fill="002060"/>
            <w:vAlign w:val="center"/>
          </w:tcPr>
          <w:p w:rsidRPr="00AA40E7" w:rsidR="00810BA0" w:rsidP="00654798" w:rsidRDefault="00810BA0" w14:paraId="0F7DE511" w14:textId="33D8DCE0">
            <w:pPr>
              <w:spacing w:line="240" w:lineRule="atLeast"/>
              <w:jc w:val="right"/>
              <w:rPr>
                <w:rFonts w:ascii="Times New Roman" w:hAnsi="Times New Roman"/>
                <w:b/>
                <w:bCs/>
                <w:iCs/>
                <w:sz w:val="24"/>
                <w:szCs w:val="24"/>
              </w:rPr>
            </w:pPr>
          </w:p>
        </w:tc>
      </w:tr>
      <w:tr w:rsidRPr="00AA40E7" w:rsidR="00810BA0" w:rsidTr="00810BA0" w14:paraId="0B058688" w14:textId="77777777">
        <w:trPr>
          <w:trHeight w:val="300"/>
        </w:trPr>
        <w:tc>
          <w:tcPr>
            <w:tcW w:w="2694" w:type="dxa"/>
            <w:tcBorders>
              <w:top w:val="nil"/>
              <w:left w:val="nil"/>
              <w:bottom w:val="nil"/>
              <w:right w:val="nil"/>
            </w:tcBorders>
            <w:shd w:val="clear" w:color="000000" w:fill="002060"/>
            <w:vAlign w:val="center"/>
            <w:hideMark/>
          </w:tcPr>
          <w:p w:rsidRPr="00AA40E7" w:rsidR="00D714F6" w:rsidP="00654798" w:rsidRDefault="00810BA0" w14:paraId="71F0A391" w14:textId="77777777">
            <w:pPr>
              <w:spacing w:line="240" w:lineRule="atLeast"/>
              <w:rPr>
                <w:rFonts w:ascii="Times New Roman" w:hAnsi="Times New Roman"/>
                <w:b/>
                <w:bCs/>
                <w:iCs/>
                <w:sz w:val="24"/>
                <w:szCs w:val="24"/>
              </w:rPr>
            </w:pPr>
            <w:r w:rsidRPr="00AA40E7">
              <w:rPr>
                <w:rFonts w:ascii="Times New Roman" w:hAnsi="Times New Roman"/>
                <w:b/>
                <w:bCs/>
                <w:iCs/>
                <w:sz w:val="24"/>
                <w:szCs w:val="24"/>
              </w:rPr>
              <w:t xml:space="preserve">Tweede Kamer </w:t>
            </w:r>
          </w:p>
          <w:p w:rsidRPr="00AA40E7" w:rsidR="00810BA0" w:rsidP="00654798" w:rsidRDefault="00810BA0" w14:paraId="2B215AC3" w14:textId="4BBB2E82">
            <w:pPr>
              <w:spacing w:line="240" w:lineRule="atLeast"/>
              <w:rPr>
                <w:rFonts w:ascii="Times New Roman" w:hAnsi="Times New Roman"/>
                <w:b/>
                <w:bCs/>
                <w:iCs/>
                <w:sz w:val="24"/>
                <w:szCs w:val="24"/>
              </w:rPr>
            </w:pPr>
            <w:r w:rsidRPr="00AA40E7">
              <w:rPr>
                <w:rFonts w:ascii="Times New Roman" w:hAnsi="Times New Roman"/>
                <w:b/>
                <w:bCs/>
                <w:iCs/>
                <w:sz w:val="24"/>
                <w:szCs w:val="24"/>
              </w:rPr>
              <w:t>(in €1 000)</w:t>
            </w:r>
          </w:p>
        </w:tc>
        <w:tc>
          <w:tcPr>
            <w:tcW w:w="1134" w:type="dxa"/>
            <w:tcBorders>
              <w:top w:val="nil"/>
              <w:left w:val="nil"/>
              <w:bottom w:val="nil"/>
              <w:right w:val="nil"/>
            </w:tcBorders>
            <w:shd w:val="clear" w:color="000000" w:fill="002060"/>
            <w:noWrap/>
            <w:vAlign w:val="center"/>
            <w:hideMark/>
          </w:tcPr>
          <w:p w:rsidRPr="00AA40E7" w:rsidR="00810BA0" w:rsidP="00654798" w:rsidRDefault="00810BA0" w14:paraId="39A3B997" w14:textId="0368FCE6">
            <w:pPr>
              <w:spacing w:line="240" w:lineRule="atLeast"/>
              <w:jc w:val="right"/>
              <w:rPr>
                <w:rFonts w:ascii="Times New Roman" w:hAnsi="Times New Roman"/>
                <w:b/>
                <w:bCs/>
                <w:iCs/>
                <w:sz w:val="24"/>
                <w:szCs w:val="24"/>
              </w:rPr>
            </w:pPr>
            <w:r w:rsidRPr="00AA40E7">
              <w:rPr>
                <w:rFonts w:ascii="Times New Roman" w:hAnsi="Times New Roman"/>
                <w:b/>
                <w:bCs/>
                <w:iCs/>
                <w:sz w:val="24"/>
                <w:szCs w:val="24"/>
              </w:rPr>
              <w:t>2024</w:t>
            </w:r>
          </w:p>
        </w:tc>
        <w:tc>
          <w:tcPr>
            <w:tcW w:w="992" w:type="dxa"/>
            <w:gridSpan w:val="2"/>
            <w:tcBorders>
              <w:top w:val="nil"/>
              <w:left w:val="nil"/>
              <w:bottom w:val="nil"/>
              <w:right w:val="nil"/>
            </w:tcBorders>
            <w:shd w:val="clear" w:color="000000" w:fill="002060"/>
            <w:noWrap/>
            <w:vAlign w:val="center"/>
            <w:hideMark/>
          </w:tcPr>
          <w:p w:rsidRPr="00AA40E7" w:rsidR="00810BA0" w:rsidP="00654798" w:rsidRDefault="00810BA0" w14:paraId="5913AC06" w14:textId="30B8CC4F">
            <w:pPr>
              <w:spacing w:line="240" w:lineRule="atLeast"/>
              <w:jc w:val="right"/>
              <w:rPr>
                <w:rFonts w:ascii="Times New Roman" w:hAnsi="Times New Roman"/>
                <w:b/>
                <w:bCs/>
                <w:iCs/>
                <w:sz w:val="24"/>
                <w:szCs w:val="24"/>
              </w:rPr>
            </w:pPr>
            <w:r w:rsidRPr="00AA40E7">
              <w:rPr>
                <w:rFonts w:ascii="Times New Roman" w:hAnsi="Times New Roman"/>
                <w:b/>
                <w:bCs/>
                <w:iCs/>
                <w:sz w:val="24"/>
                <w:szCs w:val="24"/>
              </w:rPr>
              <w:t>2025</w:t>
            </w:r>
          </w:p>
        </w:tc>
        <w:tc>
          <w:tcPr>
            <w:tcW w:w="992" w:type="dxa"/>
            <w:tcBorders>
              <w:top w:val="nil"/>
              <w:left w:val="nil"/>
              <w:bottom w:val="nil"/>
              <w:right w:val="nil"/>
            </w:tcBorders>
            <w:shd w:val="clear" w:color="000000" w:fill="002060"/>
            <w:noWrap/>
            <w:vAlign w:val="center"/>
            <w:hideMark/>
          </w:tcPr>
          <w:p w:rsidRPr="00AA40E7" w:rsidR="00810BA0" w:rsidP="00654798" w:rsidRDefault="00810BA0" w14:paraId="62BB37AC" w14:textId="00D69CD8">
            <w:pPr>
              <w:spacing w:line="240" w:lineRule="atLeast"/>
              <w:jc w:val="right"/>
              <w:rPr>
                <w:rFonts w:ascii="Times New Roman" w:hAnsi="Times New Roman"/>
                <w:b/>
                <w:bCs/>
                <w:iCs/>
                <w:sz w:val="24"/>
                <w:szCs w:val="24"/>
              </w:rPr>
            </w:pPr>
            <w:r w:rsidRPr="00AA40E7">
              <w:rPr>
                <w:rFonts w:ascii="Times New Roman" w:hAnsi="Times New Roman"/>
                <w:b/>
                <w:bCs/>
                <w:iCs/>
                <w:sz w:val="24"/>
                <w:szCs w:val="24"/>
              </w:rPr>
              <w:t>2026</w:t>
            </w:r>
          </w:p>
        </w:tc>
        <w:tc>
          <w:tcPr>
            <w:tcW w:w="1134" w:type="dxa"/>
            <w:tcBorders>
              <w:top w:val="nil"/>
              <w:left w:val="nil"/>
              <w:bottom w:val="nil"/>
              <w:right w:val="nil"/>
            </w:tcBorders>
            <w:shd w:val="clear" w:color="000000" w:fill="002060"/>
            <w:noWrap/>
            <w:vAlign w:val="center"/>
            <w:hideMark/>
          </w:tcPr>
          <w:p w:rsidRPr="00AA40E7" w:rsidR="00810BA0" w:rsidP="00654798" w:rsidRDefault="00810BA0" w14:paraId="4353A4FD" w14:textId="27E288AD">
            <w:pPr>
              <w:spacing w:line="240" w:lineRule="atLeast"/>
              <w:jc w:val="right"/>
              <w:rPr>
                <w:rFonts w:ascii="Times New Roman" w:hAnsi="Times New Roman"/>
                <w:b/>
                <w:bCs/>
                <w:iCs/>
                <w:sz w:val="24"/>
                <w:szCs w:val="24"/>
              </w:rPr>
            </w:pPr>
            <w:r w:rsidRPr="00AA40E7">
              <w:rPr>
                <w:rFonts w:ascii="Times New Roman" w:hAnsi="Times New Roman"/>
                <w:b/>
                <w:bCs/>
                <w:iCs/>
                <w:sz w:val="24"/>
                <w:szCs w:val="24"/>
              </w:rPr>
              <w:t>2027</w:t>
            </w:r>
          </w:p>
        </w:tc>
        <w:tc>
          <w:tcPr>
            <w:tcW w:w="992" w:type="dxa"/>
            <w:tcBorders>
              <w:top w:val="nil"/>
              <w:left w:val="nil"/>
              <w:bottom w:val="nil"/>
              <w:right w:val="nil"/>
            </w:tcBorders>
            <w:shd w:val="clear" w:color="000000" w:fill="002060"/>
            <w:noWrap/>
            <w:vAlign w:val="center"/>
            <w:hideMark/>
          </w:tcPr>
          <w:p w:rsidRPr="00AA40E7" w:rsidR="00810BA0" w:rsidP="00654798" w:rsidRDefault="00810BA0" w14:paraId="7AED6023" w14:textId="3EFA5DB9">
            <w:pPr>
              <w:spacing w:line="240" w:lineRule="atLeast"/>
              <w:jc w:val="right"/>
              <w:rPr>
                <w:rFonts w:ascii="Times New Roman" w:hAnsi="Times New Roman"/>
                <w:b/>
                <w:bCs/>
                <w:iCs/>
                <w:sz w:val="24"/>
                <w:szCs w:val="24"/>
              </w:rPr>
            </w:pPr>
            <w:r w:rsidRPr="00AA40E7">
              <w:rPr>
                <w:rFonts w:ascii="Times New Roman" w:hAnsi="Times New Roman"/>
                <w:b/>
                <w:bCs/>
                <w:iCs/>
                <w:sz w:val="24"/>
                <w:szCs w:val="24"/>
              </w:rPr>
              <w:t>2028</w:t>
            </w:r>
          </w:p>
        </w:tc>
        <w:tc>
          <w:tcPr>
            <w:tcW w:w="1134" w:type="dxa"/>
            <w:tcBorders>
              <w:top w:val="nil"/>
              <w:left w:val="nil"/>
              <w:bottom w:val="nil"/>
              <w:right w:val="nil"/>
            </w:tcBorders>
            <w:shd w:val="clear" w:color="000000" w:fill="002060"/>
            <w:vAlign w:val="center"/>
            <w:hideMark/>
          </w:tcPr>
          <w:p w:rsidRPr="00AA40E7" w:rsidR="00810BA0" w:rsidP="00654798" w:rsidRDefault="00810BA0" w14:paraId="7F8E23EF" w14:textId="2CE8125E">
            <w:pPr>
              <w:spacing w:line="240" w:lineRule="atLeast"/>
              <w:jc w:val="right"/>
              <w:rPr>
                <w:rFonts w:ascii="Times New Roman" w:hAnsi="Times New Roman"/>
                <w:b/>
                <w:bCs/>
                <w:iCs/>
                <w:sz w:val="24"/>
                <w:szCs w:val="24"/>
              </w:rPr>
            </w:pPr>
            <w:r w:rsidRPr="00AA40E7">
              <w:rPr>
                <w:rFonts w:ascii="Times New Roman" w:hAnsi="Times New Roman"/>
                <w:b/>
                <w:bCs/>
                <w:iCs/>
                <w:sz w:val="24"/>
                <w:szCs w:val="24"/>
              </w:rPr>
              <w:t>2029</w:t>
            </w:r>
          </w:p>
        </w:tc>
      </w:tr>
      <w:tr w:rsidRPr="00AA40E7" w:rsidR="00237DD5" w:rsidTr="00810BA0" w14:paraId="25ED1803"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6E06C8E0" w14:textId="3414ED02">
            <w:pPr>
              <w:spacing w:line="240" w:lineRule="atLeast"/>
              <w:rPr>
                <w:rFonts w:ascii="Times New Roman" w:hAnsi="Times New Roman"/>
                <w:iCs/>
                <w:sz w:val="24"/>
                <w:szCs w:val="24"/>
              </w:rPr>
            </w:pPr>
            <w:r w:rsidRPr="00AA40E7">
              <w:rPr>
                <w:rFonts w:ascii="Times New Roman" w:hAnsi="Times New Roman"/>
                <w:iCs/>
                <w:sz w:val="24"/>
                <w:szCs w:val="24"/>
              </w:rPr>
              <w:t>Verplichtingen</w:t>
            </w:r>
            <w:r w:rsidRPr="00AA40E7" w:rsidR="007E4550">
              <w:rPr>
                <w:rFonts w:ascii="Times New Roman" w:hAnsi="Times New Roman"/>
                <w:iCs/>
                <w:sz w:val="24"/>
                <w:szCs w:val="24"/>
              </w:rPr>
              <w:t>*</w:t>
            </w:r>
          </w:p>
        </w:tc>
        <w:tc>
          <w:tcPr>
            <w:tcW w:w="1134" w:type="dxa"/>
            <w:tcBorders>
              <w:top w:val="nil"/>
              <w:left w:val="nil"/>
              <w:bottom w:val="nil"/>
              <w:right w:val="nil"/>
            </w:tcBorders>
            <w:shd w:val="clear" w:color="auto" w:fill="auto"/>
            <w:vAlign w:val="center"/>
            <w:hideMark/>
          </w:tcPr>
          <w:p w:rsidRPr="00AA40E7" w:rsidR="00237DD5" w:rsidP="00654798" w:rsidRDefault="00237DD5" w14:paraId="15551F6E" w14:textId="79525688">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203.428</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7DA381B8" w14:textId="1C333F02">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180.703</w:t>
            </w:r>
          </w:p>
        </w:tc>
        <w:tc>
          <w:tcPr>
            <w:tcW w:w="992" w:type="dxa"/>
            <w:tcBorders>
              <w:top w:val="nil"/>
              <w:left w:val="nil"/>
              <w:bottom w:val="nil"/>
              <w:right w:val="nil"/>
            </w:tcBorders>
            <w:shd w:val="clear" w:color="auto" w:fill="auto"/>
            <w:vAlign w:val="center"/>
            <w:hideMark/>
          </w:tcPr>
          <w:p w:rsidRPr="00AA40E7" w:rsidR="00237DD5" w:rsidP="00654798" w:rsidRDefault="00237DD5" w14:paraId="04B469FB" w14:textId="5C587C57">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183.606</w:t>
            </w:r>
          </w:p>
        </w:tc>
        <w:tc>
          <w:tcPr>
            <w:tcW w:w="1134" w:type="dxa"/>
            <w:tcBorders>
              <w:top w:val="nil"/>
              <w:left w:val="nil"/>
              <w:bottom w:val="nil"/>
              <w:right w:val="nil"/>
            </w:tcBorders>
            <w:shd w:val="clear" w:color="auto" w:fill="auto"/>
            <w:vAlign w:val="center"/>
            <w:hideMark/>
          </w:tcPr>
          <w:p w:rsidRPr="00AA40E7" w:rsidR="00237DD5" w:rsidP="00654798" w:rsidRDefault="00237DD5" w14:paraId="185278A9" w14:textId="24EEF212">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177.707</w:t>
            </w:r>
          </w:p>
        </w:tc>
        <w:tc>
          <w:tcPr>
            <w:tcW w:w="992" w:type="dxa"/>
            <w:tcBorders>
              <w:top w:val="nil"/>
              <w:left w:val="nil"/>
              <w:bottom w:val="nil"/>
              <w:right w:val="nil"/>
            </w:tcBorders>
            <w:shd w:val="clear" w:color="auto" w:fill="auto"/>
            <w:vAlign w:val="center"/>
            <w:hideMark/>
          </w:tcPr>
          <w:p w:rsidRPr="00AA40E7" w:rsidR="00237DD5" w:rsidP="00654798" w:rsidRDefault="00237DD5" w14:paraId="2EEBA0E5" w14:textId="30F26566">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184.592</w:t>
            </w:r>
          </w:p>
        </w:tc>
        <w:tc>
          <w:tcPr>
            <w:tcW w:w="1134" w:type="dxa"/>
            <w:tcBorders>
              <w:top w:val="nil"/>
              <w:left w:val="nil"/>
              <w:bottom w:val="nil"/>
              <w:right w:val="nil"/>
            </w:tcBorders>
            <w:shd w:val="clear" w:color="auto" w:fill="auto"/>
            <w:vAlign w:val="center"/>
            <w:hideMark/>
          </w:tcPr>
          <w:p w:rsidRPr="00AA40E7" w:rsidR="00237DD5" w:rsidP="00654798" w:rsidRDefault="00E43777" w14:paraId="20883F32" w14:textId="001086ED">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174.627</w:t>
            </w:r>
          </w:p>
        </w:tc>
      </w:tr>
      <w:tr w:rsidRPr="00AA40E7" w:rsidR="00237DD5" w:rsidTr="00810BA0" w14:paraId="1130CE3B"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13BF036F" w14:textId="77777777">
            <w:pPr>
              <w:spacing w:line="240" w:lineRule="atLeast"/>
              <w:rPr>
                <w:rFonts w:ascii="Times New Roman" w:hAnsi="Times New Roman"/>
                <w:iCs/>
                <w:sz w:val="24"/>
                <w:szCs w:val="24"/>
              </w:rPr>
            </w:pPr>
            <w:r w:rsidRPr="00AA40E7">
              <w:rPr>
                <w:rFonts w:ascii="Times New Roman" w:hAnsi="Times New Roman"/>
                <w:iCs/>
                <w:sz w:val="24"/>
                <w:szCs w:val="24"/>
              </w:rPr>
              <w:t>Uitgaven*</w:t>
            </w:r>
          </w:p>
        </w:tc>
        <w:tc>
          <w:tcPr>
            <w:tcW w:w="1134" w:type="dxa"/>
            <w:tcBorders>
              <w:top w:val="nil"/>
              <w:left w:val="nil"/>
              <w:bottom w:val="nil"/>
              <w:right w:val="nil"/>
            </w:tcBorders>
            <w:shd w:val="clear" w:color="auto" w:fill="auto"/>
            <w:vAlign w:val="center"/>
            <w:hideMark/>
          </w:tcPr>
          <w:p w:rsidRPr="00AA40E7" w:rsidR="00237DD5" w:rsidP="00654798" w:rsidRDefault="00237DD5" w14:paraId="21F372B9" w14:textId="17EA8166">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203.428</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1384DBEE" w14:textId="443AFAA1">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180.703</w:t>
            </w:r>
          </w:p>
        </w:tc>
        <w:tc>
          <w:tcPr>
            <w:tcW w:w="992" w:type="dxa"/>
            <w:tcBorders>
              <w:top w:val="nil"/>
              <w:left w:val="nil"/>
              <w:bottom w:val="nil"/>
              <w:right w:val="nil"/>
            </w:tcBorders>
            <w:shd w:val="clear" w:color="auto" w:fill="auto"/>
            <w:vAlign w:val="center"/>
            <w:hideMark/>
          </w:tcPr>
          <w:p w:rsidRPr="00AA40E7" w:rsidR="00237DD5" w:rsidP="00654798" w:rsidRDefault="00237DD5" w14:paraId="6AF60031" w14:textId="16765059">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183.606</w:t>
            </w:r>
          </w:p>
        </w:tc>
        <w:tc>
          <w:tcPr>
            <w:tcW w:w="1134" w:type="dxa"/>
            <w:tcBorders>
              <w:top w:val="nil"/>
              <w:left w:val="nil"/>
              <w:bottom w:val="nil"/>
              <w:right w:val="nil"/>
            </w:tcBorders>
            <w:shd w:val="clear" w:color="auto" w:fill="auto"/>
            <w:vAlign w:val="center"/>
            <w:hideMark/>
          </w:tcPr>
          <w:p w:rsidRPr="00AA40E7" w:rsidR="00237DD5" w:rsidP="00654798" w:rsidRDefault="00237DD5" w14:paraId="7A72439F" w14:textId="7D6A662D">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177.707</w:t>
            </w:r>
          </w:p>
        </w:tc>
        <w:tc>
          <w:tcPr>
            <w:tcW w:w="992" w:type="dxa"/>
            <w:tcBorders>
              <w:top w:val="nil"/>
              <w:left w:val="nil"/>
              <w:bottom w:val="nil"/>
              <w:right w:val="nil"/>
            </w:tcBorders>
            <w:shd w:val="clear" w:color="auto" w:fill="auto"/>
            <w:vAlign w:val="center"/>
            <w:hideMark/>
          </w:tcPr>
          <w:p w:rsidRPr="00AA40E7" w:rsidR="00237DD5" w:rsidP="00654798" w:rsidRDefault="00237DD5" w14:paraId="0C99134A" w14:textId="00DB3DA5">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184.592</w:t>
            </w:r>
          </w:p>
        </w:tc>
        <w:tc>
          <w:tcPr>
            <w:tcW w:w="1134" w:type="dxa"/>
            <w:tcBorders>
              <w:top w:val="nil"/>
              <w:left w:val="nil"/>
              <w:bottom w:val="nil"/>
              <w:right w:val="nil"/>
            </w:tcBorders>
            <w:shd w:val="clear" w:color="auto" w:fill="auto"/>
            <w:vAlign w:val="center"/>
            <w:hideMark/>
          </w:tcPr>
          <w:p w:rsidRPr="00AA40E7" w:rsidR="00237DD5" w:rsidP="00654798" w:rsidRDefault="00E43777" w14:paraId="6785C058" w14:textId="1A8593E0">
            <w:pPr>
              <w:spacing w:line="240" w:lineRule="atLeast"/>
              <w:jc w:val="center"/>
              <w:rPr>
                <w:rFonts w:ascii="Times New Roman" w:hAnsi="Times New Roman"/>
                <w:b/>
                <w:bCs/>
                <w:iCs/>
                <w:sz w:val="24"/>
                <w:szCs w:val="24"/>
              </w:rPr>
            </w:pPr>
            <w:r w:rsidRPr="00AA40E7">
              <w:rPr>
                <w:rFonts w:ascii="Times New Roman" w:hAnsi="Times New Roman"/>
                <w:b/>
                <w:bCs/>
                <w:color w:val="000000"/>
                <w:sz w:val="24"/>
                <w:szCs w:val="24"/>
              </w:rPr>
              <w:t>174.627</w:t>
            </w:r>
          </w:p>
        </w:tc>
      </w:tr>
      <w:tr w:rsidRPr="00AA40E7" w:rsidR="00237DD5" w:rsidTr="00810BA0" w14:paraId="3F604DAE"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1864743E" w14:textId="77777777">
            <w:pPr>
              <w:spacing w:line="240" w:lineRule="atLeast"/>
              <w:rPr>
                <w:rFonts w:ascii="Times New Roman" w:hAnsi="Times New Roman"/>
                <w:iCs/>
                <w:sz w:val="24"/>
                <w:szCs w:val="24"/>
              </w:rPr>
            </w:pPr>
            <w:r w:rsidRPr="00AA40E7">
              <w:rPr>
                <w:rFonts w:ascii="Times New Roman" w:hAnsi="Times New Roman"/>
                <w:iCs/>
                <w:sz w:val="24"/>
                <w:szCs w:val="24"/>
              </w:rPr>
              <w:t>3.1: apparaat</w:t>
            </w:r>
          </w:p>
        </w:tc>
        <w:tc>
          <w:tcPr>
            <w:tcW w:w="1134" w:type="dxa"/>
            <w:tcBorders>
              <w:top w:val="nil"/>
              <w:left w:val="nil"/>
              <w:bottom w:val="nil"/>
              <w:right w:val="nil"/>
            </w:tcBorders>
            <w:shd w:val="clear" w:color="auto" w:fill="auto"/>
            <w:vAlign w:val="center"/>
            <w:hideMark/>
          </w:tcPr>
          <w:p w:rsidRPr="00AA40E7" w:rsidR="00237DD5" w:rsidP="00654798" w:rsidRDefault="00237DD5" w14:paraId="60CC3AF3"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125.378</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15FE609C"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116.667</w:t>
            </w:r>
          </w:p>
        </w:tc>
        <w:tc>
          <w:tcPr>
            <w:tcW w:w="992" w:type="dxa"/>
            <w:tcBorders>
              <w:top w:val="nil"/>
              <w:left w:val="nil"/>
              <w:bottom w:val="nil"/>
              <w:right w:val="nil"/>
            </w:tcBorders>
            <w:shd w:val="clear" w:color="auto" w:fill="auto"/>
            <w:vAlign w:val="center"/>
            <w:hideMark/>
          </w:tcPr>
          <w:p w:rsidRPr="00AA40E7" w:rsidR="00237DD5" w:rsidP="00654798" w:rsidRDefault="00237DD5" w14:paraId="5ACCFC77"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124.470</w:t>
            </w:r>
          </w:p>
        </w:tc>
        <w:tc>
          <w:tcPr>
            <w:tcW w:w="1134" w:type="dxa"/>
            <w:tcBorders>
              <w:top w:val="nil"/>
              <w:left w:val="nil"/>
              <w:bottom w:val="nil"/>
              <w:right w:val="nil"/>
            </w:tcBorders>
            <w:shd w:val="clear" w:color="auto" w:fill="auto"/>
            <w:vAlign w:val="center"/>
            <w:hideMark/>
          </w:tcPr>
          <w:p w:rsidRPr="00AA40E7" w:rsidR="00237DD5" w:rsidP="00654798" w:rsidRDefault="00237DD5" w14:paraId="04FE3920"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120.269</w:t>
            </w:r>
          </w:p>
        </w:tc>
        <w:tc>
          <w:tcPr>
            <w:tcW w:w="992" w:type="dxa"/>
            <w:tcBorders>
              <w:top w:val="nil"/>
              <w:left w:val="nil"/>
              <w:bottom w:val="nil"/>
              <w:right w:val="nil"/>
            </w:tcBorders>
            <w:shd w:val="clear" w:color="auto" w:fill="auto"/>
            <w:vAlign w:val="center"/>
            <w:hideMark/>
          </w:tcPr>
          <w:p w:rsidRPr="00AA40E7" w:rsidR="00237DD5" w:rsidP="00654798" w:rsidRDefault="00237DD5" w14:paraId="27E23693"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117.609</w:t>
            </w:r>
          </w:p>
        </w:tc>
        <w:tc>
          <w:tcPr>
            <w:tcW w:w="1134" w:type="dxa"/>
            <w:tcBorders>
              <w:top w:val="nil"/>
              <w:left w:val="nil"/>
              <w:bottom w:val="nil"/>
              <w:right w:val="nil"/>
            </w:tcBorders>
            <w:shd w:val="clear" w:color="auto" w:fill="auto"/>
            <w:vAlign w:val="center"/>
            <w:hideMark/>
          </w:tcPr>
          <w:p w:rsidRPr="00AA40E7" w:rsidR="00237DD5" w:rsidP="00654798" w:rsidRDefault="00237DD5" w14:paraId="2C5476DA"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117.609</w:t>
            </w:r>
          </w:p>
        </w:tc>
      </w:tr>
      <w:tr w:rsidRPr="00AA40E7" w:rsidR="00237DD5" w:rsidTr="00810BA0" w14:paraId="06604901" w14:textId="77777777">
        <w:trPr>
          <w:trHeight w:val="450"/>
        </w:trPr>
        <w:tc>
          <w:tcPr>
            <w:tcW w:w="2694" w:type="dxa"/>
            <w:tcBorders>
              <w:top w:val="nil"/>
              <w:left w:val="nil"/>
              <w:bottom w:val="nil"/>
              <w:right w:val="nil"/>
            </w:tcBorders>
            <w:shd w:val="clear" w:color="auto" w:fill="auto"/>
            <w:vAlign w:val="center"/>
            <w:hideMark/>
          </w:tcPr>
          <w:p w:rsidRPr="00AA40E7" w:rsidR="00237DD5" w:rsidP="00654798" w:rsidRDefault="00237DD5" w14:paraId="6C90E6CC" w14:textId="77777777">
            <w:pPr>
              <w:spacing w:line="240" w:lineRule="atLeast"/>
              <w:rPr>
                <w:rFonts w:ascii="Times New Roman" w:hAnsi="Times New Roman"/>
                <w:iCs/>
                <w:sz w:val="24"/>
                <w:szCs w:val="24"/>
              </w:rPr>
            </w:pPr>
            <w:r w:rsidRPr="00AA40E7">
              <w:rPr>
                <w:rFonts w:ascii="Times New Roman" w:hAnsi="Times New Roman"/>
                <w:iCs/>
                <w:sz w:val="24"/>
                <w:szCs w:val="24"/>
              </w:rPr>
              <w:t>Mutaties n.a.v. de Voorjaarsnota 2024</w:t>
            </w:r>
          </w:p>
        </w:tc>
        <w:tc>
          <w:tcPr>
            <w:tcW w:w="1134" w:type="dxa"/>
            <w:tcBorders>
              <w:top w:val="nil"/>
              <w:left w:val="nil"/>
              <w:bottom w:val="nil"/>
              <w:right w:val="nil"/>
            </w:tcBorders>
            <w:shd w:val="clear" w:color="auto" w:fill="auto"/>
            <w:vAlign w:val="center"/>
            <w:hideMark/>
          </w:tcPr>
          <w:p w:rsidRPr="00AA40E7" w:rsidR="00237DD5" w:rsidP="00654798" w:rsidRDefault="00237DD5" w14:paraId="0DF3111B" w14:textId="77777777">
            <w:pPr>
              <w:spacing w:line="240" w:lineRule="atLeast"/>
              <w:jc w:val="center"/>
              <w:rPr>
                <w:rFonts w:ascii="Times New Roman" w:hAnsi="Times New Roman"/>
                <w:iCs/>
                <w:sz w:val="24"/>
                <w:szCs w:val="24"/>
              </w:rPr>
            </w:pP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40E3E8FD"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026E03E3"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5197C400"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4647181B"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3074A810" w14:textId="77777777">
            <w:pPr>
              <w:spacing w:line="240" w:lineRule="atLeast"/>
              <w:jc w:val="center"/>
              <w:rPr>
                <w:rFonts w:ascii="Times New Roman" w:hAnsi="Times New Roman"/>
                <w:iCs/>
                <w:sz w:val="24"/>
                <w:szCs w:val="24"/>
              </w:rPr>
            </w:pPr>
          </w:p>
        </w:tc>
      </w:tr>
      <w:tr w:rsidRPr="00AA40E7" w:rsidR="00237DD5" w:rsidTr="00810BA0" w14:paraId="05A3E4F7" w14:textId="77777777">
        <w:trPr>
          <w:trHeight w:val="242"/>
        </w:trPr>
        <w:tc>
          <w:tcPr>
            <w:tcW w:w="2694" w:type="dxa"/>
            <w:tcBorders>
              <w:top w:val="nil"/>
              <w:left w:val="nil"/>
              <w:bottom w:val="nil"/>
              <w:right w:val="nil"/>
            </w:tcBorders>
            <w:shd w:val="clear" w:color="auto" w:fill="auto"/>
            <w:vAlign w:val="center"/>
            <w:hideMark/>
          </w:tcPr>
          <w:p w:rsidRPr="00AA40E7" w:rsidR="00237DD5" w:rsidP="00654798" w:rsidRDefault="00237DD5" w14:paraId="36DD6103" w14:textId="112F98E3">
            <w:pPr>
              <w:spacing w:line="240" w:lineRule="atLeast"/>
              <w:rPr>
                <w:rFonts w:ascii="Times New Roman" w:hAnsi="Times New Roman"/>
                <w:iCs/>
                <w:sz w:val="24"/>
                <w:szCs w:val="24"/>
              </w:rPr>
            </w:pPr>
            <w:r w:rsidRPr="00AA40E7">
              <w:rPr>
                <w:rFonts w:ascii="Times New Roman" w:hAnsi="Times New Roman"/>
                <w:iCs/>
                <w:sz w:val="24"/>
                <w:szCs w:val="24"/>
              </w:rPr>
              <w:t>· Uitvoeren moties</w:t>
            </w:r>
          </w:p>
        </w:tc>
        <w:tc>
          <w:tcPr>
            <w:tcW w:w="1134" w:type="dxa"/>
            <w:tcBorders>
              <w:top w:val="nil"/>
              <w:left w:val="nil"/>
              <w:bottom w:val="nil"/>
              <w:right w:val="nil"/>
            </w:tcBorders>
            <w:shd w:val="clear" w:color="auto" w:fill="auto"/>
            <w:vAlign w:val="center"/>
            <w:hideMark/>
          </w:tcPr>
          <w:p w:rsidRPr="00AA40E7" w:rsidR="00237DD5" w:rsidP="00654798" w:rsidRDefault="00237DD5" w14:paraId="65DF8C06"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235</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4C0BBD83"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300</w:t>
            </w:r>
          </w:p>
        </w:tc>
        <w:tc>
          <w:tcPr>
            <w:tcW w:w="992" w:type="dxa"/>
            <w:tcBorders>
              <w:top w:val="nil"/>
              <w:left w:val="nil"/>
              <w:bottom w:val="nil"/>
              <w:right w:val="nil"/>
            </w:tcBorders>
            <w:shd w:val="clear" w:color="auto" w:fill="auto"/>
            <w:vAlign w:val="center"/>
            <w:hideMark/>
          </w:tcPr>
          <w:p w:rsidRPr="00AA40E7" w:rsidR="00237DD5" w:rsidP="00654798" w:rsidRDefault="00237DD5" w14:paraId="797223AD"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300</w:t>
            </w:r>
          </w:p>
        </w:tc>
        <w:tc>
          <w:tcPr>
            <w:tcW w:w="1134" w:type="dxa"/>
            <w:tcBorders>
              <w:top w:val="nil"/>
              <w:left w:val="nil"/>
              <w:bottom w:val="nil"/>
              <w:right w:val="nil"/>
            </w:tcBorders>
            <w:shd w:val="clear" w:color="auto" w:fill="auto"/>
            <w:vAlign w:val="center"/>
            <w:hideMark/>
          </w:tcPr>
          <w:p w:rsidRPr="00AA40E7" w:rsidR="00237DD5" w:rsidP="00654798" w:rsidRDefault="00237DD5" w14:paraId="2ACFA2ED"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300</w:t>
            </w:r>
          </w:p>
        </w:tc>
        <w:tc>
          <w:tcPr>
            <w:tcW w:w="992" w:type="dxa"/>
            <w:tcBorders>
              <w:top w:val="nil"/>
              <w:left w:val="nil"/>
              <w:bottom w:val="nil"/>
              <w:right w:val="nil"/>
            </w:tcBorders>
            <w:shd w:val="clear" w:color="auto" w:fill="auto"/>
            <w:vAlign w:val="center"/>
            <w:hideMark/>
          </w:tcPr>
          <w:p w:rsidRPr="00AA40E7" w:rsidR="00237DD5" w:rsidP="00654798" w:rsidRDefault="00237DD5" w14:paraId="7AAA3A55"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300</w:t>
            </w:r>
          </w:p>
        </w:tc>
        <w:tc>
          <w:tcPr>
            <w:tcW w:w="1134" w:type="dxa"/>
            <w:tcBorders>
              <w:top w:val="nil"/>
              <w:left w:val="nil"/>
              <w:bottom w:val="nil"/>
              <w:right w:val="nil"/>
            </w:tcBorders>
            <w:shd w:val="clear" w:color="auto" w:fill="auto"/>
            <w:vAlign w:val="center"/>
            <w:hideMark/>
          </w:tcPr>
          <w:p w:rsidRPr="00AA40E7" w:rsidR="00237DD5" w:rsidP="00654798" w:rsidRDefault="00237DD5" w14:paraId="6F8CBFB8"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300</w:t>
            </w:r>
          </w:p>
        </w:tc>
      </w:tr>
      <w:tr w:rsidRPr="00AA40E7" w:rsidR="00237DD5" w:rsidTr="00810BA0" w14:paraId="790E2ACD" w14:textId="77777777">
        <w:trPr>
          <w:trHeight w:val="300"/>
        </w:trPr>
        <w:tc>
          <w:tcPr>
            <w:tcW w:w="2694" w:type="dxa"/>
            <w:vMerge w:val="restart"/>
            <w:tcBorders>
              <w:top w:val="nil"/>
              <w:left w:val="nil"/>
              <w:bottom w:val="nil"/>
              <w:right w:val="nil"/>
            </w:tcBorders>
            <w:shd w:val="clear" w:color="auto" w:fill="auto"/>
            <w:vAlign w:val="center"/>
            <w:hideMark/>
          </w:tcPr>
          <w:p w:rsidRPr="00AA40E7" w:rsidR="00237DD5" w:rsidP="00654798" w:rsidRDefault="00237DD5" w14:paraId="7B939997" w14:textId="5071DC03">
            <w:pPr>
              <w:spacing w:line="240" w:lineRule="atLeast"/>
              <w:rPr>
                <w:rFonts w:ascii="Times New Roman" w:hAnsi="Times New Roman"/>
                <w:iCs/>
                <w:sz w:val="24"/>
                <w:szCs w:val="24"/>
              </w:rPr>
            </w:pPr>
            <w:r w:rsidRPr="00AA40E7">
              <w:rPr>
                <w:rFonts w:ascii="Times New Roman" w:hAnsi="Times New Roman"/>
                <w:iCs/>
                <w:sz w:val="24"/>
                <w:szCs w:val="24"/>
              </w:rPr>
              <w:t>· Versterking parlementair proces</w:t>
            </w:r>
          </w:p>
        </w:tc>
        <w:tc>
          <w:tcPr>
            <w:tcW w:w="1134" w:type="dxa"/>
            <w:tcBorders>
              <w:top w:val="nil"/>
              <w:left w:val="nil"/>
              <w:bottom w:val="nil"/>
              <w:right w:val="nil"/>
            </w:tcBorders>
            <w:shd w:val="clear" w:color="auto" w:fill="auto"/>
            <w:vAlign w:val="center"/>
            <w:hideMark/>
          </w:tcPr>
          <w:p w:rsidRPr="00AA40E7" w:rsidR="00237DD5" w:rsidP="00654798" w:rsidRDefault="00237DD5" w14:paraId="68782918" w14:textId="77777777">
            <w:pPr>
              <w:spacing w:line="240" w:lineRule="atLeast"/>
              <w:jc w:val="center"/>
              <w:rPr>
                <w:rFonts w:ascii="Times New Roman" w:hAnsi="Times New Roman"/>
                <w:iCs/>
                <w:sz w:val="24"/>
                <w:szCs w:val="24"/>
              </w:rPr>
            </w:pP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64CD65A4"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36C1424F"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2F19A299"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057F8F84"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09B17CD2" w14:textId="77777777">
            <w:pPr>
              <w:spacing w:line="240" w:lineRule="atLeast"/>
              <w:jc w:val="center"/>
              <w:rPr>
                <w:rFonts w:ascii="Times New Roman" w:hAnsi="Times New Roman"/>
                <w:iCs/>
                <w:sz w:val="24"/>
                <w:szCs w:val="24"/>
              </w:rPr>
            </w:pPr>
          </w:p>
        </w:tc>
      </w:tr>
      <w:tr w:rsidRPr="00AA40E7" w:rsidR="00237DD5" w:rsidTr="00810BA0" w14:paraId="327AABD2" w14:textId="77777777">
        <w:trPr>
          <w:trHeight w:val="300"/>
        </w:trPr>
        <w:tc>
          <w:tcPr>
            <w:tcW w:w="2694" w:type="dxa"/>
            <w:vMerge/>
            <w:tcBorders>
              <w:top w:val="nil"/>
              <w:left w:val="nil"/>
              <w:bottom w:val="nil"/>
              <w:right w:val="nil"/>
            </w:tcBorders>
            <w:vAlign w:val="center"/>
            <w:hideMark/>
          </w:tcPr>
          <w:p w:rsidRPr="00AA40E7" w:rsidR="00237DD5" w:rsidP="00654798" w:rsidRDefault="00237DD5" w14:paraId="2F8CE240" w14:textId="77777777">
            <w:pPr>
              <w:spacing w:line="240" w:lineRule="atLeast"/>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4AD07AC1"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3B021F39"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w:t>
            </w:r>
          </w:p>
        </w:tc>
        <w:tc>
          <w:tcPr>
            <w:tcW w:w="992" w:type="dxa"/>
            <w:tcBorders>
              <w:top w:val="nil"/>
              <w:left w:val="nil"/>
              <w:bottom w:val="nil"/>
              <w:right w:val="nil"/>
            </w:tcBorders>
            <w:shd w:val="clear" w:color="auto" w:fill="auto"/>
            <w:vAlign w:val="center"/>
            <w:hideMark/>
          </w:tcPr>
          <w:p w:rsidRPr="00AA40E7" w:rsidR="00237DD5" w:rsidP="00654798" w:rsidRDefault="00237DD5" w14:paraId="5B7490C4"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w:t>
            </w:r>
          </w:p>
        </w:tc>
        <w:tc>
          <w:tcPr>
            <w:tcW w:w="1134" w:type="dxa"/>
            <w:tcBorders>
              <w:top w:val="nil"/>
              <w:left w:val="nil"/>
              <w:bottom w:val="nil"/>
              <w:right w:val="nil"/>
            </w:tcBorders>
            <w:shd w:val="clear" w:color="auto" w:fill="auto"/>
            <w:vAlign w:val="center"/>
            <w:hideMark/>
          </w:tcPr>
          <w:p w:rsidRPr="00AA40E7" w:rsidR="00237DD5" w:rsidP="00654798" w:rsidRDefault="00237DD5" w14:paraId="21E29ED9"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w:t>
            </w:r>
          </w:p>
        </w:tc>
        <w:tc>
          <w:tcPr>
            <w:tcW w:w="992" w:type="dxa"/>
            <w:tcBorders>
              <w:top w:val="nil"/>
              <w:left w:val="nil"/>
              <w:bottom w:val="nil"/>
              <w:right w:val="nil"/>
            </w:tcBorders>
            <w:shd w:val="clear" w:color="auto" w:fill="auto"/>
            <w:vAlign w:val="center"/>
            <w:hideMark/>
          </w:tcPr>
          <w:p w:rsidRPr="00AA40E7" w:rsidR="00237DD5" w:rsidP="00654798" w:rsidRDefault="00237DD5" w14:paraId="0DF4B70A"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w:t>
            </w:r>
          </w:p>
        </w:tc>
        <w:tc>
          <w:tcPr>
            <w:tcW w:w="1134" w:type="dxa"/>
            <w:tcBorders>
              <w:top w:val="nil"/>
              <w:left w:val="nil"/>
              <w:bottom w:val="nil"/>
              <w:right w:val="nil"/>
            </w:tcBorders>
            <w:shd w:val="clear" w:color="auto" w:fill="auto"/>
            <w:vAlign w:val="center"/>
            <w:hideMark/>
          </w:tcPr>
          <w:p w:rsidRPr="00AA40E7" w:rsidR="00237DD5" w:rsidP="00654798" w:rsidRDefault="00237DD5" w14:paraId="001EA3B3"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w:t>
            </w:r>
          </w:p>
        </w:tc>
      </w:tr>
      <w:tr w:rsidRPr="00AA40E7" w:rsidR="00237DD5" w:rsidTr="00810BA0" w14:paraId="1B326020"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271E6E0F" w14:textId="3D1B0274">
            <w:pPr>
              <w:spacing w:line="240" w:lineRule="atLeast"/>
              <w:rPr>
                <w:rFonts w:ascii="Times New Roman" w:hAnsi="Times New Roman"/>
                <w:iCs/>
                <w:sz w:val="24"/>
                <w:szCs w:val="24"/>
              </w:rPr>
            </w:pPr>
            <w:r w:rsidRPr="00AA40E7">
              <w:rPr>
                <w:rFonts w:ascii="Times New Roman" w:hAnsi="Times New Roman"/>
                <w:iCs/>
                <w:sz w:val="24"/>
                <w:szCs w:val="24"/>
              </w:rPr>
              <w:t>· Verkiezingen en formatie</w:t>
            </w:r>
          </w:p>
        </w:tc>
        <w:tc>
          <w:tcPr>
            <w:tcW w:w="1134" w:type="dxa"/>
            <w:tcBorders>
              <w:top w:val="nil"/>
              <w:left w:val="nil"/>
              <w:bottom w:val="nil"/>
              <w:right w:val="nil"/>
            </w:tcBorders>
            <w:shd w:val="clear" w:color="auto" w:fill="auto"/>
            <w:vAlign w:val="center"/>
            <w:hideMark/>
          </w:tcPr>
          <w:p w:rsidRPr="00AA40E7" w:rsidR="00237DD5" w:rsidP="00654798" w:rsidRDefault="00237DD5" w14:paraId="55710459"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1545</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6BC0AE6F"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992" w:type="dxa"/>
            <w:tcBorders>
              <w:top w:val="nil"/>
              <w:left w:val="nil"/>
              <w:bottom w:val="nil"/>
              <w:right w:val="nil"/>
            </w:tcBorders>
            <w:shd w:val="clear" w:color="auto" w:fill="auto"/>
            <w:vAlign w:val="center"/>
            <w:hideMark/>
          </w:tcPr>
          <w:p w:rsidRPr="00AA40E7" w:rsidR="00237DD5" w:rsidP="00654798" w:rsidRDefault="00237DD5" w14:paraId="59F0CBF0"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1134" w:type="dxa"/>
            <w:tcBorders>
              <w:top w:val="nil"/>
              <w:left w:val="nil"/>
              <w:bottom w:val="nil"/>
              <w:right w:val="nil"/>
            </w:tcBorders>
            <w:shd w:val="clear" w:color="auto" w:fill="auto"/>
            <w:vAlign w:val="center"/>
            <w:hideMark/>
          </w:tcPr>
          <w:p w:rsidRPr="00AA40E7" w:rsidR="00237DD5" w:rsidP="00654798" w:rsidRDefault="00237DD5" w14:paraId="05CC9A85"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992" w:type="dxa"/>
            <w:tcBorders>
              <w:top w:val="nil"/>
              <w:left w:val="nil"/>
              <w:bottom w:val="nil"/>
              <w:right w:val="nil"/>
            </w:tcBorders>
            <w:shd w:val="clear" w:color="auto" w:fill="auto"/>
            <w:vAlign w:val="center"/>
            <w:hideMark/>
          </w:tcPr>
          <w:p w:rsidRPr="00AA40E7" w:rsidR="00237DD5" w:rsidP="00654798" w:rsidRDefault="00237DD5" w14:paraId="15509C1D"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1545</w:t>
            </w:r>
          </w:p>
        </w:tc>
        <w:tc>
          <w:tcPr>
            <w:tcW w:w="1134" w:type="dxa"/>
            <w:tcBorders>
              <w:top w:val="nil"/>
              <w:left w:val="nil"/>
              <w:bottom w:val="nil"/>
              <w:right w:val="nil"/>
            </w:tcBorders>
            <w:shd w:val="clear" w:color="auto" w:fill="auto"/>
            <w:vAlign w:val="center"/>
            <w:hideMark/>
          </w:tcPr>
          <w:p w:rsidRPr="00AA40E7" w:rsidR="00237DD5" w:rsidP="00654798" w:rsidRDefault="00237DD5" w14:paraId="5081B610"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r>
      <w:tr w:rsidRPr="00AA40E7" w:rsidR="00237DD5" w:rsidTr="00810BA0" w14:paraId="0491B799" w14:textId="77777777">
        <w:trPr>
          <w:trHeight w:val="465"/>
        </w:trPr>
        <w:tc>
          <w:tcPr>
            <w:tcW w:w="2694" w:type="dxa"/>
            <w:tcBorders>
              <w:top w:val="nil"/>
              <w:left w:val="nil"/>
              <w:bottom w:val="nil"/>
              <w:right w:val="nil"/>
            </w:tcBorders>
            <w:shd w:val="clear" w:color="auto" w:fill="auto"/>
            <w:vAlign w:val="center"/>
            <w:hideMark/>
          </w:tcPr>
          <w:p w:rsidRPr="00AA40E7" w:rsidR="00237DD5" w:rsidP="00654798" w:rsidRDefault="00237DD5" w14:paraId="769E7D12" w14:textId="2BA4D7EE">
            <w:pPr>
              <w:spacing w:line="240" w:lineRule="atLeast"/>
              <w:rPr>
                <w:rFonts w:ascii="Times New Roman" w:hAnsi="Times New Roman"/>
                <w:iCs/>
                <w:sz w:val="24"/>
                <w:szCs w:val="24"/>
              </w:rPr>
            </w:pPr>
            <w:r w:rsidRPr="00AA40E7">
              <w:rPr>
                <w:rFonts w:ascii="Times New Roman" w:hAnsi="Times New Roman"/>
                <w:iCs/>
                <w:sz w:val="24"/>
                <w:szCs w:val="24"/>
              </w:rPr>
              <w:t>· Renovatie en tijdelijke huisvesting</w:t>
            </w:r>
          </w:p>
        </w:tc>
        <w:tc>
          <w:tcPr>
            <w:tcW w:w="1134" w:type="dxa"/>
            <w:tcBorders>
              <w:top w:val="nil"/>
              <w:left w:val="nil"/>
              <w:bottom w:val="nil"/>
              <w:right w:val="nil"/>
            </w:tcBorders>
            <w:shd w:val="clear" w:color="auto" w:fill="auto"/>
            <w:vAlign w:val="center"/>
            <w:hideMark/>
          </w:tcPr>
          <w:p w:rsidRPr="00AA40E7" w:rsidR="00237DD5" w:rsidP="00654798" w:rsidRDefault="00237DD5" w14:paraId="39310663"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840</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28CEDEB4"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2920</w:t>
            </w:r>
          </w:p>
        </w:tc>
        <w:tc>
          <w:tcPr>
            <w:tcW w:w="992" w:type="dxa"/>
            <w:tcBorders>
              <w:top w:val="nil"/>
              <w:left w:val="nil"/>
              <w:bottom w:val="nil"/>
              <w:right w:val="nil"/>
            </w:tcBorders>
            <w:shd w:val="clear" w:color="auto" w:fill="auto"/>
            <w:vAlign w:val="center"/>
            <w:hideMark/>
          </w:tcPr>
          <w:p w:rsidRPr="00AA40E7" w:rsidR="00237DD5" w:rsidP="00654798" w:rsidRDefault="00237DD5" w14:paraId="234277F5"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420</w:t>
            </w:r>
          </w:p>
        </w:tc>
        <w:tc>
          <w:tcPr>
            <w:tcW w:w="1134" w:type="dxa"/>
            <w:tcBorders>
              <w:top w:val="nil"/>
              <w:left w:val="nil"/>
              <w:bottom w:val="nil"/>
              <w:right w:val="nil"/>
            </w:tcBorders>
            <w:shd w:val="clear" w:color="auto" w:fill="auto"/>
            <w:vAlign w:val="center"/>
            <w:hideMark/>
          </w:tcPr>
          <w:p w:rsidRPr="00AA40E7" w:rsidR="00237DD5" w:rsidP="00654798" w:rsidRDefault="00237DD5" w14:paraId="4800C04E"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420</w:t>
            </w:r>
          </w:p>
        </w:tc>
        <w:tc>
          <w:tcPr>
            <w:tcW w:w="992" w:type="dxa"/>
            <w:tcBorders>
              <w:top w:val="nil"/>
              <w:left w:val="nil"/>
              <w:bottom w:val="nil"/>
              <w:right w:val="nil"/>
            </w:tcBorders>
            <w:shd w:val="clear" w:color="auto" w:fill="auto"/>
            <w:vAlign w:val="center"/>
            <w:hideMark/>
          </w:tcPr>
          <w:p w:rsidRPr="00AA40E7" w:rsidR="00237DD5" w:rsidP="00654798" w:rsidRDefault="00237DD5" w14:paraId="5FDE430E"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420</w:t>
            </w:r>
          </w:p>
        </w:tc>
        <w:tc>
          <w:tcPr>
            <w:tcW w:w="1134" w:type="dxa"/>
            <w:tcBorders>
              <w:top w:val="nil"/>
              <w:left w:val="nil"/>
              <w:bottom w:val="nil"/>
              <w:right w:val="nil"/>
            </w:tcBorders>
            <w:shd w:val="clear" w:color="auto" w:fill="auto"/>
            <w:vAlign w:val="center"/>
            <w:hideMark/>
          </w:tcPr>
          <w:p w:rsidRPr="00AA40E7" w:rsidR="00237DD5" w:rsidP="00654798" w:rsidRDefault="00E43777" w14:paraId="6CBF5E4E" w14:textId="24AC41FB">
            <w:pPr>
              <w:spacing w:line="240" w:lineRule="atLeast"/>
              <w:jc w:val="center"/>
              <w:rPr>
                <w:rFonts w:ascii="Times New Roman" w:hAnsi="Times New Roman"/>
                <w:iCs/>
                <w:sz w:val="24"/>
                <w:szCs w:val="24"/>
              </w:rPr>
            </w:pPr>
            <w:r w:rsidRPr="00AA40E7">
              <w:rPr>
                <w:rFonts w:ascii="Times New Roman" w:hAnsi="Times New Roman"/>
                <w:iCs/>
                <w:sz w:val="24"/>
                <w:szCs w:val="24"/>
              </w:rPr>
              <w:t>0</w:t>
            </w:r>
            <w:r w:rsidRPr="00AA40E7" w:rsidR="00B62F50">
              <w:rPr>
                <w:rFonts w:ascii="Times New Roman" w:hAnsi="Times New Roman"/>
                <w:iCs/>
                <w:sz w:val="24"/>
                <w:szCs w:val="24"/>
              </w:rPr>
              <w:t>**</w:t>
            </w:r>
          </w:p>
        </w:tc>
      </w:tr>
      <w:tr w:rsidRPr="00AA40E7" w:rsidR="00237DD5" w:rsidTr="00810BA0" w14:paraId="75A29812"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653D135D" w14:textId="0476ECE9">
            <w:pPr>
              <w:spacing w:line="240" w:lineRule="atLeast"/>
              <w:rPr>
                <w:rFonts w:ascii="Times New Roman" w:hAnsi="Times New Roman"/>
                <w:iCs/>
                <w:sz w:val="24"/>
                <w:szCs w:val="24"/>
              </w:rPr>
            </w:pPr>
            <w:r w:rsidRPr="00AA40E7">
              <w:rPr>
                <w:rFonts w:ascii="Times New Roman" w:hAnsi="Times New Roman"/>
                <w:iCs/>
                <w:sz w:val="24"/>
                <w:szCs w:val="24"/>
              </w:rPr>
              <w:t>· Waarborgen veiligheid</w:t>
            </w:r>
          </w:p>
        </w:tc>
        <w:tc>
          <w:tcPr>
            <w:tcW w:w="1134" w:type="dxa"/>
            <w:tcBorders>
              <w:top w:val="nil"/>
              <w:left w:val="nil"/>
              <w:bottom w:val="nil"/>
              <w:right w:val="nil"/>
            </w:tcBorders>
            <w:shd w:val="clear" w:color="auto" w:fill="auto"/>
            <w:vAlign w:val="center"/>
            <w:hideMark/>
          </w:tcPr>
          <w:p w:rsidRPr="00AA40E7" w:rsidR="00237DD5" w:rsidP="00654798" w:rsidRDefault="00237DD5" w14:paraId="731CCC1F"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3.780</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32CFAC56"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1.448</w:t>
            </w:r>
          </w:p>
        </w:tc>
        <w:tc>
          <w:tcPr>
            <w:tcW w:w="992" w:type="dxa"/>
            <w:tcBorders>
              <w:top w:val="nil"/>
              <w:left w:val="nil"/>
              <w:bottom w:val="nil"/>
              <w:right w:val="nil"/>
            </w:tcBorders>
            <w:shd w:val="clear" w:color="auto" w:fill="auto"/>
            <w:vAlign w:val="center"/>
            <w:hideMark/>
          </w:tcPr>
          <w:p w:rsidRPr="00AA40E7" w:rsidR="00237DD5" w:rsidP="00654798" w:rsidRDefault="00237DD5" w14:paraId="64132872"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348</w:t>
            </w:r>
          </w:p>
        </w:tc>
        <w:tc>
          <w:tcPr>
            <w:tcW w:w="1134" w:type="dxa"/>
            <w:tcBorders>
              <w:top w:val="nil"/>
              <w:left w:val="nil"/>
              <w:bottom w:val="nil"/>
              <w:right w:val="nil"/>
            </w:tcBorders>
            <w:shd w:val="clear" w:color="auto" w:fill="auto"/>
            <w:vAlign w:val="center"/>
            <w:hideMark/>
          </w:tcPr>
          <w:p w:rsidRPr="00AA40E7" w:rsidR="00237DD5" w:rsidP="00654798" w:rsidRDefault="00237DD5" w14:paraId="4E038903"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348</w:t>
            </w:r>
          </w:p>
        </w:tc>
        <w:tc>
          <w:tcPr>
            <w:tcW w:w="992" w:type="dxa"/>
            <w:tcBorders>
              <w:top w:val="nil"/>
              <w:left w:val="nil"/>
              <w:bottom w:val="nil"/>
              <w:right w:val="nil"/>
            </w:tcBorders>
            <w:shd w:val="clear" w:color="auto" w:fill="auto"/>
            <w:vAlign w:val="center"/>
            <w:hideMark/>
          </w:tcPr>
          <w:p w:rsidRPr="00AA40E7" w:rsidR="00237DD5" w:rsidP="00654798" w:rsidRDefault="00237DD5" w14:paraId="78AC0BA2"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348</w:t>
            </w:r>
          </w:p>
        </w:tc>
        <w:tc>
          <w:tcPr>
            <w:tcW w:w="1134" w:type="dxa"/>
            <w:tcBorders>
              <w:top w:val="nil"/>
              <w:left w:val="nil"/>
              <w:bottom w:val="nil"/>
              <w:right w:val="nil"/>
            </w:tcBorders>
            <w:shd w:val="clear" w:color="auto" w:fill="auto"/>
            <w:vAlign w:val="center"/>
            <w:hideMark/>
          </w:tcPr>
          <w:p w:rsidRPr="00AA40E7" w:rsidR="00237DD5" w:rsidP="00654798" w:rsidRDefault="00237DD5" w14:paraId="7B4733FE"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348</w:t>
            </w:r>
          </w:p>
        </w:tc>
      </w:tr>
      <w:tr w:rsidRPr="00AA40E7" w:rsidR="00237DD5" w:rsidTr="00810BA0" w14:paraId="59F6D684"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79B0F407" w14:textId="2F400734">
            <w:pPr>
              <w:spacing w:line="240" w:lineRule="atLeast"/>
              <w:rPr>
                <w:rFonts w:ascii="Times New Roman" w:hAnsi="Times New Roman"/>
                <w:iCs/>
                <w:sz w:val="24"/>
                <w:szCs w:val="24"/>
              </w:rPr>
            </w:pPr>
            <w:r w:rsidRPr="00AA40E7">
              <w:rPr>
                <w:rFonts w:ascii="Times New Roman" w:hAnsi="Times New Roman"/>
                <w:iCs/>
                <w:sz w:val="24"/>
                <w:szCs w:val="24"/>
              </w:rPr>
              <w:t>· </w:t>
            </w:r>
            <w:r w:rsidRPr="00AA40E7" w:rsidR="006A492F">
              <w:rPr>
                <w:rFonts w:ascii="Times New Roman" w:hAnsi="Times New Roman"/>
                <w:iCs/>
                <w:sz w:val="24"/>
                <w:szCs w:val="24"/>
              </w:rPr>
              <w:t>Kamerondersteuning</w:t>
            </w:r>
          </w:p>
        </w:tc>
        <w:tc>
          <w:tcPr>
            <w:tcW w:w="1134" w:type="dxa"/>
            <w:tcBorders>
              <w:top w:val="nil"/>
              <w:left w:val="nil"/>
              <w:bottom w:val="nil"/>
              <w:right w:val="nil"/>
            </w:tcBorders>
            <w:shd w:val="clear" w:color="auto" w:fill="auto"/>
            <w:vAlign w:val="center"/>
            <w:hideMark/>
          </w:tcPr>
          <w:p w:rsidRPr="00AA40E7" w:rsidR="00237DD5" w:rsidP="00654798" w:rsidRDefault="00237DD5" w14:paraId="148EBCBD"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3.136</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42EB4C71"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4.403</w:t>
            </w:r>
          </w:p>
        </w:tc>
        <w:tc>
          <w:tcPr>
            <w:tcW w:w="992" w:type="dxa"/>
            <w:tcBorders>
              <w:top w:val="nil"/>
              <w:left w:val="nil"/>
              <w:bottom w:val="nil"/>
              <w:right w:val="nil"/>
            </w:tcBorders>
            <w:shd w:val="clear" w:color="auto" w:fill="auto"/>
            <w:vAlign w:val="center"/>
            <w:hideMark/>
          </w:tcPr>
          <w:p w:rsidRPr="00AA40E7" w:rsidR="00237DD5" w:rsidP="00654798" w:rsidRDefault="00237DD5" w14:paraId="57E06437"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4.103</w:t>
            </w:r>
          </w:p>
        </w:tc>
        <w:tc>
          <w:tcPr>
            <w:tcW w:w="1134" w:type="dxa"/>
            <w:tcBorders>
              <w:top w:val="nil"/>
              <w:left w:val="nil"/>
              <w:bottom w:val="nil"/>
              <w:right w:val="nil"/>
            </w:tcBorders>
            <w:shd w:val="clear" w:color="auto" w:fill="auto"/>
            <w:vAlign w:val="center"/>
            <w:hideMark/>
          </w:tcPr>
          <w:p w:rsidRPr="00AA40E7" w:rsidR="00237DD5" w:rsidP="00654798" w:rsidRDefault="00237DD5" w14:paraId="567171AA"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4.103</w:t>
            </w:r>
          </w:p>
        </w:tc>
        <w:tc>
          <w:tcPr>
            <w:tcW w:w="992" w:type="dxa"/>
            <w:tcBorders>
              <w:top w:val="nil"/>
              <w:left w:val="nil"/>
              <w:bottom w:val="nil"/>
              <w:right w:val="nil"/>
            </w:tcBorders>
            <w:shd w:val="clear" w:color="auto" w:fill="auto"/>
            <w:vAlign w:val="center"/>
            <w:hideMark/>
          </w:tcPr>
          <w:p w:rsidRPr="00AA40E7" w:rsidR="00237DD5" w:rsidP="00654798" w:rsidRDefault="00237DD5" w14:paraId="59225EDF"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4.103</w:t>
            </w:r>
          </w:p>
        </w:tc>
        <w:tc>
          <w:tcPr>
            <w:tcW w:w="1134" w:type="dxa"/>
            <w:tcBorders>
              <w:top w:val="nil"/>
              <w:left w:val="nil"/>
              <w:bottom w:val="nil"/>
              <w:right w:val="nil"/>
            </w:tcBorders>
            <w:shd w:val="clear" w:color="auto" w:fill="auto"/>
            <w:vAlign w:val="center"/>
            <w:hideMark/>
          </w:tcPr>
          <w:p w:rsidRPr="00AA40E7" w:rsidR="00237DD5" w:rsidP="00654798" w:rsidRDefault="00237DD5" w14:paraId="169E823B"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4.103</w:t>
            </w:r>
          </w:p>
        </w:tc>
      </w:tr>
      <w:tr w:rsidRPr="00AA40E7" w:rsidR="00237DD5" w:rsidTr="00810BA0" w14:paraId="41A92573"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6D9071EC" w14:textId="050FC99B">
            <w:pPr>
              <w:spacing w:line="240" w:lineRule="atLeast"/>
              <w:rPr>
                <w:rFonts w:ascii="Times New Roman" w:hAnsi="Times New Roman"/>
                <w:iCs/>
                <w:sz w:val="24"/>
                <w:szCs w:val="24"/>
              </w:rPr>
            </w:pPr>
            <w:r w:rsidRPr="00AA40E7">
              <w:rPr>
                <w:rFonts w:ascii="Times New Roman" w:hAnsi="Times New Roman"/>
                <w:iCs/>
                <w:sz w:val="24"/>
                <w:szCs w:val="24"/>
              </w:rPr>
              <w:t xml:space="preserve">· IV jaarplan </w:t>
            </w:r>
          </w:p>
        </w:tc>
        <w:tc>
          <w:tcPr>
            <w:tcW w:w="1134" w:type="dxa"/>
            <w:tcBorders>
              <w:top w:val="nil"/>
              <w:left w:val="nil"/>
              <w:bottom w:val="nil"/>
              <w:right w:val="nil"/>
            </w:tcBorders>
            <w:shd w:val="clear" w:color="auto" w:fill="auto"/>
            <w:vAlign w:val="center"/>
            <w:hideMark/>
          </w:tcPr>
          <w:p w:rsidRPr="00AA40E7" w:rsidR="00237DD5" w:rsidP="00654798" w:rsidRDefault="00237DD5" w14:paraId="596F611F"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1.000</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20EDBBCE"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1.000</w:t>
            </w:r>
          </w:p>
        </w:tc>
        <w:tc>
          <w:tcPr>
            <w:tcW w:w="992" w:type="dxa"/>
            <w:tcBorders>
              <w:top w:val="nil"/>
              <w:left w:val="nil"/>
              <w:bottom w:val="nil"/>
              <w:right w:val="nil"/>
            </w:tcBorders>
            <w:shd w:val="clear" w:color="auto" w:fill="auto"/>
            <w:vAlign w:val="center"/>
            <w:hideMark/>
          </w:tcPr>
          <w:p w:rsidRPr="00AA40E7" w:rsidR="00237DD5" w:rsidP="00654798" w:rsidRDefault="00237DD5" w14:paraId="5B4A83A2"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1.000</w:t>
            </w:r>
          </w:p>
        </w:tc>
        <w:tc>
          <w:tcPr>
            <w:tcW w:w="1134" w:type="dxa"/>
            <w:tcBorders>
              <w:top w:val="nil"/>
              <w:left w:val="nil"/>
              <w:bottom w:val="nil"/>
              <w:right w:val="nil"/>
            </w:tcBorders>
            <w:shd w:val="clear" w:color="auto" w:fill="auto"/>
            <w:vAlign w:val="center"/>
            <w:hideMark/>
          </w:tcPr>
          <w:p w:rsidRPr="00AA40E7" w:rsidR="00237DD5" w:rsidP="00654798" w:rsidRDefault="00237DD5" w14:paraId="54A8C7B9"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1.000</w:t>
            </w:r>
          </w:p>
        </w:tc>
        <w:tc>
          <w:tcPr>
            <w:tcW w:w="992" w:type="dxa"/>
            <w:tcBorders>
              <w:top w:val="nil"/>
              <w:left w:val="nil"/>
              <w:bottom w:val="nil"/>
              <w:right w:val="nil"/>
            </w:tcBorders>
            <w:shd w:val="clear" w:color="auto" w:fill="auto"/>
            <w:vAlign w:val="center"/>
            <w:hideMark/>
          </w:tcPr>
          <w:p w:rsidRPr="00AA40E7" w:rsidR="00237DD5" w:rsidP="00654798" w:rsidRDefault="00237DD5" w14:paraId="6A02F74B"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1.000</w:t>
            </w:r>
          </w:p>
        </w:tc>
        <w:tc>
          <w:tcPr>
            <w:tcW w:w="1134" w:type="dxa"/>
            <w:tcBorders>
              <w:top w:val="nil"/>
              <w:left w:val="nil"/>
              <w:bottom w:val="nil"/>
              <w:right w:val="nil"/>
            </w:tcBorders>
            <w:shd w:val="clear" w:color="auto" w:fill="auto"/>
            <w:vAlign w:val="center"/>
            <w:hideMark/>
          </w:tcPr>
          <w:p w:rsidRPr="00AA40E7" w:rsidR="00237DD5" w:rsidP="00654798" w:rsidRDefault="00237DD5" w14:paraId="0ED5F874"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1.000</w:t>
            </w:r>
          </w:p>
        </w:tc>
      </w:tr>
      <w:tr w:rsidRPr="00AA40E7" w:rsidR="00237DD5" w:rsidTr="00810BA0" w14:paraId="1CEEC433"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110E862C" w14:textId="60563F1E">
            <w:pPr>
              <w:spacing w:line="240" w:lineRule="atLeast"/>
              <w:rPr>
                <w:rFonts w:ascii="Times New Roman" w:hAnsi="Times New Roman"/>
                <w:iCs/>
                <w:sz w:val="24"/>
                <w:szCs w:val="24"/>
              </w:rPr>
            </w:pPr>
            <w:r w:rsidRPr="00AA40E7">
              <w:rPr>
                <w:rFonts w:ascii="Times New Roman" w:hAnsi="Times New Roman"/>
                <w:iCs/>
                <w:sz w:val="24"/>
                <w:szCs w:val="24"/>
              </w:rPr>
              <w:t>· Aanpassing lopende contracten</w:t>
            </w:r>
          </w:p>
        </w:tc>
        <w:tc>
          <w:tcPr>
            <w:tcW w:w="1134" w:type="dxa"/>
            <w:tcBorders>
              <w:top w:val="nil"/>
              <w:left w:val="nil"/>
              <w:bottom w:val="nil"/>
              <w:right w:val="nil"/>
            </w:tcBorders>
            <w:shd w:val="clear" w:color="auto" w:fill="auto"/>
            <w:vAlign w:val="center"/>
            <w:hideMark/>
          </w:tcPr>
          <w:p w:rsidRPr="00AA40E7" w:rsidR="00237DD5" w:rsidP="00654798" w:rsidRDefault="00237DD5" w14:paraId="753DEDD8"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2.243</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63DA6995"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743</w:t>
            </w:r>
          </w:p>
        </w:tc>
        <w:tc>
          <w:tcPr>
            <w:tcW w:w="992" w:type="dxa"/>
            <w:tcBorders>
              <w:top w:val="nil"/>
              <w:left w:val="nil"/>
              <w:bottom w:val="nil"/>
              <w:right w:val="nil"/>
            </w:tcBorders>
            <w:shd w:val="clear" w:color="auto" w:fill="auto"/>
            <w:vAlign w:val="center"/>
            <w:hideMark/>
          </w:tcPr>
          <w:p w:rsidRPr="00AA40E7" w:rsidR="00237DD5" w:rsidP="00654798" w:rsidRDefault="00237DD5" w14:paraId="4D116B8B"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743</w:t>
            </w:r>
          </w:p>
        </w:tc>
        <w:tc>
          <w:tcPr>
            <w:tcW w:w="1134" w:type="dxa"/>
            <w:tcBorders>
              <w:top w:val="nil"/>
              <w:left w:val="nil"/>
              <w:bottom w:val="nil"/>
              <w:right w:val="nil"/>
            </w:tcBorders>
            <w:shd w:val="clear" w:color="auto" w:fill="auto"/>
            <w:vAlign w:val="center"/>
            <w:hideMark/>
          </w:tcPr>
          <w:p w:rsidRPr="00AA40E7" w:rsidR="00237DD5" w:rsidP="00654798" w:rsidRDefault="00237DD5" w14:paraId="30579B59"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743</w:t>
            </w:r>
          </w:p>
        </w:tc>
        <w:tc>
          <w:tcPr>
            <w:tcW w:w="992" w:type="dxa"/>
            <w:tcBorders>
              <w:top w:val="nil"/>
              <w:left w:val="nil"/>
              <w:bottom w:val="nil"/>
              <w:right w:val="nil"/>
            </w:tcBorders>
            <w:shd w:val="clear" w:color="auto" w:fill="auto"/>
            <w:vAlign w:val="center"/>
            <w:hideMark/>
          </w:tcPr>
          <w:p w:rsidRPr="00AA40E7" w:rsidR="00237DD5" w:rsidP="00654798" w:rsidRDefault="00237DD5" w14:paraId="2BEF75BB"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743</w:t>
            </w:r>
          </w:p>
        </w:tc>
        <w:tc>
          <w:tcPr>
            <w:tcW w:w="1134" w:type="dxa"/>
            <w:tcBorders>
              <w:top w:val="nil"/>
              <w:left w:val="nil"/>
              <w:bottom w:val="nil"/>
              <w:right w:val="nil"/>
            </w:tcBorders>
            <w:shd w:val="clear" w:color="auto" w:fill="auto"/>
            <w:vAlign w:val="center"/>
            <w:hideMark/>
          </w:tcPr>
          <w:p w:rsidRPr="00AA40E7" w:rsidR="00237DD5" w:rsidP="00654798" w:rsidRDefault="00237DD5" w14:paraId="1C845CF4"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743</w:t>
            </w:r>
          </w:p>
        </w:tc>
      </w:tr>
      <w:tr w:rsidRPr="00AA40E7" w:rsidR="00237DD5" w:rsidTr="00810BA0" w14:paraId="626F691C"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0EE99DEA" w14:textId="77777777">
            <w:pPr>
              <w:spacing w:line="240" w:lineRule="atLeast"/>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335BD521" w14:textId="77777777">
            <w:pPr>
              <w:spacing w:line="240" w:lineRule="atLeast"/>
              <w:jc w:val="center"/>
              <w:rPr>
                <w:rFonts w:ascii="Times New Roman" w:hAnsi="Times New Roman"/>
                <w:iCs/>
                <w:sz w:val="24"/>
                <w:szCs w:val="24"/>
              </w:rPr>
            </w:pP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650C1287"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1B2FA015"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0D1D13B5"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2F89C492"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5346E942" w14:textId="77777777">
            <w:pPr>
              <w:spacing w:line="240" w:lineRule="atLeast"/>
              <w:jc w:val="center"/>
              <w:rPr>
                <w:rFonts w:ascii="Times New Roman" w:hAnsi="Times New Roman"/>
                <w:iCs/>
                <w:sz w:val="24"/>
                <w:szCs w:val="24"/>
              </w:rPr>
            </w:pPr>
          </w:p>
        </w:tc>
      </w:tr>
      <w:tr w:rsidRPr="00AA40E7" w:rsidR="00237DD5" w:rsidTr="00810BA0" w14:paraId="799CA8E1"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672032BB" w14:textId="77777777">
            <w:pPr>
              <w:spacing w:line="240" w:lineRule="atLeast"/>
              <w:rPr>
                <w:rFonts w:ascii="Times New Roman" w:hAnsi="Times New Roman"/>
                <w:iCs/>
                <w:sz w:val="24"/>
                <w:szCs w:val="24"/>
              </w:rPr>
            </w:pPr>
            <w:r w:rsidRPr="00AA40E7">
              <w:rPr>
                <w:rFonts w:ascii="Times New Roman" w:hAnsi="Times New Roman"/>
                <w:iCs/>
                <w:sz w:val="24"/>
                <w:szCs w:val="24"/>
              </w:rPr>
              <w:t>3.2: kennis en onderzoek</w:t>
            </w:r>
          </w:p>
        </w:tc>
        <w:tc>
          <w:tcPr>
            <w:tcW w:w="1134" w:type="dxa"/>
            <w:tcBorders>
              <w:top w:val="nil"/>
              <w:left w:val="nil"/>
              <w:bottom w:val="nil"/>
              <w:right w:val="nil"/>
            </w:tcBorders>
            <w:shd w:val="clear" w:color="auto" w:fill="auto"/>
            <w:vAlign w:val="center"/>
            <w:hideMark/>
          </w:tcPr>
          <w:p w:rsidRPr="00AA40E7" w:rsidR="00237DD5" w:rsidP="00654798" w:rsidRDefault="00237DD5" w14:paraId="59472EC9"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1.338</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1ADAC2B8"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1.335</w:t>
            </w:r>
          </w:p>
        </w:tc>
        <w:tc>
          <w:tcPr>
            <w:tcW w:w="992" w:type="dxa"/>
            <w:tcBorders>
              <w:top w:val="nil"/>
              <w:left w:val="nil"/>
              <w:bottom w:val="nil"/>
              <w:right w:val="nil"/>
            </w:tcBorders>
            <w:shd w:val="clear" w:color="auto" w:fill="auto"/>
            <w:vAlign w:val="center"/>
            <w:hideMark/>
          </w:tcPr>
          <w:p w:rsidRPr="00AA40E7" w:rsidR="00237DD5" w:rsidP="00654798" w:rsidRDefault="00237DD5" w14:paraId="556CBD52"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1.335</w:t>
            </w:r>
          </w:p>
        </w:tc>
        <w:tc>
          <w:tcPr>
            <w:tcW w:w="1134" w:type="dxa"/>
            <w:tcBorders>
              <w:top w:val="nil"/>
              <w:left w:val="nil"/>
              <w:bottom w:val="nil"/>
              <w:right w:val="nil"/>
            </w:tcBorders>
            <w:shd w:val="clear" w:color="auto" w:fill="auto"/>
            <w:vAlign w:val="center"/>
            <w:hideMark/>
          </w:tcPr>
          <w:p w:rsidRPr="00AA40E7" w:rsidR="00237DD5" w:rsidP="00654798" w:rsidRDefault="00237DD5" w14:paraId="47A7E0A2"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1.335</w:t>
            </w:r>
          </w:p>
        </w:tc>
        <w:tc>
          <w:tcPr>
            <w:tcW w:w="992" w:type="dxa"/>
            <w:tcBorders>
              <w:top w:val="nil"/>
              <w:left w:val="nil"/>
              <w:bottom w:val="nil"/>
              <w:right w:val="nil"/>
            </w:tcBorders>
            <w:shd w:val="clear" w:color="auto" w:fill="auto"/>
            <w:vAlign w:val="center"/>
            <w:hideMark/>
          </w:tcPr>
          <w:p w:rsidRPr="00AA40E7" w:rsidR="00237DD5" w:rsidP="00654798" w:rsidRDefault="00237DD5" w14:paraId="0E618BA2"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1.335</w:t>
            </w:r>
          </w:p>
        </w:tc>
        <w:tc>
          <w:tcPr>
            <w:tcW w:w="1134" w:type="dxa"/>
            <w:tcBorders>
              <w:top w:val="nil"/>
              <w:left w:val="nil"/>
              <w:bottom w:val="nil"/>
              <w:right w:val="nil"/>
            </w:tcBorders>
            <w:shd w:val="clear" w:color="auto" w:fill="auto"/>
            <w:vAlign w:val="center"/>
            <w:hideMark/>
          </w:tcPr>
          <w:p w:rsidRPr="00AA40E7" w:rsidR="00237DD5" w:rsidP="00654798" w:rsidRDefault="00237DD5" w14:paraId="4F368517"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1.335</w:t>
            </w:r>
          </w:p>
        </w:tc>
      </w:tr>
      <w:tr w:rsidRPr="00AA40E7" w:rsidR="00237DD5" w:rsidTr="00810BA0" w14:paraId="149FA9D8"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0A07C4AA" w14:textId="77777777">
            <w:pPr>
              <w:spacing w:line="240" w:lineRule="atLeast"/>
              <w:rPr>
                <w:rFonts w:ascii="Times New Roman" w:hAnsi="Times New Roman"/>
                <w:iCs/>
                <w:sz w:val="24"/>
                <w:szCs w:val="24"/>
              </w:rPr>
            </w:pPr>
            <w:r w:rsidRPr="00AA40E7">
              <w:rPr>
                <w:rFonts w:ascii="Times New Roman" w:hAnsi="Times New Roman"/>
                <w:iCs/>
                <w:sz w:val="24"/>
                <w:szCs w:val="24"/>
              </w:rPr>
              <w:t>3.3: publicatie officiële documenten</w:t>
            </w:r>
          </w:p>
        </w:tc>
        <w:tc>
          <w:tcPr>
            <w:tcW w:w="1134" w:type="dxa"/>
            <w:tcBorders>
              <w:top w:val="nil"/>
              <w:left w:val="nil"/>
              <w:bottom w:val="nil"/>
              <w:right w:val="nil"/>
            </w:tcBorders>
            <w:shd w:val="clear" w:color="auto" w:fill="auto"/>
            <w:vAlign w:val="center"/>
            <w:hideMark/>
          </w:tcPr>
          <w:p w:rsidRPr="00AA40E7" w:rsidR="00237DD5" w:rsidP="00654798" w:rsidRDefault="00237DD5" w14:paraId="67106A39"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2.146</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7BC7FCF2"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2.146</w:t>
            </w:r>
          </w:p>
        </w:tc>
        <w:tc>
          <w:tcPr>
            <w:tcW w:w="992" w:type="dxa"/>
            <w:tcBorders>
              <w:top w:val="nil"/>
              <w:left w:val="nil"/>
              <w:bottom w:val="nil"/>
              <w:right w:val="nil"/>
            </w:tcBorders>
            <w:shd w:val="clear" w:color="auto" w:fill="auto"/>
            <w:vAlign w:val="center"/>
            <w:hideMark/>
          </w:tcPr>
          <w:p w:rsidRPr="00AA40E7" w:rsidR="00237DD5" w:rsidP="00654798" w:rsidRDefault="00237DD5" w14:paraId="423FD3DD"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2.146</w:t>
            </w:r>
          </w:p>
        </w:tc>
        <w:tc>
          <w:tcPr>
            <w:tcW w:w="1134" w:type="dxa"/>
            <w:tcBorders>
              <w:top w:val="nil"/>
              <w:left w:val="nil"/>
              <w:bottom w:val="nil"/>
              <w:right w:val="nil"/>
            </w:tcBorders>
            <w:shd w:val="clear" w:color="auto" w:fill="auto"/>
            <w:vAlign w:val="center"/>
            <w:hideMark/>
          </w:tcPr>
          <w:p w:rsidRPr="00AA40E7" w:rsidR="00237DD5" w:rsidP="00654798" w:rsidRDefault="00237DD5" w14:paraId="25AF9A2E"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2.146</w:t>
            </w:r>
          </w:p>
        </w:tc>
        <w:tc>
          <w:tcPr>
            <w:tcW w:w="992" w:type="dxa"/>
            <w:tcBorders>
              <w:top w:val="nil"/>
              <w:left w:val="nil"/>
              <w:bottom w:val="nil"/>
              <w:right w:val="nil"/>
            </w:tcBorders>
            <w:shd w:val="clear" w:color="auto" w:fill="auto"/>
            <w:vAlign w:val="center"/>
            <w:hideMark/>
          </w:tcPr>
          <w:p w:rsidRPr="00AA40E7" w:rsidR="00237DD5" w:rsidP="00654798" w:rsidRDefault="00237DD5" w14:paraId="5CBAA8D5"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2.146</w:t>
            </w:r>
          </w:p>
        </w:tc>
        <w:tc>
          <w:tcPr>
            <w:tcW w:w="1134" w:type="dxa"/>
            <w:tcBorders>
              <w:top w:val="nil"/>
              <w:left w:val="nil"/>
              <w:bottom w:val="nil"/>
              <w:right w:val="nil"/>
            </w:tcBorders>
            <w:shd w:val="clear" w:color="auto" w:fill="auto"/>
            <w:vAlign w:val="center"/>
            <w:hideMark/>
          </w:tcPr>
          <w:p w:rsidRPr="00AA40E7" w:rsidR="00237DD5" w:rsidP="00654798" w:rsidRDefault="00237DD5" w14:paraId="7FEBD036"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2.146</w:t>
            </w:r>
          </w:p>
        </w:tc>
      </w:tr>
      <w:tr w:rsidRPr="00AA40E7" w:rsidR="00237DD5" w:rsidTr="00810BA0" w14:paraId="0C0DDE1C"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4C43919E" w14:textId="77777777">
            <w:pPr>
              <w:spacing w:line="240" w:lineRule="atLeast"/>
              <w:rPr>
                <w:rFonts w:ascii="Times New Roman" w:hAnsi="Times New Roman"/>
                <w:iCs/>
                <w:sz w:val="24"/>
                <w:szCs w:val="24"/>
              </w:rPr>
            </w:pPr>
            <w:r w:rsidRPr="00AA40E7">
              <w:rPr>
                <w:rFonts w:ascii="Times New Roman" w:hAnsi="Times New Roman"/>
                <w:iCs/>
                <w:sz w:val="24"/>
                <w:szCs w:val="24"/>
              </w:rPr>
              <w:t>3.4: fractiekosten</w:t>
            </w:r>
          </w:p>
        </w:tc>
        <w:tc>
          <w:tcPr>
            <w:tcW w:w="1134" w:type="dxa"/>
            <w:tcBorders>
              <w:top w:val="nil"/>
              <w:left w:val="nil"/>
              <w:bottom w:val="nil"/>
              <w:right w:val="nil"/>
            </w:tcBorders>
            <w:shd w:val="clear" w:color="auto" w:fill="auto"/>
            <w:vAlign w:val="center"/>
            <w:hideMark/>
          </w:tcPr>
          <w:p w:rsidRPr="00AA40E7" w:rsidR="00237DD5" w:rsidP="00654798" w:rsidRDefault="00237DD5" w14:paraId="5736458B"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44.010</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5816DBF5"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47.279</w:t>
            </w:r>
          </w:p>
        </w:tc>
        <w:tc>
          <w:tcPr>
            <w:tcW w:w="992" w:type="dxa"/>
            <w:tcBorders>
              <w:top w:val="nil"/>
              <w:left w:val="nil"/>
              <w:bottom w:val="nil"/>
              <w:right w:val="nil"/>
            </w:tcBorders>
            <w:shd w:val="clear" w:color="auto" w:fill="auto"/>
            <w:vAlign w:val="center"/>
            <w:hideMark/>
          </w:tcPr>
          <w:p w:rsidRPr="00AA40E7" w:rsidR="00237DD5" w:rsidP="00654798" w:rsidRDefault="00237DD5" w14:paraId="00012684"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45.101</w:t>
            </w:r>
          </w:p>
        </w:tc>
        <w:tc>
          <w:tcPr>
            <w:tcW w:w="1134" w:type="dxa"/>
            <w:tcBorders>
              <w:top w:val="nil"/>
              <w:left w:val="nil"/>
              <w:bottom w:val="nil"/>
              <w:right w:val="nil"/>
            </w:tcBorders>
            <w:shd w:val="clear" w:color="auto" w:fill="auto"/>
            <w:vAlign w:val="center"/>
            <w:hideMark/>
          </w:tcPr>
          <w:p w:rsidRPr="00AA40E7" w:rsidR="00237DD5" w:rsidP="00654798" w:rsidRDefault="00237DD5" w14:paraId="472F47A1"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44.012</w:t>
            </w:r>
          </w:p>
        </w:tc>
        <w:tc>
          <w:tcPr>
            <w:tcW w:w="992" w:type="dxa"/>
            <w:tcBorders>
              <w:top w:val="nil"/>
              <w:left w:val="nil"/>
              <w:bottom w:val="nil"/>
              <w:right w:val="nil"/>
            </w:tcBorders>
            <w:shd w:val="clear" w:color="auto" w:fill="auto"/>
            <w:vAlign w:val="center"/>
            <w:hideMark/>
          </w:tcPr>
          <w:p w:rsidRPr="00AA40E7" w:rsidR="00237DD5" w:rsidP="00654798" w:rsidRDefault="00237DD5" w14:paraId="7BDBD5BC"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44.012</w:t>
            </w:r>
          </w:p>
        </w:tc>
        <w:tc>
          <w:tcPr>
            <w:tcW w:w="1134" w:type="dxa"/>
            <w:tcBorders>
              <w:top w:val="nil"/>
              <w:left w:val="nil"/>
              <w:bottom w:val="nil"/>
              <w:right w:val="nil"/>
            </w:tcBorders>
            <w:shd w:val="clear" w:color="auto" w:fill="auto"/>
            <w:vAlign w:val="center"/>
            <w:hideMark/>
          </w:tcPr>
          <w:p w:rsidRPr="00AA40E7" w:rsidR="00237DD5" w:rsidP="00654798" w:rsidRDefault="00DF72FA" w14:paraId="3BA38ABA" w14:textId="36DCE2CF">
            <w:pPr>
              <w:spacing w:line="240" w:lineRule="atLeast"/>
              <w:jc w:val="center"/>
              <w:rPr>
                <w:rFonts w:ascii="Times New Roman" w:hAnsi="Times New Roman"/>
                <w:iCs/>
                <w:sz w:val="24"/>
                <w:szCs w:val="24"/>
              </w:rPr>
            </w:pPr>
            <w:r w:rsidRPr="00AA40E7">
              <w:rPr>
                <w:rFonts w:ascii="Times New Roman" w:hAnsi="Times New Roman"/>
                <w:iCs/>
                <w:sz w:val="24"/>
                <w:szCs w:val="24"/>
              </w:rPr>
              <w:t>47</w:t>
            </w:r>
            <w:r w:rsidRPr="00AA40E7" w:rsidR="00237DD5">
              <w:rPr>
                <w:rFonts w:ascii="Times New Roman" w:hAnsi="Times New Roman"/>
                <w:iCs/>
                <w:sz w:val="24"/>
                <w:szCs w:val="24"/>
              </w:rPr>
              <w:t>.012</w:t>
            </w:r>
          </w:p>
        </w:tc>
      </w:tr>
      <w:tr w:rsidRPr="00AA40E7" w:rsidR="00237DD5" w:rsidTr="00810BA0" w14:paraId="7C007DF6" w14:textId="77777777">
        <w:trPr>
          <w:trHeight w:val="450"/>
        </w:trPr>
        <w:tc>
          <w:tcPr>
            <w:tcW w:w="2694" w:type="dxa"/>
            <w:tcBorders>
              <w:top w:val="nil"/>
              <w:left w:val="nil"/>
              <w:bottom w:val="nil"/>
              <w:right w:val="nil"/>
            </w:tcBorders>
            <w:shd w:val="clear" w:color="auto" w:fill="auto"/>
            <w:vAlign w:val="center"/>
            <w:hideMark/>
          </w:tcPr>
          <w:p w:rsidRPr="00AA40E7" w:rsidR="00237DD5" w:rsidP="00654798" w:rsidRDefault="00237DD5" w14:paraId="0B0E982A" w14:textId="77777777">
            <w:pPr>
              <w:spacing w:line="240" w:lineRule="atLeast"/>
              <w:rPr>
                <w:rFonts w:ascii="Times New Roman" w:hAnsi="Times New Roman"/>
                <w:iCs/>
                <w:sz w:val="24"/>
                <w:szCs w:val="24"/>
              </w:rPr>
            </w:pPr>
            <w:r w:rsidRPr="00AA40E7">
              <w:rPr>
                <w:rFonts w:ascii="Times New Roman" w:hAnsi="Times New Roman"/>
                <w:iCs/>
                <w:sz w:val="24"/>
                <w:szCs w:val="24"/>
              </w:rPr>
              <w:t>Mutatie n.a.v. de Voorjaarsnota 2024</w:t>
            </w:r>
          </w:p>
        </w:tc>
        <w:tc>
          <w:tcPr>
            <w:tcW w:w="1134" w:type="dxa"/>
            <w:tcBorders>
              <w:top w:val="nil"/>
              <w:left w:val="nil"/>
              <w:bottom w:val="nil"/>
              <w:right w:val="nil"/>
            </w:tcBorders>
            <w:shd w:val="clear" w:color="auto" w:fill="auto"/>
            <w:vAlign w:val="center"/>
            <w:hideMark/>
          </w:tcPr>
          <w:p w:rsidRPr="00AA40E7" w:rsidR="00237DD5" w:rsidP="00654798" w:rsidRDefault="00237DD5" w14:paraId="49F03B61" w14:textId="77777777">
            <w:pPr>
              <w:spacing w:line="240" w:lineRule="atLeast"/>
              <w:jc w:val="center"/>
              <w:rPr>
                <w:rFonts w:ascii="Times New Roman" w:hAnsi="Times New Roman"/>
                <w:iCs/>
                <w:sz w:val="24"/>
                <w:szCs w:val="24"/>
              </w:rPr>
            </w:pP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2022D3F4"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7329F7B4"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2C1099D8"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13EACB36"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3182A4FE" w14:textId="77777777">
            <w:pPr>
              <w:spacing w:line="240" w:lineRule="atLeast"/>
              <w:jc w:val="center"/>
              <w:rPr>
                <w:rFonts w:ascii="Times New Roman" w:hAnsi="Times New Roman"/>
                <w:iCs/>
                <w:sz w:val="24"/>
                <w:szCs w:val="24"/>
              </w:rPr>
            </w:pPr>
          </w:p>
        </w:tc>
      </w:tr>
      <w:tr w:rsidRPr="00AA40E7" w:rsidR="00237DD5" w:rsidTr="00810BA0" w14:paraId="026A1146"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39ED3077" w14:textId="77777777">
            <w:pPr>
              <w:spacing w:line="240" w:lineRule="atLeast"/>
              <w:rPr>
                <w:rFonts w:ascii="Times New Roman" w:hAnsi="Times New Roman"/>
                <w:iCs/>
                <w:sz w:val="24"/>
                <w:szCs w:val="24"/>
              </w:rPr>
            </w:pPr>
            <w:r w:rsidRPr="00AA40E7">
              <w:rPr>
                <w:rFonts w:ascii="Times New Roman" w:hAnsi="Times New Roman"/>
                <w:iCs/>
                <w:sz w:val="24"/>
                <w:szCs w:val="24"/>
              </w:rPr>
              <w:t>·         Ramingsbijstelling</w:t>
            </w:r>
          </w:p>
        </w:tc>
        <w:tc>
          <w:tcPr>
            <w:tcW w:w="1134" w:type="dxa"/>
            <w:tcBorders>
              <w:top w:val="nil"/>
              <w:left w:val="nil"/>
              <w:bottom w:val="nil"/>
              <w:right w:val="nil"/>
            </w:tcBorders>
            <w:shd w:val="clear" w:color="auto" w:fill="auto"/>
            <w:vAlign w:val="center"/>
            <w:hideMark/>
          </w:tcPr>
          <w:p w:rsidRPr="00AA40E7" w:rsidR="00237DD5" w:rsidP="00654798" w:rsidRDefault="00237DD5" w14:paraId="5B6926DC"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11.000</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6C04B9C2"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-3.269</w:t>
            </w:r>
          </w:p>
        </w:tc>
        <w:tc>
          <w:tcPr>
            <w:tcW w:w="992" w:type="dxa"/>
            <w:tcBorders>
              <w:top w:val="nil"/>
              <w:left w:val="nil"/>
              <w:bottom w:val="nil"/>
              <w:right w:val="nil"/>
            </w:tcBorders>
            <w:shd w:val="clear" w:color="auto" w:fill="auto"/>
            <w:vAlign w:val="center"/>
            <w:hideMark/>
          </w:tcPr>
          <w:p w:rsidRPr="00AA40E7" w:rsidR="00237DD5" w:rsidP="00654798" w:rsidRDefault="00237DD5" w14:paraId="0C5740A4"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-1.091</w:t>
            </w:r>
          </w:p>
        </w:tc>
        <w:tc>
          <w:tcPr>
            <w:tcW w:w="1134" w:type="dxa"/>
            <w:tcBorders>
              <w:top w:val="nil"/>
              <w:left w:val="nil"/>
              <w:bottom w:val="nil"/>
              <w:right w:val="nil"/>
            </w:tcBorders>
            <w:shd w:val="clear" w:color="auto" w:fill="auto"/>
            <w:vAlign w:val="center"/>
            <w:hideMark/>
          </w:tcPr>
          <w:p w:rsidRPr="00AA40E7" w:rsidR="00237DD5" w:rsidP="00654798" w:rsidRDefault="00237DD5" w14:paraId="0A577C1E"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992" w:type="dxa"/>
            <w:tcBorders>
              <w:top w:val="nil"/>
              <w:left w:val="nil"/>
              <w:bottom w:val="nil"/>
              <w:right w:val="nil"/>
            </w:tcBorders>
            <w:shd w:val="clear" w:color="auto" w:fill="auto"/>
            <w:vAlign w:val="center"/>
            <w:hideMark/>
          </w:tcPr>
          <w:p w:rsidRPr="00AA40E7" w:rsidR="00237DD5" w:rsidP="00654798" w:rsidRDefault="00237DD5" w14:paraId="594148A3"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8.000</w:t>
            </w:r>
          </w:p>
        </w:tc>
        <w:tc>
          <w:tcPr>
            <w:tcW w:w="1134" w:type="dxa"/>
            <w:tcBorders>
              <w:top w:val="nil"/>
              <w:left w:val="nil"/>
              <w:bottom w:val="nil"/>
              <w:right w:val="nil"/>
            </w:tcBorders>
            <w:shd w:val="clear" w:color="auto" w:fill="auto"/>
            <w:vAlign w:val="center"/>
            <w:hideMark/>
          </w:tcPr>
          <w:p w:rsidRPr="00AA40E7" w:rsidR="00237DD5" w:rsidP="00654798" w:rsidRDefault="00DF72FA" w14:paraId="388C88D4" w14:textId="44675002">
            <w:pPr>
              <w:spacing w:line="240" w:lineRule="atLeast"/>
              <w:jc w:val="center"/>
              <w:rPr>
                <w:rFonts w:ascii="Times New Roman" w:hAnsi="Times New Roman"/>
                <w:iCs/>
                <w:sz w:val="24"/>
                <w:szCs w:val="24"/>
              </w:rPr>
            </w:pPr>
            <w:r w:rsidRPr="00AA40E7">
              <w:rPr>
                <w:rFonts w:ascii="Times New Roman" w:hAnsi="Times New Roman"/>
                <w:iCs/>
                <w:sz w:val="24"/>
                <w:szCs w:val="24"/>
              </w:rPr>
              <w:t>-3.000</w:t>
            </w:r>
          </w:p>
        </w:tc>
      </w:tr>
      <w:tr w:rsidRPr="00AA40E7" w:rsidR="00237DD5" w:rsidTr="00810BA0" w14:paraId="60042E88"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3A255F41" w14:textId="77777777">
            <w:pPr>
              <w:spacing w:line="240" w:lineRule="atLeast"/>
              <w:rPr>
                <w:rFonts w:ascii="Times New Roman" w:hAnsi="Times New Roman"/>
                <w:iCs/>
                <w:sz w:val="24"/>
                <w:szCs w:val="24"/>
              </w:rPr>
            </w:pPr>
            <w:r w:rsidRPr="00AA40E7">
              <w:rPr>
                <w:rFonts w:ascii="Times New Roman" w:hAnsi="Times New Roman"/>
                <w:iCs/>
                <w:sz w:val="24"/>
                <w:szCs w:val="24"/>
              </w:rPr>
              <w:t>3.5: uitzending leden</w:t>
            </w:r>
          </w:p>
        </w:tc>
        <w:tc>
          <w:tcPr>
            <w:tcW w:w="1134" w:type="dxa"/>
            <w:tcBorders>
              <w:top w:val="nil"/>
              <w:left w:val="nil"/>
              <w:bottom w:val="nil"/>
              <w:right w:val="nil"/>
            </w:tcBorders>
            <w:shd w:val="clear" w:color="auto" w:fill="auto"/>
            <w:vAlign w:val="center"/>
            <w:hideMark/>
          </w:tcPr>
          <w:p w:rsidRPr="00AA40E7" w:rsidR="00237DD5" w:rsidP="00654798" w:rsidRDefault="00237DD5" w14:paraId="46C41CA1"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517</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6C8B1910"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517</w:t>
            </w:r>
          </w:p>
        </w:tc>
        <w:tc>
          <w:tcPr>
            <w:tcW w:w="992" w:type="dxa"/>
            <w:tcBorders>
              <w:top w:val="nil"/>
              <w:left w:val="nil"/>
              <w:bottom w:val="nil"/>
              <w:right w:val="nil"/>
            </w:tcBorders>
            <w:shd w:val="clear" w:color="auto" w:fill="auto"/>
            <w:vAlign w:val="center"/>
            <w:hideMark/>
          </w:tcPr>
          <w:p w:rsidRPr="00AA40E7" w:rsidR="00237DD5" w:rsidP="00654798" w:rsidRDefault="00237DD5" w14:paraId="2F4D6D14"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517</w:t>
            </w:r>
          </w:p>
        </w:tc>
        <w:tc>
          <w:tcPr>
            <w:tcW w:w="1134" w:type="dxa"/>
            <w:tcBorders>
              <w:top w:val="nil"/>
              <w:left w:val="nil"/>
              <w:bottom w:val="nil"/>
              <w:right w:val="nil"/>
            </w:tcBorders>
            <w:shd w:val="clear" w:color="auto" w:fill="auto"/>
            <w:vAlign w:val="center"/>
            <w:hideMark/>
          </w:tcPr>
          <w:p w:rsidRPr="00AA40E7" w:rsidR="00237DD5" w:rsidP="00654798" w:rsidRDefault="00237DD5" w14:paraId="485E7241"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517</w:t>
            </w:r>
          </w:p>
        </w:tc>
        <w:tc>
          <w:tcPr>
            <w:tcW w:w="992" w:type="dxa"/>
            <w:tcBorders>
              <w:top w:val="nil"/>
              <w:left w:val="nil"/>
              <w:bottom w:val="nil"/>
              <w:right w:val="nil"/>
            </w:tcBorders>
            <w:shd w:val="clear" w:color="auto" w:fill="auto"/>
            <w:vAlign w:val="center"/>
            <w:hideMark/>
          </w:tcPr>
          <w:p w:rsidRPr="00AA40E7" w:rsidR="00237DD5" w:rsidP="00654798" w:rsidRDefault="00237DD5" w14:paraId="6A520738"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517</w:t>
            </w:r>
          </w:p>
        </w:tc>
        <w:tc>
          <w:tcPr>
            <w:tcW w:w="1134" w:type="dxa"/>
            <w:tcBorders>
              <w:top w:val="nil"/>
              <w:left w:val="nil"/>
              <w:bottom w:val="nil"/>
              <w:right w:val="nil"/>
            </w:tcBorders>
            <w:shd w:val="clear" w:color="auto" w:fill="auto"/>
            <w:vAlign w:val="center"/>
            <w:hideMark/>
          </w:tcPr>
          <w:p w:rsidRPr="00AA40E7" w:rsidR="00237DD5" w:rsidP="00654798" w:rsidRDefault="00237DD5" w14:paraId="67EBE6DA"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517</w:t>
            </w:r>
          </w:p>
        </w:tc>
      </w:tr>
      <w:tr w:rsidRPr="00AA40E7" w:rsidR="00237DD5" w:rsidTr="00810BA0" w14:paraId="62F8C4E3"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1B7A027B" w14:textId="77777777">
            <w:pPr>
              <w:spacing w:line="240" w:lineRule="atLeast"/>
              <w:rPr>
                <w:rFonts w:ascii="Times New Roman" w:hAnsi="Times New Roman"/>
                <w:iCs/>
                <w:sz w:val="24"/>
                <w:szCs w:val="24"/>
              </w:rPr>
            </w:pPr>
            <w:r w:rsidRPr="00AA40E7">
              <w:rPr>
                <w:rFonts w:ascii="Times New Roman" w:hAnsi="Times New Roman"/>
                <w:iCs/>
                <w:sz w:val="24"/>
                <w:szCs w:val="24"/>
              </w:rPr>
              <w:t>3.6: parlementaire enquêtes</w:t>
            </w:r>
          </w:p>
        </w:tc>
        <w:tc>
          <w:tcPr>
            <w:tcW w:w="1134" w:type="dxa"/>
            <w:tcBorders>
              <w:top w:val="nil"/>
              <w:left w:val="nil"/>
              <w:bottom w:val="nil"/>
              <w:right w:val="nil"/>
            </w:tcBorders>
            <w:shd w:val="clear" w:color="auto" w:fill="auto"/>
            <w:vAlign w:val="center"/>
            <w:hideMark/>
          </w:tcPr>
          <w:p w:rsidRPr="00AA40E7" w:rsidR="00237DD5" w:rsidP="00654798" w:rsidRDefault="00237DD5" w14:paraId="32BDF1D1"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345</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3BF29D31"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992" w:type="dxa"/>
            <w:tcBorders>
              <w:top w:val="nil"/>
              <w:left w:val="nil"/>
              <w:bottom w:val="nil"/>
              <w:right w:val="nil"/>
            </w:tcBorders>
            <w:shd w:val="clear" w:color="auto" w:fill="auto"/>
            <w:vAlign w:val="center"/>
            <w:hideMark/>
          </w:tcPr>
          <w:p w:rsidRPr="00AA40E7" w:rsidR="00237DD5" w:rsidP="00654798" w:rsidRDefault="00237DD5" w14:paraId="65853877"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1134" w:type="dxa"/>
            <w:tcBorders>
              <w:top w:val="nil"/>
              <w:left w:val="nil"/>
              <w:bottom w:val="nil"/>
              <w:right w:val="nil"/>
            </w:tcBorders>
            <w:shd w:val="clear" w:color="auto" w:fill="auto"/>
            <w:vAlign w:val="center"/>
            <w:hideMark/>
          </w:tcPr>
          <w:p w:rsidRPr="00AA40E7" w:rsidR="00237DD5" w:rsidP="00654798" w:rsidRDefault="00237DD5" w14:paraId="42D41B00"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992" w:type="dxa"/>
            <w:tcBorders>
              <w:top w:val="nil"/>
              <w:left w:val="nil"/>
              <w:bottom w:val="nil"/>
              <w:right w:val="nil"/>
            </w:tcBorders>
            <w:shd w:val="clear" w:color="auto" w:fill="auto"/>
            <w:vAlign w:val="center"/>
            <w:hideMark/>
          </w:tcPr>
          <w:p w:rsidRPr="00AA40E7" w:rsidR="00237DD5" w:rsidP="00654798" w:rsidRDefault="00237DD5" w14:paraId="5E1CACCF"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1134" w:type="dxa"/>
            <w:tcBorders>
              <w:top w:val="nil"/>
              <w:left w:val="nil"/>
              <w:bottom w:val="nil"/>
              <w:right w:val="nil"/>
            </w:tcBorders>
            <w:shd w:val="clear" w:color="auto" w:fill="auto"/>
            <w:vAlign w:val="center"/>
            <w:hideMark/>
          </w:tcPr>
          <w:p w:rsidRPr="00AA40E7" w:rsidR="00237DD5" w:rsidP="00654798" w:rsidRDefault="00237DD5" w14:paraId="0D1E6AED"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r>
      <w:tr w:rsidRPr="00AA40E7" w:rsidR="00237DD5" w:rsidTr="00810BA0" w14:paraId="38F20D59" w14:textId="77777777">
        <w:trPr>
          <w:trHeight w:val="450"/>
        </w:trPr>
        <w:tc>
          <w:tcPr>
            <w:tcW w:w="2694" w:type="dxa"/>
            <w:tcBorders>
              <w:top w:val="nil"/>
              <w:left w:val="nil"/>
              <w:bottom w:val="nil"/>
              <w:right w:val="nil"/>
            </w:tcBorders>
            <w:shd w:val="clear" w:color="auto" w:fill="auto"/>
            <w:vAlign w:val="center"/>
            <w:hideMark/>
          </w:tcPr>
          <w:p w:rsidRPr="00AA40E7" w:rsidR="00237DD5" w:rsidP="00654798" w:rsidRDefault="00237DD5" w14:paraId="7CA61A8B" w14:textId="77777777">
            <w:pPr>
              <w:spacing w:line="240" w:lineRule="atLeast"/>
              <w:rPr>
                <w:rFonts w:ascii="Times New Roman" w:hAnsi="Times New Roman"/>
                <w:iCs/>
                <w:sz w:val="24"/>
                <w:szCs w:val="24"/>
              </w:rPr>
            </w:pPr>
            <w:r w:rsidRPr="00AA40E7">
              <w:rPr>
                <w:rFonts w:ascii="Times New Roman" w:hAnsi="Times New Roman"/>
                <w:iCs/>
                <w:sz w:val="24"/>
                <w:szCs w:val="24"/>
              </w:rPr>
              <w:t>Mutatie n.a.v. de Voorjaarsnota 2024</w:t>
            </w:r>
          </w:p>
        </w:tc>
        <w:tc>
          <w:tcPr>
            <w:tcW w:w="1134" w:type="dxa"/>
            <w:tcBorders>
              <w:top w:val="nil"/>
              <w:left w:val="nil"/>
              <w:bottom w:val="nil"/>
              <w:right w:val="nil"/>
            </w:tcBorders>
            <w:shd w:val="clear" w:color="auto" w:fill="auto"/>
            <w:vAlign w:val="center"/>
            <w:hideMark/>
          </w:tcPr>
          <w:p w:rsidRPr="00AA40E7" w:rsidR="00237DD5" w:rsidP="00654798" w:rsidRDefault="00237DD5" w14:paraId="0B553DC9" w14:textId="77777777">
            <w:pPr>
              <w:spacing w:line="240" w:lineRule="atLeast"/>
              <w:jc w:val="center"/>
              <w:rPr>
                <w:rFonts w:ascii="Times New Roman" w:hAnsi="Times New Roman"/>
                <w:iCs/>
                <w:sz w:val="24"/>
                <w:szCs w:val="24"/>
              </w:rPr>
            </w:pP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60300216"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2CCCFD6E"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4F232CF7"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1380EEED"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545AC2DA" w14:textId="77777777">
            <w:pPr>
              <w:spacing w:line="240" w:lineRule="atLeast"/>
              <w:jc w:val="center"/>
              <w:rPr>
                <w:rFonts w:ascii="Times New Roman" w:hAnsi="Times New Roman"/>
                <w:iCs/>
                <w:sz w:val="24"/>
                <w:szCs w:val="24"/>
              </w:rPr>
            </w:pPr>
          </w:p>
        </w:tc>
      </w:tr>
      <w:tr w:rsidRPr="00AA40E7" w:rsidR="00237DD5" w:rsidTr="00237DD5" w14:paraId="627FEBB5"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38F6D53E" w14:textId="3EA2786B">
            <w:pPr>
              <w:spacing w:line="240" w:lineRule="atLeast"/>
              <w:rPr>
                <w:rFonts w:ascii="Times New Roman" w:hAnsi="Times New Roman"/>
                <w:iCs/>
                <w:sz w:val="24"/>
                <w:szCs w:val="24"/>
              </w:rPr>
            </w:pPr>
            <w:r w:rsidRPr="00AA40E7">
              <w:rPr>
                <w:rFonts w:ascii="Times New Roman" w:hAnsi="Times New Roman"/>
                <w:iCs/>
                <w:sz w:val="24"/>
                <w:szCs w:val="24"/>
              </w:rPr>
              <w:t>·         Ramingsbijstelling</w:t>
            </w:r>
          </w:p>
        </w:tc>
        <w:tc>
          <w:tcPr>
            <w:tcW w:w="1134" w:type="dxa"/>
            <w:tcBorders>
              <w:top w:val="nil"/>
              <w:left w:val="nil"/>
              <w:bottom w:val="nil"/>
              <w:right w:val="nil"/>
            </w:tcBorders>
            <w:shd w:val="clear" w:color="auto" w:fill="auto"/>
            <w:vAlign w:val="center"/>
            <w:hideMark/>
          </w:tcPr>
          <w:p w:rsidRPr="00AA40E7" w:rsidR="00237DD5" w:rsidP="00654798" w:rsidRDefault="00237DD5" w14:paraId="705F710E" w14:textId="75E1659C">
            <w:pPr>
              <w:spacing w:line="240" w:lineRule="atLeast"/>
              <w:jc w:val="center"/>
              <w:rPr>
                <w:rFonts w:ascii="Times New Roman" w:hAnsi="Times New Roman"/>
                <w:iCs/>
                <w:sz w:val="24"/>
                <w:szCs w:val="24"/>
              </w:rPr>
            </w:pPr>
            <w:r w:rsidRPr="00AA40E7">
              <w:rPr>
                <w:rFonts w:ascii="Times New Roman" w:hAnsi="Times New Roman"/>
                <w:color w:val="000000"/>
                <w:sz w:val="24"/>
                <w:szCs w:val="24"/>
              </w:rPr>
              <w:t>3.401</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18811582" w14:textId="2C76C3FC">
            <w:pPr>
              <w:spacing w:line="240" w:lineRule="atLeast"/>
              <w:jc w:val="center"/>
              <w:rPr>
                <w:rFonts w:ascii="Times New Roman" w:hAnsi="Times New Roman"/>
                <w:iCs/>
                <w:sz w:val="24"/>
                <w:szCs w:val="24"/>
              </w:rPr>
            </w:pPr>
            <w:r w:rsidRPr="00AA40E7">
              <w:rPr>
                <w:rFonts w:ascii="Times New Roman" w:hAnsi="Times New Roman"/>
                <w:color w:val="000000"/>
                <w:sz w:val="24"/>
                <w:szCs w:val="24"/>
              </w:rPr>
              <w:t>2.700</w:t>
            </w:r>
          </w:p>
        </w:tc>
        <w:tc>
          <w:tcPr>
            <w:tcW w:w="992" w:type="dxa"/>
            <w:tcBorders>
              <w:top w:val="nil"/>
              <w:left w:val="nil"/>
              <w:bottom w:val="nil"/>
              <w:right w:val="nil"/>
            </w:tcBorders>
            <w:shd w:val="clear" w:color="auto" w:fill="auto"/>
            <w:vAlign w:val="center"/>
            <w:hideMark/>
          </w:tcPr>
          <w:p w:rsidRPr="00AA40E7" w:rsidR="00237DD5" w:rsidP="00654798" w:rsidRDefault="00237DD5" w14:paraId="2B22D39A" w14:textId="12C979BC">
            <w:pPr>
              <w:spacing w:line="240" w:lineRule="atLeast"/>
              <w:jc w:val="center"/>
              <w:rPr>
                <w:rFonts w:ascii="Times New Roman" w:hAnsi="Times New Roman"/>
                <w:iCs/>
                <w:sz w:val="24"/>
                <w:szCs w:val="24"/>
              </w:rPr>
            </w:pPr>
            <w:r w:rsidRPr="00AA40E7">
              <w:rPr>
                <w:rFonts w:ascii="Times New Roman" w:hAnsi="Times New Roman"/>
                <w:color w:val="000000"/>
                <w:sz w:val="24"/>
                <w:szCs w:val="24"/>
              </w:rPr>
              <w:t>1.700</w:t>
            </w:r>
          </w:p>
        </w:tc>
        <w:tc>
          <w:tcPr>
            <w:tcW w:w="1134" w:type="dxa"/>
            <w:tcBorders>
              <w:top w:val="nil"/>
              <w:left w:val="nil"/>
              <w:bottom w:val="nil"/>
              <w:right w:val="nil"/>
            </w:tcBorders>
            <w:shd w:val="clear" w:color="auto" w:fill="auto"/>
            <w:vAlign w:val="center"/>
            <w:hideMark/>
          </w:tcPr>
          <w:p w:rsidRPr="00AA40E7" w:rsidR="00237DD5" w:rsidP="00654798" w:rsidRDefault="00237DD5" w14:paraId="721C7756" w14:textId="53A4B36E">
            <w:pPr>
              <w:spacing w:line="240" w:lineRule="atLeast"/>
              <w:jc w:val="center"/>
              <w:rPr>
                <w:rFonts w:ascii="Times New Roman" w:hAnsi="Times New Roman"/>
                <w:iCs/>
                <w:sz w:val="24"/>
                <w:szCs w:val="24"/>
              </w:rPr>
            </w:pPr>
            <w:r w:rsidRPr="00AA40E7">
              <w:rPr>
                <w:rFonts w:ascii="Times New Roman" w:hAnsi="Times New Roman"/>
                <w:color w:val="000000"/>
                <w:sz w:val="24"/>
                <w:szCs w:val="24"/>
              </w:rPr>
              <w:t>0</w:t>
            </w:r>
          </w:p>
        </w:tc>
        <w:tc>
          <w:tcPr>
            <w:tcW w:w="992" w:type="dxa"/>
            <w:tcBorders>
              <w:top w:val="nil"/>
              <w:left w:val="nil"/>
              <w:bottom w:val="nil"/>
              <w:right w:val="nil"/>
            </w:tcBorders>
            <w:shd w:val="clear" w:color="auto" w:fill="auto"/>
            <w:vAlign w:val="center"/>
            <w:hideMark/>
          </w:tcPr>
          <w:p w:rsidRPr="00AA40E7" w:rsidR="00237DD5" w:rsidP="00654798" w:rsidRDefault="00237DD5" w14:paraId="491B0784" w14:textId="2494EBDB">
            <w:pPr>
              <w:spacing w:line="240" w:lineRule="atLeast"/>
              <w:jc w:val="center"/>
              <w:rPr>
                <w:rFonts w:ascii="Times New Roman" w:hAnsi="Times New Roman"/>
                <w:iCs/>
                <w:sz w:val="24"/>
                <w:szCs w:val="24"/>
              </w:rPr>
            </w:pPr>
            <w:r w:rsidRPr="00AA40E7">
              <w:rPr>
                <w:rFonts w:ascii="Times New Roman" w:hAnsi="Times New Roman"/>
                <w:color w:val="000000"/>
                <w:sz w:val="24"/>
                <w:szCs w:val="24"/>
              </w:rPr>
              <w:t>0</w:t>
            </w:r>
          </w:p>
        </w:tc>
        <w:tc>
          <w:tcPr>
            <w:tcW w:w="1134" w:type="dxa"/>
            <w:tcBorders>
              <w:top w:val="nil"/>
              <w:left w:val="nil"/>
              <w:bottom w:val="nil"/>
              <w:right w:val="nil"/>
            </w:tcBorders>
            <w:shd w:val="clear" w:color="auto" w:fill="auto"/>
            <w:vAlign w:val="center"/>
            <w:hideMark/>
          </w:tcPr>
          <w:p w:rsidRPr="00AA40E7" w:rsidR="00237DD5" w:rsidP="00654798" w:rsidRDefault="00237DD5" w14:paraId="2CFC34BC" w14:textId="1BE516A5">
            <w:pPr>
              <w:spacing w:line="240" w:lineRule="atLeast"/>
              <w:jc w:val="center"/>
              <w:rPr>
                <w:rFonts w:ascii="Times New Roman" w:hAnsi="Times New Roman"/>
                <w:iCs/>
                <w:sz w:val="24"/>
                <w:szCs w:val="24"/>
              </w:rPr>
            </w:pPr>
            <w:r w:rsidRPr="00AA40E7">
              <w:rPr>
                <w:rFonts w:ascii="Times New Roman" w:hAnsi="Times New Roman"/>
                <w:color w:val="000000"/>
                <w:sz w:val="24"/>
                <w:szCs w:val="24"/>
              </w:rPr>
              <w:t>0</w:t>
            </w:r>
          </w:p>
        </w:tc>
      </w:tr>
      <w:tr w:rsidRPr="00AA40E7" w:rsidR="00237DD5" w:rsidTr="00810BA0" w14:paraId="70DA25EE"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60826FAB" w14:textId="306488E9">
            <w:pPr>
              <w:spacing w:line="240" w:lineRule="atLeast"/>
              <w:rPr>
                <w:rFonts w:ascii="Times New Roman" w:hAnsi="Times New Roman"/>
                <w:iCs/>
                <w:sz w:val="24"/>
                <w:szCs w:val="24"/>
              </w:rPr>
            </w:pPr>
            <w:r w:rsidRPr="00AA40E7">
              <w:rPr>
                <w:rFonts w:ascii="Times New Roman" w:hAnsi="Times New Roman"/>
                <w:iCs/>
                <w:sz w:val="24"/>
                <w:szCs w:val="24"/>
              </w:rPr>
              <w:t>3.7: bijdrage Prodemos</w:t>
            </w:r>
          </w:p>
        </w:tc>
        <w:tc>
          <w:tcPr>
            <w:tcW w:w="1134" w:type="dxa"/>
            <w:tcBorders>
              <w:top w:val="nil"/>
              <w:left w:val="nil"/>
              <w:bottom w:val="nil"/>
              <w:right w:val="nil"/>
            </w:tcBorders>
            <w:shd w:val="clear" w:color="auto" w:fill="auto"/>
            <w:vAlign w:val="center"/>
            <w:hideMark/>
          </w:tcPr>
          <w:p w:rsidRPr="00AA40E7" w:rsidR="00237DD5" w:rsidP="00654798" w:rsidRDefault="00237DD5" w14:paraId="0702E910"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2.381</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15B3BA8B"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2.381</w:t>
            </w:r>
          </w:p>
        </w:tc>
        <w:tc>
          <w:tcPr>
            <w:tcW w:w="992" w:type="dxa"/>
            <w:tcBorders>
              <w:top w:val="nil"/>
              <w:left w:val="nil"/>
              <w:bottom w:val="nil"/>
              <w:right w:val="nil"/>
            </w:tcBorders>
            <w:shd w:val="clear" w:color="auto" w:fill="auto"/>
            <w:vAlign w:val="center"/>
            <w:hideMark/>
          </w:tcPr>
          <w:p w:rsidRPr="00AA40E7" w:rsidR="00237DD5" w:rsidP="00654798" w:rsidRDefault="00237DD5" w14:paraId="2B083506"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2.381</w:t>
            </w:r>
          </w:p>
        </w:tc>
        <w:tc>
          <w:tcPr>
            <w:tcW w:w="1134" w:type="dxa"/>
            <w:tcBorders>
              <w:top w:val="nil"/>
              <w:left w:val="nil"/>
              <w:bottom w:val="nil"/>
              <w:right w:val="nil"/>
            </w:tcBorders>
            <w:shd w:val="clear" w:color="auto" w:fill="auto"/>
            <w:vAlign w:val="center"/>
            <w:hideMark/>
          </w:tcPr>
          <w:p w:rsidRPr="00AA40E7" w:rsidR="00237DD5" w:rsidP="00654798" w:rsidRDefault="00237DD5" w14:paraId="74E6E870"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2.381</w:t>
            </w:r>
          </w:p>
        </w:tc>
        <w:tc>
          <w:tcPr>
            <w:tcW w:w="992" w:type="dxa"/>
            <w:tcBorders>
              <w:top w:val="nil"/>
              <w:left w:val="nil"/>
              <w:bottom w:val="nil"/>
              <w:right w:val="nil"/>
            </w:tcBorders>
            <w:shd w:val="clear" w:color="auto" w:fill="auto"/>
            <w:vAlign w:val="center"/>
            <w:hideMark/>
          </w:tcPr>
          <w:p w:rsidRPr="00AA40E7" w:rsidR="00237DD5" w:rsidP="00654798" w:rsidRDefault="00237DD5" w14:paraId="597018E8"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2.381</w:t>
            </w:r>
          </w:p>
        </w:tc>
        <w:tc>
          <w:tcPr>
            <w:tcW w:w="1134" w:type="dxa"/>
            <w:tcBorders>
              <w:top w:val="nil"/>
              <w:left w:val="nil"/>
              <w:bottom w:val="nil"/>
              <w:right w:val="nil"/>
            </w:tcBorders>
            <w:shd w:val="clear" w:color="auto" w:fill="auto"/>
            <w:vAlign w:val="center"/>
            <w:hideMark/>
          </w:tcPr>
          <w:p w:rsidRPr="00AA40E7" w:rsidR="00237DD5" w:rsidP="00654798" w:rsidRDefault="00237DD5" w14:paraId="3C785ED0" w14:textId="2CD2DC92">
            <w:pPr>
              <w:spacing w:line="240" w:lineRule="atLeast"/>
              <w:jc w:val="center"/>
              <w:rPr>
                <w:rFonts w:ascii="Times New Roman" w:hAnsi="Times New Roman"/>
                <w:iCs/>
                <w:sz w:val="24"/>
                <w:szCs w:val="24"/>
              </w:rPr>
            </w:pPr>
            <w:r w:rsidRPr="00AA40E7">
              <w:rPr>
                <w:rFonts w:ascii="Times New Roman" w:hAnsi="Times New Roman"/>
                <w:iCs/>
                <w:sz w:val="24"/>
                <w:szCs w:val="24"/>
              </w:rPr>
              <w:t>2.381</w:t>
            </w:r>
          </w:p>
        </w:tc>
      </w:tr>
      <w:tr w:rsidRPr="00AA40E7" w:rsidR="00237DD5" w:rsidTr="00810BA0" w14:paraId="634C6277"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7BEE0987" w14:textId="018A2C51">
            <w:pPr>
              <w:spacing w:line="240" w:lineRule="atLeast"/>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75F079CC" w14:textId="77777777">
            <w:pPr>
              <w:spacing w:line="240" w:lineRule="atLeast"/>
              <w:jc w:val="center"/>
              <w:rPr>
                <w:rFonts w:ascii="Times New Roman" w:hAnsi="Times New Roman"/>
                <w:iCs/>
                <w:sz w:val="24"/>
                <w:szCs w:val="24"/>
              </w:rPr>
            </w:pP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257D8DC2"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5CB40EB0"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02A44D28"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7430BB7D"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0C95A0F4" w14:textId="2E7960FA">
            <w:pPr>
              <w:spacing w:line="240" w:lineRule="atLeast"/>
              <w:jc w:val="center"/>
              <w:rPr>
                <w:rFonts w:ascii="Times New Roman" w:hAnsi="Times New Roman"/>
                <w:iCs/>
                <w:sz w:val="24"/>
                <w:szCs w:val="24"/>
              </w:rPr>
            </w:pPr>
          </w:p>
        </w:tc>
      </w:tr>
      <w:tr w:rsidRPr="00AA40E7" w:rsidR="00237DD5" w:rsidTr="00810BA0" w14:paraId="31202DEB"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046A676B" w14:textId="67A48B1A">
            <w:pPr>
              <w:spacing w:line="240" w:lineRule="atLeast"/>
              <w:rPr>
                <w:rFonts w:ascii="Times New Roman" w:hAnsi="Times New Roman"/>
                <w:iCs/>
                <w:sz w:val="24"/>
                <w:szCs w:val="24"/>
              </w:rPr>
            </w:pPr>
            <w:r w:rsidRPr="00AA40E7">
              <w:rPr>
                <w:rFonts w:ascii="Times New Roman" w:hAnsi="Times New Roman"/>
                <w:iCs/>
                <w:sz w:val="24"/>
                <w:szCs w:val="24"/>
              </w:rPr>
              <w:t>Ontvangsten*</w:t>
            </w:r>
          </w:p>
        </w:tc>
        <w:tc>
          <w:tcPr>
            <w:tcW w:w="1134" w:type="dxa"/>
            <w:tcBorders>
              <w:top w:val="nil"/>
              <w:left w:val="nil"/>
              <w:bottom w:val="nil"/>
              <w:right w:val="nil"/>
            </w:tcBorders>
            <w:shd w:val="clear" w:color="auto" w:fill="auto"/>
            <w:vAlign w:val="center"/>
            <w:hideMark/>
          </w:tcPr>
          <w:p w:rsidRPr="00AA40E7" w:rsidR="00237DD5" w:rsidP="00654798" w:rsidRDefault="002157EE" w14:paraId="010E34D7" w14:textId="59C70E08">
            <w:pPr>
              <w:spacing w:line="240" w:lineRule="atLeast"/>
              <w:jc w:val="center"/>
              <w:rPr>
                <w:rFonts w:ascii="Times New Roman" w:hAnsi="Times New Roman"/>
                <w:b/>
                <w:bCs/>
                <w:iCs/>
                <w:sz w:val="24"/>
                <w:szCs w:val="24"/>
              </w:rPr>
            </w:pPr>
            <w:r w:rsidRPr="00AA40E7">
              <w:rPr>
                <w:rFonts w:ascii="Times New Roman" w:hAnsi="Times New Roman"/>
                <w:b/>
                <w:bCs/>
                <w:iCs/>
                <w:sz w:val="24"/>
                <w:szCs w:val="24"/>
              </w:rPr>
              <w:t>8.1</w:t>
            </w:r>
            <w:r w:rsidRPr="00AA40E7" w:rsidR="00DD2B01">
              <w:rPr>
                <w:rFonts w:ascii="Times New Roman" w:hAnsi="Times New Roman"/>
                <w:b/>
                <w:bCs/>
                <w:iCs/>
                <w:sz w:val="24"/>
                <w:szCs w:val="24"/>
              </w:rPr>
              <w:t>39</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190DBBBA" w14:textId="77777777">
            <w:pPr>
              <w:spacing w:line="240" w:lineRule="atLeast"/>
              <w:jc w:val="center"/>
              <w:rPr>
                <w:rFonts w:ascii="Times New Roman" w:hAnsi="Times New Roman"/>
                <w:b/>
                <w:bCs/>
                <w:iCs/>
                <w:sz w:val="24"/>
                <w:szCs w:val="24"/>
              </w:rPr>
            </w:pPr>
            <w:r w:rsidRPr="00AA40E7">
              <w:rPr>
                <w:rFonts w:ascii="Times New Roman" w:hAnsi="Times New Roman"/>
                <w:b/>
                <w:bCs/>
                <w:iCs/>
                <w:sz w:val="24"/>
                <w:szCs w:val="24"/>
              </w:rPr>
              <w:t>3.639</w:t>
            </w:r>
          </w:p>
        </w:tc>
        <w:tc>
          <w:tcPr>
            <w:tcW w:w="992" w:type="dxa"/>
            <w:tcBorders>
              <w:top w:val="nil"/>
              <w:left w:val="nil"/>
              <w:bottom w:val="nil"/>
              <w:right w:val="nil"/>
            </w:tcBorders>
            <w:shd w:val="clear" w:color="auto" w:fill="auto"/>
            <w:vAlign w:val="center"/>
            <w:hideMark/>
          </w:tcPr>
          <w:p w:rsidRPr="00AA40E7" w:rsidR="00237DD5" w:rsidP="00654798" w:rsidRDefault="00237DD5" w14:paraId="3EE79B13" w14:textId="77777777">
            <w:pPr>
              <w:spacing w:line="240" w:lineRule="atLeast"/>
              <w:jc w:val="center"/>
              <w:rPr>
                <w:rFonts w:ascii="Times New Roman" w:hAnsi="Times New Roman"/>
                <w:b/>
                <w:bCs/>
                <w:iCs/>
                <w:sz w:val="24"/>
                <w:szCs w:val="24"/>
              </w:rPr>
            </w:pPr>
            <w:r w:rsidRPr="00AA40E7">
              <w:rPr>
                <w:rFonts w:ascii="Times New Roman" w:hAnsi="Times New Roman"/>
                <w:b/>
                <w:bCs/>
                <w:iCs/>
                <w:sz w:val="24"/>
                <w:szCs w:val="24"/>
              </w:rPr>
              <w:t>3.639</w:t>
            </w:r>
          </w:p>
        </w:tc>
        <w:tc>
          <w:tcPr>
            <w:tcW w:w="1134" w:type="dxa"/>
            <w:tcBorders>
              <w:top w:val="nil"/>
              <w:left w:val="nil"/>
              <w:bottom w:val="nil"/>
              <w:right w:val="nil"/>
            </w:tcBorders>
            <w:shd w:val="clear" w:color="auto" w:fill="auto"/>
            <w:vAlign w:val="center"/>
            <w:hideMark/>
          </w:tcPr>
          <w:p w:rsidRPr="00AA40E7" w:rsidR="00237DD5" w:rsidP="00654798" w:rsidRDefault="00237DD5" w14:paraId="5634F856" w14:textId="77777777">
            <w:pPr>
              <w:spacing w:line="240" w:lineRule="atLeast"/>
              <w:jc w:val="center"/>
              <w:rPr>
                <w:rFonts w:ascii="Times New Roman" w:hAnsi="Times New Roman"/>
                <w:b/>
                <w:bCs/>
                <w:iCs/>
                <w:sz w:val="24"/>
                <w:szCs w:val="24"/>
              </w:rPr>
            </w:pPr>
            <w:r w:rsidRPr="00AA40E7">
              <w:rPr>
                <w:rFonts w:ascii="Times New Roman" w:hAnsi="Times New Roman"/>
                <w:b/>
                <w:bCs/>
                <w:iCs/>
                <w:sz w:val="24"/>
                <w:szCs w:val="24"/>
              </w:rPr>
              <w:t>3.639</w:t>
            </w:r>
          </w:p>
        </w:tc>
        <w:tc>
          <w:tcPr>
            <w:tcW w:w="992" w:type="dxa"/>
            <w:tcBorders>
              <w:top w:val="nil"/>
              <w:left w:val="nil"/>
              <w:bottom w:val="nil"/>
              <w:right w:val="nil"/>
            </w:tcBorders>
            <w:shd w:val="clear" w:color="auto" w:fill="auto"/>
            <w:vAlign w:val="center"/>
            <w:hideMark/>
          </w:tcPr>
          <w:p w:rsidRPr="00AA40E7" w:rsidR="00237DD5" w:rsidP="00654798" w:rsidRDefault="00237DD5" w14:paraId="4927E7E3" w14:textId="77777777">
            <w:pPr>
              <w:spacing w:line="240" w:lineRule="atLeast"/>
              <w:jc w:val="center"/>
              <w:rPr>
                <w:rFonts w:ascii="Times New Roman" w:hAnsi="Times New Roman"/>
                <w:b/>
                <w:bCs/>
                <w:iCs/>
                <w:sz w:val="24"/>
                <w:szCs w:val="24"/>
              </w:rPr>
            </w:pPr>
            <w:r w:rsidRPr="00AA40E7">
              <w:rPr>
                <w:rFonts w:ascii="Times New Roman" w:hAnsi="Times New Roman"/>
                <w:b/>
                <w:bCs/>
                <w:iCs/>
                <w:sz w:val="24"/>
                <w:szCs w:val="24"/>
              </w:rPr>
              <w:t>3.639</w:t>
            </w:r>
          </w:p>
        </w:tc>
        <w:tc>
          <w:tcPr>
            <w:tcW w:w="1134" w:type="dxa"/>
            <w:tcBorders>
              <w:top w:val="nil"/>
              <w:left w:val="nil"/>
              <w:bottom w:val="nil"/>
              <w:right w:val="nil"/>
            </w:tcBorders>
            <w:shd w:val="clear" w:color="auto" w:fill="auto"/>
            <w:vAlign w:val="center"/>
            <w:hideMark/>
          </w:tcPr>
          <w:p w:rsidRPr="00AA40E7" w:rsidR="00237DD5" w:rsidP="00654798" w:rsidRDefault="00237DD5" w14:paraId="1AF7D7D8" w14:textId="57CCD216">
            <w:pPr>
              <w:spacing w:line="240" w:lineRule="atLeast"/>
              <w:jc w:val="center"/>
              <w:rPr>
                <w:rFonts w:ascii="Times New Roman" w:hAnsi="Times New Roman"/>
                <w:b/>
                <w:bCs/>
                <w:iCs/>
                <w:sz w:val="24"/>
                <w:szCs w:val="24"/>
              </w:rPr>
            </w:pPr>
            <w:r w:rsidRPr="00AA40E7">
              <w:rPr>
                <w:rFonts w:ascii="Times New Roman" w:hAnsi="Times New Roman"/>
                <w:b/>
                <w:bCs/>
                <w:iCs/>
                <w:sz w:val="24"/>
                <w:szCs w:val="24"/>
              </w:rPr>
              <w:t>3.639</w:t>
            </w:r>
          </w:p>
        </w:tc>
      </w:tr>
      <w:tr w:rsidRPr="00AA40E7" w:rsidR="00237DD5" w:rsidTr="00810BA0" w14:paraId="240CE3FE"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3A8E6FE8" w14:textId="71E420D7">
            <w:pPr>
              <w:spacing w:line="240" w:lineRule="atLeast"/>
              <w:rPr>
                <w:rFonts w:ascii="Times New Roman" w:hAnsi="Times New Roman"/>
                <w:iCs/>
                <w:sz w:val="24"/>
                <w:szCs w:val="24"/>
              </w:rPr>
            </w:pPr>
            <w:r w:rsidRPr="00AA40E7">
              <w:rPr>
                <w:rFonts w:ascii="Times New Roman" w:hAnsi="Times New Roman"/>
                <w:iCs/>
                <w:sz w:val="24"/>
                <w:szCs w:val="24"/>
              </w:rPr>
              <w:t>3. Ontvangsten</w:t>
            </w:r>
          </w:p>
        </w:tc>
        <w:tc>
          <w:tcPr>
            <w:tcW w:w="1134" w:type="dxa"/>
            <w:tcBorders>
              <w:top w:val="nil"/>
              <w:left w:val="nil"/>
              <w:bottom w:val="nil"/>
              <w:right w:val="nil"/>
            </w:tcBorders>
            <w:shd w:val="clear" w:color="auto" w:fill="auto"/>
            <w:vAlign w:val="center"/>
            <w:hideMark/>
          </w:tcPr>
          <w:p w:rsidRPr="00AA40E7" w:rsidR="00237DD5" w:rsidP="00654798" w:rsidRDefault="00237DD5" w14:paraId="0567E177"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3.639</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7D413EF6"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3.639</w:t>
            </w:r>
          </w:p>
        </w:tc>
        <w:tc>
          <w:tcPr>
            <w:tcW w:w="992" w:type="dxa"/>
            <w:tcBorders>
              <w:top w:val="nil"/>
              <w:left w:val="nil"/>
              <w:bottom w:val="nil"/>
              <w:right w:val="nil"/>
            </w:tcBorders>
            <w:shd w:val="clear" w:color="auto" w:fill="auto"/>
            <w:vAlign w:val="center"/>
            <w:hideMark/>
          </w:tcPr>
          <w:p w:rsidRPr="00AA40E7" w:rsidR="00237DD5" w:rsidP="00654798" w:rsidRDefault="00237DD5" w14:paraId="4B194E11"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3.639</w:t>
            </w:r>
          </w:p>
        </w:tc>
        <w:tc>
          <w:tcPr>
            <w:tcW w:w="1134" w:type="dxa"/>
            <w:tcBorders>
              <w:top w:val="nil"/>
              <w:left w:val="nil"/>
              <w:bottom w:val="nil"/>
              <w:right w:val="nil"/>
            </w:tcBorders>
            <w:shd w:val="clear" w:color="auto" w:fill="auto"/>
            <w:vAlign w:val="center"/>
            <w:hideMark/>
          </w:tcPr>
          <w:p w:rsidRPr="00AA40E7" w:rsidR="00237DD5" w:rsidP="00654798" w:rsidRDefault="00237DD5" w14:paraId="24D4AED4"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3.639</w:t>
            </w:r>
          </w:p>
        </w:tc>
        <w:tc>
          <w:tcPr>
            <w:tcW w:w="992" w:type="dxa"/>
            <w:tcBorders>
              <w:top w:val="nil"/>
              <w:left w:val="nil"/>
              <w:bottom w:val="nil"/>
              <w:right w:val="nil"/>
            </w:tcBorders>
            <w:shd w:val="clear" w:color="auto" w:fill="auto"/>
            <w:vAlign w:val="center"/>
            <w:hideMark/>
          </w:tcPr>
          <w:p w:rsidRPr="00AA40E7" w:rsidR="00237DD5" w:rsidP="00654798" w:rsidRDefault="00237DD5" w14:paraId="0E43CDE4"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3.639</w:t>
            </w:r>
          </w:p>
        </w:tc>
        <w:tc>
          <w:tcPr>
            <w:tcW w:w="1134" w:type="dxa"/>
            <w:tcBorders>
              <w:top w:val="nil"/>
              <w:left w:val="nil"/>
              <w:bottom w:val="nil"/>
              <w:right w:val="nil"/>
            </w:tcBorders>
            <w:shd w:val="clear" w:color="auto" w:fill="auto"/>
            <w:vAlign w:val="center"/>
            <w:hideMark/>
          </w:tcPr>
          <w:p w:rsidRPr="00AA40E7" w:rsidR="00237DD5" w:rsidP="00654798" w:rsidRDefault="00237DD5" w14:paraId="5A3E5342" w14:textId="620195FE">
            <w:pPr>
              <w:spacing w:line="240" w:lineRule="atLeast"/>
              <w:jc w:val="center"/>
              <w:rPr>
                <w:rFonts w:ascii="Times New Roman" w:hAnsi="Times New Roman"/>
                <w:iCs/>
                <w:sz w:val="24"/>
                <w:szCs w:val="24"/>
              </w:rPr>
            </w:pPr>
            <w:r w:rsidRPr="00AA40E7">
              <w:rPr>
                <w:rFonts w:ascii="Times New Roman" w:hAnsi="Times New Roman"/>
                <w:iCs/>
                <w:sz w:val="24"/>
                <w:szCs w:val="24"/>
              </w:rPr>
              <w:t>3.639</w:t>
            </w:r>
          </w:p>
        </w:tc>
      </w:tr>
      <w:tr w:rsidRPr="00AA40E7" w:rsidR="00237DD5" w:rsidTr="00810BA0" w14:paraId="4AE22417" w14:textId="77777777">
        <w:trPr>
          <w:trHeight w:val="450"/>
        </w:trPr>
        <w:tc>
          <w:tcPr>
            <w:tcW w:w="2694" w:type="dxa"/>
            <w:tcBorders>
              <w:top w:val="nil"/>
              <w:left w:val="nil"/>
              <w:bottom w:val="nil"/>
              <w:right w:val="nil"/>
            </w:tcBorders>
            <w:shd w:val="clear" w:color="auto" w:fill="auto"/>
            <w:vAlign w:val="center"/>
            <w:hideMark/>
          </w:tcPr>
          <w:p w:rsidRPr="00AA40E7" w:rsidR="00237DD5" w:rsidP="00654798" w:rsidRDefault="00237DD5" w14:paraId="1D935906" w14:textId="004B40CD">
            <w:pPr>
              <w:spacing w:line="240" w:lineRule="atLeast"/>
              <w:rPr>
                <w:rFonts w:ascii="Times New Roman" w:hAnsi="Times New Roman"/>
                <w:iCs/>
                <w:sz w:val="24"/>
                <w:szCs w:val="24"/>
              </w:rPr>
            </w:pPr>
            <w:r w:rsidRPr="00AA40E7">
              <w:rPr>
                <w:rFonts w:ascii="Times New Roman" w:hAnsi="Times New Roman"/>
                <w:iCs/>
                <w:sz w:val="24"/>
                <w:szCs w:val="24"/>
              </w:rPr>
              <w:t>Mutatie n.a.v. de Voorjaarsnota 2024</w:t>
            </w:r>
          </w:p>
        </w:tc>
        <w:tc>
          <w:tcPr>
            <w:tcW w:w="1134" w:type="dxa"/>
            <w:tcBorders>
              <w:top w:val="nil"/>
              <w:left w:val="nil"/>
              <w:bottom w:val="nil"/>
              <w:right w:val="nil"/>
            </w:tcBorders>
            <w:shd w:val="clear" w:color="auto" w:fill="auto"/>
            <w:vAlign w:val="center"/>
            <w:hideMark/>
          </w:tcPr>
          <w:p w:rsidRPr="00AA40E7" w:rsidR="00237DD5" w:rsidP="00654798" w:rsidRDefault="00237DD5" w14:paraId="38CAF52D" w14:textId="77777777">
            <w:pPr>
              <w:spacing w:line="240" w:lineRule="atLeast"/>
              <w:jc w:val="center"/>
              <w:rPr>
                <w:rFonts w:ascii="Times New Roman" w:hAnsi="Times New Roman"/>
                <w:iCs/>
                <w:sz w:val="24"/>
                <w:szCs w:val="24"/>
              </w:rPr>
            </w:pP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5D2C8973"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10A1F345"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2FFE6686" w14:textId="77777777">
            <w:pPr>
              <w:spacing w:line="240" w:lineRule="atLeast"/>
              <w:jc w:val="center"/>
              <w:rPr>
                <w:rFonts w:ascii="Times New Roman" w:hAnsi="Times New Roman"/>
                <w:iCs/>
                <w:sz w:val="24"/>
                <w:szCs w:val="24"/>
              </w:rPr>
            </w:pPr>
          </w:p>
        </w:tc>
        <w:tc>
          <w:tcPr>
            <w:tcW w:w="992" w:type="dxa"/>
            <w:tcBorders>
              <w:top w:val="nil"/>
              <w:left w:val="nil"/>
              <w:bottom w:val="nil"/>
              <w:right w:val="nil"/>
            </w:tcBorders>
            <w:shd w:val="clear" w:color="auto" w:fill="auto"/>
            <w:vAlign w:val="center"/>
            <w:hideMark/>
          </w:tcPr>
          <w:p w:rsidRPr="00AA40E7" w:rsidR="00237DD5" w:rsidP="00654798" w:rsidRDefault="00237DD5" w14:paraId="4DAFEEF5" w14:textId="77777777">
            <w:pPr>
              <w:spacing w:line="240" w:lineRule="atLeast"/>
              <w:jc w:val="center"/>
              <w:rPr>
                <w:rFonts w:ascii="Times New Roman" w:hAnsi="Times New Roman"/>
                <w:iCs/>
                <w:sz w:val="24"/>
                <w:szCs w:val="24"/>
              </w:rPr>
            </w:pPr>
          </w:p>
        </w:tc>
        <w:tc>
          <w:tcPr>
            <w:tcW w:w="1134" w:type="dxa"/>
            <w:tcBorders>
              <w:top w:val="nil"/>
              <w:left w:val="nil"/>
              <w:bottom w:val="nil"/>
              <w:right w:val="nil"/>
            </w:tcBorders>
            <w:shd w:val="clear" w:color="auto" w:fill="auto"/>
            <w:vAlign w:val="center"/>
            <w:hideMark/>
          </w:tcPr>
          <w:p w:rsidRPr="00AA40E7" w:rsidR="00237DD5" w:rsidP="00654798" w:rsidRDefault="00237DD5" w14:paraId="716F0365" w14:textId="69C9DDB4">
            <w:pPr>
              <w:spacing w:line="240" w:lineRule="atLeast"/>
              <w:jc w:val="center"/>
              <w:rPr>
                <w:rFonts w:ascii="Times New Roman" w:hAnsi="Times New Roman"/>
                <w:iCs/>
                <w:sz w:val="24"/>
                <w:szCs w:val="24"/>
              </w:rPr>
            </w:pPr>
          </w:p>
        </w:tc>
      </w:tr>
      <w:tr w:rsidRPr="00AA40E7" w:rsidR="00237DD5" w:rsidTr="00810BA0" w14:paraId="17CF05A6" w14:textId="77777777">
        <w:trPr>
          <w:trHeight w:val="300"/>
        </w:trPr>
        <w:tc>
          <w:tcPr>
            <w:tcW w:w="2694" w:type="dxa"/>
            <w:tcBorders>
              <w:top w:val="nil"/>
              <w:left w:val="nil"/>
              <w:bottom w:val="nil"/>
              <w:right w:val="nil"/>
            </w:tcBorders>
            <w:shd w:val="clear" w:color="auto" w:fill="auto"/>
            <w:vAlign w:val="center"/>
            <w:hideMark/>
          </w:tcPr>
          <w:p w:rsidRPr="00AA40E7" w:rsidR="00237DD5" w:rsidP="00654798" w:rsidRDefault="00237DD5" w14:paraId="608F5D7F" w14:textId="144658D0">
            <w:pPr>
              <w:spacing w:line="240" w:lineRule="atLeast"/>
              <w:rPr>
                <w:rFonts w:ascii="Times New Roman" w:hAnsi="Times New Roman"/>
                <w:iCs/>
                <w:sz w:val="24"/>
                <w:szCs w:val="24"/>
              </w:rPr>
            </w:pPr>
            <w:r w:rsidRPr="00AA40E7">
              <w:rPr>
                <w:rFonts w:ascii="Times New Roman" w:hAnsi="Times New Roman"/>
                <w:iCs/>
                <w:sz w:val="24"/>
                <w:szCs w:val="24"/>
              </w:rPr>
              <w:t>·      </w:t>
            </w:r>
            <w:bookmarkStart w:name="_GoBack" w:id="0"/>
            <w:r w:rsidRPr="00AA40E7">
              <w:rPr>
                <w:rFonts w:ascii="Times New Roman" w:hAnsi="Times New Roman"/>
                <w:iCs/>
                <w:sz w:val="24"/>
                <w:szCs w:val="24"/>
              </w:rPr>
              <w:t>  </w:t>
            </w:r>
            <w:bookmarkEnd w:id="0"/>
            <w:r w:rsidRPr="00AA40E7">
              <w:rPr>
                <w:rFonts w:ascii="Times New Roman" w:hAnsi="Times New Roman"/>
                <w:iCs/>
                <w:sz w:val="24"/>
                <w:szCs w:val="24"/>
              </w:rPr>
              <w:t xml:space="preserve"> Ramingsbijstellingen</w:t>
            </w:r>
          </w:p>
        </w:tc>
        <w:tc>
          <w:tcPr>
            <w:tcW w:w="1134" w:type="dxa"/>
            <w:tcBorders>
              <w:top w:val="nil"/>
              <w:left w:val="nil"/>
              <w:bottom w:val="nil"/>
              <w:right w:val="nil"/>
            </w:tcBorders>
            <w:shd w:val="clear" w:color="auto" w:fill="auto"/>
            <w:vAlign w:val="center"/>
            <w:hideMark/>
          </w:tcPr>
          <w:p w:rsidRPr="00AA40E7" w:rsidR="00237DD5" w:rsidP="00654798" w:rsidRDefault="00237DD5" w14:paraId="7702B47D"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4.500</w:t>
            </w:r>
          </w:p>
        </w:tc>
        <w:tc>
          <w:tcPr>
            <w:tcW w:w="992" w:type="dxa"/>
            <w:gridSpan w:val="2"/>
            <w:tcBorders>
              <w:top w:val="nil"/>
              <w:left w:val="nil"/>
              <w:bottom w:val="nil"/>
              <w:right w:val="nil"/>
            </w:tcBorders>
            <w:shd w:val="clear" w:color="auto" w:fill="auto"/>
            <w:vAlign w:val="center"/>
            <w:hideMark/>
          </w:tcPr>
          <w:p w:rsidRPr="00AA40E7" w:rsidR="00237DD5" w:rsidP="00654798" w:rsidRDefault="00237DD5" w14:paraId="3DD31A11"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992" w:type="dxa"/>
            <w:tcBorders>
              <w:top w:val="nil"/>
              <w:left w:val="nil"/>
              <w:bottom w:val="nil"/>
              <w:right w:val="nil"/>
            </w:tcBorders>
            <w:shd w:val="clear" w:color="auto" w:fill="auto"/>
            <w:vAlign w:val="center"/>
            <w:hideMark/>
          </w:tcPr>
          <w:p w:rsidRPr="00AA40E7" w:rsidR="00237DD5" w:rsidP="00654798" w:rsidRDefault="00237DD5" w14:paraId="669BE55A"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1134" w:type="dxa"/>
            <w:tcBorders>
              <w:top w:val="nil"/>
              <w:left w:val="nil"/>
              <w:bottom w:val="nil"/>
              <w:right w:val="nil"/>
            </w:tcBorders>
            <w:shd w:val="clear" w:color="auto" w:fill="auto"/>
            <w:vAlign w:val="center"/>
            <w:hideMark/>
          </w:tcPr>
          <w:p w:rsidRPr="00AA40E7" w:rsidR="00237DD5" w:rsidP="00654798" w:rsidRDefault="00237DD5" w14:paraId="05BA8C1C"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992" w:type="dxa"/>
            <w:tcBorders>
              <w:top w:val="nil"/>
              <w:left w:val="nil"/>
              <w:bottom w:val="nil"/>
              <w:right w:val="nil"/>
            </w:tcBorders>
            <w:shd w:val="clear" w:color="auto" w:fill="auto"/>
            <w:vAlign w:val="center"/>
            <w:hideMark/>
          </w:tcPr>
          <w:p w:rsidRPr="00AA40E7" w:rsidR="00237DD5" w:rsidP="00654798" w:rsidRDefault="00237DD5" w14:paraId="609DBC8D" w14:textId="77777777">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c>
          <w:tcPr>
            <w:tcW w:w="1134" w:type="dxa"/>
            <w:tcBorders>
              <w:top w:val="nil"/>
              <w:left w:val="nil"/>
              <w:bottom w:val="nil"/>
              <w:right w:val="nil"/>
            </w:tcBorders>
            <w:shd w:val="clear" w:color="auto" w:fill="auto"/>
            <w:vAlign w:val="center"/>
            <w:hideMark/>
          </w:tcPr>
          <w:p w:rsidRPr="00AA40E7" w:rsidR="00237DD5" w:rsidP="00654798" w:rsidRDefault="00237DD5" w14:paraId="1E5757C6" w14:textId="590AF42D">
            <w:pPr>
              <w:spacing w:line="240" w:lineRule="atLeast"/>
              <w:jc w:val="center"/>
              <w:rPr>
                <w:rFonts w:ascii="Times New Roman" w:hAnsi="Times New Roman"/>
                <w:iCs/>
                <w:sz w:val="24"/>
                <w:szCs w:val="24"/>
              </w:rPr>
            </w:pPr>
            <w:r w:rsidRPr="00AA40E7">
              <w:rPr>
                <w:rFonts w:ascii="Times New Roman" w:hAnsi="Times New Roman"/>
                <w:iCs/>
                <w:sz w:val="24"/>
                <w:szCs w:val="24"/>
              </w:rPr>
              <w:t>0</w:t>
            </w:r>
          </w:p>
        </w:tc>
      </w:tr>
    </w:tbl>
    <w:p w:rsidRPr="00AA40E7" w:rsidR="00D8728D" w:rsidP="00654798" w:rsidRDefault="00D8728D" w14:paraId="2B34C43C" w14:textId="00908765">
      <w:pPr>
        <w:spacing w:line="240" w:lineRule="atLeast"/>
        <w:rPr>
          <w:rFonts w:ascii="Times New Roman" w:hAnsi="Times New Roman"/>
          <w:i/>
          <w:iCs/>
          <w:sz w:val="24"/>
          <w:szCs w:val="24"/>
        </w:rPr>
      </w:pPr>
    </w:p>
    <w:p w:rsidRPr="00AA40E7" w:rsidR="00146FD3" w:rsidP="00654798" w:rsidRDefault="00146FD3" w14:paraId="5E09DF3F" w14:textId="78ED422D">
      <w:pPr>
        <w:pStyle w:val="Lijstalinea"/>
        <w:widowControl w:val="0"/>
        <w:autoSpaceDE w:val="0"/>
        <w:autoSpaceDN w:val="0"/>
        <w:adjustRightInd w:val="0"/>
        <w:spacing w:line="240" w:lineRule="atLeast"/>
        <w:rPr>
          <w:rFonts w:ascii="Times New Roman" w:hAnsi="Times New Roman"/>
          <w:bCs/>
          <w:sz w:val="24"/>
          <w:szCs w:val="24"/>
        </w:rPr>
      </w:pPr>
    </w:p>
    <w:p w:rsidRPr="00AA40E7" w:rsidR="00146FD3" w:rsidP="00654798" w:rsidRDefault="00146FD3" w14:paraId="66384254" w14:textId="7B6DF205">
      <w:pPr>
        <w:widowControl w:val="0"/>
        <w:autoSpaceDE w:val="0"/>
        <w:autoSpaceDN w:val="0"/>
        <w:adjustRightInd w:val="0"/>
        <w:spacing w:line="240" w:lineRule="atLeast"/>
        <w:rPr>
          <w:rFonts w:ascii="Times New Roman" w:hAnsi="Times New Roman"/>
          <w:bCs/>
          <w:i/>
          <w:sz w:val="24"/>
          <w:szCs w:val="24"/>
        </w:rPr>
      </w:pPr>
      <w:r w:rsidRPr="00AA40E7">
        <w:rPr>
          <w:rFonts w:ascii="Times New Roman" w:hAnsi="Times New Roman"/>
          <w:bCs/>
          <w:i/>
          <w:sz w:val="24"/>
          <w:szCs w:val="24"/>
        </w:rPr>
        <w:t>*</w:t>
      </w:r>
      <w:r w:rsidRPr="00AA40E7">
        <w:rPr>
          <w:rFonts w:ascii="Times New Roman" w:hAnsi="Times New Roman"/>
          <w:i/>
          <w:sz w:val="24"/>
          <w:szCs w:val="24"/>
        </w:rPr>
        <w:t xml:space="preserve"> </w:t>
      </w:r>
      <w:r w:rsidRPr="00AA40E7" w:rsidR="00B62F50">
        <w:rPr>
          <w:rFonts w:ascii="Times New Roman" w:hAnsi="Times New Roman"/>
          <w:i/>
          <w:sz w:val="24"/>
          <w:szCs w:val="24"/>
        </w:rPr>
        <w:t xml:space="preserve"> </w:t>
      </w:r>
      <w:r w:rsidRPr="00AA40E7">
        <w:rPr>
          <w:rFonts w:ascii="Times New Roman" w:hAnsi="Times New Roman"/>
          <w:i/>
          <w:sz w:val="24"/>
          <w:szCs w:val="24"/>
        </w:rPr>
        <w:t>bedragen inclusief Ramingsbijstellingen</w:t>
      </w:r>
    </w:p>
    <w:p w:rsidRPr="00AA40E7" w:rsidR="00146FD3" w:rsidP="00654798" w:rsidRDefault="00B62F50" w14:paraId="1D331143" w14:textId="2B87AD86">
      <w:pPr>
        <w:widowControl w:val="0"/>
        <w:autoSpaceDE w:val="0"/>
        <w:autoSpaceDN w:val="0"/>
        <w:adjustRightInd w:val="0"/>
        <w:spacing w:line="240" w:lineRule="atLeast"/>
        <w:rPr>
          <w:rFonts w:ascii="Times New Roman" w:hAnsi="Times New Roman"/>
          <w:bCs/>
          <w:i/>
          <w:sz w:val="24"/>
          <w:szCs w:val="24"/>
        </w:rPr>
      </w:pPr>
      <w:r w:rsidRPr="00AA40E7">
        <w:rPr>
          <w:rFonts w:ascii="Times New Roman" w:hAnsi="Times New Roman"/>
          <w:bCs/>
          <w:i/>
          <w:sz w:val="24"/>
          <w:szCs w:val="24"/>
        </w:rPr>
        <w:t xml:space="preserve">** </w:t>
      </w:r>
      <w:r w:rsidRPr="00AA40E7" w:rsidR="00B71FB7">
        <w:rPr>
          <w:rFonts w:ascii="Times New Roman" w:hAnsi="Times New Roman"/>
          <w:bCs/>
          <w:i/>
          <w:sz w:val="24"/>
          <w:szCs w:val="24"/>
        </w:rPr>
        <w:t>geen budget opgenomen i</w:t>
      </w:r>
      <w:r w:rsidRPr="00AA40E7">
        <w:rPr>
          <w:rFonts w:ascii="Times New Roman" w:hAnsi="Times New Roman"/>
          <w:bCs/>
          <w:i/>
          <w:sz w:val="24"/>
          <w:szCs w:val="24"/>
        </w:rPr>
        <w:t xml:space="preserve">n </w:t>
      </w:r>
      <w:r w:rsidRPr="00AA40E7" w:rsidR="00585014">
        <w:rPr>
          <w:rFonts w:ascii="Times New Roman" w:hAnsi="Times New Roman"/>
          <w:bCs/>
          <w:i/>
          <w:sz w:val="24"/>
          <w:szCs w:val="24"/>
        </w:rPr>
        <w:t>overeenstemming</w:t>
      </w:r>
      <w:r w:rsidRPr="00AA40E7">
        <w:rPr>
          <w:rFonts w:ascii="Times New Roman" w:hAnsi="Times New Roman"/>
          <w:bCs/>
          <w:i/>
          <w:sz w:val="24"/>
          <w:szCs w:val="24"/>
        </w:rPr>
        <w:t xml:space="preserve"> met</w:t>
      </w:r>
      <w:r w:rsidRPr="00AA40E7" w:rsidR="00585014">
        <w:rPr>
          <w:rFonts w:ascii="Times New Roman" w:hAnsi="Times New Roman"/>
          <w:bCs/>
          <w:i/>
          <w:sz w:val="24"/>
          <w:szCs w:val="24"/>
        </w:rPr>
        <w:t xml:space="preserve"> de planning</w:t>
      </w:r>
      <w:r w:rsidRPr="00AA40E7">
        <w:rPr>
          <w:rFonts w:ascii="Times New Roman" w:hAnsi="Times New Roman"/>
          <w:bCs/>
          <w:i/>
          <w:sz w:val="24"/>
          <w:szCs w:val="24"/>
        </w:rPr>
        <w:t xml:space="preserve"> Rennovatie Binnenhof-</w:t>
      </w:r>
      <w:r w:rsidRPr="00AA40E7" w:rsidR="00585014">
        <w:rPr>
          <w:rFonts w:ascii="Times New Roman" w:hAnsi="Times New Roman"/>
          <w:bCs/>
          <w:i/>
          <w:sz w:val="24"/>
          <w:szCs w:val="24"/>
        </w:rPr>
        <w:t>C</w:t>
      </w:r>
      <w:r w:rsidRPr="00AA40E7">
        <w:rPr>
          <w:rFonts w:ascii="Times New Roman" w:hAnsi="Times New Roman"/>
          <w:bCs/>
          <w:i/>
          <w:sz w:val="24"/>
          <w:szCs w:val="24"/>
        </w:rPr>
        <w:t>omplex</w:t>
      </w:r>
    </w:p>
    <w:p w:rsidRPr="00AA40E7" w:rsidR="00B62F50" w:rsidP="00654798" w:rsidRDefault="00B62F50" w14:paraId="551E892D" w14:textId="77777777">
      <w:pPr>
        <w:widowControl w:val="0"/>
        <w:autoSpaceDE w:val="0"/>
        <w:autoSpaceDN w:val="0"/>
        <w:adjustRightInd w:val="0"/>
        <w:spacing w:line="240" w:lineRule="atLeast"/>
        <w:rPr>
          <w:rFonts w:ascii="Times New Roman" w:hAnsi="Times New Roman"/>
          <w:bCs/>
          <w:i/>
          <w:sz w:val="24"/>
          <w:szCs w:val="24"/>
        </w:rPr>
      </w:pPr>
    </w:p>
    <w:p w:rsidRPr="00AA40E7" w:rsidR="00DC63F0" w:rsidP="00654798" w:rsidRDefault="00DC63F0" w14:paraId="1CC0326C" w14:textId="117E53E4">
      <w:pPr>
        <w:spacing w:line="240" w:lineRule="atLeast"/>
        <w:rPr>
          <w:rFonts w:ascii="Times New Roman" w:hAnsi="Times New Roman"/>
          <w:sz w:val="24"/>
          <w:szCs w:val="24"/>
        </w:rPr>
      </w:pPr>
      <w:r w:rsidRPr="00AA40E7">
        <w:rPr>
          <w:rFonts w:ascii="Times New Roman" w:hAnsi="Times New Roman"/>
          <w:sz w:val="24"/>
          <w:szCs w:val="24"/>
        </w:rPr>
        <w:t>Kengetallen zijn opgenomen in d</w:t>
      </w:r>
      <w:r w:rsidRPr="00AA40E7" w:rsidR="00DD615E">
        <w:rPr>
          <w:rFonts w:ascii="Times New Roman" w:hAnsi="Times New Roman"/>
          <w:sz w:val="24"/>
          <w:szCs w:val="24"/>
        </w:rPr>
        <w:t>e Staat van de Tweede Kamer 2023</w:t>
      </w:r>
      <w:r w:rsidRPr="00AA40E7">
        <w:rPr>
          <w:rFonts w:ascii="Times New Roman" w:hAnsi="Times New Roman"/>
          <w:sz w:val="24"/>
          <w:szCs w:val="24"/>
        </w:rPr>
        <w:t xml:space="preserve"> (stuknummer 4). </w:t>
      </w:r>
    </w:p>
    <w:p w:rsidRPr="00AA40E7" w:rsidR="00DC63F0" w:rsidP="00654798" w:rsidRDefault="00DC63F0" w14:paraId="0407930E" w14:textId="77777777">
      <w:pPr>
        <w:spacing w:line="240" w:lineRule="atLeast"/>
        <w:rPr>
          <w:rFonts w:ascii="Times New Roman" w:hAnsi="Times New Roman"/>
          <w:sz w:val="24"/>
          <w:szCs w:val="24"/>
        </w:rPr>
      </w:pPr>
    </w:p>
    <w:p w:rsidRPr="00AA40E7" w:rsidR="00DC63F0" w:rsidP="00654798" w:rsidRDefault="009F0083" w14:paraId="30181409" w14:textId="6CA27E11">
      <w:pPr>
        <w:spacing w:line="240" w:lineRule="atLeast"/>
        <w:rPr>
          <w:rFonts w:ascii="Times New Roman" w:hAnsi="Times New Roman"/>
          <w:sz w:val="24"/>
          <w:szCs w:val="24"/>
        </w:rPr>
      </w:pPr>
      <w:r w:rsidRPr="00AA40E7">
        <w:rPr>
          <w:rFonts w:ascii="Times New Roman" w:hAnsi="Times New Roman"/>
          <w:sz w:val="24"/>
          <w:szCs w:val="24"/>
        </w:rPr>
        <w:br w:type="page"/>
      </w:r>
      <w:r w:rsidRPr="00AA40E7" w:rsidR="00BE4E45">
        <w:rPr>
          <w:rFonts w:ascii="Times New Roman" w:hAnsi="Times New Roman"/>
          <w:sz w:val="24"/>
          <w:szCs w:val="24"/>
        </w:rPr>
        <w:t>Toelichting mutaties Voorjaarsnota:</w:t>
      </w:r>
    </w:p>
    <w:p w:rsidRPr="00AA40E7" w:rsidR="00011146" w:rsidP="00654798" w:rsidRDefault="00011146" w14:paraId="52979D39" w14:textId="77777777">
      <w:pPr>
        <w:spacing w:line="240" w:lineRule="atLeast"/>
        <w:rPr>
          <w:rFonts w:ascii="Times New Roman" w:hAnsi="Times New Roman"/>
          <w:sz w:val="24"/>
          <w:szCs w:val="24"/>
        </w:rPr>
      </w:pPr>
    </w:p>
    <w:p w:rsidRPr="00AA40E7" w:rsidR="00714908" w:rsidP="00654798" w:rsidRDefault="51825749" w14:paraId="0943439A" w14:textId="03672835">
      <w:pPr>
        <w:spacing w:line="240" w:lineRule="atLeast"/>
        <w:rPr>
          <w:rFonts w:ascii="Times New Roman" w:hAnsi="Times New Roman"/>
          <w:sz w:val="24"/>
          <w:szCs w:val="24"/>
        </w:rPr>
      </w:pPr>
      <w:r w:rsidRPr="00AA40E7">
        <w:rPr>
          <w:rFonts w:ascii="Times New Roman" w:hAnsi="Times New Roman"/>
          <w:sz w:val="24"/>
          <w:szCs w:val="24"/>
        </w:rPr>
        <w:t>Artikel</w:t>
      </w:r>
      <w:r w:rsidRPr="00AA40E7" w:rsidR="007A451F">
        <w:rPr>
          <w:rFonts w:ascii="Times New Roman" w:hAnsi="Times New Roman"/>
          <w:sz w:val="24"/>
          <w:szCs w:val="24"/>
        </w:rPr>
        <w:t>onderdeel</w:t>
      </w:r>
      <w:r w:rsidRPr="00AA40E7">
        <w:rPr>
          <w:rFonts w:ascii="Times New Roman" w:hAnsi="Times New Roman"/>
          <w:sz w:val="24"/>
          <w:szCs w:val="24"/>
        </w:rPr>
        <w:t xml:space="preserve"> 3.1 Apparaat</w:t>
      </w:r>
    </w:p>
    <w:p w:rsidRPr="00AA40E7" w:rsidR="007E4550" w:rsidP="00654798" w:rsidRDefault="007E4550" w14:paraId="78E1C9C3" w14:textId="77777777">
      <w:pPr>
        <w:spacing w:line="240" w:lineRule="atLeast"/>
        <w:rPr>
          <w:rFonts w:ascii="Times New Roman" w:hAnsi="Times New Roman"/>
          <w:i/>
          <w:sz w:val="24"/>
          <w:szCs w:val="24"/>
        </w:rPr>
      </w:pPr>
    </w:p>
    <w:p w:rsidRPr="00AA40E7" w:rsidR="00BE4E45" w:rsidP="00654798" w:rsidRDefault="00BE4E45" w14:paraId="1727F52D" w14:textId="1B467421">
      <w:pPr>
        <w:spacing w:line="240" w:lineRule="atLeast"/>
        <w:rPr>
          <w:rFonts w:ascii="Times New Roman" w:hAnsi="Times New Roman"/>
          <w:i/>
          <w:sz w:val="24"/>
          <w:szCs w:val="24"/>
        </w:rPr>
      </w:pPr>
      <w:r w:rsidRPr="00AA40E7">
        <w:rPr>
          <w:rFonts w:ascii="Times New Roman" w:hAnsi="Times New Roman"/>
          <w:i/>
          <w:sz w:val="24"/>
          <w:szCs w:val="24"/>
        </w:rPr>
        <w:t>Algeme</w:t>
      </w:r>
      <w:r w:rsidRPr="00AA40E7" w:rsidR="00851C9E">
        <w:rPr>
          <w:rFonts w:ascii="Times New Roman" w:hAnsi="Times New Roman"/>
          <w:i/>
          <w:sz w:val="24"/>
          <w:szCs w:val="24"/>
        </w:rPr>
        <w:t>en</w:t>
      </w:r>
    </w:p>
    <w:p w:rsidRPr="00AA40E7" w:rsidR="00EA0C3D" w:rsidP="00654798" w:rsidRDefault="00BE4E45" w14:paraId="5A9501FD" w14:textId="499EAD76">
      <w:pPr>
        <w:spacing w:line="240" w:lineRule="atLeast"/>
        <w:rPr>
          <w:rFonts w:ascii="Times New Roman" w:hAnsi="Times New Roman"/>
          <w:sz w:val="24"/>
          <w:szCs w:val="24"/>
        </w:rPr>
      </w:pPr>
      <w:r w:rsidRPr="00AA40E7">
        <w:rPr>
          <w:rFonts w:ascii="Times New Roman" w:hAnsi="Times New Roman"/>
          <w:sz w:val="24"/>
          <w:szCs w:val="24"/>
        </w:rPr>
        <w:t>De m</w:t>
      </w:r>
      <w:r w:rsidRPr="00AA40E7" w:rsidR="00EA0C3D">
        <w:rPr>
          <w:rFonts w:ascii="Times New Roman" w:hAnsi="Times New Roman"/>
          <w:sz w:val="24"/>
          <w:szCs w:val="24"/>
        </w:rPr>
        <w:t>utaties in de Voorjaarsnota 2024</w:t>
      </w:r>
      <w:r w:rsidRPr="00AA40E7">
        <w:rPr>
          <w:rFonts w:ascii="Times New Roman" w:hAnsi="Times New Roman"/>
          <w:sz w:val="24"/>
          <w:szCs w:val="24"/>
        </w:rPr>
        <w:t xml:space="preserve"> op artikelonderdeel 3.1 fluctueren over de periode 202</w:t>
      </w:r>
      <w:r w:rsidRPr="00AA40E7" w:rsidR="00EA0C3D">
        <w:rPr>
          <w:rFonts w:ascii="Times New Roman" w:hAnsi="Times New Roman"/>
          <w:sz w:val="24"/>
          <w:szCs w:val="24"/>
        </w:rPr>
        <w:t>4</w:t>
      </w:r>
      <w:r w:rsidRPr="00AA40E7">
        <w:rPr>
          <w:rFonts w:ascii="Times New Roman" w:hAnsi="Times New Roman"/>
          <w:sz w:val="24"/>
          <w:szCs w:val="24"/>
        </w:rPr>
        <w:t>-202</w:t>
      </w:r>
      <w:r w:rsidRPr="00AA40E7" w:rsidR="00EA0C3D">
        <w:rPr>
          <w:rFonts w:ascii="Times New Roman" w:hAnsi="Times New Roman"/>
          <w:sz w:val="24"/>
          <w:szCs w:val="24"/>
        </w:rPr>
        <w:t>9</w:t>
      </w:r>
      <w:r w:rsidRPr="00AA40E7">
        <w:rPr>
          <w:rFonts w:ascii="Times New Roman" w:hAnsi="Times New Roman"/>
          <w:sz w:val="24"/>
          <w:szCs w:val="24"/>
        </w:rPr>
        <w:t>. Dit heeft te maken met incidentele uitgaven. Zonder deze incidentele uitgaven stijgt dit</w:t>
      </w:r>
      <w:r w:rsidRPr="00AA40E7" w:rsidR="00215DC1">
        <w:rPr>
          <w:rFonts w:ascii="Times New Roman" w:hAnsi="Times New Roman"/>
          <w:sz w:val="24"/>
          <w:szCs w:val="24"/>
        </w:rPr>
        <w:t xml:space="preserve"> artikelonderdeel met circa € 7,</w:t>
      </w:r>
      <w:r w:rsidRPr="00AA40E7" w:rsidR="005C2BED">
        <w:rPr>
          <w:rFonts w:ascii="Times New Roman" w:hAnsi="Times New Roman"/>
          <w:sz w:val="24"/>
          <w:szCs w:val="24"/>
        </w:rPr>
        <w:t>0</w:t>
      </w:r>
      <w:r w:rsidRPr="00AA40E7" w:rsidR="00215DC1">
        <w:rPr>
          <w:rFonts w:ascii="Times New Roman" w:hAnsi="Times New Roman"/>
          <w:sz w:val="24"/>
          <w:szCs w:val="24"/>
        </w:rPr>
        <w:t xml:space="preserve"> mln. </w:t>
      </w:r>
      <w:r w:rsidRPr="00AA40E7" w:rsidR="001949C3">
        <w:rPr>
          <w:rFonts w:ascii="Times New Roman" w:hAnsi="Times New Roman"/>
          <w:sz w:val="24"/>
          <w:szCs w:val="24"/>
        </w:rPr>
        <w:t>structureel.</w:t>
      </w:r>
      <w:r w:rsidRPr="00AA40E7">
        <w:rPr>
          <w:rFonts w:ascii="Times New Roman" w:hAnsi="Times New Roman"/>
          <w:sz w:val="24"/>
          <w:szCs w:val="24"/>
        </w:rPr>
        <w:t xml:space="preserve"> </w:t>
      </w:r>
    </w:p>
    <w:p w:rsidRPr="00AA40E7" w:rsidR="00EA0C3D" w:rsidP="00654798" w:rsidRDefault="00EA0C3D" w14:paraId="739A59F3" w14:textId="77777777">
      <w:pPr>
        <w:spacing w:line="240" w:lineRule="atLeast"/>
        <w:rPr>
          <w:rFonts w:ascii="Times New Roman" w:hAnsi="Times New Roman"/>
          <w:sz w:val="24"/>
          <w:szCs w:val="24"/>
        </w:rPr>
      </w:pPr>
    </w:p>
    <w:p w:rsidRPr="00AA40E7" w:rsidR="002338EB" w:rsidP="00654798" w:rsidRDefault="00BE4E45" w14:paraId="0A61FB99" w14:textId="22C8B36E">
      <w:pPr>
        <w:spacing w:line="240" w:lineRule="atLeast"/>
        <w:rPr>
          <w:rFonts w:ascii="Times New Roman" w:hAnsi="Times New Roman"/>
          <w:sz w:val="24"/>
          <w:szCs w:val="24"/>
        </w:rPr>
      </w:pPr>
      <w:r w:rsidRPr="00AA40E7">
        <w:rPr>
          <w:rFonts w:ascii="Times New Roman" w:hAnsi="Times New Roman"/>
          <w:sz w:val="24"/>
          <w:szCs w:val="24"/>
        </w:rPr>
        <w:t>De structurele verhogingen hebben voornamelijk betrekking</w:t>
      </w:r>
      <w:r w:rsidRPr="00AA40E7" w:rsidR="00EE0B9D">
        <w:rPr>
          <w:rFonts w:ascii="Times New Roman" w:hAnsi="Times New Roman"/>
          <w:sz w:val="24"/>
          <w:szCs w:val="24"/>
        </w:rPr>
        <w:t xml:space="preserve"> op</w:t>
      </w:r>
      <w:r w:rsidRPr="00AA40E7">
        <w:rPr>
          <w:rFonts w:ascii="Times New Roman" w:hAnsi="Times New Roman"/>
          <w:sz w:val="24"/>
          <w:szCs w:val="24"/>
        </w:rPr>
        <w:t xml:space="preserve"> </w:t>
      </w:r>
      <w:r w:rsidRPr="00AA40E7" w:rsidR="00EE0B9D">
        <w:rPr>
          <w:rFonts w:ascii="Times New Roman" w:hAnsi="Times New Roman"/>
          <w:sz w:val="24"/>
          <w:szCs w:val="24"/>
        </w:rPr>
        <w:t>de bedrijfsvoering van de K</w:t>
      </w:r>
      <w:r w:rsidRPr="00AA40E7" w:rsidR="006A492F">
        <w:rPr>
          <w:rFonts w:ascii="Times New Roman" w:hAnsi="Times New Roman"/>
          <w:sz w:val="24"/>
          <w:szCs w:val="24"/>
        </w:rPr>
        <w:t>am</w:t>
      </w:r>
      <w:r w:rsidRPr="00AA40E7" w:rsidR="00EE0B9D">
        <w:rPr>
          <w:rFonts w:ascii="Times New Roman" w:hAnsi="Times New Roman"/>
          <w:sz w:val="24"/>
          <w:szCs w:val="24"/>
        </w:rPr>
        <w:t xml:space="preserve">erorganisatie met ook oog op de </w:t>
      </w:r>
      <w:r w:rsidRPr="00AA40E7" w:rsidR="00777836">
        <w:rPr>
          <w:rFonts w:ascii="Times New Roman" w:hAnsi="Times New Roman"/>
          <w:sz w:val="24"/>
          <w:szCs w:val="24"/>
        </w:rPr>
        <w:t>continuïteit</w:t>
      </w:r>
      <w:r w:rsidRPr="00AA40E7" w:rsidR="00EE0B9D">
        <w:rPr>
          <w:rFonts w:ascii="Times New Roman" w:hAnsi="Times New Roman"/>
          <w:sz w:val="24"/>
          <w:szCs w:val="24"/>
        </w:rPr>
        <w:t xml:space="preserve"> van IT en A</w:t>
      </w:r>
      <w:r w:rsidRPr="00AA40E7" w:rsidR="002338EB">
        <w:rPr>
          <w:rFonts w:ascii="Times New Roman" w:hAnsi="Times New Roman"/>
          <w:sz w:val="24"/>
          <w:szCs w:val="24"/>
        </w:rPr>
        <w:t xml:space="preserve">utomatisering. Daarnaast heeft de structurele verhoging deels betrekking </w:t>
      </w:r>
      <w:r w:rsidRPr="00AA40E7">
        <w:rPr>
          <w:rFonts w:ascii="Times New Roman" w:hAnsi="Times New Roman"/>
          <w:sz w:val="24"/>
          <w:szCs w:val="24"/>
        </w:rPr>
        <w:t>op formatieve uitbreidingen binnen de Kamer ter versterking van de ondersteuning van het parlementaire proces en de bedrijfsvoering</w:t>
      </w:r>
      <w:r w:rsidRPr="00AA40E7" w:rsidR="002338EB">
        <w:rPr>
          <w:rFonts w:ascii="Times New Roman" w:hAnsi="Times New Roman"/>
          <w:sz w:val="24"/>
          <w:szCs w:val="24"/>
        </w:rPr>
        <w:t>.</w:t>
      </w:r>
      <w:r w:rsidRPr="00AA40E7" w:rsidR="007F562E">
        <w:rPr>
          <w:rFonts w:ascii="Times New Roman" w:hAnsi="Times New Roman"/>
          <w:sz w:val="24"/>
          <w:szCs w:val="24"/>
        </w:rPr>
        <w:t xml:space="preserve"> </w:t>
      </w:r>
      <w:r w:rsidRPr="00AA40E7" w:rsidR="002338EB">
        <w:rPr>
          <w:rFonts w:ascii="Times New Roman" w:hAnsi="Times New Roman"/>
          <w:sz w:val="24"/>
          <w:szCs w:val="24"/>
        </w:rPr>
        <w:t>De veiligheidssituatie van het pand, de systemen en de leden van de Tweede Kamer vragen om structurele investeringen van personeel en materieel. Werkzaamheden binnen de kamerorganisatie worden op sommige ter</w:t>
      </w:r>
      <w:r w:rsidRPr="00AA40E7" w:rsidR="007F562E">
        <w:rPr>
          <w:rFonts w:ascii="Times New Roman" w:hAnsi="Times New Roman"/>
          <w:sz w:val="24"/>
          <w:szCs w:val="24"/>
        </w:rPr>
        <w:t>r</w:t>
      </w:r>
      <w:r w:rsidRPr="00AA40E7" w:rsidR="002338EB">
        <w:rPr>
          <w:rFonts w:ascii="Times New Roman" w:hAnsi="Times New Roman"/>
          <w:sz w:val="24"/>
          <w:szCs w:val="24"/>
        </w:rPr>
        <w:t>einen complexer en dienen ook aan te sluiten op de organisatie van nu en die van in de toekomst.</w:t>
      </w:r>
    </w:p>
    <w:p w:rsidRPr="00AA40E7" w:rsidR="002338EB" w:rsidP="00654798" w:rsidRDefault="002338EB" w14:paraId="7ADD2BAE" w14:textId="77777777">
      <w:pPr>
        <w:spacing w:line="240" w:lineRule="atLeast"/>
        <w:rPr>
          <w:rFonts w:ascii="Times New Roman" w:hAnsi="Times New Roman"/>
          <w:sz w:val="24"/>
          <w:szCs w:val="24"/>
          <w:highlight w:val="yellow"/>
        </w:rPr>
      </w:pPr>
    </w:p>
    <w:p w:rsidRPr="00AA40E7" w:rsidR="00BE4E45" w:rsidP="00654798" w:rsidRDefault="00BE4E45" w14:paraId="0F6D092B" w14:textId="0A5F6DAC">
      <w:pPr>
        <w:spacing w:line="240" w:lineRule="atLeast"/>
        <w:rPr>
          <w:rFonts w:ascii="Times New Roman" w:hAnsi="Times New Roman"/>
          <w:sz w:val="24"/>
          <w:szCs w:val="24"/>
        </w:rPr>
      </w:pPr>
      <w:r w:rsidRPr="00AA40E7">
        <w:rPr>
          <w:rFonts w:ascii="Times New Roman" w:hAnsi="Times New Roman"/>
          <w:sz w:val="24"/>
          <w:szCs w:val="24"/>
        </w:rPr>
        <w:t>In 202</w:t>
      </w:r>
      <w:r w:rsidRPr="00AA40E7" w:rsidR="00215DC1">
        <w:rPr>
          <w:rFonts w:ascii="Times New Roman" w:hAnsi="Times New Roman"/>
          <w:sz w:val="24"/>
          <w:szCs w:val="24"/>
        </w:rPr>
        <w:t>4</w:t>
      </w:r>
      <w:r w:rsidRPr="00AA40E7">
        <w:rPr>
          <w:rFonts w:ascii="Times New Roman" w:hAnsi="Times New Roman"/>
          <w:sz w:val="24"/>
          <w:szCs w:val="24"/>
        </w:rPr>
        <w:t xml:space="preserve"> wordt d</w:t>
      </w:r>
      <w:r w:rsidRPr="00AA40E7" w:rsidR="008D0647">
        <w:rPr>
          <w:rFonts w:ascii="Times New Roman" w:hAnsi="Times New Roman"/>
          <w:sz w:val="24"/>
          <w:szCs w:val="24"/>
        </w:rPr>
        <w:t xml:space="preserve">e begroting opgehoogd met € </w:t>
      </w:r>
      <w:r w:rsidRPr="00AA40E7" w:rsidR="00215DC1">
        <w:rPr>
          <w:rFonts w:ascii="Times New Roman" w:hAnsi="Times New Roman"/>
          <w:sz w:val="24"/>
          <w:szCs w:val="24"/>
        </w:rPr>
        <w:t>12</w:t>
      </w:r>
      <w:r w:rsidRPr="00AA40E7" w:rsidR="008D0647">
        <w:rPr>
          <w:rFonts w:ascii="Times New Roman" w:hAnsi="Times New Roman"/>
          <w:sz w:val="24"/>
          <w:szCs w:val="24"/>
        </w:rPr>
        <w:t>,</w:t>
      </w:r>
      <w:r w:rsidRPr="00AA40E7" w:rsidR="00215DC1">
        <w:rPr>
          <w:rFonts w:ascii="Times New Roman" w:hAnsi="Times New Roman"/>
          <w:sz w:val="24"/>
          <w:szCs w:val="24"/>
        </w:rPr>
        <w:t>9</w:t>
      </w:r>
      <w:r w:rsidRPr="00AA40E7">
        <w:rPr>
          <w:rFonts w:ascii="Times New Roman" w:hAnsi="Times New Roman"/>
          <w:sz w:val="24"/>
          <w:szCs w:val="24"/>
        </w:rPr>
        <w:t xml:space="preserve"> mln. In dit bedrag zitten</w:t>
      </w:r>
      <w:r w:rsidRPr="00AA40E7" w:rsidR="00215DC1">
        <w:rPr>
          <w:rFonts w:ascii="Times New Roman" w:hAnsi="Times New Roman"/>
          <w:sz w:val="24"/>
          <w:szCs w:val="24"/>
        </w:rPr>
        <w:t xml:space="preserve"> ook</w:t>
      </w:r>
      <w:r w:rsidRPr="00AA40E7">
        <w:rPr>
          <w:rFonts w:ascii="Times New Roman" w:hAnsi="Times New Roman"/>
          <w:sz w:val="24"/>
          <w:szCs w:val="24"/>
        </w:rPr>
        <w:t xml:space="preserve"> incidentele uitgaven </w:t>
      </w:r>
      <w:r w:rsidRPr="00AA40E7" w:rsidR="00E02838">
        <w:rPr>
          <w:rFonts w:ascii="Times New Roman" w:hAnsi="Times New Roman"/>
          <w:sz w:val="24"/>
          <w:szCs w:val="24"/>
        </w:rPr>
        <w:t xml:space="preserve">van ca € 7,0 </w:t>
      </w:r>
      <w:r w:rsidRPr="00AA40E7" w:rsidR="00777836">
        <w:rPr>
          <w:rFonts w:ascii="Times New Roman" w:hAnsi="Times New Roman"/>
          <w:sz w:val="24"/>
          <w:szCs w:val="24"/>
        </w:rPr>
        <w:t>mln.</w:t>
      </w:r>
      <w:r w:rsidRPr="00AA40E7" w:rsidR="00E02838">
        <w:rPr>
          <w:rFonts w:ascii="Times New Roman" w:hAnsi="Times New Roman"/>
          <w:sz w:val="24"/>
          <w:szCs w:val="24"/>
        </w:rPr>
        <w:t xml:space="preserve"> </w:t>
      </w:r>
      <w:r w:rsidRPr="00AA40E7">
        <w:rPr>
          <w:rFonts w:ascii="Times New Roman" w:hAnsi="Times New Roman"/>
          <w:sz w:val="24"/>
          <w:szCs w:val="24"/>
        </w:rPr>
        <w:t xml:space="preserve">voor bijvoorbeeld de uitvoering van </w:t>
      </w:r>
      <w:r w:rsidRPr="00AA40E7" w:rsidR="00215DC1">
        <w:rPr>
          <w:rFonts w:ascii="Times New Roman" w:hAnsi="Times New Roman"/>
          <w:sz w:val="24"/>
          <w:szCs w:val="24"/>
        </w:rPr>
        <w:t>beveiligingsmaatregelen, de</w:t>
      </w:r>
      <w:r w:rsidRPr="00AA40E7" w:rsidR="00CF5204">
        <w:rPr>
          <w:rFonts w:ascii="Times New Roman" w:hAnsi="Times New Roman"/>
          <w:sz w:val="24"/>
          <w:szCs w:val="24"/>
        </w:rPr>
        <w:t xml:space="preserve"> interne</w:t>
      </w:r>
      <w:r w:rsidRPr="00AA40E7" w:rsidR="00215DC1">
        <w:rPr>
          <w:rFonts w:ascii="Times New Roman" w:hAnsi="Times New Roman"/>
          <w:sz w:val="24"/>
          <w:szCs w:val="24"/>
        </w:rPr>
        <w:t xml:space="preserve"> v</w:t>
      </w:r>
      <w:r w:rsidRPr="00AA40E7" w:rsidR="00CF5204">
        <w:rPr>
          <w:rFonts w:ascii="Times New Roman" w:hAnsi="Times New Roman"/>
          <w:sz w:val="24"/>
          <w:szCs w:val="24"/>
        </w:rPr>
        <w:t xml:space="preserve">erhuizing als gevolg van de Verkiezingen en het bieden van </w:t>
      </w:r>
      <w:r w:rsidRPr="00AA40E7" w:rsidR="00777836">
        <w:rPr>
          <w:rFonts w:ascii="Times New Roman" w:hAnsi="Times New Roman"/>
          <w:sz w:val="24"/>
          <w:szCs w:val="24"/>
        </w:rPr>
        <w:t>ondersteuning bij</w:t>
      </w:r>
      <w:r w:rsidRPr="00AA40E7" w:rsidR="001A3CEC">
        <w:rPr>
          <w:rFonts w:ascii="Times New Roman" w:hAnsi="Times New Roman"/>
          <w:sz w:val="24"/>
          <w:szCs w:val="24"/>
        </w:rPr>
        <w:t xml:space="preserve"> het formatieproces</w:t>
      </w:r>
      <w:r w:rsidRPr="00AA40E7" w:rsidR="00CF5204">
        <w:rPr>
          <w:rFonts w:ascii="Times New Roman" w:hAnsi="Times New Roman"/>
          <w:sz w:val="24"/>
          <w:szCs w:val="24"/>
        </w:rPr>
        <w:t xml:space="preserve">. </w:t>
      </w:r>
    </w:p>
    <w:p w:rsidRPr="00AA40E7" w:rsidR="00BE4E45" w:rsidP="00654798" w:rsidRDefault="00BE4E45" w14:paraId="47A4D892" w14:textId="11A374E8">
      <w:pPr>
        <w:spacing w:line="240" w:lineRule="atLeast"/>
        <w:rPr>
          <w:rFonts w:ascii="Times New Roman" w:hAnsi="Times New Roman"/>
          <w:sz w:val="24"/>
          <w:szCs w:val="24"/>
          <w:highlight w:val="yellow"/>
        </w:rPr>
      </w:pPr>
    </w:p>
    <w:p w:rsidRPr="00AA40E7" w:rsidR="003D7767" w:rsidP="00654798" w:rsidRDefault="003D7767" w14:paraId="46C8928A" w14:textId="6F2ADB69">
      <w:pPr>
        <w:spacing w:line="240" w:lineRule="atLeast"/>
        <w:rPr>
          <w:rFonts w:ascii="Times New Roman" w:hAnsi="Times New Roman"/>
          <w:i/>
          <w:sz w:val="24"/>
          <w:szCs w:val="24"/>
        </w:rPr>
      </w:pPr>
      <w:r w:rsidRPr="00AA40E7">
        <w:rPr>
          <w:rFonts w:ascii="Times New Roman" w:hAnsi="Times New Roman"/>
          <w:i/>
          <w:sz w:val="24"/>
          <w:szCs w:val="24"/>
        </w:rPr>
        <w:t>Toelichting per mutatie uit tabel 4, 3.1: apparaat</w:t>
      </w:r>
    </w:p>
    <w:p w:rsidRPr="00AA40E7" w:rsidR="000F5A34" w:rsidP="000F5A34" w:rsidRDefault="000F5A34" w14:paraId="2A331420" w14:textId="77777777">
      <w:pPr>
        <w:pStyle w:val="Lijstalinea"/>
        <w:numPr>
          <w:ilvl w:val="0"/>
          <w:numId w:val="13"/>
        </w:numPr>
        <w:spacing w:line="240" w:lineRule="atLeast"/>
        <w:rPr>
          <w:rFonts w:ascii="Times New Roman" w:hAnsi="Times New Roman"/>
          <w:i/>
          <w:sz w:val="24"/>
          <w:szCs w:val="24"/>
        </w:rPr>
      </w:pPr>
      <w:r w:rsidRPr="00AA40E7">
        <w:rPr>
          <w:rFonts w:ascii="Times New Roman" w:hAnsi="Times New Roman"/>
          <w:i/>
          <w:sz w:val="24"/>
          <w:szCs w:val="24"/>
        </w:rPr>
        <w:t>Uitvoering moties</w:t>
      </w:r>
    </w:p>
    <w:p w:rsidRPr="00AA40E7" w:rsidR="000F5A34" w:rsidP="000F5A34" w:rsidRDefault="000F5A34" w14:paraId="0497CBCC" w14:textId="77777777">
      <w:pPr>
        <w:pStyle w:val="Lijstalinea"/>
        <w:spacing w:line="240" w:lineRule="atLeast"/>
        <w:rPr>
          <w:rFonts w:ascii="Times New Roman" w:hAnsi="Times New Roman"/>
          <w:sz w:val="24"/>
          <w:szCs w:val="24"/>
        </w:rPr>
      </w:pPr>
      <w:r w:rsidRPr="00AA40E7">
        <w:rPr>
          <w:rFonts w:ascii="Times New Roman" w:hAnsi="Times New Roman"/>
          <w:sz w:val="24"/>
          <w:szCs w:val="24"/>
        </w:rPr>
        <w:t xml:space="preserve">Dit betreft noodzakelijke uitgaven voor het ten uitvoer brengen van reeds aangenomen moties m.b.t. instandhouding Parlement.com (Sneller en Rahimi 2023–2024, 36 410 VII, nr. 61). Hiervoor is in 2024 € 0,24 mln. en vanaf 2025 € 0,3 mln. structureel benodigd. </w:t>
      </w:r>
    </w:p>
    <w:p w:rsidRPr="00AA40E7" w:rsidR="000F5A34" w:rsidP="000F5A34" w:rsidRDefault="000F5A34" w14:paraId="4E71FF1D" w14:textId="77777777">
      <w:pPr>
        <w:pStyle w:val="Lijstalinea"/>
        <w:spacing w:line="240" w:lineRule="atLeast"/>
        <w:rPr>
          <w:rFonts w:ascii="Times New Roman" w:hAnsi="Times New Roman"/>
          <w:sz w:val="24"/>
          <w:szCs w:val="24"/>
        </w:rPr>
      </w:pPr>
    </w:p>
    <w:p w:rsidRPr="00AA40E7" w:rsidR="000F5A34" w:rsidP="000F5A34" w:rsidRDefault="000F5A34" w14:paraId="0654E99C" w14:textId="77777777">
      <w:pPr>
        <w:pStyle w:val="Lijstalinea"/>
        <w:numPr>
          <w:ilvl w:val="0"/>
          <w:numId w:val="13"/>
        </w:numPr>
        <w:spacing w:line="240" w:lineRule="atLeast"/>
        <w:rPr>
          <w:rFonts w:ascii="Times New Roman" w:hAnsi="Times New Roman"/>
          <w:i/>
          <w:sz w:val="24"/>
          <w:szCs w:val="24"/>
        </w:rPr>
      </w:pPr>
      <w:r w:rsidRPr="00AA40E7">
        <w:rPr>
          <w:rFonts w:ascii="Times New Roman" w:hAnsi="Times New Roman"/>
          <w:i/>
          <w:sz w:val="24"/>
          <w:szCs w:val="24"/>
        </w:rPr>
        <w:t>Versterking parlementaire proces</w:t>
      </w:r>
    </w:p>
    <w:p w:rsidRPr="00AA40E7" w:rsidR="000F5A34" w:rsidP="000F5A34" w:rsidRDefault="000F5A34" w14:paraId="0292B2A2" w14:textId="77777777">
      <w:pPr>
        <w:pStyle w:val="Lijstalinea"/>
        <w:spacing w:line="240" w:lineRule="atLeast"/>
        <w:rPr>
          <w:rFonts w:ascii="Times New Roman" w:hAnsi="Times New Roman"/>
          <w:sz w:val="24"/>
          <w:szCs w:val="24"/>
        </w:rPr>
      </w:pPr>
      <w:r w:rsidRPr="00AA40E7">
        <w:rPr>
          <w:rFonts w:ascii="Times New Roman" w:hAnsi="Times New Roman"/>
          <w:sz w:val="24"/>
          <w:szCs w:val="24"/>
        </w:rPr>
        <w:t>1 fte adjunct griffier structureel € 0,13 mln. nodig, in verband met structureel capaciteitstekort. De werkzaamheden bestaan uit voorbereiden en begeleidingen van de activiteiten van de parlementaire assemblees van Kamerleden en Kamervoorzitters van beide Kamers.</w:t>
      </w:r>
    </w:p>
    <w:p w:rsidRPr="00AA40E7" w:rsidR="000F5A34" w:rsidP="000F5A34" w:rsidRDefault="000F5A34" w14:paraId="50DBA3BA" w14:textId="77777777">
      <w:pPr>
        <w:pStyle w:val="Lijstalinea"/>
        <w:spacing w:line="240" w:lineRule="atLeast"/>
        <w:rPr>
          <w:rFonts w:ascii="Times New Roman" w:hAnsi="Times New Roman"/>
          <w:sz w:val="24"/>
          <w:szCs w:val="24"/>
        </w:rPr>
      </w:pPr>
    </w:p>
    <w:p w:rsidRPr="00AA40E7" w:rsidR="000F5A34" w:rsidP="000F5A34" w:rsidRDefault="000F5A34" w14:paraId="1524FD3A" w14:textId="77777777">
      <w:pPr>
        <w:pStyle w:val="Lijstalinea"/>
        <w:numPr>
          <w:ilvl w:val="0"/>
          <w:numId w:val="13"/>
        </w:numPr>
        <w:spacing w:line="240" w:lineRule="atLeast"/>
        <w:rPr>
          <w:rFonts w:ascii="Times New Roman" w:hAnsi="Times New Roman"/>
          <w:i/>
          <w:sz w:val="24"/>
          <w:szCs w:val="24"/>
        </w:rPr>
      </w:pPr>
      <w:r w:rsidRPr="00AA40E7">
        <w:rPr>
          <w:rFonts w:ascii="Times New Roman" w:hAnsi="Times New Roman"/>
          <w:i/>
          <w:sz w:val="24"/>
          <w:szCs w:val="24"/>
        </w:rPr>
        <w:t>Verkiezingen en formatie</w:t>
      </w:r>
    </w:p>
    <w:p w:rsidRPr="00AA40E7" w:rsidR="000F5A34" w:rsidP="000F5A34" w:rsidRDefault="000F5A34" w14:paraId="47135EB4" w14:textId="77777777">
      <w:pPr>
        <w:pStyle w:val="Lijstalinea"/>
        <w:spacing w:line="240" w:lineRule="atLeast"/>
        <w:rPr>
          <w:rFonts w:ascii="Times New Roman" w:hAnsi="Times New Roman"/>
          <w:sz w:val="24"/>
          <w:szCs w:val="24"/>
        </w:rPr>
      </w:pPr>
      <w:r w:rsidRPr="00AA40E7">
        <w:rPr>
          <w:rFonts w:ascii="Times New Roman" w:hAnsi="Times New Roman"/>
          <w:sz w:val="24"/>
          <w:szCs w:val="24"/>
        </w:rPr>
        <w:t>Als gevolg van de Tweede Kamerverkiezingen 22 november 2023 worden incidentele kosten gemaakt. Hiervoor is €1,5 mln. nodig ten behoeve van de interne verhuizing (€ 0,69 mln.) en begeleiding bij het formatieproces vanuit Algemene Zaken (€ 0,85 mln.). Hetzelfde bedrag is ook geraamd voor het jaar 2028 bij de volgende Tweede Kamerverkiezingen.</w:t>
      </w:r>
    </w:p>
    <w:p w:rsidRPr="00AA40E7" w:rsidR="000F5A34" w:rsidP="000F5A34" w:rsidRDefault="000F5A34" w14:paraId="4D2507EA" w14:textId="77777777">
      <w:pPr>
        <w:spacing w:line="240" w:lineRule="atLeast"/>
        <w:rPr>
          <w:rFonts w:ascii="Times New Roman" w:hAnsi="Times New Roman"/>
          <w:sz w:val="24"/>
          <w:szCs w:val="24"/>
        </w:rPr>
      </w:pPr>
    </w:p>
    <w:p w:rsidRPr="00AA40E7" w:rsidR="000F5A34" w:rsidP="000F5A34" w:rsidRDefault="000F5A34" w14:paraId="20AD84C3" w14:textId="77777777">
      <w:pPr>
        <w:pStyle w:val="Lijstalinea"/>
        <w:numPr>
          <w:ilvl w:val="0"/>
          <w:numId w:val="13"/>
        </w:numPr>
        <w:spacing w:line="240" w:lineRule="atLeast"/>
        <w:rPr>
          <w:rFonts w:ascii="Times New Roman" w:hAnsi="Times New Roman"/>
          <w:i/>
          <w:sz w:val="24"/>
          <w:szCs w:val="24"/>
        </w:rPr>
      </w:pPr>
      <w:r w:rsidRPr="00AA40E7">
        <w:rPr>
          <w:rFonts w:ascii="Times New Roman" w:hAnsi="Times New Roman"/>
          <w:i/>
          <w:sz w:val="24"/>
          <w:szCs w:val="24"/>
        </w:rPr>
        <w:t xml:space="preserve">Renovatie en tijdelijke huisvesting </w:t>
      </w:r>
    </w:p>
    <w:p w:rsidRPr="00AA40E7" w:rsidR="000F5A34" w:rsidP="000F5A34" w:rsidRDefault="000F5A34" w14:paraId="3BCADDC5" w14:textId="77777777">
      <w:pPr>
        <w:pStyle w:val="Lijstalinea"/>
        <w:spacing w:line="240" w:lineRule="atLeast"/>
        <w:rPr>
          <w:rFonts w:ascii="Times New Roman" w:hAnsi="Times New Roman"/>
          <w:sz w:val="24"/>
          <w:szCs w:val="24"/>
        </w:rPr>
      </w:pPr>
      <w:r w:rsidRPr="00AA40E7">
        <w:rPr>
          <w:rFonts w:ascii="Times New Roman" w:hAnsi="Times New Roman"/>
          <w:sz w:val="24"/>
          <w:szCs w:val="24"/>
        </w:rPr>
        <w:t>Voor de renovatie van het Binnenhof en tijdelijke huisvesting wordt in 2024 de begroting opgehoogd met € 0,54 mln. Hiervan is vanaf 2026 van € 0,42 mln. structureel nodig voor o.a. extra kosten voor onderzoeken en adviesopdrachten renovatie Binnenhof (€ 0,1 mln.), groen in de Kamer (€ 0,07 mln.) en beheer en onderhoud 8</w:t>
      </w:r>
      <w:r w:rsidRPr="00AA40E7">
        <w:rPr>
          <w:rFonts w:ascii="Times New Roman" w:hAnsi="Times New Roman"/>
          <w:sz w:val="24"/>
          <w:szCs w:val="24"/>
          <w:vertAlign w:val="superscript"/>
        </w:rPr>
        <w:t>e</w:t>
      </w:r>
      <w:r w:rsidRPr="00AA40E7">
        <w:rPr>
          <w:rFonts w:ascii="Times New Roman" w:hAnsi="Times New Roman"/>
          <w:sz w:val="24"/>
          <w:szCs w:val="24"/>
        </w:rPr>
        <w:t xml:space="preserve"> etage (€ 0,25 mln.).</w:t>
      </w:r>
    </w:p>
    <w:p w:rsidRPr="00AA40E7" w:rsidR="000F5A34" w:rsidP="000F5A34" w:rsidRDefault="000F5A34" w14:paraId="70AA997E" w14:textId="77777777">
      <w:pPr>
        <w:pStyle w:val="Lijstalinea"/>
        <w:spacing w:line="240" w:lineRule="atLeast"/>
        <w:rPr>
          <w:rFonts w:ascii="Times New Roman" w:hAnsi="Times New Roman"/>
          <w:sz w:val="24"/>
          <w:szCs w:val="24"/>
        </w:rPr>
      </w:pPr>
    </w:p>
    <w:p w:rsidRPr="00AA40E7" w:rsidR="000F5A34" w:rsidP="000F5A34" w:rsidRDefault="000F5A34" w14:paraId="5BCF6930" w14:textId="77777777">
      <w:pPr>
        <w:spacing w:line="240" w:lineRule="atLeast"/>
        <w:ind w:left="708"/>
        <w:rPr>
          <w:rFonts w:ascii="Times New Roman" w:hAnsi="Times New Roman"/>
          <w:sz w:val="24"/>
          <w:szCs w:val="24"/>
        </w:rPr>
      </w:pPr>
      <w:r w:rsidRPr="00AA40E7">
        <w:rPr>
          <w:rFonts w:ascii="Times New Roman" w:hAnsi="Times New Roman"/>
          <w:sz w:val="24"/>
          <w:szCs w:val="24"/>
        </w:rPr>
        <w:t xml:space="preserve">In 2024 en 2025 heeft de Tweede Kamer te maken met hogere incidentele uitgaven als gevolg van uitstel terug verhuizing naar het Binnenhof. Het gaat hier om vervangingsinvestering in technische componenten (AV-systemen) 2024 (€ 0,3mln.) en 2025 (van € 2,5 mln.). </w:t>
      </w:r>
    </w:p>
    <w:p w:rsidRPr="00AA40E7" w:rsidR="000F5A34" w:rsidP="000F5A34" w:rsidRDefault="000F5A34" w14:paraId="3F033E5D" w14:textId="77777777">
      <w:pPr>
        <w:spacing w:line="240" w:lineRule="atLeast"/>
        <w:ind w:left="708"/>
        <w:rPr>
          <w:rFonts w:ascii="Times New Roman" w:hAnsi="Times New Roman"/>
          <w:sz w:val="24"/>
          <w:szCs w:val="24"/>
        </w:rPr>
      </w:pPr>
      <w:r w:rsidRPr="00AA40E7">
        <w:rPr>
          <w:rFonts w:ascii="Times New Roman" w:hAnsi="Times New Roman"/>
          <w:sz w:val="24"/>
          <w:szCs w:val="24"/>
        </w:rPr>
        <w:t xml:space="preserve"> </w:t>
      </w:r>
    </w:p>
    <w:p w:rsidRPr="00AA40E7" w:rsidR="000F5A34" w:rsidP="000F5A34" w:rsidRDefault="000F5A34" w14:paraId="7A7C4D26" w14:textId="77777777">
      <w:pPr>
        <w:pStyle w:val="Lijstalinea"/>
        <w:numPr>
          <w:ilvl w:val="0"/>
          <w:numId w:val="13"/>
        </w:numPr>
        <w:spacing w:line="240" w:lineRule="atLeast"/>
        <w:rPr>
          <w:rFonts w:ascii="Times New Roman" w:hAnsi="Times New Roman"/>
          <w:i/>
          <w:sz w:val="24"/>
          <w:szCs w:val="24"/>
        </w:rPr>
      </w:pPr>
      <w:r w:rsidRPr="00AA40E7">
        <w:rPr>
          <w:rFonts w:ascii="Times New Roman" w:hAnsi="Times New Roman"/>
          <w:i/>
          <w:sz w:val="24"/>
          <w:szCs w:val="24"/>
        </w:rPr>
        <w:t>Waarborgen veiligheid</w:t>
      </w:r>
    </w:p>
    <w:p w:rsidRPr="00AA40E7" w:rsidR="000F5A34" w:rsidP="000F5A34" w:rsidRDefault="000F5A34" w14:paraId="0DA8A311" w14:textId="77777777">
      <w:pPr>
        <w:pStyle w:val="Lijstalinea"/>
        <w:spacing w:line="240" w:lineRule="atLeast"/>
        <w:rPr>
          <w:rFonts w:ascii="Times New Roman" w:hAnsi="Times New Roman"/>
          <w:sz w:val="24"/>
          <w:szCs w:val="24"/>
        </w:rPr>
      </w:pPr>
      <w:r w:rsidRPr="00AA40E7">
        <w:rPr>
          <w:rFonts w:ascii="Times New Roman" w:hAnsi="Times New Roman"/>
          <w:sz w:val="24"/>
          <w:szCs w:val="24"/>
        </w:rPr>
        <w:t xml:space="preserve">De veiligheidssituatie van het pand, de systemen en de leden van de Tweede Kamer vragen om een structurele investering van personeel en materieel bij de Beveiligingsdienst, Bureau Beveiligingsautoriteit en de CISO. </w:t>
      </w:r>
    </w:p>
    <w:p w:rsidRPr="00AA40E7" w:rsidR="000F5A34" w:rsidP="000F5A34" w:rsidRDefault="000F5A34" w14:paraId="19848B2F" w14:textId="769702E0">
      <w:pPr>
        <w:pStyle w:val="Lijstalinea"/>
        <w:spacing w:line="240" w:lineRule="atLeast"/>
        <w:rPr>
          <w:rFonts w:ascii="Times New Roman" w:hAnsi="Times New Roman"/>
          <w:sz w:val="24"/>
          <w:szCs w:val="24"/>
        </w:rPr>
      </w:pPr>
    </w:p>
    <w:p w:rsidRPr="00AA40E7" w:rsidR="000A3B5C" w:rsidP="000F5A34" w:rsidRDefault="000A3B5C" w14:paraId="1A5634BA" w14:textId="77777777">
      <w:pPr>
        <w:pStyle w:val="Lijstalinea"/>
        <w:spacing w:line="240" w:lineRule="atLeast"/>
        <w:rPr>
          <w:rFonts w:ascii="Times New Roman" w:hAnsi="Times New Roman"/>
          <w:sz w:val="24"/>
          <w:szCs w:val="24"/>
        </w:rPr>
      </w:pPr>
    </w:p>
    <w:p w:rsidRPr="00AA40E7" w:rsidR="000F5A34" w:rsidP="000F5A34" w:rsidRDefault="000F5A34" w14:paraId="0CDC52E8" w14:textId="77777777">
      <w:pPr>
        <w:pStyle w:val="Lijstalinea"/>
        <w:numPr>
          <w:ilvl w:val="0"/>
          <w:numId w:val="13"/>
        </w:numPr>
        <w:spacing w:line="240" w:lineRule="atLeast"/>
        <w:rPr>
          <w:rFonts w:ascii="Times New Roman" w:hAnsi="Times New Roman"/>
          <w:i/>
          <w:sz w:val="24"/>
          <w:szCs w:val="24"/>
        </w:rPr>
      </w:pPr>
      <w:r w:rsidRPr="00AA40E7">
        <w:rPr>
          <w:rFonts w:ascii="Times New Roman" w:hAnsi="Times New Roman"/>
          <w:i/>
          <w:sz w:val="24"/>
          <w:szCs w:val="24"/>
        </w:rPr>
        <w:t xml:space="preserve">Kamerondersteuning </w:t>
      </w:r>
    </w:p>
    <w:p w:rsidRPr="00AA40E7" w:rsidR="000F5A34" w:rsidP="000F5A34" w:rsidRDefault="000F5A34" w14:paraId="7B655709" w14:textId="440F74CD">
      <w:pPr>
        <w:pStyle w:val="Lijstalinea"/>
        <w:spacing w:line="240" w:lineRule="atLeast"/>
        <w:rPr>
          <w:rFonts w:ascii="Times New Roman" w:hAnsi="Times New Roman"/>
          <w:sz w:val="24"/>
          <w:szCs w:val="24"/>
        </w:rPr>
      </w:pPr>
      <w:r w:rsidRPr="00AA40E7">
        <w:rPr>
          <w:rFonts w:ascii="Times New Roman" w:hAnsi="Times New Roman"/>
          <w:sz w:val="24"/>
          <w:szCs w:val="24"/>
        </w:rPr>
        <w:t>De ondersteunende diensten worden zwaarder belast met het uitvoeren van complexere opdrachten in de wereld van nu. Daarnaast proberen we een Kamerorganisatie te realiseren die vooruit kan handelen en kan inspelen op de hedendaagse vragen van de politiek. Op verschillende terreinen is versterking van de bedrijfsvoering onmisbaar. Hiervoor is vanaf 20</w:t>
      </w:r>
      <w:r w:rsidRPr="00AA40E7" w:rsidR="00611437">
        <w:rPr>
          <w:rFonts w:ascii="Times New Roman" w:hAnsi="Times New Roman"/>
          <w:sz w:val="24"/>
          <w:szCs w:val="24"/>
        </w:rPr>
        <w:t>26</w:t>
      </w:r>
      <w:r w:rsidRPr="00AA40E7">
        <w:rPr>
          <w:rFonts w:ascii="Times New Roman" w:hAnsi="Times New Roman"/>
          <w:sz w:val="24"/>
          <w:szCs w:val="24"/>
        </w:rPr>
        <w:t xml:space="preserve"> structureel € </w:t>
      </w:r>
      <w:r w:rsidRPr="00AA40E7" w:rsidR="00611437">
        <w:rPr>
          <w:rFonts w:ascii="Times New Roman" w:hAnsi="Times New Roman"/>
          <w:sz w:val="24"/>
          <w:szCs w:val="24"/>
        </w:rPr>
        <w:t>4,1</w:t>
      </w:r>
      <w:r w:rsidRPr="00AA40E7">
        <w:rPr>
          <w:rFonts w:ascii="Times New Roman" w:hAnsi="Times New Roman"/>
          <w:sz w:val="24"/>
          <w:szCs w:val="24"/>
        </w:rPr>
        <w:t xml:space="preserve"> mln. benodigd en in 2024 € 3,1 mln. Bij formatieve uitbreidingen is voor 2024 rekening gehouden dat deze pas in het tweede helft van het jaar ingevuld zullen worden. </w:t>
      </w:r>
    </w:p>
    <w:p w:rsidRPr="00AA40E7" w:rsidR="000F5A34" w:rsidP="000F5A34" w:rsidRDefault="000F5A34" w14:paraId="79C8DC6B" w14:textId="77777777">
      <w:pPr>
        <w:pStyle w:val="Lijstalinea"/>
        <w:spacing w:line="240" w:lineRule="atLeast"/>
        <w:rPr>
          <w:rFonts w:ascii="Times New Roman" w:hAnsi="Times New Roman"/>
          <w:sz w:val="24"/>
          <w:szCs w:val="24"/>
        </w:rPr>
      </w:pPr>
    </w:p>
    <w:p w:rsidRPr="00AA40E7" w:rsidR="000F5A34" w:rsidP="000F5A34" w:rsidRDefault="000F5A34" w14:paraId="29BCE14B" w14:textId="77777777">
      <w:pPr>
        <w:pStyle w:val="Lijstalinea"/>
        <w:spacing w:line="240" w:lineRule="atLeast"/>
        <w:rPr>
          <w:rFonts w:ascii="Times New Roman" w:hAnsi="Times New Roman"/>
          <w:sz w:val="24"/>
          <w:szCs w:val="24"/>
        </w:rPr>
      </w:pPr>
      <w:r w:rsidRPr="00AA40E7">
        <w:rPr>
          <w:rFonts w:ascii="Times New Roman" w:hAnsi="Times New Roman"/>
          <w:sz w:val="24"/>
          <w:szCs w:val="24"/>
        </w:rPr>
        <w:t>Er is enerzijds behoefte aan structurele uitbreiding van een deel van de inkoop/aanbestedingen werkzaamheden en fiscale werkzaamheden (2024 € 0,146 mln. en 2025 0,243) anderzijds is er een stijging in overige personele kosten zoals woon-werkverkeer, invulling Participatiewet en de kosten van o.a. O&amp;P Rijk (€ 0,78 mln.). Voor de archiefbewerking is voor 2024 en 2025 ca € 0,2 mln. benodigd. Incidenteel is in 2025 doorontwikkeling toekomstbestendigheid van de facilitaire dienst ca € 0,1 mln. nodig.</w:t>
      </w:r>
    </w:p>
    <w:p w:rsidRPr="00AA40E7" w:rsidR="000F5A34" w:rsidP="000F5A34" w:rsidRDefault="000F5A34" w14:paraId="72E0716F" w14:textId="77777777">
      <w:pPr>
        <w:pStyle w:val="Lijstalinea"/>
        <w:spacing w:line="240" w:lineRule="atLeast"/>
        <w:rPr>
          <w:rFonts w:ascii="Times New Roman" w:hAnsi="Times New Roman"/>
          <w:sz w:val="24"/>
          <w:szCs w:val="24"/>
        </w:rPr>
      </w:pPr>
    </w:p>
    <w:p w:rsidRPr="00AA40E7" w:rsidR="000F5A34" w:rsidP="000F5A34" w:rsidRDefault="000F5A34" w14:paraId="4E1BCDCA" w14:textId="0758C093">
      <w:pPr>
        <w:pStyle w:val="Lijstalinea"/>
        <w:spacing w:line="240" w:lineRule="atLeast"/>
        <w:rPr>
          <w:rFonts w:ascii="Times New Roman" w:hAnsi="Times New Roman"/>
          <w:b/>
          <w:sz w:val="24"/>
          <w:szCs w:val="24"/>
        </w:rPr>
      </w:pPr>
      <w:r w:rsidRPr="00AA40E7">
        <w:rPr>
          <w:rFonts w:ascii="Times New Roman" w:hAnsi="Times New Roman"/>
          <w:sz w:val="24"/>
          <w:szCs w:val="24"/>
        </w:rPr>
        <w:t>Om de verdere professionalisering van onze dienstverlening te realiseren en om aan de hedendaagse kwaliteitseisen te voldoen zijn formatie-uitbreidingen noodzakelijk. Daarnaast doen fracties ook een steeds groter beroep op de diensten. Bij DIA-teams gaat het om totaal 17 fte (2024 € 1,405 mln. en 2025 € 1,968 mln.). Hiervan heeft het Presidium in 2021 reeds goedkeuring gegeven voor uitbreiding van 7 fte (€ 0,842 mln.) ten behoeve van het Verbeteren Informatiehuishouding Tweede Kamer. De overige uitbreiding van de DIA heeft te maken met de reorganisatie van de dienst. Bij het CIO-office is 4 fte (2024 € 0,249 mln. en 2025 € 0,498) benodigd. De dienst automatisering heeft een uitbreiding van 3 fte (2024 € 0,185 mln. en 2025 € 0,369), in verband met het uitbreiden van het automatiserings-productassortiment, verbetering van telefooncentrale en meer benodigde tijd in het afhandelen van verzoeken inzake de Wet Open Overheid en Beveiliging. Bij de Stafdienst Financieel Economische Zaken is 2 fte benodigd voor het onderdeel Inkoop en het reisbureau (2024 € 0,173 mln. en 2025 € 0,247 mln.).</w:t>
      </w:r>
    </w:p>
    <w:p w:rsidRPr="00AA40E7" w:rsidR="000F5A34" w:rsidP="000F5A34" w:rsidRDefault="000F5A34" w14:paraId="1BB2AC88" w14:textId="77777777">
      <w:pPr>
        <w:pStyle w:val="Lijstalinea"/>
        <w:spacing w:line="240" w:lineRule="atLeast"/>
        <w:rPr>
          <w:rFonts w:ascii="Times New Roman" w:hAnsi="Times New Roman"/>
          <w:sz w:val="24"/>
          <w:szCs w:val="24"/>
        </w:rPr>
      </w:pPr>
    </w:p>
    <w:p w:rsidRPr="00AA40E7" w:rsidR="000F5A34" w:rsidP="000F5A34" w:rsidRDefault="000F5A34" w14:paraId="30919155" w14:textId="77777777">
      <w:pPr>
        <w:pStyle w:val="Lijstalinea"/>
        <w:numPr>
          <w:ilvl w:val="0"/>
          <w:numId w:val="13"/>
        </w:numPr>
        <w:spacing w:line="240" w:lineRule="atLeast"/>
        <w:rPr>
          <w:rFonts w:ascii="Times New Roman" w:hAnsi="Times New Roman"/>
          <w:i/>
          <w:sz w:val="24"/>
          <w:szCs w:val="24"/>
        </w:rPr>
      </w:pPr>
      <w:r w:rsidRPr="00AA40E7">
        <w:rPr>
          <w:rFonts w:ascii="Times New Roman" w:hAnsi="Times New Roman"/>
          <w:i/>
          <w:sz w:val="24"/>
          <w:szCs w:val="24"/>
        </w:rPr>
        <w:t>IV-jaarplan</w:t>
      </w:r>
    </w:p>
    <w:p w:rsidRPr="00AA40E7" w:rsidR="000F5A34" w:rsidP="000F5A34" w:rsidRDefault="000F5A34" w14:paraId="5B813EFF" w14:textId="77777777">
      <w:pPr>
        <w:pStyle w:val="Lijstalinea"/>
        <w:spacing w:line="240" w:lineRule="atLeast"/>
        <w:rPr>
          <w:rFonts w:ascii="Times New Roman" w:hAnsi="Times New Roman"/>
          <w:sz w:val="24"/>
          <w:szCs w:val="24"/>
        </w:rPr>
      </w:pPr>
      <w:r w:rsidRPr="00AA40E7">
        <w:rPr>
          <w:rFonts w:ascii="Times New Roman" w:hAnsi="Times New Roman"/>
          <w:sz w:val="24"/>
          <w:szCs w:val="24"/>
        </w:rPr>
        <w:t>In het IV-jaarplan zijn IV-initiatieven (projecten, lijnactiviteiten en onderzoeken) opgenomen die op basis van prioritering tot uitvoer gaan komen. Hiervoor is structureel € 1,0 mln. nodig.</w:t>
      </w:r>
    </w:p>
    <w:p w:rsidRPr="00AA40E7" w:rsidR="000F5A34" w:rsidP="000F5A34" w:rsidRDefault="000F5A34" w14:paraId="085AA3AB" w14:textId="77777777">
      <w:pPr>
        <w:pStyle w:val="Lijstalinea"/>
        <w:spacing w:line="240" w:lineRule="atLeast"/>
        <w:rPr>
          <w:rFonts w:ascii="Times New Roman" w:hAnsi="Times New Roman"/>
          <w:sz w:val="24"/>
          <w:szCs w:val="24"/>
        </w:rPr>
      </w:pPr>
    </w:p>
    <w:p w:rsidRPr="00AA40E7" w:rsidR="000F5A34" w:rsidP="000F5A34" w:rsidRDefault="000F5A34" w14:paraId="1845813C" w14:textId="77777777">
      <w:pPr>
        <w:pStyle w:val="Lijstalinea"/>
        <w:numPr>
          <w:ilvl w:val="0"/>
          <w:numId w:val="13"/>
        </w:numPr>
        <w:spacing w:line="240" w:lineRule="atLeast"/>
        <w:rPr>
          <w:rFonts w:ascii="Times New Roman" w:hAnsi="Times New Roman"/>
          <w:i/>
          <w:sz w:val="24"/>
          <w:szCs w:val="24"/>
        </w:rPr>
      </w:pPr>
      <w:r w:rsidRPr="00AA40E7">
        <w:rPr>
          <w:rFonts w:ascii="Times New Roman" w:hAnsi="Times New Roman"/>
          <w:i/>
          <w:sz w:val="24"/>
          <w:szCs w:val="24"/>
        </w:rPr>
        <w:t>Aanpassing lopende contracten</w:t>
      </w:r>
    </w:p>
    <w:p w:rsidRPr="00AA40E7" w:rsidR="000F5A34" w:rsidP="000F5A34" w:rsidRDefault="000F5A34" w14:paraId="3D7B916C" w14:textId="197EB045">
      <w:pPr>
        <w:pStyle w:val="Lijstalinea"/>
        <w:spacing w:line="240" w:lineRule="atLeast"/>
        <w:rPr>
          <w:rFonts w:ascii="Times New Roman" w:hAnsi="Times New Roman"/>
          <w:b/>
          <w:sz w:val="24"/>
          <w:szCs w:val="24"/>
        </w:rPr>
      </w:pPr>
      <w:r w:rsidRPr="00AA40E7">
        <w:rPr>
          <w:rFonts w:ascii="Times New Roman" w:hAnsi="Times New Roman"/>
          <w:sz w:val="24"/>
          <w:szCs w:val="24"/>
        </w:rPr>
        <w:t xml:space="preserve">Door de uitbreiding van de Kamerorganisatie zijn enkele contracten aangepast om beter aan de nieuwe behoeftes van de Kamer te kunnen voldoen. Het gaat hierom eenmalige verhoging in 2024 van ca € 2,2 </w:t>
      </w:r>
      <w:r w:rsidRPr="00AA40E7" w:rsidR="00BF0A1B">
        <w:rPr>
          <w:rFonts w:ascii="Times New Roman" w:hAnsi="Times New Roman"/>
          <w:sz w:val="24"/>
          <w:szCs w:val="24"/>
        </w:rPr>
        <w:t>mln.</w:t>
      </w:r>
      <w:r w:rsidRPr="00AA40E7">
        <w:rPr>
          <w:rFonts w:ascii="Times New Roman" w:hAnsi="Times New Roman"/>
          <w:sz w:val="24"/>
          <w:szCs w:val="24"/>
        </w:rPr>
        <w:t xml:space="preserve"> Vanaf 2025 is structureel een bedrag nodig van € 0,74 mln. Het gaat met name om contracten met betrekking tot onderhoud en beheer op ICT-gebied en uitbreidingen van licenties. </w:t>
      </w:r>
    </w:p>
    <w:p w:rsidRPr="00AA40E7" w:rsidR="002E5B0F" w:rsidP="00654798" w:rsidRDefault="002E5B0F" w14:paraId="426129CC" w14:textId="3CACB6EC">
      <w:pPr>
        <w:spacing w:line="240" w:lineRule="atLeast"/>
        <w:rPr>
          <w:rFonts w:ascii="Times New Roman" w:hAnsi="Times New Roman"/>
          <w:sz w:val="24"/>
          <w:szCs w:val="24"/>
          <w:highlight w:val="yellow"/>
        </w:rPr>
      </w:pPr>
    </w:p>
    <w:p w:rsidRPr="00AA40E7" w:rsidR="002E5B0F" w:rsidP="00654798" w:rsidRDefault="51825749" w14:paraId="48F24A7C" w14:textId="6C42D601">
      <w:pPr>
        <w:spacing w:line="240" w:lineRule="atLeast"/>
        <w:rPr>
          <w:rFonts w:ascii="Times New Roman" w:hAnsi="Times New Roman"/>
          <w:sz w:val="24"/>
          <w:szCs w:val="24"/>
        </w:rPr>
      </w:pPr>
      <w:r w:rsidRPr="00AA40E7">
        <w:rPr>
          <w:rFonts w:ascii="Times New Roman" w:hAnsi="Times New Roman"/>
          <w:sz w:val="24"/>
          <w:szCs w:val="24"/>
        </w:rPr>
        <w:t>Artikel</w:t>
      </w:r>
      <w:r w:rsidRPr="00AA40E7" w:rsidR="007767CC">
        <w:rPr>
          <w:rFonts w:ascii="Times New Roman" w:hAnsi="Times New Roman"/>
          <w:sz w:val="24"/>
          <w:szCs w:val="24"/>
        </w:rPr>
        <w:t xml:space="preserve">onderdeel </w:t>
      </w:r>
      <w:r w:rsidRPr="00AA40E7">
        <w:rPr>
          <w:rFonts w:ascii="Times New Roman" w:hAnsi="Times New Roman"/>
          <w:sz w:val="24"/>
          <w:szCs w:val="24"/>
        </w:rPr>
        <w:t>3.4: Fractiekosten</w:t>
      </w:r>
    </w:p>
    <w:p w:rsidRPr="00AA40E7" w:rsidR="00536A7B" w:rsidP="00654798" w:rsidRDefault="00CF5204" w14:paraId="1EA40978" w14:textId="10379CF1">
      <w:pPr>
        <w:spacing w:line="240" w:lineRule="atLeast"/>
        <w:rPr>
          <w:rFonts w:ascii="Times New Roman" w:hAnsi="Times New Roman"/>
          <w:sz w:val="24"/>
          <w:szCs w:val="24"/>
        </w:rPr>
      </w:pPr>
      <w:r w:rsidRPr="00AA40E7">
        <w:rPr>
          <w:rFonts w:ascii="Times New Roman" w:hAnsi="Times New Roman"/>
          <w:sz w:val="24"/>
          <w:szCs w:val="24"/>
        </w:rPr>
        <w:t>De stijging van de fractiekosten komt voort uit de Verkiezingen van 22 november 2023. Volgens de regeling voor financiële ondersteuning van fracties Tweede Kamer hebben krimpende fracties recht op één jaar doorbetaling van de oude maandelijkse bijdragen</w:t>
      </w:r>
      <w:r w:rsidRPr="00AA40E7" w:rsidR="00536A7B">
        <w:rPr>
          <w:rFonts w:ascii="Times New Roman" w:hAnsi="Times New Roman"/>
          <w:sz w:val="24"/>
          <w:szCs w:val="24"/>
        </w:rPr>
        <w:t xml:space="preserve"> (schokdemping)</w:t>
      </w:r>
      <w:r w:rsidRPr="00AA40E7" w:rsidR="008977A6">
        <w:rPr>
          <w:rFonts w:ascii="Times New Roman" w:hAnsi="Times New Roman"/>
          <w:sz w:val="24"/>
          <w:szCs w:val="24"/>
        </w:rPr>
        <w:t>.</w:t>
      </w:r>
      <w:r w:rsidRPr="00AA40E7">
        <w:rPr>
          <w:rFonts w:ascii="Times New Roman" w:hAnsi="Times New Roman"/>
          <w:sz w:val="24"/>
          <w:szCs w:val="24"/>
        </w:rPr>
        <w:t xml:space="preserve"> </w:t>
      </w:r>
      <w:r w:rsidRPr="00AA40E7" w:rsidR="008977A6">
        <w:rPr>
          <w:rFonts w:ascii="Times New Roman" w:hAnsi="Times New Roman"/>
          <w:sz w:val="24"/>
          <w:szCs w:val="24"/>
        </w:rPr>
        <w:t>D</w:t>
      </w:r>
      <w:r w:rsidRPr="00AA40E7">
        <w:rPr>
          <w:rFonts w:ascii="Times New Roman" w:hAnsi="Times New Roman"/>
          <w:sz w:val="24"/>
          <w:szCs w:val="24"/>
        </w:rPr>
        <w:t xml:space="preserve">it resulteert in een incidentele stijging van </w:t>
      </w:r>
      <w:r w:rsidRPr="00AA40E7" w:rsidR="00690211">
        <w:rPr>
          <w:rFonts w:ascii="Times New Roman" w:hAnsi="Times New Roman"/>
          <w:sz w:val="24"/>
          <w:szCs w:val="24"/>
        </w:rPr>
        <w:t xml:space="preserve">€ </w:t>
      </w:r>
      <w:r w:rsidRPr="00AA40E7">
        <w:rPr>
          <w:rFonts w:ascii="Times New Roman" w:hAnsi="Times New Roman"/>
          <w:sz w:val="24"/>
          <w:szCs w:val="24"/>
        </w:rPr>
        <w:t>11 mln. in 2024.</w:t>
      </w:r>
    </w:p>
    <w:p w:rsidRPr="00AA40E7" w:rsidR="00536A7B" w:rsidP="00654798" w:rsidRDefault="00536A7B" w14:paraId="376ED492" w14:textId="77777777">
      <w:pPr>
        <w:spacing w:line="240" w:lineRule="atLeast"/>
        <w:rPr>
          <w:rFonts w:ascii="Times New Roman" w:hAnsi="Times New Roman"/>
          <w:sz w:val="24"/>
          <w:szCs w:val="24"/>
        </w:rPr>
      </w:pPr>
    </w:p>
    <w:p w:rsidRPr="00AA40E7" w:rsidR="00CF5204" w:rsidP="00654798" w:rsidRDefault="00CF5204" w14:paraId="2285AA66" w14:textId="244F787F">
      <w:pPr>
        <w:spacing w:line="240" w:lineRule="atLeast"/>
        <w:rPr>
          <w:rFonts w:ascii="Times New Roman" w:hAnsi="Times New Roman"/>
          <w:sz w:val="24"/>
          <w:szCs w:val="24"/>
        </w:rPr>
      </w:pPr>
      <w:r w:rsidRPr="00AA40E7">
        <w:rPr>
          <w:rFonts w:ascii="Times New Roman" w:hAnsi="Times New Roman"/>
          <w:sz w:val="24"/>
          <w:szCs w:val="24"/>
        </w:rPr>
        <w:t xml:space="preserve">In de meerjarenbegroting 2025-2026 was al rekening gehouden met </w:t>
      </w:r>
      <w:r w:rsidRPr="00AA40E7" w:rsidR="00536A7B">
        <w:rPr>
          <w:rFonts w:ascii="Times New Roman" w:hAnsi="Times New Roman"/>
          <w:sz w:val="24"/>
          <w:szCs w:val="24"/>
        </w:rPr>
        <w:t xml:space="preserve">het effect aan schokdemping bij reguliere verkiezingen. Dit budget kan naar beneden worden bijgesteld. </w:t>
      </w:r>
    </w:p>
    <w:p w:rsidRPr="00AA40E7" w:rsidR="00752D50" w:rsidP="00654798" w:rsidRDefault="00752D50" w14:paraId="30F5FB9D" w14:textId="78ADFB87">
      <w:pPr>
        <w:spacing w:line="240" w:lineRule="atLeast"/>
        <w:rPr>
          <w:rFonts w:ascii="Times New Roman" w:hAnsi="Times New Roman"/>
          <w:sz w:val="24"/>
          <w:szCs w:val="24"/>
          <w:highlight w:val="yellow"/>
        </w:rPr>
      </w:pPr>
    </w:p>
    <w:p w:rsidRPr="00AA40E7" w:rsidR="00934F6C" w:rsidP="00654798" w:rsidRDefault="51825749" w14:paraId="64790324" w14:textId="7D9A6B46">
      <w:pPr>
        <w:spacing w:line="240" w:lineRule="atLeast"/>
        <w:rPr>
          <w:rFonts w:ascii="Times New Roman" w:hAnsi="Times New Roman"/>
          <w:sz w:val="24"/>
          <w:szCs w:val="24"/>
        </w:rPr>
      </w:pPr>
      <w:r w:rsidRPr="00AA40E7">
        <w:rPr>
          <w:rFonts w:ascii="Times New Roman" w:hAnsi="Times New Roman"/>
          <w:sz w:val="24"/>
          <w:szCs w:val="24"/>
        </w:rPr>
        <w:t>Artikel</w:t>
      </w:r>
      <w:r w:rsidRPr="00AA40E7" w:rsidR="001139B7">
        <w:rPr>
          <w:rFonts w:ascii="Times New Roman" w:hAnsi="Times New Roman"/>
          <w:sz w:val="24"/>
          <w:szCs w:val="24"/>
        </w:rPr>
        <w:t>onderdeel</w:t>
      </w:r>
      <w:r w:rsidRPr="00AA40E7">
        <w:rPr>
          <w:rFonts w:ascii="Times New Roman" w:hAnsi="Times New Roman"/>
          <w:sz w:val="24"/>
          <w:szCs w:val="24"/>
        </w:rPr>
        <w:t xml:space="preserve"> 3.6: Parlementaire Enquêtes</w:t>
      </w:r>
    </w:p>
    <w:p w:rsidRPr="00AA40E7" w:rsidR="00137A4B" w:rsidP="00654798" w:rsidRDefault="00137A4B" w14:paraId="56F6FDA6" w14:textId="68ED6807">
      <w:pPr>
        <w:spacing w:line="240" w:lineRule="atLeast"/>
        <w:rPr>
          <w:rFonts w:ascii="Times New Roman" w:hAnsi="Times New Roman"/>
          <w:sz w:val="24"/>
          <w:szCs w:val="24"/>
        </w:rPr>
      </w:pPr>
      <w:r w:rsidRPr="00AA40E7">
        <w:rPr>
          <w:rFonts w:ascii="Times New Roman" w:hAnsi="Times New Roman"/>
          <w:sz w:val="24"/>
          <w:szCs w:val="24"/>
        </w:rPr>
        <w:t>In 2023 is het begrote bedrag</w:t>
      </w:r>
      <w:r w:rsidRPr="00AA40E7" w:rsidR="00793EEA">
        <w:rPr>
          <w:rFonts w:ascii="Times New Roman" w:hAnsi="Times New Roman"/>
          <w:sz w:val="24"/>
          <w:szCs w:val="24"/>
        </w:rPr>
        <w:t xml:space="preserve"> voor de Parlementaire Enquête Fraudebeleid en Dienstverlening niet volledig benut en </w:t>
      </w:r>
      <w:r w:rsidRPr="00AA40E7">
        <w:rPr>
          <w:rFonts w:ascii="Times New Roman" w:hAnsi="Times New Roman"/>
          <w:sz w:val="24"/>
          <w:szCs w:val="24"/>
        </w:rPr>
        <w:t xml:space="preserve">het restant </w:t>
      </w:r>
      <w:r w:rsidRPr="00AA40E7" w:rsidR="00784C9E">
        <w:rPr>
          <w:rFonts w:ascii="Times New Roman" w:hAnsi="Times New Roman"/>
          <w:sz w:val="24"/>
          <w:szCs w:val="24"/>
        </w:rPr>
        <w:t xml:space="preserve">ter hoogte van </w:t>
      </w:r>
      <w:r w:rsidRPr="00AA40E7">
        <w:rPr>
          <w:rFonts w:ascii="Times New Roman" w:hAnsi="Times New Roman"/>
          <w:sz w:val="24"/>
          <w:szCs w:val="24"/>
        </w:rPr>
        <w:t>€ 0,</w:t>
      </w:r>
      <w:r w:rsidRPr="00AA40E7" w:rsidR="00A443D3">
        <w:rPr>
          <w:rFonts w:ascii="Times New Roman" w:hAnsi="Times New Roman"/>
          <w:sz w:val="24"/>
          <w:szCs w:val="24"/>
        </w:rPr>
        <w:t>901</w:t>
      </w:r>
      <w:r w:rsidRPr="00AA40E7">
        <w:rPr>
          <w:rFonts w:ascii="Times New Roman" w:hAnsi="Times New Roman"/>
          <w:sz w:val="24"/>
          <w:szCs w:val="24"/>
        </w:rPr>
        <w:t xml:space="preserve"> mln. </w:t>
      </w:r>
      <w:r w:rsidRPr="00AA40E7" w:rsidR="00784C9E">
        <w:rPr>
          <w:rFonts w:ascii="Times New Roman" w:hAnsi="Times New Roman"/>
          <w:sz w:val="24"/>
          <w:szCs w:val="24"/>
        </w:rPr>
        <w:t xml:space="preserve">wordt </w:t>
      </w:r>
      <w:r w:rsidRPr="00AA40E7">
        <w:rPr>
          <w:rFonts w:ascii="Times New Roman" w:hAnsi="Times New Roman"/>
          <w:sz w:val="24"/>
          <w:szCs w:val="24"/>
        </w:rPr>
        <w:t xml:space="preserve">in 2024 toegevoegd. </w:t>
      </w:r>
    </w:p>
    <w:p w:rsidRPr="00AA40E7" w:rsidR="00137A4B" w:rsidP="00654798" w:rsidRDefault="00137A4B" w14:paraId="038F4026" w14:textId="1441A474">
      <w:pPr>
        <w:spacing w:line="240" w:lineRule="atLeast"/>
        <w:rPr>
          <w:rFonts w:ascii="Times New Roman" w:hAnsi="Times New Roman"/>
          <w:sz w:val="24"/>
          <w:szCs w:val="24"/>
          <w:highlight w:val="yellow"/>
        </w:rPr>
      </w:pPr>
    </w:p>
    <w:p w:rsidRPr="00AA40E7" w:rsidR="00793EEA" w:rsidP="00654798" w:rsidRDefault="00793EEA" w14:paraId="2FA550E7" w14:textId="3E5CD206">
      <w:pPr>
        <w:spacing w:line="240" w:lineRule="atLeast"/>
        <w:rPr>
          <w:rFonts w:ascii="Times New Roman" w:hAnsi="Times New Roman"/>
          <w:sz w:val="24"/>
          <w:szCs w:val="24"/>
        </w:rPr>
      </w:pPr>
      <w:r w:rsidRPr="00AA40E7">
        <w:rPr>
          <w:rFonts w:ascii="Times New Roman" w:hAnsi="Times New Roman"/>
          <w:sz w:val="24"/>
          <w:szCs w:val="24"/>
        </w:rPr>
        <w:t xml:space="preserve">In 2024 zal gestart worden met de Parlementaire Enquête </w:t>
      </w:r>
      <w:r w:rsidRPr="00AA40E7" w:rsidR="00237DD5">
        <w:rPr>
          <w:rFonts w:ascii="Times New Roman" w:hAnsi="Times New Roman"/>
          <w:sz w:val="24"/>
          <w:szCs w:val="24"/>
        </w:rPr>
        <w:t>Corona.</w:t>
      </w:r>
      <w:r w:rsidRPr="00AA40E7" w:rsidR="0060712C">
        <w:rPr>
          <w:rFonts w:ascii="Times New Roman" w:hAnsi="Times New Roman"/>
          <w:sz w:val="24"/>
          <w:szCs w:val="24"/>
        </w:rPr>
        <w:t xml:space="preserve"> Hiervoor is </w:t>
      </w:r>
      <w:r w:rsidRPr="00AA40E7" w:rsidR="00784C9E">
        <w:rPr>
          <w:rFonts w:ascii="Times New Roman" w:hAnsi="Times New Roman"/>
          <w:sz w:val="24"/>
          <w:szCs w:val="24"/>
        </w:rPr>
        <w:t xml:space="preserve">in </w:t>
      </w:r>
      <w:r w:rsidRPr="00AA40E7" w:rsidR="001E5FC7">
        <w:rPr>
          <w:rFonts w:ascii="Times New Roman" w:hAnsi="Times New Roman"/>
          <w:sz w:val="24"/>
          <w:szCs w:val="24"/>
        </w:rPr>
        <w:t xml:space="preserve">totaal </w:t>
      </w:r>
      <w:r w:rsidRPr="00AA40E7" w:rsidR="0060712C">
        <w:rPr>
          <w:rFonts w:ascii="Times New Roman" w:hAnsi="Times New Roman"/>
          <w:sz w:val="24"/>
          <w:szCs w:val="24"/>
        </w:rPr>
        <w:t>€ 6,9 mln. aan</w:t>
      </w:r>
      <w:r w:rsidRPr="00AA40E7" w:rsidR="00237DD5">
        <w:rPr>
          <w:rFonts w:ascii="Times New Roman" w:hAnsi="Times New Roman"/>
          <w:sz w:val="24"/>
          <w:szCs w:val="24"/>
        </w:rPr>
        <w:t xml:space="preserve"> budget benodigd</w:t>
      </w:r>
      <w:r w:rsidRPr="00AA40E7" w:rsidR="0060712C">
        <w:rPr>
          <w:rFonts w:ascii="Times New Roman" w:hAnsi="Times New Roman"/>
          <w:sz w:val="24"/>
          <w:szCs w:val="24"/>
        </w:rPr>
        <w:t>,</w:t>
      </w:r>
      <w:r w:rsidRPr="00AA40E7" w:rsidR="00237DD5">
        <w:rPr>
          <w:rFonts w:ascii="Times New Roman" w:hAnsi="Times New Roman"/>
          <w:sz w:val="24"/>
          <w:szCs w:val="24"/>
        </w:rPr>
        <w:t xml:space="preserve"> </w:t>
      </w:r>
      <w:r w:rsidRPr="00AA40E7">
        <w:rPr>
          <w:rFonts w:ascii="Times New Roman" w:hAnsi="Times New Roman"/>
          <w:sz w:val="24"/>
          <w:szCs w:val="24"/>
        </w:rPr>
        <w:t>i</w:t>
      </w:r>
      <w:r w:rsidRPr="00AA40E7" w:rsidR="0060712C">
        <w:rPr>
          <w:rFonts w:ascii="Times New Roman" w:hAnsi="Times New Roman"/>
          <w:sz w:val="24"/>
          <w:szCs w:val="24"/>
        </w:rPr>
        <w:t xml:space="preserve">n 2024 € 2,5 </w:t>
      </w:r>
      <w:r w:rsidRPr="00AA40E7" w:rsidR="00BF0A1B">
        <w:rPr>
          <w:rFonts w:ascii="Times New Roman" w:hAnsi="Times New Roman"/>
          <w:sz w:val="24"/>
          <w:szCs w:val="24"/>
        </w:rPr>
        <w:t>mln.,</w:t>
      </w:r>
      <w:r w:rsidRPr="00AA40E7" w:rsidR="00784C9E">
        <w:rPr>
          <w:rFonts w:ascii="Times New Roman" w:hAnsi="Times New Roman"/>
          <w:sz w:val="24"/>
          <w:szCs w:val="24"/>
        </w:rPr>
        <w:t xml:space="preserve"> </w:t>
      </w:r>
      <w:r w:rsidRPr="00AA40E7" w:rsidR="0060712C">
        <w:rPr>
          <w:rFonts w:ascii="Times New Roman" w:hAnsi="Times New Roman"/>
          <w:sz w:val="24"/>
          <w:szCs w:val="24"/>
        </w:rPr>
        <w:t>2025 € 2,7</w:t>
      </w:r>
      <w:r w:rsidRPr="00AA40E7">
        <w:rPr>
          <w:rFonts w:ascii="Times New Roman" w:hAnsi="Times New Roman"/>
          <w:sz w:val="24"/>
          <w:szCs w:val="24"/>
        </w:rPr>
        <w:t xml:space="preserve"> ml</w:t>
      </w:r>
      <w:r w:rsidRPr="00AA40E7" w:rsidR="0060712C">
        <w:rPr>
          <w:rFonts w:ascii="Times New Roman" w:hAnsi="Times New Roman"/>
          <w:sz w:val="24"/>
          <w:szCs w:val="24"/>
        </w:rPr>
        <w:t xml:space="preserve">n. en in 2026 € 1,7 </w:t>
      </w:r>
      <w:r w:rsidRPr="00AA40E7" w:rsidR="00BF0A1B">
        <w:rPr>
          <w:rFonts w:ascii="Times New Roman" w:hAnsi="Times New Roman"/>
          <w:sz w:val="24"/>
          <w:szCs w:val="24"/>
        </w:rPr>
        <w:t>mln.</w:t>
      </w:r>
      <w:r w:rsidRPr="00AA40E7">
        <w:rPr>
          <w:rFonts w:ascii="Times New Roman" w:hAnsi="Times New Roman"/>
          <w:sz w:val="24"/>
          <w:szCs w:val="24"/>
        </w:rPr>
        <w:t xml:space="preserve"> </w:t>
      </w:r>
    </w:p>
    <w:p w:rsidRPr="00AA40E7" w:rsidR="00B80117" w:rsidP="00654798" w:rsidRDefault="00B80117" w14:paraId="61D6E6ED" w14:textId="77777777">
      <w:pPr>
        <w:spacing w:line="240" w:lineRule="atLeast"/>
        <w:rPr>
          <w:rFonts w:ascii="Times New Roman" w:hAnsi="Times New Roman"/>
          <w:sz w:val="24"/>
          <w:szCs w:val="24"/>
        </w:rPr>
      </w:pPr>
    </w:p>
    <w:p w:rsidRPr="00AA40E7" w:rsidR="00095415" w:rsidP="00654798" w:rsidRDefault="51825749" w14:paraId="66265786" w14:textId="1786B1DA">
      <w:pPr>
        <w:tabs>
          <w:tab w:val="left" w:pos="6795"/>
        </w:tabs>
        <w:spacing w:line="240" w:lineRule="atLeast"/>
        <w:rPr>
          <w:rFonts w:ascii="Times New Roman" w:hAnsi="Times New Roman"/>
          <w:sz w:val="24"/>
          <w:szCs w:val="24"/>
        </w:rPr>
      </w:pPr>
      <w:r w:rsidRPr="00AA40E7">
        <w:rPr>
          <w:rFonts w:ascii="Times New Roman" w:hAnsi="Times New Roman"/>
          <w:sz w:val="24"/>
          <w:szCs w:val="24"/>
        </w:rPr>
        <w:t>Artikel 3: Ontvangsten</w:t>
      </w:r>
      <w:r w:rsidRPr="00AA40E7" w:rsidR="00793EEA">
        <w:rPr>
          <w:rFonts w:ascii="Times New Roman" w:hAnsi="Times New Roman"/>
          <w:sz w:val="24"/>
          <w:szCs w:val="24"/>
        </w:rPr>
        <w:tab/>
      </w:r>
    </w:p>
    <w:p w:rsidRPr="00AA40E7" w:rsidR="00AD7E71" w:rsidP="00654798" w:rsidRDefault="00CD3D8D" w14:paraId="755924EA" w14:textId="77777777">
      <w:pPr>
        <w:spacing w:line="240" w:lineRule="atLeast"/>
        <w:rPr>
          <w:rFonts w:ascii="Times New Roman" w:hAnsi="Times New Roman"/>
          <w:sz w:val="24"/>
          <w:szCs w:val="24"/>
        </w:rPr>
      </w:pPr>
      <w:r w:rsidRPr="00AA40E7">
        <w:rPr>
          <w:rFonts w:ascii="Times New Roman" w:hAnsi="Times New Roman"/>
          <w:sz w:val="24"/>
          <w:szCs w:val="24"/>
        </w:rPr>
        <w:t xml:space="preserve">De Tweede Kamer begroot meerjarig ontvangsten. Deze ontvangsten hebben betrekking op de omzet van het Restaurantbedrijf, doorbelastingen aan derden en inhoudingen op lonen en salaris en ontvangsten voor zwangerschap- en bevallingsuitkeringen. </w:t>
      </w:r>
    </w:p>
    <w:p w:rsidRPr="00AA40E7" w:rsidR="00AD7E71" w:rsidP="00654798" w:rsidRDefault="00AD7E71" w14:paraId="4ECEAB2E" w14:textId="77777777">
      <w:pPr>
        <w:spacing w:line="240" w:lineRule="atLeast"/>
        <w:rPr>
          <w:rFonts w:ascii="Times New Roman" w:hAnsi="Times New Roman"/>
          <w:sz w:val="24"/>
          <w:szCs w:val="24"/>
        </w:rPr>
      </w:pPr>
    </w:p>
    <w:p w:rsidRPr="00AA40E7" w:rsidR="00CD3D8D" w:rsidP="00654798" w:rsidRDefault="00CD3D8D" w14:paraId="0F63D0BE" w14:textId="5DD85200">
      <w:pPr>
        <w:spacing w:line="240" w:lineRule="atLeast"/>
        <w:rPr>
          <w:rFonts w:ascii="Times New Roman" w:hAnsi="Times New Roman"/>
          <w:sz w:val="24"/>
          <w:szCs w:val="24"/>
        </w:rPr>
      </w:pPr>
      <w:r w:rsidRPr="00AA40E7">
        <w:rPr>
          <w:rFonts w:ascii="Times New Roman" w:hAnsi="Times New Roman"/>
          <w:sz w:val="24"/>
          <w:szCs w:val="24"/>
        </w:rPr>
        <w:t>Incidenteel heeft de Kamer extra ontvangsten van fracties als blijkt dat hun egalisatiereserve het maximum heeft bereikt. Conform de fractiekostenregeling wordt bij een overschrijding het verschil door de stichting terugbetaald aan de Tweede Kamer.</w:t>
      </w:r>
      <w:r w:rsidRPr="00AA40E7" w:rsidR="00AC70B3">
        <w:rPr>
          <w:rFonts w:ascii="Times New Roman" w:hAnsi="Times New Roman"/>
          <w:sz w:val="24"/>
          <w:szCs w:val="24"/>
        </w:rPr>
        <w:t xml:space="preserve"> </w:t>
      </w:r>
      <w:r w:rsidRPr="00AA40E7" w:rsidR="00172F87">
        <w:rPr>
          <w:rFonts w:ascii="Times New Roman" w:hAnsi="Times New Roman"/>
          <w:sz w:val="24"/>
          <w:szCs w:val="24"/>
        </w:rPr>
        <w:t>In 2024</w:t>
      </w:r>
      <w:r w:rsidRPr="00AA40E7">
        <w:rPr>
          <w:rFonts w:ascii="Times New Roman" w:hAnsi="Times New Roman"/>
          <w:sz w:val="24"/>
          <w:szCs w:val="24"/>
        </w:rPr>
        <w:t xml:space="preserve"> worden de</w:t>
      </w:r>
      <w:r w:rsidRPr="00AA40E7" w:rsidR="00172F87">
        <w:rPr>
          <w:rFonts w:ascii="Times New Roman" w:hAnsi="Times New Roman"/>
          <w:sz w:val="24"/>
          <w:szCs w:val="24"/>
        </w:rPr>
        <w:t xml:space="preserve"> ontvangsten opgehoogd met € 4,5</w:t>
      </w:r>
      <w:r w:rsidRPr="00AA40E7">
        <w:rPr>
          <w:rFonts w:ascii="Times New Roman" w:hAnsi="Times New Roman"/>
          <w:sz w:val="24"/>
          <w:szCs w:val="24"/>
        </w:rPr>
        <w:t xml:space="preserve"> mln. (hogere ontvangsten vanuit de fractiekostenregeling).</w:t>
      </w:r>
    </w:p>
    <w:p w:rsidRPr="00AA40E7" w:rsidR="00044CEB" w:rsidP="00654798" w:rsidRDefault="00044CEB" w14:paraId="04644A74" w14:textId="77777777">
      <w:pPr>
        <w:spacing w:line="240" w:lineRule="atLeast"/>
        <w:rPr>
          <w:rFonts w:ascii="Times New Roman" w:hAnsi="Times New Roman"/>
          <w:sz w:val="24"/>
          <w:szCs w:val="24"/>
        </w:rPr>
      </w:pPr>
    </w:p>
    <w:p w:rsidRPr="00AA40E7" w:rsidR="00AE25CB" w:rsidP="00654798" w:rsidRDefault="51825749" w14:paraId="1689070E" w14:textId="77777777">
      <w:pPr>
        <w:widowControl w:val="0"/>
        <w:tabs>
          <w:tab w:val="left" w:pos="2268"/>
        </w:tabs>
        <w:autoSpaceDE w:val="0"/>
        <w:autoSpaceDN w:val="0"/>
        <w:adjustRightInd w:val="0"/>
        <w:spacing w:line="240" w:lineRule="atLeast"/>
        <w:outlineLvl w:val="0"/>
        <w:rPr>
          <w:rFonts w:ascii="Times New Roman" w:hAnsi="Times New Roman"/>
          <w:b/>
          <w:bCs/>
          <w:sz w:val="24"/>
          <w:szCs w:val="24"/>
          <w:u w:val="single"/>
        </w:rPr>
      </w:pPr>
      <w:r w:rsidRPr="00AA40E7">
        <w:rPr>
          <w:rFonts w:ascii="Times New Roman" w:hAnsi="Times New Roman"/>
          <w:b/>
          <w:bCs/>
          <w:sz w:val="24"/>
          <w:szCs w:val="24"/>
        </w:rPr>
        <w:t xml:space="preserve">4. </w:t>
      </w:r>
      <w:r w:rsidRPr="00AA40E7">
        <w:rPr>
          <w:rFonts w:ascii="Times New Roman" w:hAnsi="Times New Roman"/>
          <w:b/>
          <w:bCs/>
          <w:sz w:val="24"/>
          <w:szCs w:val="24"/>
          <w:u w:val="single"/>
        </w:rPr>
        <w:t xml:space="preserve">Artikel 4: Wetgeving en controle Eerste en Tweede Kamer </w:t>
      </w:r>
    </w:p>
    <w:p w:rsidRPr="00AA40E7" w:rsidR="00757EB7" w:rsidP="00654798" w:rsidRDefault="51825749" w14:paraId="21E05F6E" w14:textId="77777777">
      <w:pPr>
        <w:spacing w:line="240" w:lineRule="atLeast"/>
        <w:ind w:left="284" w:hanging="284"/>
        <w:rPr>
          <w:rFonts w:ascii="Times New Roman" w:hAnsi="Times New Roman"/>
          <w:sz w:val="24"/>
          <w:szCs w:val="24"/>
        </w:rPr>
      </w:pPr>
      <w:r w:rsidRPr="00AA40E7">
        <w:rPr>
          <w:rFonts w:ascii="Times New Roman" w:hAnsi="Times New Roman"/>
          <w:sz w:val="24"/>
          <w:szCs w:val="24"/>
        </w:rPr>
        <w:t xml:space="preserve">Op dit artikel zijn de uitgaven geraamd ten behoeve van gezamenlijke activiteiten van de Eerste en </w:t>
      </w:r>
    </w:p>
    <w:p w:rsidRPr="00AA40E7" w:rsidR="00AE25CB" w:rsidP="00654798" w:rsidRDefault="51825749" w14:paraId="37B9D368" w14:textId="6A77BCE7">
      <w:pPr>
        <w:spacing w:line="240" w:lineRule="atLeast"/>
        <w:ind w:left="284" w:hanging="284"/>
        <w:rPr>
          <w:rFonts w:ascii="Times New Roman" w:hAnsi="Times New Roman"/>
          <w:sz w:val="24"/>
          <w:szCs w:val="24"/>
        </w:rPr>
      </w:pPr>
      <w:r w:rsidRPr="00AA40E7">
        <w:rPr>
          <w:rFonts w:ascii="Times New Roman" w:hAnsi="Times New Roman"/>
          <w:sz w:val="24"/>
          <w:szCs w:val="24"/>
        </w:rPr>
        <w:t>Tweede Kamer, te weten deelname aan activiteiten van interparlementaire organen.</w:t>
      </w:r>
    </w:p>
    <w:p w:rsidRPr="00AA40E7" w:rsidR="00D714F6" w:rsidP="00654798" w:rsidRDefault="00D714F6" w14:paraId="0E96E122" w14:textId="5625DA04">
      <w:pPr>
        <w:spacing w:line="240" w:lineRule="atLeast"/>
        <w:ind w:left="284" w:hanging="284"/>
        <w:rPr>
          <w:rFonts w:ascii="Times New Roman" w:hAnsi="Times New Roman"/>
          <w:sz w:val="24"/>
          <w:szCs w:val="24"/>
        </w:rPr>
      </w:pPr>
    </w:p>
    <w:p w:rsidRPr="00AA40E7" w:rsidR="00D714F6" w:rsidP="00654798" w:rsidRDefault="00D714F6" w14:paraId="0529A3CC" w14:textId="68B04A16">
      <w:pPr>
        <w:spacing w:line="240" w:lineRule="atLeast"/>
        <w:ind w:left="284" w:hanging="284"/>
        <w:rPr>
          <w:rFonts w:ascii="Times New Roman" w:hAnsi="Times New Roman"/>
          <w:sz w:val="24"/>
          <w:szCs w:val="24"/>
        </w:rPr>
      </w:pPr>
      <w:r w:rsidRPr="00AA40E7">
        <w:rPr>
          <w:rFonts w:ascii="Times New Roman" w:hAnsi="Times New Roman"/>
          <w:i/>
          <w:iCs/>
          <w:sz w:val="24"/>
          <w:szCs w:val="24"/>
        </w:rPr>
        <w:t xml:space="preserve">Tabel </w:t>
      </w:r>
      <w:r w:rsidRPr="00AA40E7" w:rsidR="005B35DE">
        <w:rPr>
          <w:rFonts w:ascii="Times New Roman" w:hAnsi="Times New Roman"/>
          <w:i/>
          <w:iCs/>
          <w:sz w:val="24"/>
          <w:szCs w:val="24"/>
        </w:rPr>
        <w:t>5:</w:t>
      </w:r>
      <w:r w:rsidRPr="00AA40E7">
        <w:rPr>
          <w:rFonts w:ascii="Times New Roman" w:hAnsi="Times New Roman"/>
          <w:i/>
          <w:iCs/>
          <w:sz w:val="24"/>
          <w:szCs w:val="24"/>
        </w:rPr>
        <w:t xml:space="preserve"> budgettaire gevolgen van beleid</w:t>
      </w:r>
    </w:p>
    <w:tbl>
      <w:tblPr>
        <w:tblW w:w="8647" w:type="dxa"/>
        <w:tblCellMar>
          <w:left w:w="70" w:type="dxa"/>
          <w:right w:w="70" w:type="dxa"/>
        </w:tblCellMar>
        <w:tblLook w:val="04A0" w:firstRow="1" w:lastRow="0" w:firstColumn="1" w:lastColumn="0" w:noHBand="0" w:noVBand="1"/>
      </w:tblPr>
      <w:tblGrid>
        <w:gridCol w:w="3380"/>
        <w:gridCol w:w="1015"/>
        <w:gridCol w:w="850"/>
        <w:gridCol w:w="851"/>
        <w:gridCol w:w="850"/>
        <w:gridCol w:w="851"/>
        <w:gridCol w:w="850"/>
      </w:tblGrid>
      <w:tr w:rsidRPr="00AA40E7" w:rsidR="00D714F6" w:rsidTr="00D714F6" w14:paraId="258E0775" w14:textId="77777777">
        <w:trPr>
          <w:trHeight w:val="450"/>
        </w:trPr>
        <w:tc>
          <w:tcPr>
            <w:tcW w:w="3380" w:type="dxa"/>
            <w:tcBorders>
              <w:top w:val="nil"/>
              <w:left w:val="nil"/>
              <w:bottom w:val="nil"/>
              <w:right w:val="nil"/>
            </w:tcBorders>
            <w:shd w:val="clear" w:color="000000" w:fill="002060"/>
            <w:vAlign w:val="center"/>
            <w:hideMark/>
          </w:tcPr>
          <w:p w:rsidRPr="00AA40E7" w:rsidR="00D714F6" w:rsidP="00654798" w:rsidRDefault="00D714F6" w14:paraId="71BEEF98" w14:textId="7777777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 xml:space="preserve">Artikel 4: Wetgeving en controle </w:t>
            </w:r>
          </w:p>
        </w:tc>
        <w:tc>
          <w:tcPr>
            <w:tcW w:w="1015" w:type="dxa"/>
            <w:tcBorders>
              <w:top w:val="nil"/>
              <w:left w:val="nil"/>
              <w:bottom w:val="nil"/>
              <w:right w:val="nil"/>
            </w:tcBorders>
            <w:shd w:val="clear" w:color="000000" w:fill="002060"/>
            <w:noWrap/>
            <w:vAlign w:val="center"/>
            <w:hideMark/>
          </w:tcPr>
          <w:p w:rsidRPr="00AA40E7" w:rsidR="00D714F6" w:rsidP="00654798" w:rsidRDefault="00D714F6" w14:paraId="44FA9ACC"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2024</w:t>
            </w:r>
          </w:p>
        </w:tc>
        <w:tc>
          <w:tcPr>
            <w:tcW w:w="850" w:type="dxa"/>
            <w:tcBorders>
              <w:top w:val="nil"/>
              <w:left w:val="nil"/>
              <w:bottom w:val="nil"/>
              <w:right w:val="nil"/>
            </w:tcBorders>
            <w:shd w:val="clear" w:color="000000" w:fill="002060"/>
            <w:noWrap/>
            <w:vAlign w:val="center"/>
            <w:hideMark/>
          </w:tcPr>
          <w:p w:rsidRPr="00AA40E7" w:rsidR="00D714F6" w:rsidP="00654798" w:rsidRDefault="00D714F6" w14:paraId="5D115242"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2025</w:t>
            </w:r>
          </w:p>
        </w:tc>
        <w:tc>
          <w:tcPr>
            <w:tcW w:w="851" w:type="dxa"/>
            <w:tcBorders>
              <w:top w:val="nil"/>
              <w:left w:val="nil"/>
              <w:bottom w:val="nil"/>
              <w:right w:val="nil"/>
            </w:tcBorders>
            <w:shd w:val="clear" w:color="000000" w:fill="002060"/>
            <w:noWrap/>
            <w:vAlign w:val="center"/>
            <w:hideMark/>
          </w:tcPr>
          <w:p w:rsidRPr="00AA40E7" w:rsidR="00D714F6" w:rsidP="00654798" w:rsidRDefault="00D714F6" w14:paraId="7C8D991F"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2026</w:t>
            </w:r>
          </w:p>
        </w:tc>
        <w:tc>
          <w:tcPr>
            <w:tcW w:w="850" w:type="dxa"/>
            <w:tcBorders>
              <w:top w:val="nil"/>
              <w:left w:val="nil"/>
              <w:bottom w:val="nil"/>
              <w:right w:val="nil"/>
            </w:tcBorders>
            <w:shd w:val="clear" w:color="000000" w:fill="002060"/>
            <w:noWrap/>
            <w:vAlign w:val="center"/>
            <w:hideMark/>
          </w:tcPr>
          <w:p w:rsidRPr="00AA40E7" w:rsidR="00D714F6" w:rsidP="00654798" w:rsidRDefault="00D714F6" w14:paraId="5F3830B9"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2027</w:t>
            </w:r>
          </w:p>
        </w:tc>
        <w:tc>
          <w:tcPr>
            <w:tcW w:w="851" w:type="dxa"/>
            <w:tcBorders>
              <w:top w:val="nil"/>
              <w:left w:val="nil"/>
              <w:bottom w:val="nil"/>
              <w:right w:val="nil"/>
            </w:tcBorders>
            <w:shd w:val="clear" w:color="000000" w:fill="002060"/>
            <w:noWrap/>
            <w:vAlign w:val="center"/>
            <w:hideMark/>
          </w:tcPr>
          <w:p w:rsidRPr="00AA40E7" w:rsidR="00D714F6" w:rsidP="00654798" w:rsidRDefault="00D714F6" w14:paraId="09B209CB"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2028</w:t>
            </w:r>
          </w:p>
        </w:tc>
        <w:tc>
          <w:tcPr>
            <w:tcW w:w="850" w:type="dxa"/>
            <w:tcBorders>
              <w:top w:val="nil"/>
              <w:left w:val="nil"/>
              <w:bottom w:val="nil"/>
              <w:right w:val="nil"/>
            </w:tcBorders>
            <w:shd w:val="clear" w:color="000000" w:fill="002060"/>
            <w:vAlign w:val="center"/>
            <w:hideMark/>
          </w:tcPr>
          <w:p w:rsidRPr="00AA40E7" w:rsidR="00D714F6" w:rsidP="00654798" w:rsidRDefault="00D714F6" w14:paraId="0E2E6965"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2029</w:t>
            </w:r>
          </w:p>
        </w:tc>
      </w:tr>
      <w:tr w:rsidRPr="00AA40E7" w:rsidR="00D714F6" w:rsidTr="00D714F6" w14:paraId="7AB8394F" w14:textId="77777777">
        <w:trPr>
          <w:trHeight w:val="300"/>
        </w:trPr>
        <w:tc>
          <w:tcPr>
            <w:tcW w:w="3380" w:type="dxa"/>
            <w:tcBorders>
              <w:top w:val="nil"/>
              <w:left w:val="nil"/>
              <w:bottom w:val="nil"/>
              <w:right w:val="nil"/>
            </w:tcBorders>
            <w:shd w:val="clear" w:color="000000" w:fill="002060"/>
            <w:vAlign w:val="center"/>
            <w:hideMark/>
          </w:tcPr>
          <w:p w:rsidRPr="00AA40E7" w:rsidR="00D714F6" w:rsidP="00654798" w:rsidRDefault="00D714F6" w14:paraId="54C0DD15" w14:textId="7777777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 xml:space="preserve">Eerste en Tweede Kamer </w:t>
            </w:r>
          </w:p>
        </w:tc>
        <w:tc>
          <w:tcPr>
            <w:tcW w:w="1015" w:type="dxa"/>
            <w:tcBorders>
              <w:top w:val="nil"/>
              <w:left w:val="nil"/>
              <w:bottom w:val="nil"/>
              <w:right w:val="nil"/>
            </w:tcBorders>
            <w:shd w:val="clear" w:color="000000" w:fill="002060"/>
            <w:noWrap/>
            <w:vAlign w:val="center"/>
            <w:hideMark/>
          </w:tcPr>
          <w:p w:rsidRPr="00AA40E7" w:rsidR="00D714F6" w:rsidP="00654798" w:rsidRDefault="00D714F6" w14:paraId="05EE56B5"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850" w:type="dxa"/>
            <w:tcBorders>
              <w:top w:val="nil"/>
              <w:left w:val="nil"/>
              <w:bottom w:val="nil"/>
              <w:right w:val="nil"/>
            </w:tcBorders>
            <w:shd w:val="clear" w:color="000000" w:fill="002060"/>
            <w:noWrap/>
            <w:vAlign w:val="center"/>
            <w:hideMark/>
          </w:tcPr>
          <w:p w:rsidRPr="00AA40E7" w:rsidR="00D714F6" w:rsidP="00654798" w:rsidRDefault="00D714F6" w14:paraId="23811CB2"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851" w:type="dxa"/>
            <w:tcBorders>
              <w:top w:val="nil"/>
              <w:left w:val="nil"/>
              <w:bottom w:val="nil"/>
              <w:right w:val="nil"/>
            </w:tcBorders>
            <w:shd w:val="clear" w:color="000000" w:fill="002060"/>
            <w:noWrap/>
            <w:vAlign w:val="center"/>
            <w:hideMark/>
          </w:tcPr>
          <w:p w:rsidRPr="00AA40E7" w:rsidR="00D714F6" w:rsidP="00654798" w:rsidRDefault="00D714F6" w14:paraId="2B36A252"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850" w:type="dxa"/>
            <w:tcBorders>
              <w:top w:val="nil"/>
              <w:left w:val="nil"/>
              <w:bottom w:val="nil"/>
              <w:right w:val="nil"/>
            </w:tcBorders>
            <w:shd w:val="clear" w:color="000000" w:fill="002060"/>
            <w:noWrap/>
            <w:vAlign w:val="center"/>
            <w:hideMark/>
          </w:tcPr>
          <w:p w:rsidRPr="00AA40E7" w:rsidR="00D714F6" w:rsidP="00654798" w:rsidRDefault="00D714F6" w14:paraId="69FDEC78"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851" w:type="dxa"/>
            <w:tcBorders>
              <w:top w:val="nil"/>
              <w:left w:val="nil"/>
              <w:bottom w:val="nil"/>
              <w:right w:val="nil"/>
            </w:tcBorders>
            <w:shd w:val="clear" w:color="000000" w:fill="002060"/>
            <w:noWrap/>
            <w:vAlign w:val="center"/>
            <w:hideMark/>
          </w:tcPr>
          <w:p w:rsidRPr="00AA40E7" w:rsidR="00D714F6" w:rsidP="00654798" w:rsidRDefault="00D714F6" w14:paraId="4D6598C6"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850" w:type="dxa"/>
            <w:tcBorders>
              <w:top w:val="nil"/>
              <w:left w:val="nil"/>
              <w:bottom w:val="nil"/>
              <w:right w:val="nil"/>
            </w:tcBorders>
            <w:shd w:val="clear" w:color="000000" w:fill="002060"/>
            <w:vAlign w:val="center"/>
            <w:hideMark/>
          </w:tcPr>
          <w:p w:rsidRPr="00AA40E7" w:rsidR="00D714F6" w:rsidP="00654798" w:rsidRDefault="00D714F6" w14:paraId="4DA2D452"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r>
      <w:tr w:rsidRPr="00AA40E7" w:rsidR="00D714F6" w:rsidTr="00D714F6" w14:paraId="2F11E147" w14:textId="77777777">
        <w:trPr>
          <w:trHeight w:val="300"/>
        </w:trPr>
        <w:tc>
          <w:tcPr>
            <w:tcW w:w="3380" w:type="dxa"/>
            <w:tcBorders>
              <w:top w:val="nil"/>
              <w:left w:val="nil"/>
              <w:bottom w:val="nil"/>
              <w:right w:val="nil"/>
            </w:tcBorders>
            <w:shd w:val="clear" w:color="000000" w:fill="002060"/>
            <w:vAlign w:val="center"/>
            <w:hideMark/>
          </w:tcPr>
          <w:p w:rsidRPr="00AA40E7" w:rsidR="00D714F6" w:rsidP="00654798" w:rsidRDefault="00D714F6" w14:paraId="087B7EA5" w14:textId="7777777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(in €1 000)</w:t>
            </w:r>
          </w:p>
        </w:tc>
        <w:tc>
          <w:tcPr>
            <w:tcW w:w="1015" w:type="dxa"/>
            <w:tcBorders>
              <w:top w:val="nil"/>
              <w:left w:val="nil"/>
              <w:bottom w:val="nil"/>
              <w:right w:val="nil"/>
            </w:tcBorders>
            <w:shd w:val="clear" w:color="000000" w:fill="002060"/>
            <w:noWrap/>
            <w:vAlign w:val="center"/>
            <w:hideMark/>
          </w:tcPr>
          <w:p w:rsidRPr="00AA40E7" w:rsidR="00D714F6" w:rsidP="00654798" w:rsidRDefault="00D714F6" w14:paraId="04B625A2"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850" w:type="dxa"/>
            <w:tcBorders>
              <w:top w:val="nil"/>
              <w:left w:val="nil"/>
              <w:bottom w:val="nil"/>
              <w:right w:val="nil"/>
            </w:tcBorders>
            <w:shd w:val="clear" w:color="000000" w:fill="002060"/>
            <w:noWrap/>
            <w:vAlign w:val="center"/>
            <w:hideMark/>
          </w:tcPr>
          <w:p w:rsidRPr="00AA40E7" w:rsidR="00D714F6" w:rsidP="00654798" w:rsidRDefault="00D714F6" w14:paraId="5ACE7956"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851" w:type="dxa"/>
            <w:tcBorders>
              <w:top w:val="nil"/>
              <w:left w:val="nil"/>
              <w:bottom w:val="nil"/>
              <w:right w:val="nil"/>
            </w:tcBorders>
            <w:shd w:val="clear" w:color="000000" w:fill="002060"/>
            <w:noWrap/>
            <w:vAlign w:val="center"/>
            <w:hideMark/>
          </w:tcPr>
          <w:p w:rsidRPr="00AA40E7" w:rsidR="00D714F6" w:rsidP="00654798" w:rsidRDefault="00D714F6" w14:paraId="3E11CF01"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850" w:type="dxa"/>
            <w:tcBorders>
              <w:top w:val="nil"/>
              <w:left w:val="nil"/>
              <w:bottom w:val="nil"/>
              <w:right w:val="nil"/>
            </w:tcBorders>
            <w:shd w:val="clear" w:color="000000" w:fill="002060"/>
            <w:noWrap/>
            <w:vAlign w:val="center"/>
            <w:hideMark/>
          </w:tcPr>
          <w:p w:rsidRPr="00AA40E7" w:rsidR="00D714F6" w:rsidP="00654798" w:rsidRDefault="00D714F6" w14:paraId="4C3F2F61"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851" w:type="dxa"/>
            <w:tcBorders>
              <w:top w:val="nil"/>
              <w:left w:val="nil"/>
              <w:bottom w:val="nil"/>
              <w:right w:val="nil"/>
            </w:tcBorders>
            <w:shd w:val="clear" w:color="000000" w:fill="002060"/>
            <w:noWrap/>
            <w:vAlign w:val="center"/>
            <w:hideMark/>
          </w:tcPr>
          <w:p w:rsidRPr="00AA40E7" w:rsidR="00D714F6" w:rsidP="00654798" w:rsidRDefault="00D714F6" w14:paraId="2F098A29"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850" w:type="dxa"/>
            <w:tcBorders>
              <w:top w:val="nil"/>
              <w:left w:val="nil"/>
              <w:bottom w:val="nil"/>
              <w:right w:val="nil"/>
            </w:tcBorders>
            <w:shd w:val="clear" w:color="000000" w:fill="002060"/>
            <w:vAlign w:val="center"/>
            <w:hideMark/>
          </w:tcPr>
          <w:p w:rsidRPr="00AA40E7" w:rsidR="00D714F6" w:rsidP="00654798" w:rsidRDefault="00D714F6" w14:paraId="1C060C48"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r>
      <w:tr w:rsidRPr="00AA40E7" w:rsidR="00DD2B01" w:rsidTr="00D714F6" w14:paraId="24CEA15F" w14:textId="77777777">
        <w:trPr>
          <w:trHeight w:val="300"/>
        </w:trPr>
        <w:tc>
          <w:tcPr>
            <w:tcW w:w="3380" w:type="dxa"/>
            <w:tcBorders>
              <w:top w:val="nil"/>
              <w:left w:val="nil"/>
              <w:bottom w:val="nil"/>
              <w:right w:val="nil"/>
            </w:tcBorders>
            <w:shd w:val="clear" w:color="auto" w:fill="auto"/>
            <w:vAlign w:val="center"/>
            <w:hideMark/>
          </w:tcPr>
          <w:p w:rsidRPr="00AA40E7" w:rsidR="00DD2B01" w:rsidP="00DD2B01" w:rsidRDefault="00DD2B01" w14:paraId="5BFC2055" w14:textId="77777777">
            <w:pPr>
              <w:spacing w:line="240" w:lineRule="atLeast"/>
              <w:rPr>
                <w:rFonts w:ascii="Times New Roman" w:hAnsi="Times New Roman"/>
                <w:b/>
                <w:bCs/>
                <w:color w:val="000000"/>
                <w:sz w:val="24"/>
                <w:szCs w:val="24"/>
              </w:rPr>
            </w:pPr>
            <w:r w:rsidRPr="00AA40E7">
              <w:rPr>
                <w:rFonts w:ascii="Times New Roman" w:hAnsi="Times New Roman"/>
                <w:b/>
                <w:bCs/>
                <w:color w:val="000000"/>
                <w:sz w:val="24"/>
                <w:szCs w:val="24"/>
              </w:rPr>
              <w:t>Verplichtingen</w:t>
            </w:r>
          </w:p>
        </w:tc>
        <w:tc>
          <w:tcPr>
            <w:tcW w:w="1015" w:type="dxa"/>
            <w:tcBorders>
              <w:top w:val="nil"/>
              <w:left w:val="nil"/>
              <w:bottom w:val="nil"/>
              <w:right w:val="nil"/>
            </w:tcBorders>
            <w:shd w:val="clear" w:color="auto" w:fill="auto"/>
            <w:vAlign w:val="center"/>
            <w:hideMark/>
          </w:tcPr>
          <w:p w:rsidRPr="00AA40E7" w:rsidR="00DD2B01" w:rsidP="00DD2B01" w:rsidRDefault="00DD2B01" w14:paraId="727137EA" w14:textId="1BF830E1">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c>
          <w:tcPr>
            <w:tcW w:w="850" w:type="dxa"/>
            <w:tcBorders>
              <w:top w:val="nil"/>
              <w:left w:val="nil"/>
              <w:bottom w:val="nil"/>
              <w:right w:val="nil"/>
            </w:tcBorders>
            <w:shd w:val="clear" w:color="auto" w:fill="auto"/>
            <w:vAlign w:val="center"/>
            <w:hideMark/>
          </w:tcPr>
          <w:p w:rsidRPr="00AA40E7" w:rsidR="00DD2B01" w:rsidP="00DD2B01" w:rsidRDefault="00DD2B01" w14:paraId="7C7B0071" w14:textId="6174CF64">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c>
          <w:tcPr>
            <w:tcW w:w="851" w:type="dxa"/>
            <w:tcBorders>
              <w:top w:val="nil"/>
              <w:left w:val="nil"/>
              <w:bottom w:val="nil"/>
              <w:right w:val="nil"/>
            </w:tcBorders>
            <w:shd w:val="clear" w:color="auto" w:fill="auto"/>
            <w:vAlign w:val="center"/>
            <w:hideMark/>
          </w:tcPr>
          <w:p w:rsidRPr="00AA40E7" w:rsidR="00DD2B01" w:rsidP="00DD2B01" w:rsidRDefault="00DD2B01" w14:paraId="15CCF9BF" w14:textId="4A49739A">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c>
          <w:tcPr>
            <w:tcW w:w="850" w:type="dxa"/>
            <w:tcBorders>
              <w:top w:val="nil"/>
              <w:left w:val="nil"/>
              <w:bottom w:val="nil"/>
              <w:right w:val="nil"/>
            </w:tcBorders>
            <w:shd w:val="clear" w:color="auto" w:fill="auto"/>
            <w:vAlign w:val="center"/>
            <w:hideMark/>
          </w:tcPr>
          <w:p w:rsidRPr="00AA40E7" w:rsidR="00DD2B01" w:rsidP="00DD2B01" w:rsidRDefault="00DD2B01" w14:paraId="7395D040" w14:textId="25D321E2">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c>
          <w:tcPr>
            <w:tcW w:w="851" w:type="dxa"/>
            <w:tcBorders>
              <w:top w:val="nil"/>
              <w:left w:val="nil"/>
              <w:bottom w:val="nil"/>
              <w:right w:val="nil"/>
            </w:tcBorders>
            <w:shd w:val="clear" w:color="auto" w:fill="auto"/>
            <w:vAlign w:val="center"/>
            <w:hideMark/>
          </w:tcPr>
          <w:p w:rsidRPr="00AA40E7" w:rsidR="00DD2B01" w:rsidP="00DD2B01" w:rsidRDefault="00DD2B01" w14:paraId="55632C79" w14:textId="1B24D6D9">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c>
          <w:tcPr>
            <w:tcW w:w="850" w:type="dxa"/>
            <w:tcBorders>
              <w:top w:val="nil"/>
              <w:left w:val="nil"/>
              <w:bottom w:val="nil"/>
              <w:right w:val="nil"/>
            </w:tcBorders>
            <w:shd w:val="clear" w:color="auto" w:fill="auto"/>
            <w:vAlign w:val="center"/>
            <w:hideMark/>
          </w:tcPr>
          <w:p w:rsidRPr="00AA40E7" w:rsidR="00DD2B01" w:rsidP="00DD2B01" w:rsidRDefault="00DD2B01" w14:paraId="58ADF64C" w14:textId="5CBA46A1">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r>
      <w:tr w:rsidRPr="00AA40E7" w:rsidR="00DD2B01" w:rsidTr="00D714F6" w14:paraId="6A621A2E" w14:textId="77777777">
        <w:trPr>
          <w:trHeight w:val="300"/>
        </w:trPr>
        <w:tc>
          <w:tcPr>
            <w:tcW w:w="3380" w:type="dxa"/>
            <w:tcBorders>
              <w:top w:val="nil"/>
              <w:left w:val="nil"/>
              <w:bottom w:val="nil"/>
              <w:right w:val="nil"/>
            </w:tcBorders>
            <w:shd w:val="clear" w:color="auto" w:fill="auto"/>
            <w:vAlign w:val="center"/>
            <w:hideMark/>
          </w:tcPr>
          <w:p w:rsidRPr="00AA40E7" w:rsidR="00DD2B01" w:rsidP="00DD2B01" w:rsidRDefault="00DD2B01" w14:paraId="2611723C" w14:textId="77777777">
            <w:pPr>
              <w:spacing w:line="240" w:lineRule="atLeast"/>
              <w:rPr>
                <w:rFonts w:ascii="Times New Roman" w:hAnsi="Times New Roman"/>
                <w:b/>
                <w:bCs/>
                <w:color w:val="000000"/>
                <w:sz w:val="24"/>
                <w:szCs w:val="24"/>
              </w:rPr>
            </w:pPr>
            <w:r w:rsidRPr="00AA40E7">
              <w:rPr>
                <w:rFonts w:ascii="Times New Roman" w:hAnsi="Times New Roman"/>
                <w:b/>
                <w:bCs/>
                <w:color w:val="000000"/>
                <w:sz w:val="24"/>
                <w:szCs w:val="24"/>
              </w:rPr>
              <w:t>Uitgaven</w:t>
            </w:r>
          </w:p>
        </w:tc>
        <w:tc>
          <w:tcPr>
            <w:tcW w:w="1015" w:type="dxa"/>
            <w:tcBorders>
              <w:top w:val="nil"/>
              <w:left w:val="nil"/>
              <w:bottom w:val="nil"/>
              <w:right w:val="nil"/>
            </w:tcBorders>
            <w:shd w:val="clear" w:color="auto" w:fill="auto"/>
            <w:vAlign w:val="center"/>
            <w:hideMark/>
          </w:tcPr>
          <w:p w:rsidRPr="00AA40E7" w:rsidR="00DD2B01" w:rsidP="00DD2B01" w:rsidRDefault="00DD2B01" w14:paraId="06582E88" w14:textId="03BE22BE">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c>
          <w:tcPr>
            <w:tcW w:w="850" w:type="dxa"/>
            <w:tcBorders>
              <w:top w:val="nil"/>
              <w:left w:val="nil"/>
              <w:bottom w:val="nil"/>
              <w:right w:val="nil"/>
            </w:tcBorders>
            <w:shd w:val="clear" w:color="auto" w:fill="auto"/>
            <w:vAlign w:val="center"/>
            <w:hideMark/>
          </w:tcPr>
          <w:p w:rsidRPr="00AA40E7" w:rsidR="00DD2B01" w:rsidP="00DD2B01" w:rsidRDefault="00DD2B01" w14:paraId="7FFDDCDC" w14:textId="41F73A12">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c>
          <w:tcPr>
            <w:tcW w:w="851" w:type="dxa"/>
            <w:tcBorders>
              <w:top w:val="nil"/>
              <w:left w:val="nil"/>
              <w:bottom w:val="nil"/>
              <w:right w:val="nil"/>
            </w:tcBorders>
            <w:shd w:val="clear" w:color="auto" w:fill="auto"/>
            <w:vAlign w:val="center"/>
            <w:hideMark/>
          </w:tcPr>
          <w:p w:rsidRPr="00AA40E7" w:rsidR="00DD2B01" w:rsidP="00DD2B01" w:rsidRDefault="00DD2B01" w14:paraId="490EF2BC" w14:textId="54BA0972">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c>
          <w:tcPr>
            <w:tcW w:w="850" w:type="dxa"/>
            <w:tcBorders>
              <w:top w:val="nil"/>
              <w:left w:val="nil"/>
              <w:bottom w:val="nil"/>
              <w:right w:val="nil"/>
            </w:tcBorders>
            <w:shd w:val="clear" w:color="auto" w:fill="auto"/>
            <w:vAlign w:val="center"/>
            <w:hideMark/>
          </w:tcPr>
          <w:p w:rsidRPr="00AA40E7" w:rsidR="00DD2B01" w:rsidP="00DD2B01" w:rsidRDefault="00DD2B01" w14:paraId="5D82F83A" w14:textId="7C996E1C">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c>
          <w:tcPr>
            <w:tcW w:w="851" w:type="dxa"/>
            <w:tcBorders>
              <w:top w:val="nil"/>
              <w:left w:val="nil"/>
              <w:bottom w:val="nil"/>
              <w:right w:val="nil"/>
            </w:tcBorders>
            <w:shd w:val="clear" w:color="auto" w:fill="auto"/>
            <w:vAlign w:val="center"/>
            <w:hideMark/>
          </w:tcPr>
          <w:p w:rsidRPr="00AA40E7" w:rsidR="00DD2B01" w:rsidP="00DD2B01" w:rsidRDefault="00DD2B01" w14:paraId="0479B26C" w14:textId="28AD9EB2">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c>
          <w:tcPr>
            <w:tcW w:w="850" w:type="dxa"/>
            <w:tcBorders>
              <w:top w:val="nil"/>
              <w:left w:val="nil"/>
              <w:bottom w:val="nil"/>
              <w:right w:val="nil"/>
            </w:tcBorders>
            <w:shd w:val="clear" w:color="auto" w:fill="auto"/>
            <w:vAlign w:val="center"/>
            <w:hideMark/>
          </w:tcPr>
          <w:p w:rsidRPr="00AA40E7" w:rsidR="00DD2B01" w:rsidP="00DD2B01" w:rsidRDefault="00DD2B01" w14:paraId="4BBE9B8C" w14:textId="51BF376E">
            <w:pPr>
              <w:spacing w:line="240" w:lineRule="atLeast"/>
              <w:jc w:val="right"/>
              <w:rPr>
                <w:rFonts w:ascii="Times New Roman" w:hAnsi="Times New Roman"/>
                <w:b/>
                <w:bCs/>
                <w:color w:val="000000"/>
                <w:sz w:val="24"/>
                <w:szCs w:val="24"/>
              </w:rPr>
            </w:pPr>
            <w:r w:rsidRPr="00AA40E7">
              <w:rPr>
                <w:rFonts w:ascii="Times New Roman" w:hAnsi="Times New Roman"/>
                <w:b/>
                <w:bCs/>
                <w:color w:val="000000"/>
                <w:sz w:val="24"/>
                <w:szCs w:val="24"/>
              </w:rPr>
              <w:t>1.651</w:t>
            </w:r>
          </w:p>
        </w:tc>
      </w:tr>
      <w:tr w:rsidRPr="00AA40E7" w:rsidR="00DD2B01" w:rsidTr="00D714F6" w14:paraId="24073FC0" w14:textId="77777777">
        <w:trPr>
          <w:trHeight w:val="540"/>
        </w:trPr>
        <w:tc>
          <w:tcPr>
            <w:tcW w:w="3380" w:type="dxa"/>
            <w:tcBorders>
              <w:top w:val="nil"/>
              <w:left w:val="nil"/>
              <w:bottom w:val="nil"/>
              <w:right w:val="nil"/>
            </w:tcBorders>
            <w:shd w:val="clear" w:color="auto" w:fill="auto"/>
            <w:vAlign w:val="center"/>
            <w:hideMark/>
          </w:tcPr>
          <w:p w:rsidRPr="00AA40E7" w:rsidR="00DD2B01" w:rsidP="00DD2B01" w:rsidRDefault="00DD2B01" w14:paraId="50934C1F"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3. interparlementaire betrekkingen</w:t>
            </w:r>
          </w:p>
        </w:tc>
        <w:tc>
          <w:tcPr>
            <w:tcW w:w="1015" w:type="dxa"/>
            <w:tcBorders>
              <w:top w:val="nil"/>
              <w:left w:val="nil"/>
              <w:bottom w:val="nil"/>
              <w:right w:val="nil"/>
            </w:tcBorders>
            <w:shd w:val="clear" w:color="auto" w:fill="auto"/>
            <w:vAlign w:val="center"/>
            <w:hideMark/>
          </w:tcPr>
          <w:p w:rsidRPr="00AA40E7" w:rsidR="00DD2B01" w:rsidP="00DD2B01" w:rsidRDefault="00DD2B01" w14:paraId="3DDC334E" w14:textId="32BE7F30">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1.651</w:t>
            </w:r>
          </w:p>
        </w:tc>
        <w:tc>
          <w:tcPr>
            <w:tcW w:w="850" w:type="dxa"/>
            <w:tcBorders>
              <w:top w:val="nil"/>
              <w:left w:val="nil"/>
              <w:bottom w:val="nil"/>
              <w:right w:val="nil"/>
            </w:tcBorders>
            <w:shd w:val="clear" w:color="auto" w:fill="auto"/>
            <w:vAlign w:val="center"/>
            <w:hideMark/>
          </w:tcPr>
          <w:p w:rsidRPr="00AA40E7" w:rsidR="00DD2B01" w:rsidP="00DD2B01" w:rsidRDefault="00DD2B01" w14:paraId="43A8FC58" w14:textId="285BBFB3">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1.651</w:t>
            </w:r>
          </w:p>
        </w:tc>
        <w:tc>
          <w:tcPr>
            <w:tcW w:w="851" w:type="dxa"/>
            <w:tcBorders>
              <w:top w:val="nil"/>
              <w:left w:val="nil"/>
              <w:bottom w:val="nil"/>
              <w:right w:val="nil"/>
            </w:tcBorders>
            <w:shd w:val="clear" w:color="auto" w:fill="auto"/>
            <w:vAlign w:val="center"/>
            <w:hideMark/>
          </w:tcPr>
          <w:p w:rsidRPr="00AA40E7" w:rsidR="00DD2B01" w:rsidP="00DD2B01" w:rsidRDefault="00DD2B01" w14:paraId="44E5A0F9" w14:textId="44A51D70">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1.651</w:t>
            </w:r>
          </w:p>
        </w:tc>
        <w:tc>
          <w:tcPr>
            <w:tcW w:w="850" w:type="dxa"/>
            <w:tcBorders>
              <w:top w:val="nil"/>
              <w:left w:val="nil"/>
              <w:bottom w:val="nil"/>
              <w:right w:val="nil"/>
            </w:tcBorders>
            <w:shd w:val="clear" w:color="auto" w:fill="auto"/>
            <w:vAlign w:val="center"/>
            <w:hideMark/>
          </w:tcPr>
          <w:p w:rsidRPr="00AA40E7" w:rsidR="00DD2B01" w:rsidP="00DD2B01" w:rsidRDefault="00DD2B01" w14:paraId="385D449A" w14:textId="4B98B939">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1.651</w:t>
            </w:r>
          </w:p>
        </w:tc>
        <w:tc>
          <w:tcPr>
            <w:tcW w:w="851" w:type="dxa"/>
            <w:tcBorders>
              <w:top w:val="nil"/>
              <w:left w:val="nil"/>
              <w:bottom w:val="nil"/>
              <w:right w:val="nil"/>
            </w:tcBorders>
            <w:shd w:val="clear" w:color="auto" w:fill="auto"/>
            <w:vAlign w:val="center"/>
            <w:hideMark/>
          </w:tcPr>
          <w:p w:rsidRPr="00AA40E7" w:rsidR="00DD2B01" w:rsidP="00DD2B01" w:rsidRDefault="00DD2B01" w14:paraId="6D1DA11C" w14:textId="3F185A3C">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1.651</w:t>
            </w:r>
          </w:p>
        </w:tc>
        <w:tc>
          <w:tcPr>
            <w:tcW w:w="850" w:type="dxa"/>
            <w:tcBorders>
              <w:top w:val="nil"/>
              <w:left w:val="nil"/>
              <w:bottom w:val="nil"/>
              <w:right w:val="nil"/>
            </w:tcBorders>
            <w:shd w:val="clear" w:color="auto" w:fill="auto"/>
            <w:vAlign w:val="center"/>
            <w:hideMark/>
          </w:tcPr>
          <w:p w:rsidRPr="00AA40E7" w:rsidR="00DD2B01" w:rsidP="00DD2B01" w:rsidRDefault="00DD2B01" w14:paraId="24BA8EDB" w14:textId="57B7C49B">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1.651</w:t>
            </w:r>
          </w:p>
        </w:tc>
      </w:tr>
      <w:tr w:rsidRPr="00AA40E7" w:rsidR="00DD2B01" w:rsidTr="00D714F6" w14:paraId="34433606" w14:textId="77777777">
        <w:trPr>
          <w:trHeight w:val="300"/>
        </w:trPr>
        <w:tc>
          <w:tcPr>
            <w:tcW w:w="3380" w:type="dxa"/>
            <w:tcBorders>
              <w:top w:val="nil"/>
              <w:left w:val="nil"/>
              <w:bottom w:val="nil"/>
              <w:right w:val="nil"/>
            </w:tcBorders>
            <w:shd w:val="clear" w:color="auto" w:fill="auto"/>
            <w:vAlign w:val="center"/>
            <w:hideMark/>
          </w:tcPr>
          <w:p w:rsidRPr="00AA40E7" w:rsidR="00DD2B01" w:rsidP="00DD2B01" w:rsidRDefault="00DD2B01" w14:paraId="45257A92" w14:textId="77777777">
            <w:pPr>
              <w:spacing w:line="240" w:lineRule="atLeast"/>
              <w:rPr>
                <w:rFonts w:ascii="Times New Roman" w:hAnsi="Times New Roman"/>
                <w:color w:val="000000"/>
                <w:sz w:val="24"/>
                <w:szCs w:val="24"/>
              </w:rPr>
            </w:pPr>
            <w:r w:rsidRPr="00AA40E7">
              <w:rPr>
                <w:rFonts w:ascii="Times New Roman" w:hAnsi="Times New Roman"/>
                <w:color w:val="000000"/>
                <w:sz w:val="24"/>
                <w:szCs w:val="24"/>
              </w:rPr>
              <w:t>Ontvangsten</w:t>
            </w:r>
          </w:p>
        </w:tc>
        <w:tc>
          <w:tcPr>
            <w:tcW w:w="1015" w:type="dxa"/>
            <w:tcBorders>
              <w:top w:val="nil"/>
              <w:left w:val="nil"/>
              <w:bottom w:val="nil"/>
              <w:right w:val="nil"/>
            </w:tcBorders>
            <w:shd w:val="clear" w:color="auto" w:fill="auto"/>
            <w:vAlign w:val="center"/>
            <w:hideMark/>
          </w:tcPr>
          <w:p w:rsidRPr="00AA40E7" w:rsidR="00DD2B01" w:rsidP="00DD2B01" w:rsidRDefault="00DD2B01" w14:paraId="49DC1A5D" w14:textId="1A17007D">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0</w:t>
            </w:r>
          </w:p>
        </w:tc>
        <w:tc>
          <w:tcPr>
            <w:tcW w:w="850" w:type="dxa"/>
            <w:tcBorders>
              <w:top w:val="nil"/>
              <w:left w:val="nil"/>
              <w:bottom w:val="nil"/>
              <w:right w:val="nil"/>
            </w:tcBorders>
            <w:shd w:val="clear" w:color="auto" w:fill="auto"/>
            <w:vAlign w:val="center"/>
            <w:hideMark/>
          </w:tcPr>
          <w:p w:rsidRPr="00AA40E7" w:rsidR="00DD2B01" w:rsidP="00DD2B01" w:rsidRDefault="00DD2B01" w14:paraId="1BEC4E22" w14:textId="162AF595">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0</w:t>
            </w:r>
          </w:p>
        </w:tc>
        <w:tc>
          <w:tcPr>
            <w:tcW w:w="851" w:type="dxa"/>
            <w:tcBorders>
              <w:top w:val="nil"/>
              <w:left w:val="nil"/>
              <w:bottom w:val="nil"/>
              <w:right w:val="nil"/>
            </w:tcBorders>
            <w:shd w:val="clear" w:color="auto" w:fill="auto"/>
            <w:vAlign w:val="center"/>
            <w:hideMark/>
          </w:tcPr>
          <w:p w:rsidRPr="00AA40E7" w:rsidR="00DD2B01" w:rsidP="00DD2B01" w:rsidRDefault="00DD2B01" w14:paraId="537E3ADA" w14:textId="128BBF1B">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0</w:t>
            </w:r>
          </w:p>
        </w:tc>
        <w:tc>
          <w:tcPr>
            <w:tcW w:w="850" w:type="dxa"/>
            <w:tcBorders>
              <w:top w:val="nil"/>
              <w:left w:val="nil"/>
              <w:bottom w:val="nil"/>
              <w:right w:val="nil"/>
            </w:tcBorders>
            <w:shd w:val="clear" w:color="auto" w:fill="auto"/>
            <w:vAlign w:val="center"/>
            <w:hideMark/>
          </w:tcPr>
          <w:p w:rsidRPr="00AA40E7" w:rsidR="00DD2B01" w:rsidP="00DD2B01" w:rsidRDefault="00DD2B01" w14:paraId="2CA4A87E" w14:textId="2A908D31">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0</w:t>
            </w:r>
          </w:p>
        </w:tc>
        <w:tc>
          <w:tcPr>
            <w:tcW w:w="851" w:type="dxa"/>
            <w:tcBorders>
              <w:top w:val="nil"/>
              <w:left w:val="nil"/>
              <w:bottom w:val="nil"/>
              <w:right w:val="nil"/>
            </w:tcBorders>
            <w:shd w:val="clear" w:color="auto" w:fill="auto"/>
            <w:vAlign w:val="center"/>
            <w:hideMark/>
          </w:tcPr>
          <w:p w:rsidRPr="00AA40E7" w:rsidR="00DD2B01" w:rsidP="00DD2B01" w:rsidRDefault="00DD2B01" w14:paraId="43E0C7CF" w14:textId="44A1468C">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0</w:t>
            </w:r>
          </w:p>
        </w:tc>
        <w:tc>
          <w:tcPr>
            <w:tcW w:w="850" w:type="dxa"/>
            <w:tcBorders>
              <w:top w:val="nil"/>
              <w:left w:val="nil"/>
              <w:bottom w:val="nil"/>
              <w:right w:val="nil"/>
            </w:tcBorders>
            <w:shd w:val="clear" w:color="auto" w:fill="auto"/>
            <w:vAlign w:val="center"/>
            <w:hideMark/>
          </w:tcPr>
          <w:p w:rsidRPr="00AA40E7" w:rsidR="00DD2B01" w:rsidP="00DD2B01" w:rsidRDefault="00DD2B01" w14:paraId="215E2878" w14:textId="29209FBC">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0</w:t>
            </w:r>
          </w:p>
        </w:tc>
      </w:tr>
    </w:tbl>
    <w:p w:rsidRPr="00AA40E7" w:rsidR="00AE25CB" w:rsidP="00654798" w:rsidRDefault="00AE25CB" w14:paraId="5AF054D3" w14:textId="7479A408">
      <w:pPr>
        <w:spacing w:line="240" w:lineRule="atLeast"/>
        <w:rPr>
          <w:rFonts w:ascii="Times New Roman" w:hAnsi="Times New Roman"/>
          <w:iCs/>
          <w:sz w:val="24"/>
          <w:szCs w:val="24"/>
        </w:rPr>
      </w:pPr>
    </w:p>
    <w:p w:rsidRPr="00AA40E7" w:rsidR="00AE25CB" w:rsidP="00654798" w:rsidRDefault="51825749" w14:paraId="50F307A8" w14:textId="0745C00B">
      <w:pPr>
        <w:spacing w:line="240" w:lineRule="atLeast"/>
        <w:ind w:left="142" w:hanging="142"/>
        <w:rPr>
          <w:rFonts w:ascii="Times New Roman" w:hAnsi="Times New Roman"/>
          <w:sz w:val="24"/>
          <w:szCs w:val="24"/>
        </w:rPr>
      </w:pPr>
      <w:r w:rsidRPr="00AA40E7">
        <w:rPr>
          <w:rFonts w:ascii="Times New Roman" w:hAnsi="Times New Roman"/>
          <w:sz w:val="24"/>
          <w:szCs w:val="24"/>
        </w:rPr>
        <w:t xml:space="preserve">Het betreft de volgende uitgaven: </w:t>
      </w:r>
    </w:p>
    <w:p w:rsidRPr="00AA40E7" w:rsidR="00AE25CB" w:rsidP="00654798" w:rsidRDefault="51825749" w14:paraId="16798C2E" w14:textId="77777777">
      <w:pPr>
        <w:spacing w:line="240" w:lineRule="atLeast"/>
        <w:ind w:left="284" w:hanging="284"/>
        <w:rPr>
          <w:rFonts w:ascii="Times New Roman" w:hAnsi="Times New Roman"/>
          <w:sz w:val="24"/>
          <w:szCs w:val="24"/>
        </w:rPr>
      </w:pPr>
      <w:r w:rsidRPr="00AA40E7">
        <w:rPr>
          <w:rFonts w:ascii="Times New Roman" w:hAnsi="Times New Roman"/>
          <w:sz w:val="24"/>
          <w:szCs w:val="24"/>
        </w:rPr>
        <w:t>- uitzending van Kamerleden naar internationale organisaties;</w:t>
      </w:r>
    </w:p>
    <w:p w:rsidRPr="00AA40E7" w:rsidR="00AE25CB" w:rsidP="00654798" w:rsidRDefault="51825749" w14:paraId="50037383" w14:textId="77777777">
      <w:pPr>
        <w:spacing w:line="240" w:lineRule="atLeast"/>
        <w:ind w:left="284" w:hanging="284"/>
        <w:rPr>
          <w:rFonts w:ascii="Times New Roman" w:hAnsi="Times New Roman"/>
          <w:sz w:val="24"/>
          <w:szCs w:val="24"/>
        </w:rPr>
      </w:pPr>
      <w:r w:rsidRPr="00AA40E7">
        <w:rPr>
          <w:rFonts w:ascii="Times New Roman" w:hAnsi="Times New Roman"/>
          <w:sz w:val="24"/>
          <w:szCs w:val="24"/>
        </w:rPr>
        <w:t xml:space="preserve">- aandeel van Nederland in de kosten van interparlementaire organen; </w:t>
      </w:r>
    </w:p>
    <w:p w:rsidRPr="00AA40E7" w:rsidR="00AE25CB" w:rsidP="00654798" w:rsidRDefault="51825749" w14:paraId="2F734846" w14:textId="77777777">
      <w:pPr>
        <w:spacing w:line="240" w:lineRule="atLeast"/>
        <w:ind w:left="284" w:hanging="284"/>
        <w:rPr>
          <w:rFonts w:ascii="Times New Roman" w:hAnsi="Times New Roman"/>
          <w:sz w:val="24"/>
          <w:szCs w:val="24"/>
        </w:rPr>
      </w:pPr>
      <w:r w:rsidRPr="00AA40E7">
        <w:rPr>
          <w:rFonts w:ascii="Times New Roman" w:hAnsi="Times New Roman"/>
          <w:sz w:val="24"/>
          <w:szCs w:val="24"/>
        </w:rPr>
        <w:t>- contacten tussen de (voormalige) parlementen van het Koninkrijk;</w:t>
      </w:r>
    </w:p>
    <w:p w:rsidRPr="00AA40E7" w:rsidR="00AE25CB" w:rsidP="00654798" w:rsidRDefault="51825749" w14:paraId="74A87D8B" w14:textId="77777777">
      <w:pPr>
        <w:spacing w:line="240" w:lineRule="atLeast"/>
        <w:ind w:left="284" w:hanging="284"/>
        <w:rPr>
          <w:rFonts w:ascii="Times New Roman" w:hAnsi="Times New Roman"/>
          <w:sz w:val="24"/>
          <w:szCs w:val="24"/>
        </w:rPr>
      </w:pPr>
      <w:r w:rsidRPr="00AA40E7">
        <w:rPr>
          <w:rFonts w:ascii="Times New Roman" w:hAnsi="Times New Roman"/>
          <w:sz w:val="24"/>
          <w:szCs w:val="24"/>
        </w:rPr>
        <w:t>- ontvangst van buitenlandse parlementsleden en delegaties van internationale organisaties;</w:t>
      </w:r>
    </w:p>
    <w:p w:rsidRPr="00AA40E7" w:rsidR="00AE25CB" w:rsidP="00654798" w:rsidRDefault="51825749" w14:paraId="7EE52EB6" w14:textId="77777777">
      <w:pPr>
        <w:spacing w:line="240" w:lineRule="atLeast"/>
        <w:ind w:left="284" w:hanging="284"/>
        <w:rPr>
          <w:rFonts w:ascii="Times New Roman" w:hAnsi="Times New Roman"/>
          <w:sz w:val="24"/>
          <w:szCs w:val="24"/>
        </w:rPr>
      </w:pPr>
      <w:r w:rsidRPr="00AA40E7">
        <w:rPr>
          <w:rFonts w:ascii="Times New Roman" w:hAnsi="Times New Roman"/>
          <w:sz w:val="24"/>
          <w:szCs w:val="24"/>
        </w:rPr>
        <w:t>- de activiteiten van de Nederlandse groep van de Interparlementaire Unie (IPU).</w:t>
      </w:r>
    </w:p>
    <w:p w:rsidRPr="00AA40E7" w:rsidR="00757EB7" w:rsidP="00654798" w:rsidRDefault="00757EB7" w14:paraId="393DE7A4" w14:textId="77777777">
      <w:pPr>
        <w:spacing w:line="240" w:lineRule="atLeast"/>
        <w:ind w:left="284" w:hanging="284"/>
        <w:rPr>
          <w:rFonts w:ascii="Times New Roman" w:hAnsi="Times New Roman"/>
          <w:sz w:val="24"/>
          <w:szCs w:val="24"/>
        </w:rPr>
      </w:pPr>
    </w:p>
    <w:p w:rsidRPr="00AA40E7" w:rsidR="00AE25CB" w:rsidP="00654798" w:rsidRDefault="51825749" w14:paraId="16EC4B3C" w14:textId="7735026B">
      <w:pPr>
        <w:spacing w:line="240" w:lineRule="atLeast"/>
        <w:rPr>
          <w:rFonts w:ascii="Times New Roman" w:hAnsi="Times New Roman"/>
          <w:i/>
          <w:iCs/>
          <w:sz w:val="24"/>
          <w:szCs w:val="24"/>
        </w:rPr>
      </w:pPr>
      <w:r w:rsidRPr="00AA40E7">
        <w:rPr>
          <w:rFonts w:ascii="Times New Roman" w:hAnsi="Times New Roman"/>
          <w:sz w:val="24"/>
          <w:szCs w:val="24"/>
        </w:rPr>
        <w:t>In onderstaand overzicht zijn, als kengetallen, in meerjarig perspectief (201</w:t>
      </w:r>
      <w:r w:rsidRPr="00AA40E7" w:rsidR="00690211">
        <w:rPr>
          <w:rFonts w:ascii="Times New Roman" w:hAnsi="Times New Roman"/>
          <w:sz w:val="24"/>
          <w:szCs w:val="24"/>
        </w:rPr>
        <w:t>9</w:t>
      </w:r>
      <w:r w:rsidRPr="00AA40E7">
        <w:rPr>
          <w:rFonts w:ascii="Times New Roman" w:hAnsi="Times New Roman"/>
          <w:sz w:val="24"/>
          <w:szCs w:val="24"/>
        </w:rPr>
        <w:t>–202</w:t>
      </w:r>
      <w:r w:rsidRPr="00AA40E7" w:rsidR="00690211">
        <w:rPr>
          <w:rFonts w:ascii="Times New Roman" w:hAnsi="Times New Roman"/>
          <w:sz w:val="24"/>
          <w:szCs w:val="24"/>
        </w:rPr>
        <w:t>3</w:t>
      </w:r>
      <w:r w:rsidRPr="00AA40E7">
        <w:rPr>
          <w:rFonts w:ascii="Times New Roman" w:hAnsi="Times New Roman"/>
          <w:sz w:val="24"/>
          <w:szCs w:val="24"/>
        </w:rPr>
        <w:t xml:space="preserve">) de uitgaven met betrekking tot dit artikel opgenomen. Voorts zijn, afgeleid hiervan, gemiddelden per Kamerzetel (van Eerste en Tweede Kamer) opgenomen. </w:t>
      </w:r>
    </w:p>
    <w:p w:rsidRPr="00AA40E7" w:rsidR="00784C9E" w:rsidP="00654798" w:rsidRDefault="00784C9E" w14:paraId="0E06D25D" w14:textId="77777777">
      <w:pPr>
        <w:spacing w:line="240" w:lineRule="atLeast"/>
        <w:rPr>
          <w:rFonts w:ascii="Times New Roman" w:hAnsi="Times New Roman"/>
          <w:i/>
          <w:sz w:val="24"/>
          <w:szCs w:val="24"/>
        </w:rPr>
      </w:pPr>
    </w:p>
    <w:p w:rsidRPr="00AA40E7" w:rsidR="00AE25CB" w:rsidP="00654798" w:rsidRDefault="51825749" w14:paraId="11192B22" w14:textId="79562A95">
      <w:pPr>
        <w:spacing w:line="240" w:lineRule="atLeast"/>
        <w:ind w:left="284" w:hanging="284"/>
        <w:rPr>
          <w:rFonts w:ascii="Times New Roman" w:hAnsi="Times New Roman"/>
          <w:i/>
          <w:iCs/>
          <w:sz w:val="24"/>
          <w:szCs w:val="24"/>
        </w:rPr>
      </w:pPr>
      <w:r w:rsidRPr="00AA40E7">
        <w:rPr>
          <w:rFonts w:ascii="Times New Roman" w:hAnsi="Times New Roman"/>
          <w:i/>
          <w:iCs/>
          <w:sz w:val="24"/>
          <w:szCs w:val="24"/>
        </w:rPr>
        <w:t xml:space="preserve">Tabel 6: gemiddelde uitgaven per lid </w:t>
      </w:r>
    </w:p>
    <w:tbl>
      <w:tblPr>
        <w:tblW w:w="8647" w:type="dxa"/>
        <w:tblCellMar>
          <w:left w:w="70" w:type="dxa"/>
          <w:right w:w="70" w:type="dxa"/>
        </w:tblCellMar>
        <w:tblLook w:val="04A0" w:firstRow="1" w:lastRow="0" w:firstColumn="1" w:lastColumn="0" w:noHBand="0" w:noVBand="1"/>
      </w:tblPr>
      <w:tblGrid>
        <w:gridCol w:w="3544"/>
        <w:gridCol w:w="1134"/>
        <w:gridCol w:w="992"/>
        <w:gridCol w:w="993"/>
        <w:gridCol w:w="992"/>
        <w:gridCol w:w="992"/>
      </w:tblGrid>
      <w:tr w:rsidRPr="00AA40E7" w:rsidR="002736BE" w:rsidTr="002736BE" w14:paraId="36734BF2" w14:textId="77777777">
        <w:trPr>
          <w:trHeight w:val="318"/>
        </w:trPr>
        <w:tc>
          <w:tcPr>
            <w:tcW w:w="3544" w:type="dxa"/>
            <w:tcBorders>
              <w:top w:val="nil"/>
              <w:left w:val="nil"/>
              <w:bottom w:val="nil"/>
              <w:right w:val="nil"/>
            </w:tcBorders>
            <w:shd w:val="clear" w:color="000000" w:fill="002060"/>
            <w:vAlign w:val="center"/>
            <w:hideMark/>
          </w:tcPr>
          <w:p w:rsidRPr="00AA40E7" w:rsidR="00D714F6" w:rsidP="00654798" w:rsidRDefault="00D714F6" w14:paraId="240B110B" w14:textId="4B541C3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Artikel 4: Wetgeving en controle</w:t>
            </w:r>
          </w:p>
        </w:tc>
        <w:tc>
          <w:tcPr>
            <w:tcW w:w="1134" w:type="dxa"/>
            <w:tcBorders>
              <w:top w:val="nil"/>
              <w:left w:val="nil"/>
              <w:bottom w:val="nil"/>
              <w:right w:val="nil"/>
            </w:tcBorders>
            <w:shd w:val="clear" w:color="000000" w:fill="002060"/>
            <w:noWrap/>
            <w:vAlign w:val="center"/>
            <w:hideMark/>
          </w:tcPr>
          <w:p w:rsidRPr="00AA40E7" w:rsidR="00D714F6" w:rsidP="00654798" w:rsidRDefault="00D714F6" w14:paraId="57998B57"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2019</w:t>
            </w:r>
          </w:p>
        </w:tc>
        <w:tc>
          <w:tcPr>
            <w:tcW w:w="992" w:type="dxa"/>
            <w:tcBorders>
              <w:top w:val="nil"/>
              <w:left w:val="nil"/>
              <w:bottom w:val="nil"/>
              <w:right w:val="nil"/>
            </w:tcBorders>
            <w:shd w:val="clear" w:color="000000" w:fill="002060"/>
            <w:noWrap/>
            <w:vAlign w:val="center"/>
            <w:hideMark/>
          </w:tcPr>
          <w:p w:rsidRPr="00AA40E7" w:rsidR="00D714F6" w:rsidP="00654798" w:rsidRDefault="00D714F6" w14:paraId="38837939"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2020</w:t>
            </w:r>
          </w:p>
        </w:tc>
        <w:tc>
          <w:tcPr>
            <w:tcW w:w="993" w:type="dxa"/>
            <w:tcBorders>
              <w:top w:val="nil"/>
              <w:left w:val="nil"/>
              <w:bottom w:val="nil"/>
              <w:right w:val="nil"/>
            </w:tcBorders>
            <w:shd w:val="clear" w:color="000000" w:fill="002060"/>
            <w:noWrap/>
            <w:vAlign w:val="center"/>
            <w:hideMark/>
          </w:tcPr>
          <w:p w:rsidRPr="00AA40E7" w:rsidR="00D714F6" w:rsidP="00654798" w:rsidRDefault="00D714F6" w14:paraId="26CE59C6"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2021</w:t>
            </w:r>
          </w:p>
        </w:tc>
        <w:tc>
          <w:tcPr>
            <w:tcW w:w="992" w:type="dxa"/>
            <w:tcBorders>
              <w:top w:val="nil"/>
              <w:left w:val="nil"/>
              <w:bottom w:val="nil"/>
              <w:right w:val="nil"/>
            </w:tcBorders>
            <w:shd w:val="clear" w:color="000000" w:fill="002060"/>
            <w:noWrap/>
            <w:vAlign w:val="center"/>
            <w:hideMark/>
          </w:tcPr>
          <w:p w:rsidRPr="00AA40E7" w:rsidR="00D714F6" w:rsidP="00654798" w:rsidRDefault="00D714F6" w14:paraId="5556C124"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2022</w:t>
            </w:r>
          </w:p>
        </w:tc>
        <w:tc>
          <w:tcPr>
            <w:tcW w:w="992" w:type="dxa"/>
            <w:tcBorders>
              <w:top w:val="nil"/>
              <w:left w:val="nil"/>
              <w:bottom w:val="nil"/>
              <w:right w:val="nil"/>
            </w:tcBorders>
            <w:shd w:val="clear" w:color="000000" w:fill="002060"/>
            <w:noWrap/>
            <w:vAlign w:val="center"/>
            <w:hideMark/>
          </w:tcPr>
          <w:p w:rsidRPr="00AA40E7" w:rsidR="00D714F6" w:rsidP="00654798" w:rsidRDefault="00D714F6" w14:paraId="7C3C7577"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2023</w:t>
            </w:r>
          </w:p>
        </w:tc>
      </w:tr>
      <w:tr w:rsidRPr="00AA40E7" w:rsidR="002736BE" w:rsidTr="002736BE" w14:paraId="2E7E7F48" w14:textId="77777777">
        <w:trPr>
          <w:trHeight w:val="300"/>
        </w:trPr>
        <w:tc>
          <w:tcPr>
            <w:tcW w:w="3544" w:type="dxa"/>
            <w:tcBorders>
              <w:top w:val="nil"/>
              <w:left w:val="nil"/>
              <w:bottom w:val="nil"/>
              <w:right w:val="nil"/>
            </w:tcBorders>
            <w:shd w:val="clear" w:color="000000" w:fill="002060"/>
            <w:vAlign w:val="center"/>
            <w:hideMark/>
          </w:tcPr>
          <w:p w:rsidRPr="00AA40E7" w:rsidR="00D714F6" w:rsidP="00654798" w:rsidRDefault="00D714F6" w14:paraId="0035442E" w14:textId="7777777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 xml:space="preserve">Eerste en Tweede Kamer </w:t>
            </w:r>
          </w:p>
        </w:tc>
        <w:tc>
          <w:tcPr>
            <w:tcW w:w="1134" w:type="dxa"/>
            <w:tcBorders>
              <w:top w:val="nil"/>
              <w:left w:val="nil"/>
              <w:bottom w:val="nil"/>
              <w:right w:val="nil"/>
            </w:tcBorders>
            <w:shd w:val="clear" w:color="000000" w:fill="002060"/>
            <w:noWrap/>
            <w:vAlign w:val="center"/>
            <w:hideMark/>
          </w:tcPr>
          <w:p w:rsidRPr="00AA40E7" w:rsidR="00D714F6" w:rsidP="00654798" w:rsidRDefault="00D714F6" w14:paraId="16855435"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992" w:type="dxa"/>
            <w:tcBorders>
              <w:top w:val="nil"/>
              <w:left w:val="nil"/>
              <w:bottom w:val="nil"/>
              <w:right w:val="nil"/>
            </w:tcBorders>
            <w:shd w:val="clear" w:color="000000" w:fill="002060"/>
            <w:noWrap/>
            <w:vAlign w:val="center"/>
            <w:hideMark/>
          </w:tcPr>
          <w:p w:rsidRPr="00AA40E7" w:rsidR="00D714F6" w:rsidP="00654798" w:rsidRDefault="00D714F6" w14:paraId="13FC3147"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993" w:type="dxa"/>
            <w:tcBorders>
              <w:top w:val="nil"/>
              <w:left w:val="nil"/>
              <w:bottom w:val="nil"/>
              <w:right w:val="nil"/>
            </w:tcBorders>
            <w:shd w:val="clear" w:color="000000" w:fill="002060"/>
            <w:noWrap/>
            <w:vAlign w:val="center"/>
            <w:hideMark/>
          </w:tcPr>
          <w:p w:rsidRPr="00AA40E7" w:rsidR="00D714F6" w:rsidP="00654798" w:rsidRDefault="00D714F6" w14:paraId="4CFB1F3B"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992" w:type="dxa"/>
            <w:tcBorders>
              <w:top w:val="nil"/>
              <w:left w:val="nil"/>
              <w:bottom w:val="nil"/>
              <w:right w:val="nil"/>
            </w:tcBorders>
            <w:shd w:val="clear" w:color="000000" w:fill="002060"/>
            <w:noWrap/>
            <w:vAlign w:val="center"/>
            <w:hideMark/>
          </w:tcPr>
          <w:p w:rsidRPr="00AA40E7" w:rsidR="00D714F6" w:rsidP="00654798" w:rsidRDefault="00D714F6" w14:paraId="58E9ED6F"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992" w:type="dxa"/>
            <w:tcBorders>
              <w:top w:val="nil"/>
              <w:left w:val="nil"/>
              <w:bottom w:val="nil"/>
              <w:right w:val="nil"/>
            </w:tcBorders>
            <w:shd w:val="clear" w:color="000000" w:fill="002060"/>
            <w:noWrap/>
            <w:vAlign w:val="center"/>
            <w:hideMark/>
          </w:tcPr>
          <w:p w:rsidRPr="00AA40E7" w:rsidR="00D714F6" w:rsidP="00654798" w:rsidRDefault="00D714F6" w14:paraId="2146A6EC"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r>
      <w:tr w:rsidRPr="00AA40E7" w:rsidR="002736BE" w:rsidTr="002736BE" w14:paraId="572B2BD0" w14:textId="77777777">
        <w:trPr>
          <w:trHeight w:val="300"/>
        </w:trPr>
        <w:tc>
          <w:tcPr>
            <w:tcW w:w="3544" w:type="dxa"/>
            <w:tcBorders>
              <w:top w:val="nil"/>
              <w:left w:val="nil"/>
              <w:bottom w:val="nil"/>
              <w:right w:val="nil"/>
            </w:tcBorders>
            <w:shd w:val="clear" w:color="000000" w:fill="002060"/>
            <w:vAlign w:val="center"/>
            <w:hideMark/>
          </w:tcPr>
          <w:p w:rsidRPr="00AA40E7" w:rsidR="00D714F6" w:rsidP="00654798" w:rsidRDefault="00D714F6" w14:paraId="45E5B4F0" w14:textId="77777777">
            <w:pPr>
              <w:spacing w:line="240" w:lineRule="atLeast"/>
              <w:rPr>
                <w:rFonts w:ascii="Times New Roman" w:hAnsi="Times New Roman"/>
                <w:b/>
                <w:bCs/>
                <w:color w:val="FFFFFF"/>
                <w:sz w:val="24"/>
                <w:szCs w:val="24"/>
              </w:rPr>
            </w:pPr>
            <w:r w:rsidRPr="00AA40E7">
              <w:rPr>
                <w:rFonts w:ascii="Times New Roman" w:hAnsi="Times New Roman"/>
                <w:b/>
                <w:bCs/>
                <w:color w:val="FFFFFF"/>
                <w:sz w:val="24"/>
                <w:szCs w:val="24"/>
              </w:rPr>
              <w:t>(in €1 000)</w:t>
            </w:r>
          </w:p>
        </w:tc>
        <w:tc>
          <w:tcPr>
            <w:tcW w:w="1134" w:type="dxa"/>
            <w:tcBorders>
              <w:top w:val="nil"/>
              <w:left w:val="nil"/>
              <w:bottom w:val="nil"/>
              <w:right w:val="nil"/>
            </w:tcBorders>
            <w:shd w:val="clear" w:color="000000" w:fill="002060"/>
            <w:noWrap/>
            <w:vAlign w:val="center"/>
            <w:hideMark/>
          </w:tcPr>
          <w:p w:rsidRPr="00AA40E7" w:rsidR="00D714F6" w:rsidP="00654798" w:rsidRDefault="00D714F6" w14:paraId="185B357B"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992" w:type="dxa"/>
            <w:tcBorders>
              <w:top w:val="nil"/>
              <w:left w:val="nil"/>
              <w:bottom w:val="nil"/>
              <w:right w:val="nil"/>
            </w:tcBorders>
            <w:shd w:val="clear" w:color="000000" w:fill="002060"/>
            <w:noWrap/>
            <w:vAlign w:val="center"/>
            <w:hideMark/>
          </w:tcPr>
          <w:p w:rsidRPr="00AA40E7" w:rsidR="00D714F6" w:rsidP="00654798" w:rsidRDefault="00D714F6" w14:paraId="7E1F5E6F"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993" w:type="dxa"/>
            <w:tcBorders>
              <w:top w:val="nil"/>
              <w:left w:val="nil"/>
              <w:bottom w:val="nil"/>
              <w:right w:val="nil"/>
            </w:tcBorders>
            <w:shd w:val="clear" w:color="000000" w:fill="002060"/>
            <w:noWrap/>
            <w:vAlign w:val="center"/>
            <w:hideMark/>
          </w:tcPr>
          <w:p w:rsidRPr="00AA40E7" w:rsidR="00D714F6" w:rsidP="00654798" w:rsidRDefault="00D714F6" w14:paraId="1476D5B8"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992" w:type="dxa"/>
            <w:tcBorders>
              <w:top w:val="nil"/>
              <w:left w:val="nil"/>
              <w:bottom w:val="nil"/>
              <w:right w:val="nil"/>
            </w:tcBorders>
            <w:shd w:val="clear" w:color="000000" w:fill="002060"/>
            <w:noWrap/>
            <w:vAlign w:val="center"/>
            <w:hideMark/>
          </w:tcPr>
          <w:p w:rsidRPr="00AA40E7" w:rsidR="00D714F6" w:rsidP="00654798" w:rsidRDefault="00D714F6" w14:paraId="2DF19E08"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c>
          <w:tcPr>
            <w:tcW w:w="992" w:type="dxa"/>
            <w:tcBorders>
              <w:top w:val="nil"/>
              <w:left w:val="nil"/>
              <w:bottom w:val="nil"/>
              <w:right w:val="nil"/>
            </w:tcBorders>
            <w:shd w:val="clear" w:color="000000" w:fill="002060"/>
            <w:noWrap/>
            <w:vAlign w:val="center"/>
            <w:hideMark/>
          </w:tcPr>
          <w:p w:rsidRPr="00AA40E7" w:rsidR="00D714F6" w:rsidP="00654798" w:rsidRDefault="00D714F6" w14:paraId="29485680" w14:textId="77777777">
            <w:pPr>
              <w:spacing w:line="240" w:lineRule="atLeast"/>
              <w:jc w:val="right"/>
              <w:rPr>
                <w:rFonts w:ascii="Times New Roman" w:hAnsi="Times New Roman"/>
                <w:b/>
                <w:bCs/>
                <w:color w:val="FFFFFF"/>
                <w:sz w:val="24"/>
                <w:szCs w:val="24"/>
              </w:rPr>
            </w:pPr>
            <w:r w:rsidRPr="00AA40E7">
              <w:rPr>
                <w:rFonts w:ascii="Times New Roman" w:hAnsi="Times New Roman"/>
                <w:b/>
                <w:bCs/>
                <w:color w:val="FFFFFF"/>
                <w:sz w:val="24"/>
                <w:szCs w:val="24"/>
              </w:rPr>
              <w:t> </w:t>
            </w:r>
          </w:p>
        </w:tc>
      </w:tr>
      <w:tr w:rsidRPr="00AA40E7" w:rsidR="00237DD5" w:rsidTr="00237DD5" w14:paraId="2A04ACC4" w14:textId="77777777">
        <w:trPr>
          <w:trHeight w:val="450"/>
        </w:trPr>
        <w:tc>
          <w:tcPr>
            <w:tcW w:w="3544" w:type="dxa"/>
            <w:tcBorders>
              <w:top w:val="nil"/>
              <w:left w:val="nil"/>
              <w:bottom w:val="nil"/>
              <w:right w:val="nil"/>
            </w:tcBorders>
            <w:shd w:val="clear" w:color="auto" w:fill="auto"/>
            <w:vAlign w:val="center"/>
            <w:hideMark/>
          </w:tcPr>
          <w:p w:rsidRPr="00AA40E7" w:rsidR="00237DD5" w:rsidP="00654798" w:rsidRDefault="00237DD5" w14:paraId="2E3CB70F" w14:textId="77777777">
            <w:pPr>
              <w:spacing w:line="240" w:lineRule="atLeast"/>
              <w:ind w:firstLine="480" w:firstLineChars="200"/>
              <w:rPr>
                <w:rFonts w:ascii="Times New Roman" w:hAnsi="Times New Roman"/>
                <w:color w:val="000000"/>
                <w:sz w:val="24"/>
                <w:szCs w:val="24"/>
              </w:rPr>
            </w:pPr>
            <w:r w:rsidRPr="00AA40E7">
              <w:rPr>
                <w:rFonts w:ascii="Times New Roman" w:hAnsi="Times New Roman"/>
                <w:color w:val="000000"/>
                <w:sz w:val="24"/>
                <w:szCs w:val="24"/>
              </w:rPr>
              <w:t>Interparlementaire betrekkingen</w:t>
            </w:r>
          </w:p>
        </w:tc>
        <w:tc>
          <w:tcPr>
            <w:tcW w:w="1134" w:type="dxa"/>
            <w:tcBorders>
              <w:top w:val="nil"/>
              <w:left w:val="nil"/>
              <w:bottom w:val="nil"/>
              <w:right w:val="nil"/>
            </w:tcBorders>
            <w:shd w:val="clear" w:color="auto" w:fill="auto"/>
            <w:vAlign w:val="center"/>
            <w:hideMark/>
          </w:tcPr>
          <w:p w:rsidRPr="00AA40E7" w:rsidR="00237DD5" w:rsidP="00654798" w:rsidRDefault="00237DD5" w14:paraId="6A4794E3"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1.180</w:t>
            </w:r>
          </w:p>
        </w:tc>
        <w:tc>
          <w:tcPr>
            <w:tcW w:w="992" w:type="dxa"/>
            <w:tcBorders>
              <w:top w:val="nil"/>
              <w:left w:val="nil"/>
              <w:bottom w:val="nil"/>
              <w:right w:val="nil"/>
            </w:tcBorders>
            <w:shd w:val="clear" w:color="auto" w:fill="auto"/>
            <w:vAlign w:val="center"/>
            <w:hideMark/>
          </w:tcPr>
          <w:p w:rsidRPr="00AA40E7" w:rsidR="00237DD5" w:rsidP="00654798" w:rsidRDefault="00237DD5" w14:paraId="5727AB85"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904</w:t>
            </w:r>
          </w:p>
        </w:tc>
        <w:tc>
          <w:tcPr>
            <w:tcW w:w="993" w:type="dxa"/>
            <w:tcBorders>
              <w:top w:val="nil"/>
              <w:left w:val="nil"/>
              <w:bottom w:val="nil"/>
              <w:right w:val="nil"/>
            </w:tcBorders>
            <w:shd w:val="clear" w:color="auto" w:fill="auto"/>
            <w:vAlign w:val="center"/>
            <w:hideMark/>
          </w:tcPr>
          <w:p w:rsidRPr="00AA40E7" w:rsidR="00237DD5" w:rsidP="00654798" w:rsidRDefault="00237DD5" w14:paraId="27EBEC1A"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890</w:t>
            </w:r>
          </w:p>
        </w:tc>
        <w:tc>
          <w:tcPr>
            <w:tcW w:w="992" w:type="dxa"/>
            <w:tcBorders>
              <w:top w:val="nil"/>
              <w:left w:val="nil"/>
              <w:bottom w:val="nil"/>
              <w:right w:val="nil"/>
            </w:tcBorders>
            <w:shd w:val="clear" w:color="auto" w:fill="auto"/>
            <w:vAlign w:val="center"/>
            <w:hideMark/>
          </w:tcPr>
          <w:p w:rsidRPr="00AA40E7" w:rsidR="00237DD5" w:rsidP="00654798" w:rsidRDefault="00237DD5" w14:paraId="20CD72AB"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890</w:t>
            </w:r>
          </w:p>
        </w:tc>
        <w:tc>
          <w:tcPr>
            <w:tcW w:w="992" w:type="dxa"/>
            <w:tcBorders>
              <w:top w:val="nil"/>
              <w:left w:val="nil"/>
              <w:bottom w:val="nil"/>
              <w:right w:val="nil"/>
            </w:tcBorders>
            <w:shd w:val="clear" w:color="auto" w:fill="auto"/>
            <w:vAlign w:val="center"/>
            <w:hideMark/>
          </w:tcPr>
          <w:p w:rsidRPr="00AA40E7" w:rsidR="00237DD5" w:rsidP="00654798" w:rsidRDefault="00237DD5" w14:paraId="04B4E011" w14:textId="2977897D">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1.455</w:t>
            </w:r>
          </w:p>
        </w:tc>
      </w:tr>
      <w:tr w:rsidRPr="00AA40E7" w:rsidR="00237DD5" w:rsidTr="00237DD5" w14:paraId="5E692087" w14:textId="77777777">
        <w:trPr>
          <w:trHeight w:val="300"/>
        </w:trPr>
        <w:tc>
          <w:tcPr>
            <w:tcW w:w="3544" w:type="dxa"/>
            <w:tcBorders>
              <w:top w:val="nil"/>
              <w:left w:val="nil"/>
              <w:bottom w:val="nil"/>
              <w:right w:val="nil"/>
            </w:tcBorders>
            <w:shd w:val="clear" w:color="auto" w:fill="auto"/>
            <w:vAlign w:val="center"/>
            <w:hideMark/>
          </w:tcPr>
          <w:p w:rsidRPr="00AA40E7" w:rsidR="00237DD5" w:rsidP="00654798" w:rsidRDefault="00237DD5" w14:paraId="1064A4B6" w14:textId="77777777">
            <w:pPr>
              <w:spacing w:line="240" w:lineRule="atLeast"/>
              <w:ind w:firstLine="480" w:firstLineChars="200"/>
              <w:rPr>
                <w:rFonts w:ascii="Times New Roman" w:hAnsi="Times New Roman"/>
                <w:color w:val="000000"/>
                <w:sz w:val="24"/>
                <w:szCs w:val="24"/>
              </w:rPr>
            </w:pPr>
            <w:r w:rsidRPr="00AA40E7">
              <w:rPr>
                <w:rFonts w:ascii="Times New Roman" w:hAnsi="Times New Roman"/>
                <w:color w:val="000000"/>
                <w:sz w:val="24"/>
                <w:szCs w:val="24"/>
              </w:rPr>
              <w:t>totaal artikel 4</w:t>
            </w:r>
          </w:p>
        </w:tc>
        <w:tc>
          <w:tcPr>
            <w:tcW w:w="1134" w:type="dxa"/>
            <w:tcBorders>
              <w:top w:val="nil"/>
              <w:left w:val="nil"/>
              <w:bottom w:val="nil"/>
              <w:right w:val="nil"/>
            </w:tcBorders>
            <w:shd w:val="clear" w:color="auto" w:fill="auto"/>
            <w:vAlign w:val="center"/>
            <w:hideMark/>
          </w:tcPr>
          <w:p w:rsidRPr="00AA40E7" w:rsidR="00237DD5" w:rsidP="00654798" w:rsidRDefault="00237DD5" w14:paraId="000F94DD"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1.180</w:t>
            </w:r>
          </w:p>
        </w:tc>
        <w:tc>
          <w:tcPr>
            <w:tcW w:w="992" w:type="dxa"/>
            <w:tcBorders>
              <w:top w:val="nil"/>
              <w:left w:val="nil"/>
              <w:bottom w:val="nil"/>
              <w:right w:val="nil"/>
            </w:tcBorders>
            <w:shd w:val="clear" w:color="auto" w:fill="auto"/>
            <w:vAlign w:val="center"/>
            <w:hideMark/>
          </w:tcPr>
          <w:p w:rsidRPr="00AA40E7" w:rsidR="00237DD5" w:rsidP="00654798" w:rsidRDefault="00237DD5" w14:paraId="70CEA558"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904</w:t>
            </w:r>
          </w:p>
        </w:tc>
        <w:tc>
          <w:tcPr>
            <w:tcW w:w="993" w:type="dxa"/>
            <w:tcBorders>
              <w:top w:val="nil"/>
              <w:left w:val="nil"/>
              <w:bottom w:val="nil"/>
              <w:right w:val="nil"/>
            </w:tcBorders>
            <w:shd w:val="clear" w:color="auto" w:fill="auto"/>
            <w:vAlign w:val="center"/>
            <w:hideMark/>
          </w:tcPr>
          <w:p w:rsidRPr="00AA40E7" w:rsidR="00237DD5" w:rsidP="00654798" w:rsidRDefault="00237DD5" w14:paraId="42AA109D"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890</w:t>
            </w:r>
          </w:p>
        </w:tc>
        <w:tc>
          <w:tcPr>
            <w:tcW w:w="992" w:type="dxa"/>
            <w:tcBorders>
              <w:top w:val="nil"/>
              <w:left w:val="nil"/>
              <w:bottom w:val="nil"/>
              <w:right w:val="nil"/>
            </w:tcBorders>
            <w:shd w:val="clear" w:color="auto" w:fill="auto"/>
            <w:vAlign w:val="center"/>
            <w:hideMark/>
          </w:tcPr>
          <w:p w:rsidRPr="00AA40E7" w:rsidR="00237DD5" w:rsidP="00654798" w:rsidRDefault="00237DD5" w14:paraId="114C3107" w14:textId="77777777">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890</w:t>
            </w:r>
          </w:p>
        </w:tc>
        <w:tc>
          <w:tcPr>
            <w:tcW w:w="992" w:type="dxa"/>
            <w:tcBorders>
              <w:top w:val="nil"/>
              <w:left w:val="nil"/>
              <w:bottom w:val="nil"/>
              <w:right w:val="nil"/>
            </w:tcBorders>
            <w:shd w:val="clear" w:color="auto" w:fill="auto"/>
            <w:vAlign w:val="center"/>
            <w:hideMark/>
          </w:tcPr>
          <w:p w:rsidRPr="00AA40E7" w:rsidR="00237DD5" w:rsidP="00654798" w:rsidRDefault="00237DD5" w14:paraId="330192CA" w14:textId="2668F794">
            <w:pPr>
              <w:spacing w:line="240" w:lineRule="atLeast"/>
              <w:jc w:val="right"/>
              <w:rPr>
                <w:rFonts w:ascii="Times New Roman" w:hAnsi="Times New Roman"/>
                <w:color w:val="000000"/>
                <w:sz w:val="24"/>
                <w:szCs w:val="24"/>
              </w:rPr>
            </w:pPr>
            <w:r w:rsidRPr="00AA40E7">
              <w:rPr>
                <w:rFonts w:ascii="Times New Roman" w:hAnsi="Times New Roman"/>
                <w:color w:val="000000"/>
                <w:sz w:val="24"/>
                <w:szCs w:val="24"/>
              </w:rPr>
              <w:t>1.455</w:t>
            </w:r>
          </w:p>
        </w:tc>
      </w:tr>
      <w:tr w:rsidRPr="00AA40E7" w:rsidR="00237DD5" w:rsidTr="00237DD5" w14:paraId="44822101" w14:textId="77777777">
        <w:trPr>
          <w:trHeight w:val="315"/>
        </w:trPr>
        <w:tc>
          <w:tcPr>
            <w:tcW w:w="3544" w:type="dxa"/>
            <w:tcBorders>
              <w:top w:val="nil"/>
              <w:left w:val="nil"/>
              <w:bottom w:val="single" w:color="auto" w:sz="8" w:space="0"/>
              <w:right w:val="nil"/>
            </w:tcBorders>
            <w:shd w:val="clear" w:color="auto" w:fill="auto"/>
            <w:vAlign w:val="center"/>
            <w:hideMark/>
          </w:tcPr>
          <w:p w:rsidRPr="00AA40E7" w:rsidR="00237DD5" w:rsidP="00654798" w:rsidRDefault="00237DD5" w14:paraId="0211D063" w14:textId="77777777">
            <w:pPr>
              <w:spacing w:line="240" w:lineRule="atLeast"/>
              <w:ind w:firstLine="480" w:firstLineChars="200"/>
              <w:rPr>
                <w:rFonts w:ascii="Times New Roman" w:hAnsi="Times New Roman"/>
                <w:i/>
                <w:iCs/>
                <w:color w:val="000000"/>
                <w:sz w:val="24"/>
                <w:szCs w:val="24"/>
              </w:rPr>
            </w:pPr>
            <w:r w:rsidRPr="00AA40E7">
              <w:rPr>
                <w:rFonts w:ascii="Times New Roman" w:hAnsi="Times New Roman"/>
                <w:i/>
                <w:iCs/>
                <w:color w:val="000000"/>
                <w:sz w:val="24"/>
                <w:szCs w:val="24"/>
              </w:rPr>
              <w:t>gemiddeld per zetel (225)</w:t>
            </w:r>
          </w:p>
        </w:tc>
        <w:tc>
          <w:tcPr>
            <w:tcW w:w="1134" w:type="dxa"/>
            <w:tcBorders>
              <w:top w:val="nil"/>
              <w:left w:val="nil"/>
              <w:bottom w:val="single" w:color="auto" w:sz="8" w:space="0"/>
              <w:right w:val="nil"/>
            </w:tcBorders>
            <w:shd w:val="clear" w:color="auto" w:fill="auto"/>
            <w:vAlign w:val="center"/>
            <w:hideMark/>
          </w:tcPr>
          <w:p w:rsidRPr="00AA40E7" w:rsidR="00237DD5" w:rsidP="00654798" w:rsidRDefault="00237DD5" w14:paraId="00740451" w14:textId="7777777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5</w:t>
            </w:r>
          </w:p>
        </w:tc>
        <w:tc>
          <w:tcPr>
            <w:tcW w:w="992" w:type="dxa"/>
            <w:tcBorders>
              <w:top w:val="nil"/>
              <w:left w:val="nil"/>
              <w:bottom w:val="single" w:color="auto" w:sz="8" w:space="0"/>
              <w:right w:val="nil"/>
            </w:tcBorders>
            <w:shd w:val="clear" w:color="auto" w:fill="auto"/>
            <w:vAlign w:val="center"/>
            <w:hideMark/>
          </w:tcPr>
          <w:p w:rsidRPr="00AA40E7" w:rsidR="00237DD5" w:rsidP="00654798" w:rsidRDefault="00237DD5" w14:paraId="7DD63A31" w14:textId="7777777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4</w:t>
            </w:r>
          </w:p>
        </w:tc>
        <w:tc>
          <w:tcPr>
            <w:tcW w:w="993" w:type="dxa"/>
            <w:tcBorders>
              <w:top w:val="nil"/>
              <w:left w:val="nil"/>
              <w:bottom w:val="single" w:color="auto" w:sz="8" w:space="0"/>
              <w:right w:val="nil"/>
            </w:tcBorders>
            <w:shd w:val="clear" w:color="auto" w:fill="auto"/>
            <w:vAlign w:val="center"/>
            <w:hideMark/>
          </w:tcPr>
          <w:p w:rsidRPr="00AA40E7" w:rsidR="00237DD5" w:rsidP="00654798" w:rsidRDefault="00237DD5" w14:paraId="1E83656E" w14:textId="7777777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4</w:t>
            </w:r>
          </w:p>
        </w:tc>
        <w:tc>
          <w:tcPr>
            <w:tcW w:w="992" w:type="dxa"/>
            <w:tcBorders>
              <w:top w:val="nil"/>
              <w:left w:val="nil"/>
              <w:bottom w:val="single" w:color="auto" w:sz="8" w:space="0"/>
              <w:right w:val="nil"/>
            </w:tcBorders>
            <w:shd w:val="clear" w:color="auto" w:fill="auto"/>
            <w:vAlign w:val="center"/>
            <w:hideMark/>
          </w:tcPr>
          <w:p w:rsidRPr="00AA40E7" w:rsidR="00237DD5" w:rsidP="00654798" w:rsidRDefault="00237DD5" w14:paraId="31D6E888" w14:textId="77777777">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4</w:t>
            </w:r>
          </w:p>
        </w:tc>
        <w:tc>
          <w:tcPr>
            <w:tcW w:w="992" w:type="dxa"/>
            <w:tcBorders>
              <w:top w:val="nil"/>
              <w:left w:val="nil"/>
              <w:bottom w:val="single" w:color="auto" w:sz="8" w:space="0"/>
              <w:right w:val="nil"/>
            </w:tcBorders>
            <w:shd w:val="clear" w:color="auto" w:fill="auto"/>
            <w:vAlign w:val="center"/>
            <w:hideMark/>
          </w:tcPr>
          <w:p w:rsidRPr="00AA40E7" w:rsidR="00237DD5" w:rsidP="00654798" w:rsidRDefault="00237DD5" w14:paraId="1CA36C65" w14:textId="160C0FC1">
            <w:pPr>
              <w:spacing w:line="240" w:lineRule="atLeast"/>
              <w:jc w:val="right"/>
              <w:rPr>
                <w:rFonts w:ascii="Times New Roman" w:hAnsi="Times New Roman"/>
                <w:i/>
                <w:iCs/>
                <w:color w:val="000000"/>
                <w:sz w:val="24"/>
                <w:szCs w:val="24"/>
              </w:rPr>
            </w:pPr>
            <w:r w:rsidRPr="00AA40E7">
              <w:rPr>
                <w:rFonts w:ascii="Times New Roman" w:hAnsi="Times New Roman"/>
                <w:i/>
                <w:iCs/>
                <w:color w:val="000000"/>
                <w:sz w:val="24"/>
                <w:szCs w:val="24"/>
              </w:rPr>
              <w:t>6</w:t>
            </w:r>
          </w:p>
        </w:tc>
      </w:tr>
    </w:tbl>
    <w:p w:rsidRPr="00AA40E7" w:rsidR="00D714F6" w:rsidP="00654798" w:rsidRDefault="00D714F6" w14:paraId="492ECE8B" w14:textId="7F5A0D9C">
      <w:pPr>
        <w:spacing w:line="240" w:lineRule="atLeast"/>
        <w:ind w:left="284" w:hanging="284"/>
        <w:rPr>
          <w:rFonts w:ascii="Times New Roman" w:hAnsi="Times New Roman"/>
          <w:sz w:val="24"/>
          <w:szCs w:val="24"/>
        </w:rPr>
      </w:pPr>
    </w:p>
    <w:p w:rsidRPr="00AA40E7" w:rsidR="00D714F6" w:rsidP="00654798" w:rsidRDefault="00D714F6" w14:paraId="3CC927A9" w14:textId="4F0B173B">
      <w:pPr>
        <w:spacing w:line="240" w:lineRule="atLeast"/>
        <w:ind w:left="284" w:hanging="284"/>
        <w:rPr>
          <w:rFonts w:ascii="Times New Roman" w:hAnsi="Times New Roman"/>
          <w:sz w:val="24"/>
          <w:szCs w:val="24"/>
        </w:rPr>
      </w:pPr>
    </w:p>
    <w:p w:rsidRPr="00AA40E7" w:rsidR="00D714F6" w:rsidP="00654798" w:rsidRDefault="00D714F6" w14:paraId="77870D78" w14:textId="5FBCC41F">
      <w:pPr>
        <w:spacing w:line="240" w:lineRule="atLeast"/>
        <w:ind w:left="284" w:hanging="284"/>
        <w:rPr>
          <w:rFonts w:ascii="Times New Roman" w:hAnsi="Times New Roman"/>
          <w:sz w:val="24"/>
          <w:szCs w:val="24"/>
        </w:rPr>
      </w:pPr>
    </w:p>
    <w:p w:rsidRPr="00AA40E7" w:rsidR="00D714F6" w:rsidP="00654798" w:rsidRDefault="00D714F6" w14:paraId="67BCD4E4" w14:textId="5832019B">
      <w:pPr>
        <w:spacing w:line="240" w:lineRule="atLeast"/>
        <w:ind w:left="284" w:hanging="284"/>
        <w:rPr>
          <w:rFonts w:ascii="Times New Roman" w:hAnsi="Times New Roman"/>
          <w:sz w:val="24"/>
          <w:szCs w:val="24"/>
        </w:rPr>
      </w:pPr>
    </w:p>
    <w:sectPr w:rsidRPr="00AA40E7" w:rsidR="00D714F6" w:rsidSect="008564A1">
      <w:footerReference w:type="even" r:id="rId22"/>
      <w:footerReference w:type="default" r:id="rId23"/>
      <w:footerReference w:type="first" r:id="rId24"/>
      <w:pgSz w:w="12240" w:h="15840"/>
      <w:pgMar w:top="1417" w:right="1260" w:bottom="1417" w:left="1417" w:header="708" w:footer="708" w:gutter="0"/>
      <w:cols w:space="708"/>
      <w:noEndnote/>
      <w:titlePg/>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61862" w14:textId="77777777" w:rsidR="00787C70" w:rsidRDefault="00787C70">
      <w:r>
        <w:separator/>
      </w:r>
    </w:p>
  </w:endnote>
  <w:endnote w:type="continuationSeparator" w:id="0">
    <w:p w14:paraId="1E1D0EFB" w14:textId="77777777" w:rsidR="00787C70" w:rsidRDefault="00787C70">
      <w:r>
        <w:continuationSeparator/>
      </w:r>
    </w:p>
  </w:endnote>
  <w:endnote w:type="continuationNotice" w:id="1">
    <w:p w14:paraId="02B781ED" w14:textId="77777777" w:rsidR="00787C70" w:rsidRDefault="00787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BB073" w14:textId="77777777" w:rsidR="00787C70" w:rsidRDefault="00787C70" w:rsidP="001864B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86CE28D" w14:textId="77777777" w:rsidR="00787C70" w:rsidRDefault="00787C70" w:rsidP="006B08A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1E1A" w14:textId="76ABB6E9" w:rsidR="00787C70" w:rsidRDefault="00787C70">
    <w:pPr>
      <w:pStyle w:val="Voettekst"/>
      <w:jc w:val="right"/>
    </w:pPr>
    <w:r>
      <w:fldChar w:fldCharType="begin"/>
    </w:r>
    <w:r>
      <w:instrText>PAGE   \* MERGEFORMAT</w:instrText>
    </w:r>
    <w:r>
      <w:fldChar w:fldCharType="separate"/>
    </w:r>
    <w:r w:rsidR="006A188C">
      <w:rPr>
        <w:noProof/>
      </w:rPr>
      <w:t>8</w:t>
    </w:r>
    <w:r>
      <w:fldChar w:fldCharType="end"/>
    </w:r>
  </w:p>
  <w:p w14:paraId="01DBA118" w14:textId="77777777" w:rsidR="00787C70" w:rsidRDefault="00787C70" w:rsidP="006B08AA">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0E52" w14:textId="77777777" w:rsidR="00787C70" w:rsidRDefault="00787C70">
    <w:pPr>
      <w:pStyle w:val="Voettekst"/>
      <w:jc w:val="right"/>
    </w:pPr>
  </w:p>
  <w:p w14:paraId="671209AC" w14:textId="77777777" w:rsidR="00787C70" w:rsidRDefault="00787C70" w:rsidP="00057167">
    <w:pPr>
      <w:pStyle w:val="Voettekst"/>
      <w:tabs>
        <w:tab w:val="clear" w:pos="4536"/>
        <w:tab w:val="clear" w:pos="9072"/>
        <w:tab w:val="center" w:pos="4781"/>
        <w:tab w:val="right" w:pos="956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8E40" w14:textId="77777777" w:rsidR="00787C70" w:rsidRDefault="00787C70">
      <w:r>
        <w:separator/>
      </w:r>
    </w:p>
  </w:footnote>
  <w:footnote w:type="continuationSeparator" w:id="0">
    <w:p w14:paraId="68DC6968" w14:textId="77777777" w:rsidR="00787C70" w:rsidRDefault="00787C70">
      <w:r>
        <w:continuationSeparator/>
      </w:r>
    </w:p>
  </w:footnote>
  <w:footnote w:type="continuationNotice" w:id="1">
    <w:p w14:paraId="17B66DB0" w14:textId="77777777" w:rsidR="00787C70" w:rsidRDefault="00787C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B6E74A0"/>
    <w:lvl w:ilvl="0">
      <w:start w:val="1"/>
      <w:numFmt w:val="decimal"/>
      <w:pStyle w:val="Lijstnummering"/>
      <w:lvlText w:val="%1."/>
      <w:lvlJc w:val="left"/>
      <w:pPr>
        <w:tabs>
          <w:tab w:val="num" w:pos="425"/>
        </w:tabs>
        <w:ind w:left="425" w:hanging="425"/>
      </w:pPr>
    </w:lvl>
  </w:abstractNum>
  <w:abstractNum w:abstractNumId="1" w15:restartNumberingAfterBreak="0">
    <w:nsid w:val="FFFFFF89"/>
    <w:multiLevelType w:val="singleLevel"/>
    <w:tmpl w:val="512090C4"/>
    <w:lvl w:ilvl="0">
      <w:start w:val="1"/>
      <w:numFmt w:val="bullet"/>
      <w:pStyle w:val="Lijstopsomteken"/>
      <w:lvlText w:val=""/>
      <w:lvlJc w:val="left"/>
      <w:pPr>
        <w:tabs>
          <w:tab w:val="num" w:pos="369"/>
        </w:tabs>
        <w:ind w:left="369" w:hanging="369"/>
      </w:pPr>
      <w:rPr>
        <w:rFonts w:ascii="Symbol" w:hAnsi="Symbol" w:hint="default"/>
        <w:sz w:val="12"/>
      </w:rPr>
    </w:lvl>
  </w:abstractNum>
  <w:abstractNum w:abstractNumId="2" w15:restartNumberingAfterBreak="0">
    <w:nsid w:val="0DBA37C1"/>
    <w:multiLevelType w:val="hybridMultilevel"/>
    <w:tmpl w:val="2C3410E4"/>
    <w:lvl w:ilvl="0" w:tplc="765651BC">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FA0605"/>
    <w:multiLevelType w:val="hybridMultilevel"/>
    <w:tmpl w:val="4ACAB552"/>
    <w:lvl w:ilvl="0" w:tplc="4CF4A9CA">
      <w:start w:val="4488"/>
      <w:numFmt w:val="bullet"/>
      <w:lvlText w:val="-"/>
      <w:lvlJc w:val="left"/>
      <w:pPr>
        <w:ind w:left="1069" w:hanging="360"/>
      </w:pPr>
      <w:rPr>
        <w:rFonts w:ascii="Times New Roman" w:eastAsia="Times New Roman" w:hAnsi="Times New Roman" w:cs="Times New Roman" w:hint="default"/>
        <w:sz w:val="24"/>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1120253C"/>
    <w:multiLevelType w:val="hybridMultilevel"/>
    <w:tmpl w:val="CBDE8B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5C0F44"/>
    <w:multiLevelType w:val="hybridMultilevel"/>
    <w:tmpl w:val="9C4CC07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1A277F8A"/>
    <w:multiLevelType w:val="hybridMultilevel"/>
    <w:tmpl w:val="C8B09AD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7901F1"/>
    <w:multiLevelType w:val="hybridMultilevel"/>
    <w:tmpl w:val="B472F688"/>
    <w:lvl w:ilvl="0" w:tplc="75A6FBB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D6735A"/>
    <w:multiLevelType w:val="hybridMultilevel"/>
    <w:tmpl w:val="147656E2"/>
    <w:lvl w:ilvl="0" w:tplc="811802C8">
      <w:start w:val="1"/>
      <w:numFmt w:val="decimal"/>
      <w:pStyle w:val="Agendapunt-Huisstijl"/>
      <w:lvlText w:val="%1."/>
      <w:lvlJc w:val="left"/>
      <w:pPr>
        <w:ind w:left="990" w:hanging="63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2A134A3D"/>
    <w:multiLevelType w:val="multilevel"/>
    <w:tmpl w:val="ABCE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F58DC"/>
    <w:multiLevelType w:val="hybridMultilevel"/>
    <w:tmpl w:val="705C0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D030E7"/>
    <w:multiLevelType w:val="multilevel"/>
    <w:tmpl w:val="A412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C0937"/>
    <w:multiLevelType w:val="hybridMultilevel"/>
    <w:tmpl w:val="FDAAE70A"/>
    <w:lvl w:ilvl="0" w:tplc="600E8196">
      <w:numFmt w:val="bullet"/>
      <w:lvlText w:val="-"/>
      <w:lvlJc w:val="left"/>
      <w:pPr>
        <w:ind w:left="1080" w:hanging="360"/>
      </w:pPr>
      <w:rPr>
        <w:rFonts w:ascii="Times New Roman" w:eastAsia="Times New Roman" w:hAnsi="Times New Roman" w:cs="Times New Roman" w:hint="default"/>
        <w:color w:val="auto"/>
        <w:sz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F555FA9"/>
    <w:multiLevelType w:val="hybridMultilevel"/>
    <w:tmpl w:val="87649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5D71DE"/>
    <w:multiLevelType w:val="hybridMultilevel"/>
    <w:tmpl w:val="EE1AED42"/>
    <w:lvl w:ilvl="0" w:tplc="6B66B06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5A3E30"/>
    <w:multiLevelType w:val="multilevel"/>
    <w:tmpl w:val="ED86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2F3038"/>
    <w:multiLevelType w:val="hybridMultilevel"/>
    <w:tmpl w:val="C306739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7F3003"/>
    <w:multiLevelType w:val="hybridMultilevel"/>
    <w:tmpl w:val="352C5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DC7F84"/>
    <w:multiLevelType w:val="hybridMultilevel"/>
    <w:tmpl w:val="6F4E62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82208D4"/>
    <w:multiLevelType w:val="hybridMultilevel"/>
    <w:tmpl w:val="CBDE8B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12"/>
  </w:num>
  <w:num w:numId="6">
    <w:abstractNumId w:val="3"/>
  </w:num>
  <w:num w:numId="7">
    <w:abstractNumId w:val="19"/>
  </w:num>
  <w:num w:numId="8">
    <w:abstractNumId w:val="18"/>
  </w:num>
  <w:num w:numId="9">
    <w:abstractNumId w:val="14"/>
  </w:num>
  <w:num w:numId="10">
    <w:abstractNumId w:val="5"/>
  </w:num>
  <w:num w:numId="11">
    <w:abstractNumId w:val="16"/>
  </w:num>
  <w:num w:numId="12">
    <w:abstractNumId w:val="6"/>
  </w:num>
  <w:num w:numId="13">
    <w:abstractNumId w:val="7"/>
  </w:num>
  <w:num w:numId="14">
    <w:abstractNumId w:val="15"/>
  </w:num>
  <w:num w:numId="15">
    <w:abstractNumId w:val="2"/>
  </w:num>
  <w:num w:numId="16">
    <w:abstractNumId w:val="11"/>
  </w:num>
  <w:num w:numId="17">
    <w:abstractNumId w:val="9"/>
  </w:num>
  <w:num w:numId="18">
    <w:abstractNumId w:val="17"/>
  </w:num>
  <w:num w:numId="19">
    <w:abstractNumId w:val="10"/>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0B"/>
    <w:rsid w:val="00001A6C"/>
    <w:rsid w:val="00002364"/>
    <w:rsid w:val="00002583"/>
    <w:rsid w:val="00002D46"/>
    <w:rsid w:val="000030B6"/>
    <w:rsid w:val="00003808"/>
    <w:rsid w:val="00005162"/>
    <w:rsid w:val="00005AC2"/>
    <w:rsid w:val="00005FDF"/>
    <w:rsid w:val="00006759"/>
    <w:rsid w:val="00006BE1"/>
    <w:rsid w:val="00011146"/>
    <w:rsid w:val="00012655"/>
    <w:rsid w:val="00012D20"/>
    <w:rsid w:val="00013590"/>
    <w:rsid w:val="000142C8"/>
    <w:rsid w:val="000143CA"/>
    <w:rsid w:val="000150DD"/>
    <w:rsid w:val="00015588"/>
    <w:rsid w:val="00015B45"/>
    <w:rsid w:val="00015D2B"/>
    <w:rsid w:val="00016555"/>
    <w:rsid w:val="000173F1"/>
    <w:rsid w:val="00017574"/>
    <w:rsid w:val="000179CF"/>
    <w:rsid w:val="0002109B"/>
    <w:rsid w:val="00021217"/>
    <w:rsid w:val="00021CC5"/>
    <w:rsid w:val="00021FAF"/>
    <w:rsid w:val="000226AA"/>
    <w:rsid w:val="000227DA"/>
    <w:rsid w:val="00023D8B"/>
    <w:rsid w:val="0002452C"/>
    <w:rsid w:val="0002504B"/>
    <w:rsid w:val="00025F04"/>
    <w:rsid w:val="00026D46"/>
    <w:rsid w:val="00027C86"/>
    <w:rsid w:val="00031C37"/>
    <w:rsid w:val="00031D3B"/>
    <w:rsid w:val="0003507E"/>
    <w:rsid w:val="000351E9"/>
    <w:rsid w:val="0003529C"/>
    <w:rsid w:val="000357CC"/>
    <w:rsid w:val="00037396"/>
    <w:rsid w:val="00037848"/>
    <w:rsid w:val="00041045"/>
    <w:rsid w:val="0004242E"/>
    <w:rsid w:val="00042865"/>
    <w:rsid w:val="00042C3F"/>
    <w:rsid w:val="00043D5A"/>
    <w:rsid w:val="00043D68"/>
    <w:rsid w:val="0004425E"/>
    <w:rsid w:val="0004465C"/>
    <w:rsid w:val="00044CEB"/>
    <w:rsid w:val="00044D60"/>
    <w:rsid w:val="0004534A"/>
    <w:rsid w:val="000455E7"/>
    <w:rsid w:val="000456D5"/>
    <w:rsid w:val="00045E7F"/>
    <w:rsid w:val="00045FC7"/>
    <w:rsid w:val="00046C98"/>
    <w:rsid w:val="00046FE7"/>
    <w:rsid w:val="0004736C"/>
    <w:rsid w:val="00047380"/>
    <w:rsid w:val="00050406"/>
    <w:rsid w:val="00050D7A"/>
    <w:rsid w:val="000535EF"/>
    <w:rsid w:val="0005456F"/>
    <w:rsid w:val="00055179"/>
    <w:rsid w:val="000559E7"/>
    <w:rsid w:val="00056CB9"/>
    <w:rsid w:val="00056F41"/>
    <w:rsid w:val="00057167"/>
    <w:rsid w:val="00057353"/>
    <w:rsid w:val="000573B8"/>
    <w:rsid w:val="0006035A"/>
    <w:rsid w:val="0006059D"/>
    <w:rsid w:val="00060B93"/>
    <w:rsid w:val="00061185"/>
    <w:rsid w:val="00064937"/>
    <w:rsid w:val="000651C1"/>
    <w:rsid w:val="00065513"/>
    <w:rsid w:val="00065B1B"/>
    <w:rsid w:val="000666C7"/>
    <w:rsid w:val="00066EF9"/>
    <w:rsid w:val="00067D88"/>
    <w:rsid w:val="0007000D"/>
    <w:rsid w:val="00071CB6"/>
    <w:rsid w:val="00072B37"/>
    <w:rsid w:val="00072CB6"/>
    <w:rsid w:val="000732DE"/>
    <w:rsid w:val="00074896"/>
    <w:rsid w:val="000766D3"/>
    <w:rsid w:val="00077A3C"/>
    <w:rsid w:val="00080230"/>
    <w:rsid w:val="00080E59"/>
    <w:rsid w:val="000818A1"/>
    <w:rsid w:val="00081986"/>
    <w:rsid w:val="00081DAD"/>
    <w:rsid w:val="0008268F"/>
    <w:rsid w:val="00083BC4"/>
    <w:rsid w:val="00083C77"/>
    <w:rsid w:val="00084B9F"/>
    <w:rsid w:val="00085E1A"/>
    <w:rsid w:val="00086014"/>
    <w:rsid w:val="00086232"/>
    <w:rsid w:val="0008643F"/>
    <w:rsid w:val="00086D1F"/>
    <w:rsid w:val="00087A74"/>
    <w:rsid w:val="00087C60"/>
    <w:rsid w:val="00087E20"/>
    <w:rsid w:val="00090502"/>
    <w:rsid w:val="00090636"/>
    <w:rsid w:val="00091793"/>
    <w:rsid w:val="000917AF"/>
    <w:rsid w:val="00091FF6"/>
    <w:rsid w:val="000922D4"/>
    <w:rsid w:val="00092579"/>
    <w:rsid w:val="00093620"/>
    <w:rsid w:val="0009423C"/>
    <w:rsid w:val="00094534"/>
    <w:rsid w:val="00095415"/>
    <w:rsid w:val="000967F6"/>
    <w:rsid w:val="00096D75"/>
    <w:rsid w:val="00097FED"/>
    <w:rsid w:val="000A16CC"/>
    <w:rsid w:val="000A191C"/>
    <w:rsid w:val="000A2930"/>
    <w:rsid w:val="000A2C28"/>
    <w:rsid w:val="000A3446"/>
    <w:rsid w:val="000A3B5C"/>
    <w:rsid w:val="000A42A7"/>
    <w:rsid w:val="000A4779"/>
    <w:rsid w:val="000A5265"/>
    <w:rsid w:val="000A6808"/>
    <w:rsid w:val="000A6A2F"/>
    <w:rsid w:val="000A6D3E"/>
    <w:rsid w:val="000A7880"/>
    <w:rsid w:val="000B03D9"/>
    <w:rsid w:val="000B1B60"/>
    <w:rsid w:val="000B1D5B"/>
    <w:rsid w:val="000B2195"/>
    <w:rsid w:val="000B2832"/>
    <w:rsid w:val="000B2BE4"/>
    <w:rsid w:val="000B4BF1"/>
    <w:rsid w:val="000B5804"/>
    <w:rsid w:val="000B5E0C"/>
    <w:rsid w:val="000B7517"/>
    <w:rsid w:val="000C0244"/>
    <w:rsid w:val="000C07E8"/>
    <w:rsid w:val="000C141B"/>
    <w:rsid w:val="000C1630"/>
    <w:rsid w:val="000C1B23"/>
    <w:rsid w:val="000C1CEC"/>
    <w:rsid w:val="000C1D85"/>
    <w:rsid w:val="000C1E87"/>
    <w:rsid w:val="000C3D17"/>
    <w:rsid w:val="000C4FA7"/>
    <w:rsid w:val="000C568F"/>
    <w:rsid w:val="000C5FE7"/>
    <w:rsid w:val="000C6084"/>
    <w:rsid w:val="000C6B4F"/>
    <w:rsid w:val="000C6C69"/>
    <w:rsid w:val="000C77A9"/>
    <w:rsid w:val="000C7E9F"/>
    <w:rsid w:val="000D0BBE"/>
    <w:rsid w:val="000D1783"/>
    <w:rsid w:val="000D25BC"/>
    <w:rsid w:val="000D2B8F"/>
    <w:rsid w:val="000D3AFB"/>
    <w:rsid w:val="000D3C91"/>
    <w:rsid w:val="000D4FBC"/>
    <w:rsid w:val="000D505E"/>
    <w:rsid w:val="000D543F"/>
    <w:rsid w:val="000D5BB6"/>
    <w:rsid w:val="000D5DC3"/>
    <w:rsid w:val="000D65C3"/>
    <w:rsid w:val="000D65D2"/>
    <w:rsid w:val="000D68E1"/>
    <w:rsid w:val="000D6C1F"/>
    <w:rsid w:val="000D6CEC"/>
    <w:rsid w:val="000D6E28"/>
    <w:rsid w:val="000D74BA"/>
    <w:rsid w:val="000E090A"/>
    <w:rsid w:val="000E2337"/>
    <w:rsid w:val="000E241B"/>
    <w:rsid w:val="000E35B6"/>
    <w:rsid w:val="000E3B77"/>
    <w:rsid w:val="000E4B13"/>
    <w:rsid w:val="000E59AE"/>
    <w:rsid w:val="000E5A25"/>
    <w:rsid w:val="000E6754"/>
    <w:rsid w:val="000E7486"/>
    <w:rsid w:val="000E74F7"/>
    <w:rsid w:val="000E7BD9"/>
    <w:rsid w:val="000E7DEB"/>
    <w:rsid w:val="000F034E"/>
    <w:rsid w:val="000F047E"/>
    <w:rsid w:val="000F1565"/>
    <w:rsid w:val="000F1834"/>
    <w:rsid w:val="000F1FFA"/>
    <w:rsid w:val="000F251E"/>
    <w:rsid w:val="000F255B"/>
    <w:rsid w:val="000F26A6"/>
    <w:rsid w:val="000F3B1C"/>
    <w:rsid w:val="000F3E74"/>
    <w:rsid w:val="000F5A34"/>
    <w:rsid w:val="000F5F23"/>
    <w:rsid w:val="000F5F6E"/>
    <w:rsid w:val="000F62BA"/>
    <w:rsid w:val="000F6F1E"/>
    <w:rsid w:val="000F7039"/>
    <w:rsid w:val="000F7079"/>
    <w:rsid w:val="000F70D7"/>
    <w:rsid w:val="000F7685"/>
    <w:rsid w:val="00101000"/>
    <w:rsid w:val="001011B4"/>
    <w:rsid w:val="001025F1"/>
    <w:rsid w:val="0010286C"/>
    <w:rsid w:val="001031A6"/>
    <w:rsid w:val="00103386"/>
    <w:rsid w:val="00103918"/>
    <w:rsid w:val="00104436"/>
    <w:rsid w:val="00105F29"/>
    <w:rsid w:val="00107309"/>
    <w:rsid w:val="00107FA5"/>
    <w:rsid w:val="0011005C"/>
    <w:rsid w:val="00111740"/>
    <w:rsid w:val="001139B7"/>
    <w:rsid w:val="00114370"/>
    <w:rsid w:val="0011515D"/>
    <w:rsid w:val="001154CC"/>
    <w:rsid w:val="00115A0B"/>
    <w:rsid w:val="0011606C"/>
    <w:rsid w:val="00116690"/>
    <w:rsid w:val="00117156"/>
    <w:rsid w:val="00117695"/>
    <w:rsid w:val="00117739"/>
    <w:rsid w:val="00120720"/>
    <w:rsid w:val="00120B92"/>
    <w:rsid w:val="001216A1"/>
    <w:rsid w:val="001219C1"/>
    <w:rsid w:val="00121FE2"/>
    <w:rsid w:val="00123130"/>
    <w:rsid w:val="00124122"/>
    <w:rsid w:val="00124374"/>
    <w:rsid w:val="001248E8"/>
    <w:rsid w:val="00124A40"/>
    <w:rsid w:val="0012510E"/>
    <w:rsid w:val="00125BDA"/>
    <w:rsid w:val="00125EED"/>
    <w:rsid w:val="001277CB"/>
    <w:rsid w:val="0013053D"/>
    <w:rsid w:val="001318F5"/>
    <w:rsid w:val="0013279F"/>
    <w:rsid w:val="001327C8"/>
    <w:rsid w:val="00132A9B"/>
    <w:rsid w:val="0013346A"/>
    <w:rsid w:val="001335B2"/>
    <w:rsid w:val="001348CD"/>
    <w:rsid w:val="001349EB"/>
    <w:rsid w:val="00134E8E"/>
    <w:rsid w:val="00135289"/>
    <w:rsid w:val="00135B49"/>
    <w:rsid w:val="00135B94"/>
    <w:rsid w:val="00135DDD"/>
    <w:rsid w:val="0013634F"/>
    <w:rsid w:val="001368D6"/>
    <w:rsid w:val="001369B8"/>
    <w:rsid w:val="00137375"/>
    <w:rsid w:val="00137A4B"/>
    <w:rsid w:val="00137B0F"/>
    <w:rsid w:val="001405B3"/>
    <w:rsid w:val="001406A5"/>
    <w:rsid w:val="00140B0D"/>
    <w:rsid w:val="001415FF"/>
    <w:rsid w:val="00141EF7"/>
    <w:rsid w:val="00143AF5"/>
    <w:rsid w:val="0014482E"/>
    <w:rsid w:val="00146A47"/>
    <w:rsid w:val="00146C52"/>
    <w:rsid w:val="00146FC2"/>
    <w:rsid w:val="00146FD3"/>
    <w:rsid w:val="00147540"/>
    <w:rsid w:val="00147812"/>
    <w:rsid w:val="00150269"/>
    <w:rsid w:val="00150784"/>
    <w:rsid w:val="001508FE"/>
    <w:rsid w:val="00151E29"/>
    <w:rsid w:val="00152897"/>
    <w:rsid w:val="001533B2"/>
    <w:rsid w:val="001535EA"/>
    <w:rsid w:val="00153FCB"/>
    <w:rsid w:val="0015448D"/>
    <w:rsid w:val="00155B92"/>
    <w:rsid w:val="001561DC"/>
    <w:rsid w:val="00156C0B"/>
    <w:rsid w:val="00157189"/>
    <w:rsid w:val="001571F5"/>
    <w:rsid w:val="001572F1"/>
    <w:rsid w:val="0016000A"/>
    <w:rsid w:val="00160B4E"/>
    <w:rsid w:val="00160D38"/>
    <w:rsid w:val="00160E73"/>
    <w:rsid w:val="00162928"/>
    <w:rsid w:val="00162EB7"/>
    <w:rsid w:val="00163126"/>
    <w:rsid w:val="00163BC9"/>
    <w:rsid w:val="001644EE"/>
    <w:rsid w:val="00164CBD"/>
    <w:rsid w:val="001651B8"/>
    <w:rsid w:val="00165696"/>
    <w:rsid w:val="00165B1E"/>
    <w:rsid w:val="0016653A"/>
    <w:rsid w:val="001666CA"/>
    <w:rsid w:val="001666ED"/>
    <w:rsid w:val="0016702F"/>
    <w:rsid w:val="00167080"/>
    <w:rsid w:val="001673F2"/>
    <w:rsid w:val="00167DEB"/>
    <w:rsid w:val="001711CE"/>
    <w:rsid w:val="0017168D"/>
    <w:rsid w:val="00171B9A"/>
    <w:rsid w:val="001722C7"/>
    <w:rsid w:val="0017240C"/>
    <w:rsid w:val="00172F87"/>
    <w:rsid w:val="00173029"/>
    <w:rsid w:val="00173030"/>
    <w:rsid w:val="00173B28"/>
    <w:rsid w:val="00174F4F"/>
    <w:rsid w:val="00175804"/>
    <w:rsid w:val="00176884"/>
    <w:rsid w:val="00176F1A"/>
    <w:rsid w:val="001804E2"/>
    <w:rsid w:val="0018163E"/>
    <w:rsid w:val="001823F1"/>
    <w:rsid w:val="001833A0"/>
    <w:rsid w:val="001838BF"/>
    <w:rsid w:val="001848D8"/>
    <w:rsid w:val="001849A1"/>
    <w:rsid w:val="001856D2"/>
    <w:rsid w:val="00185DCD"/>
    <w:rsid w:val="00185E19"/>
    <w:rsid w:val="00185ED1"/>
    <w:rsid w:val="001864BC"/>
    <w:rsid w:val="0018711E"/>
    <w:rsid w:val="00187215"/>
    <w:rsid w:val="00190261"/>
    <w:rsid w:val="00191403"/>
    <w:rsid w:val="00192051"/>
    <w:rsid w:val="00193502"/>
    <w:rsid w:val="00193951"/>
    <w:rsid w:val="001949C3"/>
    <w:rsid w:val="00195639"/>
    <w:rsid w:val="0019566D"/>
    <w:rsid w:val="0019587B"/>
    <w:rsid w:val="00195ABA"/>
    <w:rsid w:val="00195B8F"/>
    <w:rsid w:val="001961D3"/>
    <w:rsid w:val="00196AC6"/>
    <w:rsid w:val="00197ED6"/>
    <w:rsid w:val="001A17D4"/>
    <w:rsid w:val="001A1A58"/>
    <w:rsid w:val="001A2A9C"/>
    <w:rsid w:val="001A314D"/>
    <w:rsid w:val="001A3666"/>
    <w:rsid w:val="001A3CEC"/>
    <w:rsid w:val="001A4BCF"/>
    <w:rsid w:val="001A595D"/>
    <w:rsid w:val="001A5FA5"/>
    <w:rsid w:val="001A634F"/>
    <w:rsid w:val="001A665D"/>
    <w:rsid w:val="001A70C4"/>
    <w:rsid w:val="001B008A"/>
    <w:rsid w:val="001B1243"/>
    <w:rsid w:val="001B1562"/>
    <w:rsid w:val="001B2160"/>
    <w:rsid w:val="001B28C9"/>
    <w:rsid w:val="001B3035"/>
    <w:rsid w:val="001B389D"/>
    <w:rsid w:val="001B39C4"/>
    <w:rsid w:val="001B4D5A"/>
    <w:rsid w:val="001B630B"/>
    <w:rsid w:val="001B7A47"/>
    <w:rsid w:val="001C0348"/>
    <w:rsid w:val="001C229E"/>
    <w:rsid w:val="001C2300"/>
    <w:rsid w:val="001C5B26"/>
    <w:rsid w:val="001C6695"/>
    <w:rsid w:val="001C66EF"/>
    <w:rsid w:val="001C6846"/>
    <w:rsid w:val="001C6ADD"/>
    <w:rsid w:val="001C7022"/>
    <w:rsid w:val="001C77FC"/>
    <w:rsid w:val="001C79CE"/>
    <w:rsid w:val="001D0493"/>
    <w:rsid w:val="001D1311"/>
    <w:rsid w:val="001D13FB"/>
    <w:rsid w:val="001D2330"/>
    <w:rsid w:val="001D2A62"/>
    <w:rsid w:val="001D36BF"/>
    <w:rsid w:val="001D375B"/>
    <w:rsid w:val="001D3795"/>
    <w:rsid w:val="001D4670"/>
    <w:rsid w:val="001D67A5"/>
    <w:rsid w:val="001D6DD0"/>
    <w:rsid w:val="001D714B"/>
    <w:rsid w:val="001D751E"/>
    <w:rsid w:val="001E0124"/>
    <w:rsid w:val="001E0881"/>
    <w:rsid w:val="001E1182"/>
    <w:rsid w:val="001E176B"/>
    <w:rsid w:val="001E208B"/>
    <w:rsid w:val="001E2D35"/>
    <w:rsid w:val="001E2EF4"/>
    <w:rsid w:val="001E3A1D"/>
    <w:rsid w:val="001E4845"/>
    <w:rsid w:val="001E5448"/>
    <w:rsid w:val="001E5FC7"/>
    <w:rsid w:val="001E6C25"/>
    <w:rsid w:val="001E761A"/>
    <w:rsid w:val="001F17AA"/>
    <w:rsid w:val="001F2086"/>
    <w:rsid w:val="001F21A3"/>
    <w:rsid w:val="001F2EE7"/>
    <w:rsid w:val="001F3562"/>
    <w:rsid w:val="001F3713"/>
    <w:rsid w:val="001F3C42"/>
    <w:rsid w:val="001F40E5"/>
    <w:rsid w:val="001F46A3"/>
    <w:rsid w:val="001F49B7"/>
    <w:rsid w:val="001F5F00"/>
    <w:rsid w:val="001F66AE"/>
    <w:rsid w:val="001F70D2"/>
    <w:rsid w:val="001F7329"/>
    <w:rsid w:val="00200A35"/>
    <w:rsid w:val="00200DAE"/>
    <w:rsid w:val="0020216A"/>
    <w:rsid w:val="00202293"/>
    <w:rsid w:val="002024D9"/>
    <w:rsid w:val="00202AA2"/>
    <w:rsid w:val="00202C45"/>
    <w:rsid w:val="00204269"/>
    <w:rsid w:val="00204530"/>
    <w:rsid w:val="00204971"/>
    <w:rsid w:val="00204D87"/>
    <w:rsid w:val="00204FDC"/>
    <w:rsid w:val="00205C84"/>
    <w:rsid w:val="002067D7"/>
    <w:rsid w:val="00207412"/>
    <w:rsid w:val="00207F23"/>
    <w:rsid w:val="0021135A"/>
    <w:rsid w:val="002114EE"/>
    <w:rsid w:val="002114F1"/>
    <w:rsid w:val="002117AB"/>
    <w:rsid w:val="0021196A"/>
    <w:rsid w:val="002123B2"/>
    <w:rsid w:val="002132F5"/>
    <w:rsid w:val="00213465"/>
    <w:rsid w:val="00213E88"/>
    <w:rsid w:val="0021480B"/>
    <w:rsid w:val="002157EE"/>
    <w:rsid w:val="00215DC1"/>
    <w:rsid w:val="002171BC"/>
    <w:rsid w:val="002178AD"/>
    <w:rsid w:val="002211F2"/>
    <w:rsid w:val="002217D0"/>
    <w:rsid w:val="00221E29"/>
    <w:rsid w:val="002228D8"/>
    <w:rsid w:val="00222B14"/>
    <w:rsid w:val="00222E96"/>
    <w:rsid w:val="002256D5"/>
    <w:rsid w:val="00226BBE"/>
    <w:rsid w:val="00226E54"/>
    <w:rsid w:val="002273E5"/>
    <w:rsid w:val="002279E2"/>
    <w:rsid w:val="0023082B"/>
    <w:rsid w:val="00230DEC"/>
    <w:rsid w:val="002329D7"/>
    <w:rsid w:val="002338EB"/>
    <w:rsid w:val="00236C16"/>
    <w:rsid w:val="00237DD5"/>
    <w:rsid w:val="0024119E"/>
    <w:rsid w:val="0024147B"/>
    <w:rsid w:val="00241857"/>
    <w:rsid w:val="00241B42"/>
    <w:rsid w:val="00241F7D"/>
    <w:rsid w:val="0024472F"/>
    <w:rsid w:val="00244F64"/>
    <w:rsid w:val="00245520"/>
    <w:rsid w:val="00245685"/>
    <w:rsid w:val="002477E0"/>
    <w:rsid w:val="00247947"/>
    <w:rsid w:val="00247B10"/>
    <w:rsid w:val="002501D0"/>
    <w:rsid w:val="00250ACB"/>
    <w:rsid w:val="00250CA5"/>
    <w:rsid w:val="00251833"/>
    <w:rsid w:val="00251966"/>
    <w:rsid w:val="00251D70"/>
    <w:rsid w:val="00252BF4"/>
    <w:rsid w:val="00252D00"/>
    <w:rsid w:val="0025310C"/>
    <w:rsid w:val="00253545"/>
    <w:rsid w:val="00254094"/>
    <w:rsid w:val="00254174"/>
    <w:rsid w:val="0025487A"/>
    <w:rsid w:val="00254CC3"/>
    <w:rsid w:val="002563E5"/>
    <w:rsid w:val="002572BB"/>
    <w:rsid w:val="00260BBD"/>
    <w:rsid w:val="0026103B"/>
    <w:rsid w:val="002617BC"/>
    <w:rsid w:val="00263983"/>
    <w:rsid w:val="002639A7"/>
    <w:rsid w:val="00263C1D"/>
    <w:rsid w:val="00263F53"/>
    <w:rsid w:val="0026422C"/>
    <w:rsid w:val="00264300"/>
    <w:rsid w:val="0026735D"/>
    <w:rsid w:val="0027004E"/>
    <w:rsid w:val="002701D2"/>
    <w:rsid w:val="002703E9"/>
    <w:rsid w:val="002714C8"/>
    <w:rsid w:val="002714DF"/>
    <w:rsid w:val="0027160C"/>
    <w:rsid w:val="00271636"/>
    <w:rsid w:val="00271A0D"/>
    <w:rsid w:val="00271C2B"/>
    <w:rsid w:val="00272580"/>
    <w:rsid w:val="00272984"/>
    <w:rsid w:val="00273165"/>
    <w:rsid w:val="002736BE"/>
    <w:rsid w:val="00274746"/>
    <w:rsid w:val="00274FE8"/>
    <w:rsid w:val="00275BA9"/>
    <w:rsid w:val="00275C68"/>
    <w:rsid w:val="00275DDB"/>
    <w:rsid w:val="00276E33"/>
    <w:rsid w:val="00277E95"/>
    <w:rsid w:val="00282B79"/>
    <w:rsid w:val="00285325"/>
    <w:rsid w:val="002853A6"/>
    <w:rsid w:val="00285A35"/>
    <w:rsid w:val="00285B97"/>
    <w:rsid w:val="00285D74"/>
    <w:rsid w:val="002864F3"/>
    <w:rsid w:val="00286668"/>
    <w:rsid w:val="00286DF7"/>
    <w:rsid w:val="0028723C"/>
    <w:rsid w:val="00287E82"/>
    <w:rsid w:val="00290040"/>
    <w:rsid w:val="00291242"/>
    <w:rsid w:val="0029285B"/>
    <w:rsid w:val="00292E17"/>
    <w:rsid w:val="002934FF"/>
    <w:rsid w:val="00293D68"/>
    <w:rsid w:val="00295461"/>
    <w:rsid w:val="00295926"/>
    <w:rsid w:val="00295DD5"/>
    <w:rsid w:val="00296D63"/>
    <w:rsid w:val="002973C8"/>
    <w:rsid w:val="002978BA"/>
    <w:rsid w:val="00297960"/>
    <w:rsid w:val="002A1515"/>
    <w:rsid w:val="002A1A4E"/>
    <w:rsid w:val="002A26EB"/>
    <w:rsid w:val="002A2E69"/>
    <w:rsid w:val="002A3B63"/>
    <w:rsid w:val="002A3C4F"/>
    <w:rsid w:val="002A4581"/>
    <w:rsid w:val="002A487F"/>
    <w:rsid w:val="002A4ABC"/>
    <w:rsid w:val="002A4F9B"/>
    <w:rsid w:val="002A576A"/>
    <w:rsid w:val="002A626F"/>
    <w:rsid w:val="002A72F1"/>
    <w:rsid w:val="002A7671"/>
    <w:rsid w:val="002B0014"/>
    <w:rsid w:val="002B1678"/>
    <w:rsid w:val="002B2307"/>
    <w:rsid w:val="002B2FD2"/>
    <w:rsid w:val="002B4042"/>
    <w:rsid w:val="002B40BA"/>
    <w:rsid w:val="002B44FA"/>
    <w:rsid w:val="002B46C9"/>
    <w:rsid w:val="002B54E4"/>
    <w:rsid w:val="002B5583"/>
    <w:rsid w:val="002B5AD0"/>
    <w:rsid w:val="002B6A69"/>
    <w:rsid w:val="002B6C8C"/>
    <w:rsid w:val="002B6FAE"/>
    <w:rsid w:val="002B79AD"/>
    <w:rsid w:val="002B7ACB"/>
    <w:rsid w:val="002B7F58"/>
    <w:rsid w:val="002B7FFE"/>
    <w:rsid w:val="002C026E"/>
    <w:rsid w:val="002C051F"/>
    <w:rsid w:val="002C0BB2"/>
    <w:rsid w:val="002C1B4A"/>
    <w:rsid w:val="002C1D88"/>
    <w:rsid w:val="002C1FFC"/>
    <w:rsid w:val="002C2375"/>
    <w:rsid w:val="002C402B"/>
    <w:rsid w:val="002C4575"/>
    <w:rsid w:val="002C57D7"/>
    <w:rsid w:val="002C5D32"/>
    <w:rsid w:val="002C61F7"/>
    <w:rsid w:val="002C622E"/>
    <w:rsid w:val="002C6463"/>
    <w:rsid w:val="002D03FF"/>
    <w:rsid w:val="002D1328"/>
    <w:rsid w:val="002D1901"/>
    <w:rsid w:val="002D2D1C"/>
    <w:rsid w:val="002D3001"/>
    <w:rsid w:val="002D3677"/>
    <w:rsid w:val="002D4C6F"/>
    <w:rsid w:val="002D5013"/>
    <w:rsid w:val="002D521B"/>
    <w:rsid w:val="002D5247"/>
    <w:rsid w:val="002D5C68"/>
    <w:rsid w:val="002D6298"/>
    <w:rsid w:val="002D7490"/>
    <w:rsid w:val="002D7E22"/>
    <w:rsid w:val="002E04C4"/>
    <w:rsid w:val="002E145C"/>
    <w:rsid w:val="002E18FD"/>
    <w:rsid w:val="002E1C14"/>
    <w:rsid w:val="002E2D88"/>
    <w:rsid w:val="002E32AC"/>
    <w:rsid w:val="002E37B5"/>
    <w:rsid w:val="002E4605"/>
    <w:rsid w:val="002E4D81"/>
    <w:rsid w:val="002E5B0F"/>
    <w:rsid w:val="002E68A5"/>
    <w:rsid w:val="002F066E"/>
    <w:rsid w:val="002F18A4"/>
    <w:rsid w:val="002F22B7"/>
    <w:rsid w:val="002F26C9"/>
    <w:rsid w:val="002F2C8E"/>
    <w:rsid w:val="002F462F"/>
    <w:rsid w:val="002F53DF"/>
    <w:rsid w:val="002F5CFE"/>
    <w:rsid w:val="002F736E"/>
    <w:rsid w:val="00300775"/>
    <w:rsid w:val="0030130A"/>
    <w:rsid w:val="00301C23"/>
    <w:rsid w:val="003024E0"/>
    <w:rsid w:val="003035D4"/>
    <w:rsid w:val="003045BA"/>
    <w:rsid w:val="00305709"/>
    <w:rsid w:val="00306ABC"/>
    <w:rsid w:val="00307239"/>
    <w:rsid w:val="0030792D"/>
    <w:rsid w:val="00310892"/>
    <w:rsid w:val="003116FD"/>
    <w:rsid w:val="00311DDD"/>
    <w:rsid w:val="00312245"/>
    <w:rsid w:val="0031248C"/>
    <w:rsid w:val="00313ABD"/>
    <w:rsid w:val="00314124"/>
    <w:rsid w:val="003148C0"/>
    <w:rsid w:val="00314F83"/>
    <w:rsid w:val="00315F72"/>
    <w:rsid w:val="0031631A"/>
    <w:rsid w:val="00316578"/>
    <w:rsid w:val="0031702C"/>
    <w:rsid w:val="00317187"/>
    <w:rsid w:val="003174D3"/>
    <w:rsid w:val="00317A52"/>
    <w:rsid w:val="0032013D"/>
    <w:rsid w:val="003205DF"/>
    <w:rsid w:val="003207AC"/>
    <w:rsid w:val="00320841"/>
    <w:rsid w:val="00321AA4"/>
    <w:rsid w:val="00321D34"/>
    <w:rsid w:val="003221B5"/>
    <w:rsid w:val="00323BB3"/>
    <w:rsid w:val="003246DF"/>
    <w:rsid w:val="00324E96"/>
    <w:rsid w:val="0032598D"/>
    <w:rsid w:val="003259BD"/>
    <w:rsid w:val="0032684D"/>
    <w:rsid w:val="003279C4"/>
    <w:rsid w:val="00330083"/>
    <w:rsid w:val="0033095A"/>
    <w:rsid w:val="003316BE"/>
    <w:rsid w:val="00331CE7"/>
    <w:rsid w:val="00332427"/>
    <w:rsid w:val="00334640"/>
    <w:rsid w:val="003346A0"/>
    <w:rsid w:val="003348EA"/>
    <w:rsid w:val="00335F04"/>
    <w:rsid w:val="00335F82"/>
    <w:rsid w:val="003378BD"/>
    <w:rsid w:val="003378C6"/>
    <w:rsid w:val="003403D3"/>
    <w:rsid w:val="00341247"/>
    <w:rsid w:val="00341C8C"/>
    <w:rsid w:val="00341E00"/>
    <w:rsid w:val="00342491"/>
    <w:rsid w:val="00342D98"/>
    <w:rsid w:val="00342EA3"/>
    <w:rsid w:val="003452AF"/>
    <w:rsid w:val="00345934"/>
    <w:rsid w:val="0034636C"/>
    <w:rsid w:val="003468CE"/>
    <w:rsid w:val="00346E93"/>
    <w:rsid w:val="00347118"/>
    <w:rsid w:val="00347666"/>
    <w:rsid w:val="003479B5"/>
    <w:rsid w:val="00347AA2"/>
    <w:rsid w:val="00350A03"/>
    <w:rsid w:val="0035123A"/>
    <w:rsid w:val="0035126A"/>
    <w:rsid w:val="003529A6"/>
    <w:rsid w:val="00353603"/>
    <w:rsid w:val="00353EF8"/>
    <w:rsid w:val="00354828"/>
    <w:rsid w:val="00355A79"/>
    <w:rsid w:val="0035611B"/>
    <w:rsid w:val="00356F8E"/>
    <w:rsid w:val="00356FA4"/>
    <w:rsid w:val="003570D9"/>
    <w:rsid w:val="00357657"/>
    <w:rsid w:val="003616C1"/>
    <w:rsid w:val="00363A28"/>
    <w:rsid w:val="00364706"/>
    <w:rsid w:val="00365963"/>
    <w:rsid w:val="00365AF6"/>
    <w:rsid w:val="00365C26"/>
    <w:rsid w:val="003666C5"/>
    <w:rsid w:val="003678DF"/>
    <w:rsid w:val="003710B5"/>
    <w:rsid w:val="003739C0"/>
    <w:rsid w:val="00373DC0"/>
    <w:rsid w:val="00374847"/>
    <w:rsid w:val="00374CC8"/>
    <w:rsid w:val="00374F19"/>
    <w:rsid w:val="003754F4"/>
    <w:rsid w:val="0037585A"/>
    <w:rsid w:val="00375DE2"/>
    <w:rsid w:val="00375E2E"/>
    <w:rsid w:val="0037616F"/>
    <w:rsid w:val="00376C35"/>
    <w:rsid w:val="0037753B"/>
    <w:rsid w:val="003779D6"/>
    <w:rsid w:val="00381FFE"/>
    <w:rsid w:val="00382A9C"/>
    <w:rsid w:val="00382C08"/>
    <w:rsid w:val="00383293"/>
    <w:rsid w:val="00383FFB"/>
    <w:rsid w:val="00385988"/>
    <w:rsid w:val="00385BC0"/>
    <w:rsid w:val="00385C46"/>
    <w:rsid w:val="00385E48"/>
    <w:rsid w:val="00385FF6"/>
    <w:rsid w:val="0039050C"/>
    <w:rsid w:val="00390E6C"/>
    <w:rsid w:val="00391090"/>
    <w:rsid w:val="00392446"/>
    <w:rsid w:val="0039467D"/>
    <w:rsid w:val="00394AA0"/>
    <w:rsid w:val="00394B6D"/>
    <w:rsid w:val="003960ED"/>
    <w:rsid w:val="0039667A"/>
    <w:rsid w:val="00396879"/>
    <w:rsid w:val="00396E11"/>
    <w:rsid w:val="00397084"/>
    <w:rsid w:val="003977C3"/>
    <w:rsid w:val="003A08D3"/>
    <w:rsid w:val="003A0E1A"/>
    <w:rsid w:val="003A22C5"/>
    <w:rsid w:val="003A2E15"/>
    <w:rsid w:val="003A3BE3"/>
    <w:rsid w:val="003A3EEC"/>
    <w:rsid w:val="003A477B"/>
    <w:rsid w:val="003A4791"/>
    <w:rsid w:val="003A4A93"/>
    <w:rsid w:val="003A4B60"/>
    <w:rsid w:val="003A6762"/>
    <w:rsid w:val="003A6CAE"/>
    <w:rsid w:val="003B157C"/>
    <w:rsid w:val="003B1B5C"/>
    <w:rsid w:val="003B2527"/>
    <w:rsid w:val="003B274E"/>
    <w:rsid w:val="003B2B37"/>
    <w:rsid w:val="003B2F8A"/>
    <w:rsid w:val="003B35A6"/>
    <w:rsid w:val="003B4F4F"/>
    <w:rsid w:val="003B53C1"/>
    <w:rsid w:val="003B5B7D"/>
    <w:rsid w:val="003B7131"/>
    <w:rsid w:val="003C0131"/>
    <w:rsid w:val="003C0EF8"/>
    <w:rsid w:val="003C12FF"/>
    <w:rsid w:val="003C1634"/>
    <w:rsid w:val="003C1CF1"/>
    <w:rsid w:val="003C2185"/>
    <w:rsid w:val="003C2D87"/>
    <w:rsid w:val="003C4C9A"/>
    <w:rsid w:val="003C53B9"/>
    <w:rsid w:val="003C59C1"/>
    <w:rsid w:val="003D0ADE"/>
    <w:rsid w:val="003D18B9"/>
    <w:rsid w:val="003D1AC8"/>
    <w:rsid w:val="003D21E7"/>
    <w:rsid w:val="003D34FB"/>
    <w:rsid w:val="003D38C4"/>
    <w:rsid w:val="003D43ED"/>
    <w:rsid w:val="003D44D6"/>
    <w:rsid w:val="003D53F6"/>
    <w:rsid w:val="003D5841"/>
    <w:rsid w:val="003D58C9"/>
    <w:rsid w:val="003D5D1F"/>
    <w:rsid w:val="003D6FE8"/>
    <w:rsid w:val="003D7767"/>
    <w:rsid w:val="003E0A3A"/>
    <w:rsid w:val="003E0E42"/>
    <w:rsid w:val="003E161D"/>
    <w:rsid w:val="003E165E"/>
    <w:rsid w:val="003E1B28"/>
    <w:rsid w:val="003E1D57"/>
    <w:rsid w:val="003E1FE5"/>
    <w:rsid w:val="003E22BC"/>
    <w:rsid w:val="003E2587"/>
    <w:rsid w:val="003E2B4B"/>
    <w:rsid w:val="003E2C60"/>
    <w:rsid w:val="003E366E"/>
    <w:rsid w:val="003E3B25"/>
    <w:rsid w:val="003E489B"/>
    <w:rsid w:val="003E518E"/>
    <w:rsid w:val="003E5FC7"/>
    <w:rsid w:val="003E630A"/>
    <w:rsid w:val="003E65BF"/>
    <w:rsid w:val="003E7146"/>
    <w:rsid w:val="003F03AD"/>
    <w:rsid w:val="003F03D2"/>
    <w:rsid w:val="003F07DC"/>
    <w:rsid w:val="003F0C10"/>
    <w:rsid w:val="003F1634"/>
    <w:rsid w:val="003F1827"/>
    <w:rsid w:val="003F5852"/>
    <w:rsid w:val="003F59FD"/>
    <w:rsid w:val="003F6A84"/>
    <w:rsid w:val="003F6F2D"/>
    <w:rsid w:val="003F7425"/>
    <w:rsid w:val="003F7AA6"/>
    <w:rsid w:val="00401861"/>
    <w:rsid w:val="004025D9"/>
    <w:rsid w:val="00403232"/>
    <w:rsid w:val="0040349D"/>
    <w:rsid w:val="0040570C"/>
    <w:rsid w:val="004072A4"/>
    <w:rsid w:val="00407B79"/>
    <w:rsid w:val="00407CC0"/>
    <w:rsid w:val="004105ED"/>
    <w:rsid w:val="00410ACC"/>
    <w:rsid w:val="004113E5"/>
    <w:rsid w:val="00411617"/>
    <w:rsid w:val="004130DD"/>
    <w:rsid w:val="004169B5"/>
    <w:rsid w:val="00416B93"/>
    <w:rsid w:val="00416BA8"/>
    <w:rsid w:val="0041704B"/>
    <w:rsid w:val="004200E6"/>
    <w:rsid w:val="004205B2"/>
    <w:rsid w:val="00421AAC"/>
    <w:rsid w:val="00421BA6"/>
    <w:rsid w:val="004224CF"/>
    <w:rsid w:val="00422AE3"/>
    <w:rsid w:val="0042341C"/>
    <w:rsid w:val="00423FFB"/>
    <w:rsid w:val="00425A7D"/>
    <w:rsid w:val="00425A9F"/>
    <w:rsid w:val="00425DDD"/>
    <w:rsid w:val="00425FCB"/>
    <w:rsid w:val="004271EF"/>
    <w:rsid w:val="0043099F"/>
    <w:rsid w:val="00430FF2"/>
    <w:rsid w:val="00432753"/>
    <w:rsid w:val="00433A14"/>
    <w:rsid w:val="0043427E"/>
    <w:rsid w:val="004345A2"/>
    <w:rsid w:val="004346C9"/>
    <w:rsid w:val="00434771"/>
    <w:rsid w:val="00434BB8"/>
    <w:rsid w:val="004365DB"/>
    <w:rsid w:val="00436724"/>
    <w:rsid w:val="00436940"/>
    <w:rsid w:val="00437E18"/>
    <w:rsid w:val="0044086B"/>
    <w:rsid w:val="004409B7"/>
    <w:rsid w:val="00441896"/>
    <w:rsid w:val="00441973"/>
    <w:rsid w:val="0044263F"/>
    <w:rsid w:val="00442E89"/>
    <w:rsid w:val="00443231"/>
    <w:rsid w:val="00443FD5"/>
    <w:rsid w:val="004448E6"/>
    <w:rsid w:val="00444AA5"/>
    <w:rsid w:val="00444BA7"/>
    <w:rsid w:val="00445063"/>
    <w:rsid w:val="0044506F"/>
    <w:rsid w:val="00445161"/>
    <w:rsid w:val="00446280"/>
    <w:rsid w:val="00447808"/>
    <w:rsid w:val="004500CA"/>
    <w:rsid w:val="00452CE4"/>
    <w:rsid w:val="004551FF"/>
    <w:rsid w:val="0045563D"/>
    <w:rsid w:val="00456241"/>
    <w:rsid w:val="0045632B"/>
    <w:rsid w:val="00456AF3"/>
    <w:rsid w:val="00456B2A"/>
    <w:rsid w:val="004605ED"/>
    <w:rsid w:val="00461353"/>
    <w:rsid w:val="00461477"/>
    <w:rsid w:val="00461D5B"/>
    <w:rsid w:val="00462B2B"/>
    <w:rsid w:val="00462FDD"/>
    <w:rsid w:val="004637DB"/>
    <w:rsid w:val="00464408"/>
    <w:rsid w:val="00465DAB"/>
    <w:rsid w:val="00466D73"/>
    <w:rsid w:val="00466F81"/>
    <w:rsid w:val="004673D7"/>
    <w:rsid w:val="00467D26"/>
    <w:rsid w:val="00470EC2"/>
    <w:rsid w:val="004711B5"/>
    <w:rsid w:val="004711BD"/>
    <w:rsid w:val="00472291"/>
    <w:rsid w:val="004730F3"/>
    <w:rsid w:val="0047329E"/>
    <w:rsid w:val="00473E74"/>
    <w:rsid w:val="004740AF"/>
    <w:rsid w:val="00474D8B"/>
    <w:rsid w:val="004751CF"/>
    <w:rsid w:val="004751D7"/>
    <w:rsid w:val="004759B3"/>
    <w:rsid w:val="0047667E"/>
    <w:rsid w:val="00476860"/>
    <w:rsid w:val="00477924"/>
    <w:rsid w:val="00480A98"/>
    <w:rsid w:val="00480FDC"/>
    <w:rsid w:val="00481236"/>
    <w:rsid w:val="004825B8"/>
    <w:rsid w:val="0048340D"/>
    <w:rsid w:val="00483885"/>
    <w:rsid w:val="00483A41"/>
    <w:rsid w:val="00483B39"/>
    <w:rsid w:val="00483D85"/>
    <w:rsid w:val="00484BC5"/>
    <w:rsid w:val="00484E98"/>
    <w:rsid w:val="00485745"/>
    <w:rsid w:val="004872DE"/>
    <w:rsid w:val="00487882"/>
    <w:rsid w:val="00487B33"/>
    <w:rsid w:val="00487B52"/>
    <w:rsid w:val="00487FB0"/>
    <w:rsid w:val="00490215"/>
    <w:rsid w:val="0049037A"/>
    <w:rsid w:val="00490D6E"/>
    <w:rsid w:val="0049167B"/>
    <w:rsid w:val="004928CA"/>
    <w:rsid w:val="004928D1"/>
    <w:rsid w:val="004934D4"/>
    <w:rsid w:val="004938FC"/>
    <w:rsid w:val="0049420A"/>
    <w:rsid w:val="00494C70"/>
    <w:rsid w:val="00494E18"/>
    <w:rsid w:val="00494E78"/>
    <w:rsid w:val="004954B2"/>
    <w:rsid w:val="00495E85"/>
    <w:rsid w:val="00495F8E"/>
    <w:rsid w:val="00496F65"/>
    <w:rsid w:val="004A0327"/>
    <w:rsid w:val="004A03B1"/>
    <w:rsid w:val="004A10B5"/>
    <w:rsid w:val="004A10CB"/>
    <w:rsid w:val="004A1738"/>
    <w:rsid w:val="004A1F67"/>
    <w:rsid w:val="004A2247"/>
    <w:rsid w:val="004A24FE"/>
    <w:rsid w:val="004A2620"/>
    <w:rsid w:val="004A35A2"/>
    <w:rsid w:val="004A40AD"/>
    <w:rsid w:val="004A4590"/>
    <w:rsid w:val="004A5B86"/>
    <w:rsid w:val="004A5CB2"/>
    <w:rsid w:val="004A5CD7"/>
    <w:rsid w:val="004A6E4E"/>
    <w:rsid w:val="004A7518"/>
    <w:rsid w:val="004A7A5C"/>
    <w:rsid w:val="004B0B14"/>
    <w:rsid w:val="004B18D6"/>
    <w:rsid w:val="004B21FF"/>
    <w:rsid w:val="004B288A"/>
    <w:rsid w:val="004B29F0"/>
    <w:rsid w:val="004B2AD5"/>
    <w:rsid w:val="004B34F6"/>
    <w:rsid w:val="004B38F0"/>
    <w:rsid w:val="004B396E"/>
    <w:rsid w:val="004B4767"/>
    <w:rsid w:val="004B4B4C"/>
    <w:rsid w:val="004B50F3"/>
    <w:rsid w:val="004B5411"/>
    <w:rsid w:val="004B5ED4"/>
    <w:rsid w:val="004B5F31"/>
    <w:rsid w:val="004B7249"/>
    <w:rsid w:val="004B72BB"/>
    <w:rsid w:val="004B7DAA"/>
    <w:rsid w:val="004C0A4D"/>
    <w:rsid w:val="004C0C98"/>
    <w:rsid w:val="004C105A"/>
    <w:rsid w:val="004C1C1E"/>
    <w:rsid w:val="004C20B6"/>
    <w:rsid w:val="004C382E"/>
    <w:rsid w:val="004C4461"/>
    <w:rsid w:val="004C4B74"/>
    <w:rsid w:val="004C4DBD"/>
    <w:rsid w:val="004C5A7A"/>
    <w:rsid w:val="004C60CD"/>
    <w:rsid w:val="004C6C92"/>
    <w:rsid w:val="004C70A0"/>
    <w:rsid w:val="004C7426"/>
    <w:rsid w:val="004D08DE"/>
    <w:rsid w:val="004D0DA1"/>
    <w:rsid w:val="004D10CD"/>
    <w:rsid w:val="004D11E6"/>
    <w:rsid w:val="004D19BC"/>
    <w:rsid w:val="004D216F"/>
    <w:rsid w:val="004D59A7"/>
    <w:rsid w:val="004D5AFF"/>
    <w:rsid w:val="004D5D4D"/>
    <w:rsid w:val="004E13E2"/>
    <w:rsid w:val="004E207E"/>
    <w:rsid w:val="004E2406"/>
    <w:rsid w:val="004E3070"/>
    <w:rsid w:val="004E431C"/>
    <w:rsid w:val="004E459D"/>
    <w:rsid w:val="004E4BA3"/>
    <w:rsid w:val="004E51A6"/>
    <w:rsid w:val="004E571D"/>
    <w:rsid w:val="004E5789"/>
    <w:rsid w:val="004E5E11"/>
    <w:rsid w:val="004E66CF"/>
    <w:rsid w:val="004E7997"/>
    <w:rsid w:val="004E7D61"/>
    <w:rsid w:val="004F0330"/>
    <w:rsid w:val="004F1202"/>
    <w:rsid w:val="004F1506"/>
    <w:rsid w:val="004F1F71"/>
    <w:rsid w:val="004F2AB7"/>
    <w:rsid w:val="004F2C8B"/>
    <w:rsid w:val="004F4035"/>
    <w:rsid w:val="004F51C3"/>
    <w:rsid w:val="004F5523"/>
    <w:rsid w:val="004F5CF3"/>
    <w:rsid w:val="004F785A"/>
    <w:rsid w:val="00503757"/>
    <w:rsid w:val="005051B5"/>
    <w:rsid w:val="00505612"/>
    <w:rsid w:val="00505C63"/>
    <w:rsid w:val="005066DF"/>
    <w:rsid w:val="005078D2"/>
    <w:rsid w:val="00510966"/>
    <w:rsid w:val="005112B0"/>
    <w:rsid w:val="00511F35"/>
    <w:rsid w:val="005120FA"/>
    <w:rsid w:val="00512895"/>
    <w:rsid w:val="00512ED2"/>
    <w:rsid w:val="005130CD"/>
    <w:rsid w:val="005132E2"/>
    <w:rsid w:val="005133D6"/>
    <w:rsid w:val="00513716"/>
    <w:rsid w:val="0051556C"/>
    <w:rsid w:val="00515805"/>
    <w:rsid w:val="00515CD6"/>
    <w:rsid w:val="00516B77"/>
    <w:rsid w:val="005174BD"/>
    <w:rsid w:val="00517CD6"/>
    <w:rsid w:val="00523568"/>
    <w:rsid w:val="0052448A"/>
    <w:rsid w:val="0052579A"/>
    <w:rsid w:val="00525CFC"/>
    <w:rsid w:val="0052606B"/>
    <w:rsid w:val="005274A2"/>
    <w:rsid w:val="00530268"/>
    <w:rsid w:val="00530D76"/>
    <w:rsid w:val="00530EFC"/>
    <w:rsid w:val="005310CE"/>
    <w:rsid w:val="0053369A"/>
    <w:rsid w:val="00533910"/>
    <w:rsid w:val="00533E6D"/>
    <w:rsid w:val="005347A9"/>
    <w:rsid w:val="0053564F"/>
    <w:rsid w:val="00535C35"/>
    <w:rsid w:val="00536A7B"/>
    <w:rsid w:val="00536E48"/>
    <w:rsid w:val="00537014"/>
    <w:rsid w:val="005375EF"/>
    <w:rsid w:val="00537759"/>
    <w:rsid w:val="005378F8"/>
    <w:rsid w:val="00537D6F"/>
    <w:rsid w:val="00537F3E"/>
    <w:rsid w:val="0054058F"/>
    <w:rsid w:val="005408A6"/>
    <w:rsid w:val="00540E5D"/>
    <w:rsid w:val="005422F7"/>
    <w:rsid w:val="005434DC"/>
    <w:rsid w:val="0054416D"/>
    <w:rsid w:val="005457A0"/>
    <w:rsid w:val="00545C98"/>
    <w:rsid w:val="005460F7"/>
    <w:rsid w:val="005461CA"/>
    <w:rsid w:val="00546E9E"/>
    <w:rsid w:val="00547027"/>
    <w:rsid w:val="00547267"/>
    <w:rsid w:val="00547962"/>
    <w:rsid w:val="00547A8F"/>
    <w:rsid w:val="005506A6"/>
    <w:rsid w:val="00550872"/>
    <w:rsid w:val="00551121"/>
    <w:rsid w:val="005536A1"/>
    <w:rsid w:val="0055409E"/>
    <w:rsid w:val="00554DF5"/>
    <w:rsid w:val="0055516E"/>
    <w:rsid w:val="00555420"/>
    <w:rsid w:val="00556A68"/>
    <w:rsid w:val="0055786F"/>
    <w:rsid w:val="005600A8"/>
    <w:rsid w:val="0056052C"/>
    <w:rsid w:val="005607C2"/>
    <w:rsid w:val="00560B60"/>
    <w:rsid w:val="0056111D"/>
    <w:rsid w:val="0056142E"/>
    <w:rsid w:val="00562170"/>
    <w:rsid w:val="005621E4"/>
    <w:rsid w:val="00562E42"/>
    <w:rsid w:val="00563750"/>
    <w:rsid w:val="005639CC"/>
    <w:rsid w:val="00564277"/>
    <w:rsid w:val="00564A60"/>
    <w:rsid w:val="005655AA"/>
    <w:rsid w:val="00566437"/>
    <w:rsid w:val="00566877"/>
    <w:rsid w:val="00566B04"/>
    <w:rsid w:val="0056730B"/>
    <w:rsid w:val="00567D00"/>
    <w:rsid w:val="0057017C"/>
    <w:rsid w:val="00572130"/>
    <w:rsid w:val="005727FA"/>
    <w:rsid w:val="00574183"/>
    <w:rsid w:val="00574993"/>
    <w:rsid w:val="005753DD"/>
    <w:rsid w:val="00575798"/>
    <w:rsid w:val="005759DC"/>
    <w:rsid w:val="0057747C"/>
    <w:rsid w:val="005774DA"/>
    <w:rsid w:val="00577611"/>
    <w:rsid w:val="00577BF1"/>
    <w:rsid w:val="00577C69"/>
    <w:rsid w:val="0058021F"/>
    <w:rsid w:val="005803D5"/>
    <w:rsid w:val="00580ABD"/>
    <w:rsid w:val="00581FE1"/>
    <w:rsid w:val="00582367"/>
    <w:rsid w:val="00583717"/>
    <w:rsid w:val="00583C73"/>
    <w:rsid w:val="00583D38"/>
    <w:rsid w:val="00583DD0"/>
    <w:rsid w:val="00585014"/>
    <w:rsid w:val="0058673D"/>
    <w:rsid w:val="00586A55"/>
    <w:rsid w:val="00586D42"/>
    <w:rsid w:val="00587AE7"/>
    <w:rsid w:val="005913F0"/>
    <w:rsid w:val="0059240C"/>
    <w:rsid w:val="005924F4"/>
    <w:rsid w:val="0059250E"/>
    <w:rsid w:val="005928AB"/>
    <w:rsid w:val="00593F7D"/>
    <w:rsid w:val="005947E6"/>
    <w:rsid w:val="00596464"/>
    <w:rsid w:val="005964D3"/>
    <w:rsid w:val="00596646"/>
    <w:rsid w:val="00596EE1"/>
    <w:rsid w:val="005978AE"/>
    <w:rsid w:val="00597A0A"/>
    <w:rsid w:val="005A02A9"/>
    <w:rsid w:val="005A07EA"/>
    <w:rsid w:val="005A1E0D"/>
    <w:rsid w:val="005A267C"/>
    <w:rsid w:val="005A27D2"/>
    <w:rsid w:val="005A3B06"/>
    <w:rsid w:val="005A3CDB"/>
    <w:rsid w:val="005A41B8"/>
    <w:rsid w:val="005A4463"/>
    <w:rsid w:val="005A4ADE"/>
    <w:rsid w:val="005A4B2C"/>
    <w:rsid w:val="005A539E"/>
    <w:rsid w:val="005A5752"/>
    <w:rsid w:val="005A65A1"/>
    <w:rsid w:val="005A715B"/>
    <w:rsid w:val="005A7BEE"/>
    <w:rsid w:val="005A7DCF"/>
    <w:rsid w:val="005B24F4"/>
    <w:rsid w:val="005B3273"/>
    <w:rsid w:val="005B35DE"/>
    <w:rsid w:val="005B375F"/>
    <w:rsid w:val="005B37D2"/>
    <w:rsid w:val="005B4C7F"/>
    <w:rsid w:val="005B4F9C"/>
    <w:rsid w:val="005B5E0B"/>
    <w:rsid w:val="005B643C"/>
    <w:rsid w:val="005B65A0"/>
    <w:rsid w:val="005B66C3"/>
    <w:rsid w:val="005B6DFF"/>
    <w:rsid w:val="005B75B9"/>
    <w:rsid w:val="005B77A4"/>
    <w:rsid w:val="005B7B5D"/>
    <w:rsid w:val="005C0952"/>
    <w:rsid w:val="005C0C31"/>
    <w:rsid w:val="005C290B"/>
    <w:rsid w:val="005C2BED"/>
    <w:rsid w:val="005C2C3B"/>
    <w:rsid w:val="005C2C9D"/>
    <w:rsid w:val="005C325E"/>
    <w:rsid w:val="005C3D85"/>
    <w:rsid w:val="005C6641"/>
    <w:rsid w:val="005C706C"/>
    <w:rsid w:val="005C709D"/>
    <w:rsid w:val="005C7922"/>
    <w:rsid w:val="005C7A15"/>
    <w:rsid w:val="005D05DC"/>
    <w:rsid w:val="005D072D"/>
    <w:rsid w:val="005D1FDD"/>
    <w:rsid w:val="005D2415"/>
    <w:rsid w:val="005D312B"/>
    <w:rsid w:val="005D33FB"/>
    <w:rsid w:val="005D3727"/>
    <w:rsid w:val="005D37DA"/>
    <w:rsid w:val="005D3B70"/>
    <w:rsid w:val="005D3BED"/>
    <w:rsid w:val="005D3DED"/>
    <w:rsid w:val="005D3FDC"/>
    <w:rsid w:val="005D4535"/>
    <w:rsid w:val="005D4AB4"/>
    <w:rsid w:val="005D4CE6"/>
    <w:rsid w:val="005D4E34"/>
    <w:rsid w:val="005D6475"/>
    <w:rsid w:val="005D6C3F"/>
    <w:rsid w:val="005D6F99"/>
    <w:rsid w:val="005D703B"/>
    <w:rsid w:val="005D7081"/>
    <w:rsid w:val="005D722A"/>
    <w:rsid w:val="005E06F7"/>
    <w:rsid w:val="005E0E1A"/>
    <w:rsid w:val="005E272E"/>
    <w:rsid w:val="005E41F4"/>
    <w:rsid w:val="005E4371"/>
    <w:rsid w:val="005E4940"/>
    <w:rsid w:val="005E5C45"/>
    <w:rsid w:val="005E5D09"/>
    <w:rsid w:val="005E6204"/>
    <w:rsid w:val="005E6353"/>
    <w:rsid w:val="005E6D2B"/>
    <w:rsid w:val="005F04C2"/>
    <w:rsid w:val="005F0C23"/>
    <w:rsid w:val="005F1230"/>
    <w:rsid w:val="005F2E00"/>
    <w:rsid w:val="005F3222"/>
    <w:rsid w:val="005F34A4"/>
    <w:rsid w:val="005F37BD"/>
    <w:rsid w:val="005F3A3D"/>
    <w:rsid w:val="005F3F18"/>
    <w:rsid w:val="005F4007"/>
    <w:rsid w:val="005F4125"/>
    <w:rsid w:val="005F44EF"/>
    <w:rsid w:val="005F479D"/>
    <w:rsid w:val="005F56BC"/>
    <w:rsid w:val="005F5782"/>
    <w:rsid w:val="005F5F54"/>
    <w:rsid w:val="005F6465"/>
    <w:rsid w:val="005F6755"/>
    <w:rsid w:val="005F73DF"/>
    <w:rsid w:val="005F79B8"/>
    <w:rsid w:val="006028D4"/>
    <w:rsid w:val="0060484D"/>
    <w:rsid w:val="00604D16"/>
    <w:rsid w:val="006050A9"/>
    <w:rsid w:val="006063DD"/>
    <w:rsid w:val="0060712C"/>
    <w:rsid w:val="0060741E"/>
    <w:rsid w:val="00607A20"/>
    <w:rsid w:val="0061087C"/>
    <w:rsid w:val="006110D3"/>
    <w:rsid w:val="0061140A"/>
    <w:rsid w:val="00611437"/>
    <w:rsid w:val="00611897"/>
    <w:rsid w:val="00611B08"/>
    <w:rsid w:val="00611BE4"/>
    <w:rsid w:val="00611DD1"/>
    <w:rsid w:val="006127CA"/>
    <w:rsid w:val="006130C8"/>
    <w:rsid w:val="00613AD2"/>
    <w:rsid w:val="006144A8"/>
    <w:rsid w:val="006152B4"/>
    <w:rsid w:val="006156A3"/>
    <w:rsid w:val="0061575C"/>
    <w:rsid w:val="00616DA9"/>
    <w:rsid w:val="00616E6E"/>
    <w:rsid w:val="006173FA"/>
    <w:rsid w:val="00617C1D"/>
    <w:rsid w:val="006201D8"/>
    <w:rsid w:val="0062111E"/>
    <w:rsid w:val="006215BF"/>
    <w:rsid w:val="0062266D"/>
    <w:rsid w:val="00623952"/>
    <w:rsid w:val="00623F60"/>
    <w:rsid w:val="0062465D"/>
    <w:rsid w:val="006257FD"/>
    <w:rsid w:val="0062640D"/>
    <w:rsid w:val="0062701D"/>
    <w:rsid w:val="006276FC"/>
    <w:rsid w:val="00627E7F"/>
    <w:rsid w:val="00631505"/>
    <w:rsid w:val="00631B92"/>
    <w:rsid w:val="00631E43"/>
    <w:rsid w:val="00632D3C"/>
    <w:rsid w:val="00633E42"/>
    <w:rsid w:val="00634922"/>
    <w:rsid w:val="00636E2D"/>
    <w:rsid w:val="0063742E"/>
    <w:rsid w:val="00637BE1"/>
    <w:rsid w:val="00637E39"/>
    <w:rsid w:val="00640A6D"/>
    <w:rsid w:val="006414F6"/>
    <w:rsid w:val="006426DF"/>
    <w:rsid w:val="00642B81"/>
    <w:rsid w:val="00642DDE"/>
    <w:rsid w:val="00644268"/>
    <w:rsid w:val="00644912"/>
    <w:rsid w:val="00644913"/>
    <w:rsid w:val="00644999"/>
    <w:rsid w:val="00645617"/>
    <w:rsid w:val="006509B9"/>
    <w:rsid w:val="0065125A"/>
    <w:rsid w:val="00651A46"/>
    <w:rsid w:val="0065200A"/>
    <w:rsid w:val="00652186"/>
    <w:rsid w:val="00652309"/>
    <w:rsid w:val="00652A6D"/>
    <w:rsid w:val="00653071"/>
    <w:rsid w:val="00654798"/>
    <w:rsid w:val="006549A4"/>
    <w:rsid w:val="00654FB0"/>
    <w:rsid w:val="0065585D"/>
    <w:rsid w:val="00655E14"/>
    <w:rsid w:val="006574A1"/>
    <w:rsid w:val="00657AC2"/>
    <w:rsid w:val="0066026C"/>
    <w:rsid w:val="0066063D"/>
    <w:rsid w:val="006608F0"/>
    <w:rsid w:val="00660A23"/>
    <w:rsid w:val="00661FCC"/>
    <w:rsid w:val="00662138"/>
    <w:rsid w:val="006636A0"/>
    <w:rsid w:val="00664A0F"/>
    <w:rsid w:val="006659A0"/>
    <w:rsid w:val="00666275"/>
    <w:rsid w:val="00666650"/>
    <w:rsid w:val="00666FF9"/>
    <w:rsid w:val="0066784F"/>
    <w:rsid w:val="00667D45"/>
    <w:rsid w:val="0067009F"/>
    <w:rsid w:val="006709FB"/>
    <w:rsid w:val="00670EFE"/>
    <w:rsid w:val="00671265"/>
    <w:rsid w:val="00671274"/>
    <w:rsid w:val="00672D43"/>
    <w:rsid w:val="00673369"/>
    <w:rsid w:val="00673926"/>
    <w:rsid w:val="006755CF"/>
    <w:rsid w:val="006757B3"/>
    <w:rsid w:val="00675E75"/>
    <w:rsid w:val="00676C5E"/>
    <w:rsid w:val="006771EA"/>
    <w:rsid w:val="0068031A"/>
    <w:rsid w:val="00680785"/>
    <w:rsid w:val="00680E3D"/>
    <w:rsid w:val="00681E15"/>
    <w:rsid w:val="0068268B"/>
    <w:rsid w:val="00683818"/>
    <w:rsid w:val="00683F6E"/>
    <w:rsid w:val="006851F9"/>
    <w:rsid w:val="00685DC2"/>
    <w:rsid w:val="00685EB9"/>
    <w:rsid w:val="00685F5F"/>
    <w:rsid w:val="006870C4"/>
    <w:rsid w:val="00687228"/>
    <w:rsid w:val="0068785A"/>
    <w:rsid w:val="00690211"/>
    <w:rsid w:val="00692B46"/>
    <w:rsid w:val="00692CBF"/>
    <w:rsid w:val="0069349A"/>
    <w:rsid w:val="00693D6B"/>
    <w:rsid w:val="0069438C"/>
    <w:rsid w:val="0069604D"/>
    <w:rsid w:val="006960A6"/>
    <w:rsid w:val="006970C0"/>
    <w:rsid w:val="006973C6"/>
    <w:rsid w:val="006A01B9"/>
    <w:rsid w:val="006A0602"/>
    <w:rsid w:val="006A086A"/>
    <w:rsid w:val="006A0D0A"/>
    <w:rsid w:val="006A1051"/>
    <w:rsid w:val="006A1337"/>
    <w:rsid w:val="006A188C"/>
    <w:rsid w:val="006A1E1D"/>
    <w:rsid w:val="006A261C"/>
    <w:rsid w:val="006A296C"/>
    <w:rsid w:val="006A2CC9"/>
    <w:rsid w:val="006A34AB"/>
    <w:rsid w:val="006A492F"/>
    <w:rsid w:val="006A649E"/>
    <w:rsid w:val="006A66A5"/>
    <w:rsid w:val="006A6F3B"/>
    <w:rsid w:val="006A77B8"/>
    <w:rsid w:val="006A7900"/>
    <w:rsid w:val="006B08AA"/>
    <w:rsid w:val="006B09CB"/>
    <w:rsid w:val="006B12AC"/>
    <w:rsid w:val="006B13E9"/>
    <w:rsid w:val="006B18F0"/>
    <w:rsid w:val="006B1B73"/>
    <w:rsid w:val="006B30A9"/>
    <w:rsid w:val="006B394C"/>
    <w:rsid w:val="006B4373"/>
    <w:rsid w:val="006B44E4"/>
    <w:rsid w:val="006B4BBB"/>
    <w:rsid w:val="006B56FB"/>
    <w:rsid w:val="006B60B0"/>
    <w:rsid w:val="006B64FA"/>
    <w:rsid w:val="006B746D"/>
    <w:rsid w:val="006C06FC"/>
    <w:rsid w:val="006C1ACA"/>
    <w:rsid w:val="006C2181"/>
    <w:rsid w:val="006C234D"/>
    <w:rsid w:val="006C3852"/>
    <w:rsid w:val="006C3DDA"/>
    <w:rsid w:val="006C4787"/>
    <w:rsid w:val="006C49AB"/>
    <w:rsid w:val="006C6161"/>
    <w:rsid w:val="006C6502"/>
    <w:rsid w:val="006C655E"/>
    <w:rsid w:val="006C7D1C"/>
    <w:rsid w:val="006D08A2"/>
    <w:rsid w:val="006D0A1E"/>
    <w:rsid w:val="006D0AD5"/>
    <w:rsid w:val="006D0B77"/>
    <w:rsid w:val="006D2918"/>
    <w:rsid w:val="006D313F"/>
    <w:rsid w:val="006D32E2"/>
    <w:rsid w:val="006D34FE"/>
    <w:rsid w:val="006D35F5"/>
    <w:rsid w:val="006D42E0"/>
    <w:rsid w:val="006D63E7"/>
    <w:rsid w:val="006D6BA3"/>
    <w:rsid w:val="006D7FEE"/>
    <w:rsid w:val="006E00C2"/>
    <w:rsid w:val="006E2317"/>
    <w:rsid w:val="006E2B2F"/>
    <w:rsid w:val="006E2CD9"/>
    <w:rsid w:val="006E2F05"/>
    <w:rsid w:val="006E3045"/>
    <w:rsid w:val="006E4FAB"/>
    <w:rsid w:val="006E5269"/>
    <w:rsid w:val="006E52E8"/>
    <w:rsid w:val="006E535A"/>
    <w:rsid w:val="006E5502"/>
    <w:rsid w:val="006E5995"/>
    <w:rsid w:val="006E6179"/>
    <w:rsid w:val="006E6F8B"/>
    <w:rsid w:val="006E7ED5"/>
    <w:rsid w:val="006F0764"/>
    <w:rsid w:val="006F1494"/>
    <w:rsid w:val="006F3F9D"/>
    <w:rsid w:val="006F4844"/>
    <w:rsid w:val="006F5A13"/>
    <w:rsid w:val="006F648D"/>
    <w:rsid w:val="006F6C5D"/>
    <w:rsid w:val="006F725B"/>
    <w:rsid w:val="007001E8"/>
    <w:rsid w:val="00700429"/>
    <w:rsid w:val="00701208"/>
    <w:rsid w:val="00701E6F"/>
    <w:rsid w:val="00702044"/>
    <w:rsid w:val="00702385"/>
    <w:rsid w:val="00702C4E"/>
    <w:rsid w:val="00704838"/>
    <w:rsid w:val="00704FC2"/>
    <w:rsid w:val="0070543E"/>
    <w:rsid w:val="00706487"/>
    <w:rsid w:val="00706603"/>
    <w:rsid w:val="00706CB4"/>
    <w:rsid w:val="00707118"/>
    <w:rsid w:val="00707CE2"/>
    <w:rsid w:val="00710C9C"/>
    <w:rsid w:val="007114A0"/>
    <w:rsid w:val="007114D3"/>
    <w:rsid w:val="00711BE9"/>
    <w:rsid w:val="00711DB7"/>
    <w:rsid w:val="007131B6"/>
    <w:rsid w:val="00714234"/>
    <w:rsid w:val="00714908"/>
    <w:rsid w:val="0071518B"/>
    <w:rsid w:val="0071535C"/>
    <w:rsid w:val="00715875"/>
    <w:rsid w:val="00715ABC"/>
    <w:rsid w:val="00716F8E"/>
    <w:rsid w:val="0071726F"/>
    <w:rsid w:val="00720999"/>
    <w:rsid w:val="0072127F"/>
    <w:rsid w:val="007217F8"/>
    <w:rsid w:val="00721FD1"/>
    <w:rsid w:val="00722E5E"/>
    <w:rsid w:val="00722F6B"/>
    <w:rsid w:val="00723A0B"/>
    <w:rsid w:val="00724BEB"/>
    <w:rsid w:val="007252E4"/>
    <w:rsid w:val="007256EE"/>
    <w:rsid w:val="0072578C"/>
    <w:rsid w:val="00726379"/>
    <w:rsid w:val="00726603"/>
    <w:rsid w:val="00726BB3"/>
    <w:rsid w:val="007270B9"/>
    <w:rsid w:val="00727518"/>
    <w:rsid w:val="007305E6"/>
    <w:rsid w:val="00730631"/>
    <w:rsid w:val="007318DE"/>
    <w:rsid w:val="007318EE"/>
    <w:rsid w:val="00732109"/>
    <w:rsid w:val="0073256D"/>
    <w:rsid w:val="00733181"/>
    <w:rsid w:val="0073395D"/>
    <w:rsid w:val="007347C8"/>
    <w:rsid w:val="00736384"/>
    <w:rsid w:val="00736638"/>
    <w:rsid w:val="007372F7"/>
    <w:rsid w:val="0073793B"/>
    <w:rsid w:val="00737B52"/>
    <w:rsid w:val="00737BB4"/>
    <w:rsid w:val="00740DAF"/>
    <w:rsid w:val="007427DB"/>
    <w:rsid w:val="00743528"/>
    <w:rsid w:val="00743A50"/>
    <w:rsid w:val="0074411E"/>
    <w:rsid w:val="007442F8"/>
    <w:rsid w:val="007451FA"/>
    <w:rsid w:val="007457CF"/>
    <w:rsid w:val="00746D55"/>
    <w:rsid w:val="0074720F"/>
    <w:rsid w:val="00750C5A"/>
    <w:rsid w:val="007517CA"/>
    <w:rsid w:val="00751D99"/>
    <w:rsid w:val="00752230"/>
    <w:rsid w:val="00752D50"/>
    <w:rsid w:val="00753892"/>
    <w:rsid w:val="00753D95"/>
    <w:rsid w:val="007540D1"/>
    <w:rsid w:val="007540D7"/>
    <w:rsid w:val="00754742"/>
    <w:rsid w:val="00755C4F"/>
    <w:rsid w:val="007573CE"/>
    <w:rsid w:val="0075748B"/>
    <w:rsid w:val="00757EB7"/>
    <w:rsid w:val="00761597"/>
    <w:rsid w:val="00762261"/>
    <w:rsid w:val="00762400"/>
    <w:rsid w:val="00762610"/>
    <w:rsid w:val="0076263C"/>
    <w:rsid w:val="00762A56"/>
    <w:rsid w:val="00762ECE"/>
    <w:rsid w:val="00763474"/>
    <w:rsid w:val="007635D6"/>
    <w:rsid w:val="00763A45"/>
    <w:rsid w:val="00764A14"/>
    <w:rsid w:val="00764CA9"/>
    <w:rsid w:val="0076523C"/>
    <w:rsid w:val="00765389"/>
    <w:rsid w:val="00765F30"/>
    <w:rsid w:val="00766BB8"/>
    <w:rsid w:val="00766F49"/>
    <w:rsid w:val="00770408"/>
    <w:rsid w:val="00770A7A"/>
    <w:rsid w:val="00771D14"/>
    <w:rsid w:val="00771FE2"/>
    <w:rsid w:val="007723BF"/>
    <w:rsid w:val="00772777"/>
    <w:rsid w:val="00772818"/>
    <w:rsid w:val="00773CC3"/>
    <w:rsid w:val="00773F7D"/>
    <w:rsid w:val="007750AC"/>
    <w:rsid w:val="007758B1"/>
    <w:rsid w:val="00775B12"/>
    <w:rsid w:val="00776134"/>
    <w:rsid w:val="00776669"/>
    <w:rsid w:val="007767CC"/>
    <w:rsid w:val="00777454"/>
    <w:rsid w:val="00777836"/>
    <w:rsid w:val="00777DB4"/>
    <w:rsid w:val="007828CE"/>
    <w:rsid w:val="0078318F"/>
    <w:rsid w:val="007836AD"/>
    <w:rsid w:val="00783BF0"/>
    <w:rsid w:val="00783F2C"/>
    <w:rsid w:val="00784C9E"/>
    <w:rsid w:val="00785131"/>
    <w:rsid w:val="007865FD"/>
    <w:rsid w:val="00786B30"/>
    <w:rsid w:val="00787B82"/>
    <w:rsid w:val="00787C70"/>
    <w:rsid w:val="00787D30"/>
    <w:rsid w:val="00791A5C"/>
    <w:rsid w:val="007921CE"/>
    <w:rsid w:val="00792D19"/>
    <w:rsid w:val="007933AF"/>
    <w:rsid w:val="0079376B"/>
    <w:rsid w:val="00793EEA"/>
    <w:rsid w:val="00794206"/>
    <w:rsid w:val="007960D0"/>
    <w:rsid w:val="007960D9"/>
    <w:rsid w:val="007961A1"/>
    <w:rsid w:val="0079667E"/>
    <w:rsid w:val="00796FEB"/>
    <w:rsid w:val="007A037F"/>
    <w:rsid w:val="007A07A9"/>
    <w:rsid w:val="007A0A15"/>
    <w:rsid w:val="007A12B3"/>
    <w:rsid w:val="007A1EF9"/>
    <w:rsid w:val="007A285C"/>
    <w:rsid w:val="007A2B6E"/>
    <w:rsid w:val="007A3035"/>
    <w:rsid w:val="007A3659"/>
    <w:rsid w:val="007A370E"/>
    <w:rsid w:val="007A388E"/>
    <w:rsid w:val="007A3DDE"/>
    <w:rsid w:val="007A430B"/>
    <w:rsid w:val="007A4452"/>
    <w:rsid w:val="007A451F"/>
    <w:rsid w:val="007A552A"/>
    <w:rsid w:val="007A5BFF"/>
    <w:rsid w:val="007A6C32"/>
    <w:rsid w:val="007A7829"/>
    <w:rsid w:val="007B05AC"/>
    <w:rsid w:val="007B0E3A"/>
    <w:rsid w:val="007B155C"/>
    <w:rsid w:val="007B1AE2"/>
    <w:rsid w:val="007B2CC2"/>
    <w:rsid w:val="007B2D8F"/>
    <w:rsid w:val="007B3B21"/>
    <w:rsid w:val="007B3ECC"/>
    <w:rsid w:val="007B5A3C"/>
    <w:rsid w:val="007B5ACC"/>
    <w:rsid w:val="007B701F"/>
    <w:rsid w:val="007B7935"/>
    <w:rsid w:val="007C070E"/>
    <w:rsid w:val="007C0E89"/>
    <w:rsid w:val="007C1D1D"/>
    <w:rsid w:val="007C1D9B"/>
    <w:rsid w:val="007C1DE3"/>
    <w:rsid w:val="007C1EFC"/>
    <w:rsid w:val="007C2D89"/>
    <w:rsid w:val="007C4D3C"/>
    <w:rsid w:val="007C52B6"/>
    <w:rsid w:val="007C68F2"/>
    <w:rsid w:val="007C7434"/>
    <w:rsid w:val="007C79EE"/>
    <w:rsid w:val="007C7B41"/>
    <w:rsid w:val="007D11EB"/>
    <w:rsid w:val="007D2295"/>
    <w:rsid w:val="007D2E54"/>
    <w:rsid w:val="007D34C7"/>
    <w:rsid w:val="007D482E"/>
    <w:rsid w:val="007D4A45"/>
    <w:rsid w:val="007D6118"/>
    <w:rsid w:val="007D6C44"/>
    <w:rsid w:val="007D7554"/>
    <w:rsid w:val="007D7C0A"/>
    <w:rsid w:val="007E01A4"/>
    <w:rsid w:val="007E05FD"/>
    <w:rsid w:val="007E1B62"/>
    <w:rsid w:val="007E1D00"/>
    <w:rsid w:val="007E1E94"/>
    <w:rsid w:val="007E2BA0"/>
    <w:rsid w:val="007E4550"/>
    <w:rsid w:val="007E5200"/>
    <w:rsid w:val="007E5AF8"/>
    <w:rsid w:val="007E5E27"/>
    <w:rsid w:val="007E78CB"/>
    <w:rsid w:val="007E7BBA"/>
    <w:rsid w:val="007F0FD8"/>
    <w:rsid w:val="007F14AE"/>
    <w:rsid w:val="007F180E"/>
    <w:rsid w:val="007F2501"/>
    <w:rsid w:val="007F2996"/>
    <w:rsid w:val="007F2A46"/>
    <w:rsid w:val="007F2A8A"/>
    <w:rsid w:val="007F360C"/>
    <w:rsid w:val="007F3EF3"/>
    <w:rsid w:val="007F562E"/>
    <w:rsid w:val="007F5D68"/>
    <w:rsid w:val="007F5D70"/>
    <w:rsid w:val="007F62E2"/>
    <w:rsid w:val="007F703D"/>
    <w:rsid w:val="00800470"/>
    <w:rsid w:val="00801934"/>
    <w:rsid w:val="00801A84"/>
    <w:rsid w:val="00801C3D"/>
    <w:rsid w:val="008027A0"/>
    <w:rsid w:val="00802E62"/>
    <w:rsid w:val="00802EFA"/>
    <w:rsid w:val="00803D7E"/>
    <w:rsid w:val="00804464"/>
    <w:rsid w:val="008049D5"/>
    <w:rsid w:val="00804C90"/>
    <w:rsid w:val="00805332"/>
    <w:rsid w:val="0080553F"/>
    <w:rsid w:val="00805A14"/>
    <w:rsid w:val="00806DB2"/>
    <w:rsid w:val="00810BA0"/>
    <w:rsid w:val="00810EAF"/>
    <w:rsid w:val="008111B1"/>
    <w:rsid w:val="00811C1D"/>
    <w:rsid w:val="0081356A"/>
    <w:rsid w:val="008138FB"/>
    <w:rsid w:val="00813D1F"/>
    <w:rsid w:val="00813E2A"/>
    <w:rsid w:val="00814532"/>
    <w:rsid w:val="00815117"/>
    <w:rsid w:val="00816BD0"/>
    <w:rsid w:val="00816E6A"/>
    <w:rsid w:val="008173D5"/>
    <w:rsid w:val="00820605"/>
    <w:rsid w:val="00820D57"/>
    <w:rsid w:val="008219CB"/>
    <w:rsid w:val="00821D1F"/>
    <w:rsid w:val="00822FB6"/>
    <w:rsid w:val="00823BB6"/>
    <w:rsid w:val="00826385"/>
    <w:rsid w:val="00830083"/>
    <w:rsid w:val="00830410"/>
    <w:rsid w:val="00830D94"/>
    <w:rsid w:val="0083297D"/>
    <w:rsid w:val="00833926"/>
    <w:rsid w:val="0083415E"/>
    <w:rsid w:val="00834D8E"/>
    <w:rsid w:val="00835031"/>
    <w:rsid w:val="008353D4"/>
    <w:rsid w:val="00835F3B"/>
    <w:rsid w:val="00836262"/>
    <w:rsid w:val="00836492"/>
    <w:rsid w:val="00837C55"/>
    <w:rsid w:val="0084110A"/>
    <w:rsid w:val="00841BBB"/>
    <w:rsid w:val="008421A2"/>
    <w:rsid w:val="00843540"/>
    <w:rsid w:val="0084459E"/>
    <w:rsid w:val="008447FB"/>
    <w:rsid w:val="0084671C"/>
    <w:rsid w:val="00846CF7"/>
    <w:rsid w:val="00847781"/>
    <w:rsid w:val="00850BB5"/>
    <w:rsid w:val="00851063"/>
    <w:rsid w:val="00851347"/>
    <w:rsid w:val="008517E4"/>
    <w:rsid w:val="00851C9E"/>
    <w:rsid w:val="00854442"/>
    <w:rsid w:val="0085618E"/>
    <w:rsid w:val="008564A1"/>
    <w:rsid w:val="0085706A"/>
    <w:rsid w:val="008570D3"/>
    <w:rsid w:val="00857828"/>
    <w:rsid w:val="00857974"/>
    <w:rsid w:val="00857991"/>
    <w:rsid w:val="00861141"/>
    <w:rsid w:val="008618BD"/>
    <w:rsid w:val="00861D10"/>
    <w:rsid w:val="00862857"/>
    <w:rsid w:val="00863EEF"/>
    <w:rsid w:val="00864962"/>
    <w:rsid w:val="0086536A"/>
    <w:rsid w:val="00866530"/>
    <w:rsid w:val="00872881"/>
    <w:rsid w:val="008728AB"/>
    <w:rsid w:val="00872EAE"/>
    <w:rsid w:val="00874A26"/>
    <w:rsid w:val="00874A7E"/>
    <w:rsid w:val="00874D6B"/>
    <w:rsid w:val="0087506B"/>
    <w:rsid w:val="0087614E"/>
    <w:rsid w:val="00876380"/>
    <w:rsid w:val="0087646C"/>
    <w:rsid w:val="008767CB"/>
    <w:rsid w:val="00877165"/>
    <w:rsid w:val="00877587"/>
    <w:rsid w:val="008778BD"/>
    <w:rsid w:val="008779A2"/>
    <w:rsid w:val="008801CF"/>
    <w:rsid w:val="0088081A"/>
    <w:rsid w:val="00881706"/>
    <w:rsid w:val="008820D7"/>
    <w:rsid w:val="008826CE"/>
    <w:rsid w:val="00882E9D"/>
    <w:rsid w:val="0088355B"/>
    <w:rsid w:val="00884098"/>
    <w:rsid w:val="00885686"/>
    <w:rsid w:val="0088591A"/>
    <w:rsid w:val="00886A47"/>
    <w:rsid w:val="00887231"/>
    <w:rsid w:val="00890CD0"/>
    <w:rsid w:val="008910FB"/>
    <w:rsid w:val="00892740"/>
    <w:rsid w:val="00892741"/>
    <w:rsid w:val="00892B66"/>
    <w:rsid w:val="00892CE5"/>
    <w:rsid w:val="00893E2D"/>
    <w:rsid w:val="0089436D"/>
    <w:rsid w:val="00894F07"/>
    <w:rsid w:val="00895082"/>
    <w:rsid w:val="00895176"/>
    <w:rsid w:val="008966A0"/>
    <w:rsid w:val="00897509"/>
    <w:rsid w:val="00897590"/>
    <w:rsid w:val="008977A6"/>
    <w:rsid w:val="008A039F"/>
    <w:rsid w:val="008A1899"/>
    <w:rsid w:val="008A1966"/>
    <w:rsid w:val="008A1D8D"/>
    <w:rsid w:val="008A2C7C"/>
    <w:rsid w:val="008A2EE6"/>
    <w:rsid w:val="008A35B8"/>
    <w:rsid w:val="008A36E7"/>
    <w:rsid w:val="008A3E45"/>
    <w:rsid w:val="008A52EE"/>
    <w:rsid w:val="008A544C"/>
    <w:rsid w:val="008A65F6"/>
    <w:rsid w:val="008A7663"/>
    <w:rsid w:val="008B0171"/>
    <w:rsid w:val="008B02DF"/>
    <w:rsid w:val="008B056E"/>
    <w:rsid w:val="008B1573"/>
    <w:rsid w:val="008B22FB"/>
    <w:rsid w:val="008B2D57"/>
    <w:rsid w:val="008B3020"/>
    <w:rsid w:val="008B3092"/>
    <w:rsid w:val="008B37DA"/>
    <w:rsid w:val="008B3EE1"/>
    <w:rsid w:val="008B4239"/>
    <w:rsid w:val="008B442C"/>
    <w:rsid w:val="008B44A8"/>
    <w:rsid w:val="008B5342"/>
    <w:rsid w:val="008B554D"/>
    <w:rsid w:val="008B5863"/>
    <w:rsid w:val="008B599B"/>
    <w:rsid w:val="008B5D30"/>
    <w:rsid w:val="008B5E64"/>
    <w:rsid w:val="008B737D"/>
    <w:rsid w:val="008B7AD7"/>
    <w:rsid w:val="008C0452"/>
    <w:rsid w:val="008C0EFC"/>
    <w:rsid w:val="008C16C3"/>
    <w:rsid w:val="008C18EA"/>
    <w:rsid w:val="008C258F"/>
    <w:rsid w:val="008C2917"/>
    <w:rsid w:val="008C4923"/>
    <w:rsid w:val="008C53C7"/>
    <w:rsid w:val="008C544F"/>
    <w:rsid w:val="008C5F9E"/>
    <w:rsid w:val="008C7491"/>
    <w:rsid w:val="008C76D5"/>
    <w:rsid w:val="008C79A8"/>
    <w:rsid w:val="008C7F0B"/>
    <w:rsid w:val="008D0647"/>
    <w:rsid w:val="008D114F"/>
    <w:rsid w:val="008D1340"/>
    <w:rsid w:val="008D25AD"/>
    <w:rsid w:val="008D25B0"/>
    <w:rsid w:val="008D273B"/>
    <w:rsid w:val="008D279F"/>
    <w:rsid w:val="008D37C3"/>
    <w:rsid w:val="008D4596"/>
    <w:rsid w:val="008D57F9"/>
    <w:rsid w:val="008D5931"/>
    <w:rsid w:val="008D5EF8"/>
    <w:rsid w:val="008D67DD"/>
    <w:rsid w:val="008D7624"/>
    <w:rsid w:val="008D78BC"/>
    <w:rsid w:val="008D7A6E"/>
    <w:rsid w:val="008E030F"/>
    <w:rsid w:val="008E056A"/>
    <w:rsid w:val="008E150C"/>
    <w:rsid w:val="008E26BF"/>
    <w:rsid w:val="008E28C6"/>
    <w:rsid w:val="008E342B"/>
    <w:rsid w:val="008E40E0"/>
    <w:rsid w:val="008E42B9"/>
    <w:rsid w:val="008E488B"/>
    <w:rsid w:val="008E6DDD"/>
    <w:rsid w:val="008F1734"/>
    <w:rsid w:val="008F2035"/>
    <w:rsid w:val="008F2FD5"/>
    <w:rsid w:val="008F362D"/>
    <w:rsid w:val="008F3895"/>
    <w:rsid w:val="008F47DD"/>
    <w:rsid w:val="008F4CC7"/>
    <w:rsid w:val="008F4CDC"/>
    <w:rsid w:val="008F503C"/>
    <w:rsid w:val="008F54B9"/>
    <w:rsid w:val="008F574B"/>
    <w:rsid w:val="008F5783"/>
    <w:rsid w:val="008F5867"/>
    <w:rsid w:val="008F5A95"/>
    <w:rsid w:val="008F5E17"/>
    <w:rsid w:val="008F6B20"/>
    <w:rsid w:val="008F7502"/>
    <w:rsid w:val="00900BED"/>
    <w:rsid w:val="009038EF"/>
    <w:rsid w:val="00904A1C"/>
    <w:rsid w:val="00904CAA"/>
    <w:rsid w:val="00905DF6"/>
    <w:rsid w:val="009065F0"/>
    <w:rsid w:val="00906782"/>
    <w:rsid w:val="00907809"/>
    <w:rsid w:val="00907A73"/>
    <w:rsid w:val="00907C9F"/>
    <w:rsid w:val="00907EC7"/>
    <w:rsid w:val="00911109"/>
    <w:rsid w:val="009126BD"/>
    <w:rsid w:val="009138B2"/>
    <w:rsid w:val="00913D99"/>
    <w:rsid w:val="009145AF"/>
    <w:rsid w:val="00914C00"/>
    <w:rsid w:val="00914C15"/>
    <w:rsid w:val="009162A7"/>
    <w:rsid w:val="0091690E"/>
    <w:rsid w:val="0092016D"/>
    <w:rsid w:val="00920633"/>
    <w:rsid w:val="00920C9C"/>
    <w:rsid w:val="00920F68"/>
    <w:rsid w:val="0092108A"/>
    <w:rsid w:val="009213F9"/>
    <w:rsid w:val="00921F11"/>
    <w:rsid w:val="00921F4F"/>
    <w:rsid w:val="009230D4"/>
    <w:rsid w:val="00924AB9"/>
    <w:rsid w:val="00924F2B"/>
    <w:rsid w:val="009263AE"/>
    <w:rsid w:val="009304C4"/>
    <w:rsid w:val="00930BB8"/>
    <w:rsid w:val="00931D37"/>
    <w:rsid w:val="0093275E"/>
    <w:rsid w:val="00932F6E"/>
    <w:rsid w:val="009339F4"/>
    <w:rsid w:val="009346AD"/>
    <w:rsid w:val="009347EC"/>
    <w:rsid w:val="00934B4B"/>
    <w:rsid w:val="00934F6C"/>
    <w:rsid w:val="0093551D"/>
    <w:rsid w:val="00936B1D"/>
    <w:rsid w:val="009372F2"/>
    <w:rsid w:val="009377D8"/>
    <w:rsid w:val="009378AB"/>
    <w:rsid w:val="00941003"/>
    <w:rsid w:val="00942CBA"/>
    <w:rsid w:val="009431BC"/>
    <w:rsid w:val="009431C0"/>
    <w:rsid w:val="00943581"/>
    <w:rsid w:val="00943F71"/>
    <w:rsid w:val="00944EEF"/>
    <w:rsid w:val="00945C7B"/>
    <w:rsid w:val="00946C1C"/>
    <w:rsid w:val="00947189"/>
    <w:rsid w:val="009477CE"/>
    <w:rsid w:val="00947987"/>
    <w:rsid w:val="00950C0C"/>
    <w:rsid w:val="00950DF8"/>
    <w:rsid w:val="00950E1A"/>
    <w:rsid w:val="009514D2"/>
    <w:rsid w:val="009516F3"/>
    <w:rsid w:val="00952625"/>
    <w:rsid w:val="00952B07"/>
    <w:rsid w:val="00953051"/>
    <w:rsid w:val="0095359A"/>
    <w:rsid w:val="00953990"/>
    <w:rsid w:val="009542DB"/>
    <w:rsid w:val="00954971"/>
    <w:rsid w:val="00954AD1"/>
    <w:rsid w:val="00955A80"/>
    <w:rsid w:val="00955C39"/>
    <w:rsid w:val="009564C7"/>
    <w:rsid w:val="00956512"/>
    <w:rsid w:val="00957ACB"/>
    <w:rsid w:val="00957E82"/>
    <w:rsid w:val="00960676"/>
    <w:rsid w:val="00960DAE"/>
    <w:rsid w:val="00961B27"/>
    <w:rsid w:val="00964594"/>
    <w:rsid w:val="00964AE3"/>
    <w:rsid w:val="00965772"/>
    <w:rsid w:val="00966D7E"/>
    <w:rsid w:val="009678BC"/>
    <w:rsid w:val="00967B9B"/>
    <w:rsid w:val="00967C0F"/>
    <w:rsid w:val="00971706"/>
    <w:rsid w:val="00971A4E"/>
    <w:rsid w:val="00972051"/>
    <w:rsid w:val="009731E5"/>
    <w:rsid w:val="00974B0D"/>
    <w:rsid w:val="00974F92"/>
    <w:rsid w:val="009756F3"/>
    <w:rsid w:val="0097606E"/>
    <w:rsid w:val="00976568"/>
    <w:rsid w:val="0097668A"/>
    <w:rsid w:val="00976E92"/>
    <w:rsid w:val="00977394"/>
    <w:rsid w:val="00977506"/>
    <w:rsid w:val="00980BA0"/>
    <w:rsid w:val="00980C0C"/>
    <w:rsid w:val="00981D50"/>
    <w:rsid w:val="00981D94"/>
    <w:rsid w:val="00981E17"/>
    <w:rsid w:val="0098200C"/>
    <w:rsid w:val="00983C0D"/>
    <w:rsid w:val="00984246"/>
    <w:rsid w:val="0098432D"/>
    <w:rsid w:val="00984D10"/>
    <w:rsid w:val="00985A54"/>
    <w:rsid w:val="00985D28"/>
    <w:rsid w:val="00985EC6"/>
    <w:rsid w:val="00991781"/>
    <w:rsid w:val="00991C47"/>
    <w:rsid w:val="009922C8"/>
    <w:rsid w:val="00993748"/>
    <w:rsid w:val="009946ED"/>
    <w:rsid w:val="00995DB0"/>
    <w:rsid w:val="00997205"/>
    <w:rsid w:val="009A0279"/>
    <w:rsid w:val="009A029D"/>
    <w:rsid w:val="009A0A4D"/>
    <w:rsid w:val="009A0D25"/>
    <w:rsid w:val="009A116C"/>
    <w:rsid w:val="009A233C"/>
    <w:rsid w:val="009A2A67"/>
    <w:rsid w:val="009A2D97"/>
    <w:rsid w:val="009A3237"/>
    <w:rsid w:val="009A3547"/>
    <w:rsid w:val="009A45C0"/>
    <w:rsid w:val="009A4984"/>
    <w:rsid w:val="009A4ACF"/>
    <w:rsid w:val="009A556F"/>
    <w:rsid w:val="009A5AA9"/>
    <w:rsid w:val="009A64A8"/>
    <w:rsid w:val="009A7CF9"/>
    <w:rsid w:val="009B0BDD"/>
    <w:rsid w:val="009B0C25"/>
    <w:rsid w:val="009B1F18"/>
    <w:rsid w:val="009B201D"/>
    <w:rsid w:val="009B3C68"/>
    <w:rsid w:val="009B4F00"/>
    <w:rsid w:val="009B5D65"/>
    <w:rsid w:val="009B5E96"/>
    <w:rsid w:val="009B5F51"/>
    <w:rsid w:val="009B60A1"/>
    <w:rsid w:val="009B64C0"/>
    <w:rsid w:val="009B6B1C"/>
    <w:rsid w:val="009B6FD6"/>
    <w:rsid w:val="009B7156"/>
    <w:rsid w:val="009C10A0"/>
    <w:rsid w:val="009C2FE2"/>
    <w:rsid w:val="009C3870"/>
    <w:rsid w:val="009C3BDC"/>
    <w:rsid w:val="009C3D5D"/>
    <w:rsid w:val="009C405D"/>
    <w:rsid w:val="009C616C"/>
    <w:rsid w:val="009C6520"/>
    <w:rsid w:val="009C6A75"/>
    <w:rsid w:val="009C6C4C"/>
    <w:rsid w:val="009C6EEA"/>
    <w:rsid w:val="009C7124"/>
    <w:rsid w:val="009C74C1"/>
    <w:rsid w:val="009D09B0"/>
    <w:rsid w:val="009D0B35"/>
    <w:rsid w:val="009D12A4"/>
    <w:rsid w:val="009D14A2"/>
    <w:rsid w:val="009D2776"/>
    <w:rsid w:val="009D2935"/>
    <w:rsid w:val="009D3042"/>
    <w:rsid w:val="009D3922"/>
    <w:rsid w:val="009D3E05"/>
    <w:rsid w:val="009D40F8"/>
    <w:rsid w:val="009D4556"/>
    <w:rsid w:val="009D7B34"/>
    <w:rsid w:val="009E0805"/>
    <w:rsid w:val="009E10A2"/>
    <w:rsid w:val="009E1560"/>
    <w:rsid w:val="009E1625"/>
    <w:rsid w:val="009E2F8F"/>
    <w:rsid w:val="009E3296"/>
    <w:rsid w:val="009E38BE"/>
    <w:rsid w:val="009E3A96"/>
    <w:rsid w:val="009E4F04"/>
    <w:rsid w:val="009E6F73"/>
    <w:rsid w:val="009E7125"/>
    <w:rsid w:val="009E7459"/>
    <w:rsid w:val="009E7800"/>
    <w:rsid w:val="009E7C22"/>
    <w:rsid w:val="009E7C64"/>
    <w:rsid w:val="009E7EB4"/>
    <w:rsid w:val="009F0083"/>
    <w:rsid w:val="009F02FC"/>
    <w:rsid w:val="009F11A5"/>
    <w:rsid w:val="009F29B6"/>
    <w:rsid w:val="009F31CD"/>
    <w:rsid w:val="009F382A"/>
    <w:rsid w:val="009F3CA2"/>
    <w:rsid w:val="009F4468"/>
    <w:rsid w:val="009F4669"/>
    <w:rsid w:val="009F478A"/>
    <w:rsid w:val="009F4FC8"/>
    <w:rsid w:val="009F581E"/>
    <w:rsid w:val="009F5E16"/>
    <w:rsid w:val="009F66DD"/>
    <w:rsid w:val="00A00E1F"/>
    <w:rsid w:val="00A00E9A"/>
    <w:rsid w:val="00A01155"/>
    <w:rsid w:val="00A03999"/>
    <w:rsid w:val="00A04275"/>
    <w:rsid w:val="00A048D9"/>
    <w:rsid w:val="00A05103"/>
    <w:rsid w:val="00A05298"/>
    <w:rsid w:val="00A053C0"/>
    <w:rsid w:val="00A070C4"/>
    <w:rsid w:val="00A10B03"/>
    <w:rsid w:val="00A10E7F"/>
    <w:rsid w:val="00A11304"/>
    <w:rsid w:val="00A13326"/>
    <w:rsid w:val="00A14103"/>
    <w:rsid w:val="00A14F85"/>
    <w:rsid w:val="00A166A0"/>
    <w:rsid w:val="00A16AAF"/>
    <w:rsid w:val="00A16C66"/>
    <w:rsid w:val="00A17FC8"/>
    <w:rsid w:val="00A20298"/>
    <w:rsid w:val="00A21A26"/>
    <w:rsid w:val="00A21D24"/>
    <w:rsid w:val="00A21EC9"/>
    <w:rsid w:val="00A220B1"/>
    <w:rsid w:val="00A225FD"/>
    <w:rsid w:val="00A24434"/>
    <w:rsid w:val="00A244ED"/>
    <w:rsid w:val="00A24587"/>
    <w:rsid w:val="00A24BD2"/>
    <w:rsid w:val="00A24C21"/>
    <w:rsid w:val="00A24D6D"/>
    <w:rsid w:val="00A25721"/>
    <w:rsid w:val="00A259F9"/>
    <w:rsid w:val="00A25EF4"/>
    <w:rsid w:val="00A26233"/>
    <w:rsid w:val="00A30665"/>
    <w:rsid w:val="00A30881"/>
    <w:rsid w:val="00A31375"/>
    <w:rsid w:val="00A3152F"/>
    <w:rsid w:val="00A3166C"/>
    <w:rsid w:val="00A31C18"/>
    <w:rsid w:val="00A32329"/>
    <w:rsid w:val="00A3232A"/>
    <w:rsid w:val="00A32AD2"/>
    <w:rsid w:val="00A32F1F"/>
    <w:rsid w:val="00A3342F"/>
    <w:rsid w:val="00A33A72"/>
    <w:rsid w:val="00A33FC9"/>
    <w:rsid w:val="00A34513"/>
    <w:rsid w:val="00A36523"/>
    <w:rsid w:val="00A36580"/>
    <w:rsid w:val="00A37018"/>
    <w:rsid w:val="00A37EB9"/>
    <w:rsid w:val="00A406E7"/>
    <w:rsid w:val="00A4153B"/>
    <w:rsid w:val="00A419A7"/>
    <w:rsid w:val="00A4293B"/>
    <w:rsid w:val="00A436AF"/>
    <w:rsid w:val="00A443D3"/>
    <w:rsid w:val="00A446FA"/>
    <w:rsid w:val="00A4479A"/>
    <w:rsid w:val="00A50B39"/>
    <w:rsid w:val="00A50D7D"/>
    <w:rsid w:val="00A51420"/>
    <w:rsid w:val="00A51B33"/>
    <w:rsid w:val="00A547F0"/>
    <w:rsid w:val="00A5605A"/>
    <w:rsid w:val="00A56C2F"/>
    <w:rsid w:val="00A571BB"/>
    <w:rsid w:val="00A579EC"/>
    <w:rsid w:val="00A57B3E"/>
    <w:rsid w:val="00A57C3D"/>
    <w:rsid w:val="00A57EB9"/>
    <w:rsid w:val="00A61BE3"/>
    <w:rsid w:val="00A6271E"/>
    <w:rsid w:val="00A62AEF"/>
    <w:rsid w:val="00A62D81"/>
    <w:rsid w:val="00A64E91"/>
    <w:rsid w:val="00A65C5D"/>
    <w:rsid w:val="00A65D4A"/>
    <w:rsid w:val="00A6664D"/>
    <w:rsid w:val="00A6776B"/>
    <w:rsid w:val="00A70B22"/>
    <w:rsid w:val="00A70CB1"/>
    <w:rsid w:val="00A712AC"/>
    <w:rsid w:val="00A71649"/>
    <w:rsid w:val="00A71988"/>
    <w:rsid w:val="00A71E74"/>
    <w:rsid w:val="00A72028"/>
    <w:rsid w:val="00A72243"/>
    <w:rsid w:val="00A7292E"/>
    <w:rsid w:val="00A73891"/>
    <w:rsid w:val="00A74152"/>
    <w:rsid w:val="00A7457C"/>
    <w:rsid w:val="00A7476B"/>
    <w:rsid w:val="00A74EB6"/>
    <w:rsid w:val="00A7522B"/>
    <w:rsid w:val="00A75EA6"/>
    <w:rsid w:val="00A76139"/>
    <w:rsid w:val="00A77506"/>
    <w:rsid w:val="00A80388"/>
    <w:rsid w:val="00A8209B"/>
    <w:rsid w:val="00A82957"/>
    <w:rsid w:val="00A861AB"/>
    <w:rsid w:val="00A86515"/>
    <w:rsid w:val="00A87A86"/>
    <w:rsid w:val="00A87B24"/>
    <w:rsid w:val="00A90170"/>
    <w:rsid w:val="00A90934"/>
    <w:rsid w:val="00A90B18"/>
    <w:rsid w:val="00A90C58"/>
    <w:rsid w:val="00A91CDC"/>
    <w:rsid w:val="00A92675"/>
    <w:rsid w:val="00A926D2"/>
    <w:rsid w:val="00A9363C"/>
    <w:rsid w:val="00A93A7C"/>
    <w:rsid w:val="00A93FC3"/>
    <w:rsid w:val="00A943E4"/>
    <w:rsid w:val="00A9574F"/>
    <w:rsid w:val="00A9590E"/>
    <w:rsid w:val="00A9616A"/>
    <w:rsid w:val="00A96373"/>
    <w:rsid w:val="00A9711F"/>
    <w:rsid w:val="00A9713F"/>
    <w:rsid w:val="00A972D6"/>
    <w:rsid w:val="00A976E5"/>
    <w:rsid w:val="00A979A0"/>
    <w:rsid w:val="00A979B1"/>
    <w:rsid w:val="00AA0C16"/>
    <w:rsid w:val="00AA1812"/>
    <w:rsid w:val="00AA40E7"/>
    <w:rsid w:val="00AA5865"/>
    <w:rsid w:val="00AA5E2F"/>
    <w:rsid w:val="00AA5F39"/>
    <w:rsid w:val="00AA6A68"/>
    <w:rsid w:val="00AB0496"/>
    <w:rsid w:val="00AB1732"/>
    <w:rsid w:val="00AB21B8"/>
    <w:rsid w:val="00AB22A9"/>
    <w:rsid w:val="00AB27A5"/>
    <w:rsid w:val="00AB29E4"/>
    <w:rsid w:val="00AB2AF2"/>
    <w:rsid w:val="00AB3083"/>
    <w:rsid w:val="00AB31A5"/>
    <w:rsid w:val="00AB3484"/>
    <w:rsid w:val="00AB3614"/>
    <w:rsid w:val="00AB3650"/>
    <w:rsid w:val="00AB44BA"/>
    <w:rsid w:val="00AB45FB"/>
    <w:rsid w:val="00AB4978"/>
    <w:rsid w:val="00AB652B"/>
    <w:rsid w:val="00AB75E1"/>
    <w:rsid w:val="00AB76D1"/>
    <w:rsid w:val="00AC0632"/>
    <w:rsid w:val="00AC0991"/>
    <w:rsid w:val="00AC0EFF"/>
    <w:rsid w:val="00AC35B0"/>
    <w:rsid w:val="00AC3E9F"/>
    <w:rsid w:val="00AC4738"/>
    <w:rsid w:val="00AC4D32"/>
    <w:rsid w:val="00AC6AD4"/>
    <w:rsid w:val="00AC701F"/>
    <w:rsid w:val="00AC70B3"/>
    <w:rsid w:val="00AC7480"/>
    <w:rsid w:val="00AC79A3"/>
    <w:rsid w:val="00AD0BE8"/>
    <w:rsid w:val="00AD0D8F"/>
    <w:rsid w:val="00AD1156"/>
    <w:rsid w:val="00AD28C3"/>
    <w:rsid w:val="00AD38ED"/>
    <w:rsid w:val="00AD3B44"/>
    <w:rsid w:val="00AD3D76"/>
    <w:rsid w:val="00AD3DAC"/>
    <w:rsid w:val="00AD3F61"/>
    <w:rsid w:val="00AD41E6"/>
    <w:rsid w:val="00AD44B8"/>
    <w:rsid w:val="00AD5161"/>
    <w:rsid w:val="00AD6C53"/>
    <w:rsid w:val="00AD7174"/>
    <w:rsid w:val="00AD7E71"/>
    <w:rsid w:val="00AE061C"/>
    <w:rsid w:val="00AE0FB5"/>
    <w:rsid w:val="00AE18CC"/>
    <w:rsid w:val="00AE25CB"/>
    <w:rsid w:val="00AE2A22"/>
    <w:rsid w:val="00AE2AE2"/>
    <w:rsid w:val="00AE4428"/>
    <w:rsid w:val="00AE45ED"/>
    <w:rsid w:val="00AE4AAE"/>
    <w:rsid w:val="00AE4E90"/>
    <w:rsid w:val="00AE659A"/>
    <w:rsid w:val="00AE6DFE"/>
    <w:rsid w:val="00AE74F3"/>
    <w:rsid w:val="00AE75D8"/>
    <w:rsid w:val="00AE7CB4"/>
    <w:rsid w:val="00AF0C8E"/>
    <w:rsid w:val="00AF16E8"/>
    <w:rsid w:val="00AF19A2"/>
    <w:rsid w:val="00AF1B2F"/>
    <w:rsid w:val="00AF22CA"/>
    <w:rsid w:val="00AF24B3"/>
    <w:rsid w:val="00AF27AC"/>
    <w:rsid w:val="00AF3807"/>
    <w:rsid w:val="00AF397E"/>
    <w:rsid w:val="00AF4042"/>
    <w:rsid w:val="00AF41FA"/>
    <w:rsid w:val="00AF4FF2"/>
    <w:rsid w:val="00AF50C7"/>
    <w:rsid w:val="00AF5147"/>
    <w:rsid w:val="00AF763C"/>
    <w:rsid w:val="00AF7661"/>
    <w:rsid w:val="00AF7947"/>
    <w:rsid w:val="00AF7C3B"/>
    <w:rsid w:val="00AF7CF1"/>
    <w:rsid w:val="00B00A8B"/>
    <w:rsid w:val="00B00C21"/>
    <w:rsid w:val="00B01C41"/>
    <w:rsid w:val="00B02453"/>
    <w:rsid w:val="00B03B87"/>
    <w:rsid w:val="00B0432C"/>
    <w:rsid w:val="00B05359"/>
    <w:rsid w:val="00B0559F"/>
    <w:rsid w:val="00B05E40"/>
    <w:rsid w:val="00B06440"/>
    <w:rsid w:val="00B10350"/>
    <w:rsid w:val="00B10C79"/>
    <w:rsid w:val="00B12856"/>
    <w:rsid w:val="00B12B7B"/>
    <w:rsid w:val="00B13C90"/>
    <w:rsid w:val="00B142C7"/>
    <w:rsid w:val="00B14FC6"/>
    <w:rsid w:val="00B15798"/>
    <w:rsid w:val="00B1597B"/>
    <w:rsid w:val="00B15CC0"/>
    <w:rsid w:val="00B16B54"/>
    <w:rsid w:val="00B213BC"/>
    <w:rsid w:val="00B215EB"/>
    <w:rsid w:val="00B21EDB"/>
    <w:rsid w:val="00B2313C"/>
    <w:rsid w:val="00B2354F"/>
    <w:rsid w:val="00B238FE"/>
    <w:rsid w:val="00B2422A"/>
    <w:rsid w:val="00B244AE"/>
    <w:rsid w:val="00B25B5E"/>
    <w:rsid w:val="00B261A7"/>
    <w:rsid w:val="00B26900"/>
    <w:rsid w:val="00B27392"/>
    <w:rsid w:val="00B3114B"/>
    <w:rsid w:val="00B31165"/>
    <w:rsid w:val="00B311A3"/>
    <w:rsid w:val="00B3182C"/>
    <w:rsid w:val="00B32FFB"/>
    <w:rsid w:val="00B34706"/>
    <w:rsid w:val="00B34A88"/>
    <w:rsid w:val="00B35542"/>
    <w:rsid w:val="00B35A5C"/>
    <w:rsid w:val="00B36A0B"/>
    <w:rsid w:val="00B408D7"/>
    <w:rsid w:val="00B41391"/>
    <w:rsid w:val="00B41B91"/>
    <w:rsid w:val="00B4216E"/>
    <w:rsid w:val="00B424B8"/>
    <w:rsid w:val="00B43087"/>
    <w:rsid w:val="00B44110"/>
    <w:rsid w:val="00B44BA6"/>
    <w:rsid w:val="00B45149"/>
    <w:rsid w:val="00B46538"/>
    <w:rsid w:val="00B465E5"/>
    <w:rsid w:val="00B508C6"/>
    <w:rsid w:val="00B5337B"/>
    <w:rsid w:val="00B53737"/>
    <w:rsid w:val="00B53AED"/>
    <w:rsid w:val="00B53B6B"/>
    <w:rsid w:val="00B54CDE"/>
    <w:rsid w:val="00B56325"/>
    <w:rsid w:val="00B5669E"/>
    <w:rsid w:val="00B57500"/>
    <w:rsid w:val="00B60171"/>
    <w:rsid w:val="00B61BE0"/>
    <w:rsid w:val="00B6202F"/>
    <w:rsid w:val="00B62349"/>
    <w:rsid w:val="00B62F50"/>
    <w:rsid w:val="00B63687"/>
    <w:rsid w:val="00B63ACA"/>
    <w:rsid w:val="00B63EBC"/>
    <w:rsid w:val="00B63F86"/>
    <w:rsid w:val="00B64976"/>
    <w:rsid w:val="00B651FC"/>
    <w:rsid w:val="00B65D5E"/>
    <w:rsid w:val="00B664B9"/>
    <w:rsid w:val="00B678CB"/>
    <w:rsid w:val="00B67C2E"/>
    <w:rsid w:val="00B70875"/>
    <w:rsid w:val="00B7178E"/>
    <w:rsid w:val="00B71FB7"/>
    <w:rsid w:val="00B758B1"/>
    <w:rsid w:val="00B75E6C"/>
    <w:rsid w:val="00B7667E"/>
    <w:rsid w:val="00B80117"/>
    <w:rsid w:val="00B804C9"/>
    <w:rsid w:val="00B81549"/>
    <w:rsid w:val="00B81567"/>
    <w:rsid w:val="00B81779"/>
    <w:rsid w:val="00B81E4F"/>
    <w:rsid w:val="00B82964"/>
    <w:rsid w:val="00B834A2"/>
    <w:rsid w:val="00B834DE"/>
    <w:rsid w:val="00B83E38"/>
    <w:rsid w:val="00B84047"/>
    <w:rsid w:val="00B84F1A"/>
    <w:rsid w:val="00B85550"/>
    <w:rsid w:val="00B85586"/>
    <w:rsid w:val="00B861BB"/>
    <w:rsid w:val="00B86BFA"/>
    <w:rsid w:val="00B87141"/>
    <w:rsid w:val="00B87D85"/>
    <w:rsid w:val="00B87DAB"/>
    <w:rsid w:val="00B90BF3"/>
    <w:rsid w:val="00B90C65"/>
    <w:rsid w:val="00B9261F"/>
    <w:rsid w:val="00B92719"/>
    <w:rsid w:val="00B9521A"/>
    <w:rsid w:val="00B95DDE"/>
    <w:rsid w:val="00B96935"/>
    <w:rsid w:val="00B97B87"/>
    <w:rsid w:val="00B97CA8"/>
    <w:rsid w:val="00B97D19"/>
    <w:rsid w:val="00BA03C6"/>
    <w:rsid w:val="00BA05F9"/>
    <w:rsid w:val="00BA12DD"/>
    <w:rsid w:val="00BA1ACC"/>
    <w:rsid w:val="00BA20DF"/>
    <w:rsid w:val="00BA253B"/>
    <w:rsid w:val="00BA2959"/>
    <w:rsid w:val="00BA2DE9"/>
    <w:rsid w:val="00BA56D8"/>
    <w:rsid w:val="00BA59AC"/>
    <w:rsid w:val="00BA649A"/>
    <w:rsid w:val="00BA6588"/>
    <w:rsid w:val="00BA6BDA"/>
    <w:rsid w:val="00BA7EED"/>
    <w:rsid w:val="00BB0309"/>
    <w:rsid w:val="00BB17F5"/>
    <w:rsid w:val="00BB1CE7"/>
    <w:rsid w:val="00BB332F"/>
    <w:rsid w:val="00BB34B5"/>
    <w:rsid w:val="00BB5456"/>
    <w:rsid w:val="00BB5E00"/>
    <w:rsid w:val="00BB7B89"/>
    <w:rsid w:val="00BC05DF"/>
    <w:rsid w:val="00BC07FA"/>
    <w:rsid w:val="00BC1371"/>
    <w:rsid w:val="00BC2A7D"/>
    <w:rsid w:val="00BC2FB5"/>
    <w:rsid w:val="00BC41C8"/>
    <w:rsid w:val="00BC52D2"/>
    <w:rsid w:val="00BC5B01"/>
    <w:rsid w:val="00BC6D39"/>
    <w:rsid w:val="00BC72A7"/>
    <w:rsid w:val="00BC7460"/>
    <w:rsid w:val="00BC7461"/>
    <w:rsid w:val="00BD17FA"/>
    <w:rsid w:val="00BD1C35"/>
    <w:rsid w:val="00BD390E"/>
    <w:rsid w:val="00BD41C0"/>
    <w:rsid w:val="00BD4B57"/>
    <w:rsid w:val="00BD6C9C"/>
    <w:rsid w:val="00BE073C"/>
    <w:rsid w:val="00BE07B0"/>
    <w:rsid w:val="00BE0B51"/>
    <w:rsid w:val="00BE0F0E"/>
    <w:rsid w:val="00BE16BC"/>
    <w:rsid w:val="00BE24A8"/>
    <w:rsid w:val="00BE2AB9"/>
    <w:rsid w:val="00BE4E45"/>
    <w:rsid w:val="00BE5257"/>
    <w:rsid w:val="00BE5A48"/>
    <w:rsid w:val="00BE7395"/>
    <w:rsid w:val="00BE745F"/>
    <w:rsid w:val="00BE7A11"/>
    <w:rsid w:val="00BE7CC3"/>
    <w:rsid w:val="00BF0A1B"/>
    <w:rsid w:val="00BF0E8F"/>
    <w:rsid w:val="00BF16EB"/>
    <w:rsid w:val="00BF2DE3"/>
    <w:rsid w:val="00BF2DEF"/>
    <w:rsid w:val="00BF3E86"/>
    <w:rsid w:val="00BF40BD"/>
    <w:rsid w:val="00BF5344"/>
    <w:rsid w:val="00BF590E"/>
    <w:rsid w:val="00BF61CD"/>
    <w:rsid w:val="00BF6CCF"/>
    <w:rsid w:val="00BF6F5F"/>
    <w:rsid w:val="00BF723D"/>
    <w:rsid w:val="00C0004F"/>
    <w:rsid w:val="00C00487"/>
    <w:rsid w:val="00C00991"/>
    <w:rsid w:val="00C01121"/>
    <w:rsid w:val="00C012EC"/>
    <w:rsid w:val="00C02822"/>
    <w:rsid w:val="00C029A6"/>
    <w:rsid w:val="00C06E87"/>
    <w:rsid w:val="00C07756"/>
    <w:rsid w:val="00C07CB7"/>
    <w:rsid w:val="00C07D66"/>
    <w:rsid w:val="00C07F5D"/>
    <w:rsid w:val="00C1030C"/>
    <w:rsid w:val="00C10763"/>
    <w:rsid w:val="00C1093E"/>
    <w:rsid w:val="00C11272"/>
    <w:rsid w:val="00C115F0"/>
    <w:rsid w:val="00C120FF"/>
    <w:rsid w:val="00C13F9F"/>
    <w:rsid w:val="00C141A0"/>
    <w:rsid w:val="00C143D5"/>
    <w:rsid w:val="00C154EE"/>
    <w:rsid w:val="00C15E86"/>
    <w:rsid w:val="00C179B4"/>
    <w:rsid w:val="00C17FBD"/>
    <w:rsid w:val="00C20415"/>
    <w:rsid w:val="00C20506"/>
    <w:rsid w:val="00C2056D"/>
    <w:rsid w:val="00C212C6"/>
    <w:rsid w:val="00C21840"/>
    <w:rsid w:val="00C227DB"/>
    <w:rsid w:val="00C2331A"/>
    <w:rsid w:val="00C244D7"/>
    <w:rsid w:val="00C2494D"/>
    <w:rsid w:val="00C25F52"/>
    <w:rsid w:val="00C26D0F"/>
    <w:rsid w:val="00C26D30"/>
    <w:rsid w:val="00C27410"/>
    <w:rsid w:val="00C27F07"/>
    <w:rsid w:val="00C30130"/>
    <w:rsid w:val="00C318A4"/>
    <w:rsid w:val="00C34556"/>
    <w:rsid w:val="00C34AF9"/>
    <w:rsid w:val="00C34F33"/>
    <w:rsid w:val="00C35B7A"/>
    <w:rsid w:val="00C3669F"/>
    <w:rsid w:val="00C36BC2"/>
    <w:rsid w:val="00C37482"/>
    <w:rsid w:val="00C4026C"/>
    <w:rsid w:val="00C405FF"/>
    <w:rsid w:val="00C40C0A"/>
    <w:rsid w:val="00C41207"/>
    <w:rsid w:val="00C42A82"/>
    <w:rsid w:val="00C42D92"/>
    <w:rsid w:val="00C439C1"/>
    <w:rsid w:val="00C444EC"/>
    <w:rsid w:val="00C446DD"/>
    <w:rsid w:val="00C44C7B"/>
    <w:rsid w:val="00C45B62"/>
    <w:rsid w:val="00C45D8A"/>
    <w:rsid w:val="00C45DAF"/>
    <w:rsid w:val="00C46257"/>
    <w:rsid w:val="00C479F4"/>
    <w:rsid w:val="00C47E46"/>
    <w:rsid w:val="00C508C8"/>
    <w:rsid w:val="00C50BBB"/>
    <w:rsid w:val="00C50CDB"/>
    <w:rsid w:val="00C52EA4"/>
    <w:rsid w:val="00C555FB"/>
    <w:rsid w:val="00C556A7"/>
    <w:rsid w:val="00C57A62"/>
    <w:rsid w:val="00C57E83"/>
    <w:rsid w:val="00C60018"/>
    <w:rsid w:val="00C600B5"/>
    <w:rsid w:val="00C61543"/>
    <w:rsid w:val="00C62C9C"/>
    <w:rsid w:val="00C62E5A"/>
    <w:rsid w:val="00C62F4E"/>
    <w:rsid w:val="00C62F56"/>
    <w:rsid w:val="00C6449D"/>
    <w:rsid w:val="00C64832"/>
    <w:rsid w:val="00C64AD3"/>
    <w:rsid w:val="00C665B6"/>
    <w:rsid w:val="00C66FC4"/>
    <w:rsid w:val="00C6700A"/>
    <w:rsid w:val="00C70606"/>
    <w:rsid w:val="00C71AB1"/>
    <w:rsid w:val="00C72FB9"/>
    <w:rsid w:val="00C7380E"/>
    <w:rsid w:val="00C73F14"/>
    <w:rsid w:val="00C75089"/>
    <w:rsid w:val="00C75156"/>
    <w:rsid w:val="00C7527A"/>
    <w:rsid w:val="00C7531E"/>
    <w:rsid w:val="00C76111"/>
    <w:rsid w:val="00C771A3"/>
    <w:rsid w:val="00C773C6"/>
    <w:rsid w:val="00C77780"/>
    <w:rsid w:val="00C77781"/>
    <w:rsid w:val="00C77C40"/>
    <w:rsid w:val="00C80491"/>
    <w:rsid w:val="00C80EFE"/>
    <w:rsid w:val="00C81C76"/>
    <w:rsid w:val="00C81E4A"/>
    <w:rsid w:val="00C826E3"/>
    <w:rsid w:val="00C827F4"/>
    <w:rsid w:val="00C836CC"/>
    <w:rsid w:val="00C842F2"/>
    <w:rsid w:val="00C8499A"/>
    <w:rsid w:val="00C84C06"/>
    <w:rsid w:val="00C87821"/>
    <w:rsid w:val="00C8790B"/>
    <w:rsid w:val="00C87CF1"/>
    <w:rsid w:val="00C915F4"/>
    <w:rsid w:val="00C94251"/>
    <w:rsid w:val="00C95E28"/>
    <w:rsid w:val="00C96839"/>
    <w:rsid w:val="00CA05E9"/>
    <w:rsid w:val="00CA1065"/>
    <w:rsid w:val="00CA1752"/>
    <w:rsid w:val="00CA25CA"/>
    <w:rsid w:val="00CA26BB"/>
    <w:rsid w:val="00CA3403"/>
    <w:rsid w:val="00CA391F"/>
    <w:rsid w:val="00CA52CD"/>
    <w:rsid w:val="00CA5DC7"/>
    <w:rsid w:val="00CA601E"/>
    <w:rsid w:val="00CA67DE"/>
    <w:rsid w:val="00CA7627"/>
    <w:rsid w:val="00CB06C6"/>
    <w:rsid w:val="00CB086A"/>
    <w:rsid w:val="00CB12A1"/>
    <w:rsid w:val="00CB1365"/>
    <w:rsid w:val="00CB1405"/>
    <w:rsid w:val="00CB2B8B"/>
    <w:rsid w:val="00CB2EB9"/>
    <w:rsid w:val="00CB3222"/>
    <w:rsid w:val="00CB3D78"/>
    <w:rsid w:val="00CB45FB"/>
    <w:rsid w:val="00CB5218"/>
    <w:rsid w:val="00CB5D65"/>
    <w:rsid w:val="00CB5EEB"/>
    <w:rsid w:val="00CB6772"/>
    <w:rsid w:val="00CC08DD"/>
    <w:rsid w:val="00CC09A3"/>
    <w:rsid w:val="00CC0A5A"/>
    <w:rsid w:val="00CC131F"/>
    <w:rsid w:val="00CC15B8"/>
    <w:rsid w:val="00CC1728"/>
    <w:rsid w:val="00CC1D01"/>
    <w:rsid w:val="00CC32B4"/>
    <w:rsid w:val="00CC340C"/>
    <w:rsid w:val="00CC39D8"/>
    <w:rsid w:val="00CC41F1"/>
    <w:rsid w:val="00CC5C58"/>
    <w:rsid w:val="00CC67BA"/>
    <w:rsid w:val="00CC7219"/>
    <w:rsid w:val="00CC7490"/>
    <w:rsid w:val="00CC762B"/>
    <w:rsid w:val="00CC7729"/>
    <w:rsid w:val="00CD02DC"/>
    <w:rsid w:val="00CD1881"/>
    <w:rsid w:val="00CD1B00"/>
    <w:rsid w:val="00CD31B9"/>
    <w:rsid w:val="00CD3589"/>
    <w:rsid w:val="00CD3B3E"/>
    <w:rsid w:val="00CD3D8D"/>
    <w:rsid w:val="00CD43B0"/>
    <w:rsid w:val="00CD5B31"/>
    <w:rsid w:val="00CD5D80"/>
    <w:rsid w:val="00CD5E7E"/>
    <w:rsid w:val="00CD6856"/>
    <w:rsid w:val="00CD6E54"/>
    <w:rsid w:val="00CD795E"/>
    <w:rsid w:val="00CD7E5A"/>
    <w:rsid w:val="00CE0076"/>
    <w:rsid w:val="00CE1483"/>
    <w:rsid w:val="00CE1882"/>
    <w:rsid w:val="00CE1BBD"/>
    <w:rsid w:val="00CE218A"/>
    <w:rsid w:val="00CE2E78"/>
    <w:rsid w:val="00CE2EB6"/>
    <w:rsid w:val="00CE310B"/>
    <w:rsid w:val="00CE344B"/>
    <w:rsid w:val="00CE41B0"/>
    <w:rsid w:val="00CE69C9"/>
    <w:rsid w:val="00CF0BAE"/>
    <w:rsid w:val="00CF1628"/>
    <w:rsid w:val="00CF1AC9"/>
    <w:rsid w:val="00CF1CA2"/>
    <w:rsid w:val="00CF25CA"/>
    <w:rsid w:val="00CF3B14"/>
    <w:rsid w:val="00CF422E"/>
    <w:rsid w:val="00CF4F41"/>
    <w:rsid w:val="00CF5204"/>
    <w:rsid w:val="00CF5CCE"/>
    <w:rsid w:val="00CF5FB0"/>
    <w:rsid w:val="00CF780A"/>
    <w:rsid w:val="00D02BD4"/>
    <w:rsid w:val="00D04851"/>
    <w:rsid w:val="00D048CC"/>
    <w:rsid w:val="00D0592A"/>
    <w:rsid w:val="00D05F42"/>
    <w:rsid w:val="00D06858"/>
    <w:rsid w:val="00D0698E"/>
    <w:rsid w:val="00D06D0C"/>
    <w:rsid w:val="00D11409"/>
    <w:rsid w:val="00D11576"/>
    <w:rsid w:val="00D116A0"/>
    <w:rsid w:val="00D119EC"/>
    <w:rsid w:val="00D11D09"/>
    <w:rsid w:val="00D11ED5"/>
    <w:rsid w:val="00D12302"/>
    <w:rsid w:val="00D14042"/>
    <w:rsid w:val="00D156EA"/>
    <w:rsid w:val="00D15986"/>
    <w:rsid w:val="00D16A81"/>
    <w:rsid w:val="00D16AB8"/>
    <w:rsid w:val="00D16DDA"/>
    <w:rsid w:val="00D174DA"/>
    <w:rsid w:val="00D207E6"/>
    <w:rsid w:val="00D20A4F"/>
    <w:rsid w:val="00D212F4"/>
    <w:rsid w:val="00D22412"/>
    <w:rsid w:val="00D2262C"/>
    <w:rsid w:val="00D22823"/>
    <w:rsid w:val="00D231E7"/>
    <w:rsid w:val="00D23C27"/>
    <w:rsid w:val="00D2546A"/>
    <w:rsid w:val="00D26CCD"/>
    <w:rsid w:val="00D272E6"/>
    <w:rsid w:val="00D276A5"/>
    <w:rsid w:val="00D27A85"/>
    <w:rsid w:val="00D27CFF"/>
    <w:rsid w:val="00D3029B"/>
    <w:rsid w:val="00D30ACA"/>
    <w:rsid w:val="00D30B6D"/>
    <w:rsid w:val="00D31295"/>
    <w:rsid w:val="00D317A7"/>
    <w:rsid w:val="00D31806"/>
    <w:rsid w:val="00D32908"/>
    <w:rsid w:val="00D331B4"/>
    <w:rsid w:val="00D33313"/>
    <w:rsid w:val="00D355D7"/>
    <w:rsid w:val="00D356F1"/>
    <w:rsid w:val="00D35C64"/>
    <w:rsid w:val="00D35D05"/>
    <w:rsid w:val="00D366C2"/>
    <w:rsid w:val="00D37002"/>
    <w:rsid w:val="00D37920"/>
    <w:rsid w:val="00D408EE"/>
    <w:rsid w:val="00D423D4"/>
    <w:rsid w:val="00D42BBC"/>
    <w:rsid w:val="00D43C2A"/>
    <w:rsid w:val="00D44030"/>
    <w:rsid w:val="00D451A6"/>
    <w:rsid w:val="00D45B00"/>
    <w:rsid w:val="00D46E09"/>
    <w:rsid w:val="00D478C9"/>
    <w:rsid w:val="00D47C17"/>
    <w:rsid w:val="00D50CC7"/>
    <w:rsid w:val="00D50EA1"/>
    <w:rsid w:val="00D51C77"/>
    <w:rsid w:val="00D523B5"/>
    <w:rsid w:val="00D53E63"/>
    <w:rsid w:val="00D5445A"/>
    <w:rsid w:val="00D56042"/>
    <w:rsid w:val="00D567F4"/>
    <w:rsid w:val="00D569A6"/>
    <w:rsid w:val="00D571D7"/>
    <w:rsid w:val="00D571DE"/>
    <w:rsid w:val="00D573F0"/>
    <w:rsid w:val="00D576EC"/>
    <w:rsid w:val="00D6059E"/>
    <w:rsid w:val="00D60A0B"/>
    <w:rsid w:val="00D61CC2"/>
    <w:rsid w:val="00D624A2"/>
    <w:rsid w:val="00D6359F"/>
    <w:rsid w:val="00D64518"/>
    <w:rsid w:val="00D6565D"/>
    <w:rsid w:val="00D66C08"/>
    <w:rsid w:val="00D66EA7"/>
    <w:rsid w:val="00D672CC"/>
    <w:rsid w:val="00D67E59"/>
    <w:rsid w:val="00D67FE2"/>
    <w:rsid w:val="00D70AA4"/>
    <w:rsid w:val="00D70EA3"/>
    <w:rsid w:val="00D71128"/>
    <w:rsid w:val="00D711C0"/>
    <w:rsid w:val="00D714F6"/>
    <w:rsid w:val="00D716B7"/>
    <w:rsid w:val="00D736B2"/>
    <w:rsid w:val="00D73AA4"/>
    <w:rsid w:val="00D73BA1"/>
    <w:rsid w:val="00D75FBB"/>
    <w:rsid w:val="00D760DD"/>
    <w:rsid w:val="00D76F96"/>
    <w:rsid w:val="00D778D9"/>
    <w:rsid w:val="00D77B26"/>
    <w:rsid w:val="00D80329"/>
    <w:rsid w:val="00D8124F"/>
    <w:rsid w:val="00D815DF"/>
    <w:rsid w:val="00D81685"/>
    <w:rsid w:val="00D817CD"/>
    <w:rsid w:val="00D81A72"/>
    <w:rsid w:val="00D8235D"/>
    <w:rsid w:val="00D82710"/>
    <w:rsid w:val="00D82B0F"/>
    <w:rsid w:val="00D834C4"/>
    <w:rsid w:val="00D843A8"/>
    <w:rsid w:val="00D8463E"/>
    <w:rsid w:val="00D84E9B"/>
    <w:rsid w:val="00D8728D"/>
    <w:rsid w:val="00D87E97"/>
    <w:rsid w:val="00D91313"/>
    <w:rsid w:val="00D91720"/>
    <w:rsid w:val="00D918B2"/>
    <w:rsid w:val="00D9196A"/>
    <w:rsid w:val="00D9287A"/>
    <w:rsid w:val="00D9317A"/>
    <w:rsid w:val="00D93234"/>
    <w:rsid w:val="00D94D6F"/>
    <w:rsid w:val="00D95768"/>
    <w:rsid w:val="00D96452"/>
    <w:rsid w:val="00D9737C"/>
    <w:rsid w:val="00D974BE"/>
    <w:rsid w:val="00D9765F"/>
    <w:rsid w:val="00D97C85"/>
    <w:rsid w:val="00D97D8C"/>
    <w:rsid w:val="00DA0D71"/>
    <w:rsid w:val="00DA0DE4"/>
    <w:rsid w:val="00DA1916"/>
    <w:rsid w:val="00DA2652"/>
    <w:rsid w:val="00DA2EE8"/>
    <w:rsid w:val="00DA5098"/>
    <w:rsid w:val="00DA54BC"/>
    <w:rsid w:val="00DA54D8"/>
    <w:rsid w:val="00DA5CC8"/>
    <w:rsid w:val="00DA6FFB"/>
    <w:rsid w:val="00DA722D"/>
    <w:rsid w:val="00DA7749"/>
    <w:rsid w:val="00DB0BF5"/>
    <w:rsid w:val="00DB0C8F"/>
    <w:rsid w:val="00DB111A"/>
    <w:rsid w:val="00DB144F"/>
    <w:rsid w:val="00DB1703"/>
    <w:rsid w:val="00DB1E33"/>
    <w:rsid w:val="00DB2061"/>
    <w:rsid w:val="00DB23B6"/>
    <w:rsid w:val="00DB3882"/>
    <w:rsid w:val="00DB3CF2"/>
    <w:rsid w:val="00DB4592"/>
    <w:rsid w:val="00DB45D0"/>
    <w:rsid w:val="00DB4CD5"/>
    <w:rsid w:val="00DB54BD"/>
    <w:rsid w:val="00DB55BE"/>
    <w:rsid w:val="00DB6021"/>
    <w:rsid w:val="00DB632D"/>
    <w:rsid w:val="00DB64E7"/>
    <w:rsid w:val="00DB6F65"/>
    <w:rsid w:val="00DB711A"/>
    <w:rsid w:val="00DB7857"/>
    <w:rsid w:val="00DB7DB0"/>
    <w:rsid w:val="00DC08E9"/>
    <w:rsid w:val="00DC1EFA"/>
    <w:rsid w:val="00DC224E"/>
    <w:rsid w:val="00DC29B8"/>
    <w:rsid w:val="00DC3C7D"/>
    <w:rsid w:val="00DC4DEB"/>
    <w:rsid w:val="00DC542C"/>
    <w:rsid w:val="00DC63ED"/>
    <w:rsid w:val="00DC63F0"/>
    <w:rsid w:val="00DC6FFA"/>
    <w:rsid w:val="00DC7257"/>
    <w:rsid w:val="00DC747B"/>
    <w:rsid w:val="00DD0811"/>
    <w:rsid w:val="00DD0AC9"/>
    <w:rsid w:val="00DD1691"/>
    <w:rsid w:val="00DD1C97"/>
    <w:rsid w:val="00DD2579"/>
    <w:rsid w:val="00DD2B01"/>
    <w:rsid w:val="00DD310A"/>
    <w:rsid w:val="00DD3725"/>
    <w:rsid w:val="00DD385C"/>
    <w:rsid w:val="00DD3AEA"/>
    <w:rsid w:val="00DD4540"/>
    <w:rsid w:val="00DD5F81"/>
    <w:rsid w:val="00DD615E"/>
    <w:rsid w:val="00DD6C67"/>
    <w:rsid w:val="00DD743B"/>
    <w:rsid w:val="00DE1584"/>
    <w:rsid w:val="00DE1A5C"/>
    <w:rsid w:val="00DE1EB7"/>
    <w:rsid w:val="00DE1EFB"/>
    <w:rsid w:val="00DE1FF9"/>
    <w:rsid w:val="00DE2134"/>
    <w:rsid w:val="00DE251F"/>
    <w:rsid w:val="00DE266A"/>
    <w:rsid w:val="00DE2A72"/>
    <w:rsid w:val="00DE3858"/>
    <w:rsid w:val="00DE40E3"/>
    <w:rsid w:val="00DE48F7"/>
    <w:rsid w:val="00DE5367"/>
    <w:rsid w:val="00DE5530"/>
    <w:rsid w:val="00DE5B5C"/>
    <w:rsid w:val="00DE6667"/>
    <w:rsid w:val="00DE7896"/>
    <w:rsid w:val="00DE7AF0"/>
    <w:rsid w:val="00DF01BD"/>
    <w:rsid w:val="00DF02AD"/>
    <w:rsid w:val="00DF0391"/>
    <w:rsid w:val="00DF07BA"/>
    <w:rsid w:val="00DF0EBF"/>
    <w:rsid w:val="00DF13AA"/>
    <w:rsid w:val="00DF296E"/>
    <w:rsid w:val="00DF4599"/>
    <w:rsid w:val="00DF5623"/>
    <w:rsid w:val="00DF56AC"/>
    <w:rsid w:val="00DF59F7"/>
    <w:rsid w:val="00DF5D42"/>
    <w:rsid w:val="00DF6404"/>
    <w:rsid w:val="00DF6BCC"/>
    <w:rsid w:val="00DF72FA"/>
    <w:rsid w:val="00DF73F4"/>
    <w:rsid w:val="00E00BB2"/>
    <w:rsid w:val="00E014DB"/>
    <w:rsid w:val="00E02838"/>
    <w:rsid w:val="00E03354"/>
    <w:rsid w:val="00E035DE"/>
    <w:rsid w:val="00E036CC"/>
    <w:rsid w:val="00E046CF"/>
    <w:rsid w:val="00E04725"/>
    <w:rsid w:val="00E0486C"/>
    <w:rsid w:val="00E04A8F"/>
    <w:rsid w:val="00E06957"/>
    <w:rsid w:val="00E06CE5"/>
    <w:rsid w:val="00E06E48"/>
    <w:rsid w:val="00E1006C"/>
    <w:rsid w:val="00E106CE"/>
    <w:rsid w:val="00E1197E"/>
    <w:rsid w:val="00E11DA2"/>
    <w:rsid w:val="00E1237A"/>
    <w:rsid w:val="00E12403"/>
    <w:rsid w:val="00E13590"/>
    <w:rsid w:val="00E14F60"/>
    <w:rsid w:val="00E151E9"/>
    <w:rsid w:val="00E157EC"/>
    <w:rsid w:val="00E16112"/>
    <w:rsid w:val="00E171DA"/>
    <w:rsid w:val="00E205E4"/>
    <w:rsid w:val="00E21927"/>
    <w:rsid w:val="00E220BC"/>
    <w:rsid w:val="00E22434"/>
    <w:rsid w:val="00E224A8"/>
    <w:rsid w:val="00E2258C"/>
    <w:rsid w:val="00E22E90"/>
    <w:rsid w:val="00E23169"/>
    <w:rsid w:val="00E23AF8"/>
    <w:rsid w:val="00E23E63"/>
    <w:rsid w:val="00E24F42"/>
    <w:rsid w:val="00E2654A"/>
    <w:rsid w:val="00E26E00"/>
    <w:rsid w:val="00E27EBD"/>
    <w:rsid w:val="00E3084C"/>
    <w:rsid w:val="00E31183"/>
    <w:rsid w:val="00E31935"/>
    <w:rsid w:val="00E320AE"/>
    <w:rsid w:val="00E3384B"/>
    <w:rsid w:val="00E3467E"/>
    <w:rsid w:val="00E368A3"/>
    <w:rsid w:val="00E3713C"/>
    <w:rsid w:val="00E3736F"/>
    <w:rsid w:val="00E37AE1"/>
    <w:rsid w:val="00E37B58"/>
    <w:rsid w:val="00E37CFF"/>
    <w:rsid w:val="00E37D21"/>
    <w:rsid w:val="00E37F5E"/>
    <w:rsid w:val="00E4015E"/>
    <w:rsid w:val="00E4122F"/>
    <w:rsid w:val="00E415A3"/>
    <w:rsid w:val="00E41A59"/>
    <w:rsid w:val="00E41C21"/>
    <w:rsid w:val="00E420FB"/>
    <w:rsid w:val="00E430B3"/>
    <w:rsid w:val="00E43777"/>
    <w:rsid w:val="00E4387C"/>
    <w:rsid w:val="00E44148"/>
    <w:rsid w:val="00E44C76"/>
    <w:rsid w:val="00E4532A"/>
    <w:rsid w:val="00E45526"/>
    <w:rsid w:val="00E46313"/>
    <w:rsid w:val="00E46AB0"/>
    <w:rsid w:val="00E46C1A"/>
    <w:rsid w:val="00E46DC2"/>
    <w:rsid w:val="00E46E98"/>
    <w:rsid w:val="00E478A9"/>
    <w:rsid w:val="00E47D39"/>
    <w:rsid w:val="00E47DB6"/>
    <w:rsid w:val="00E501A1"/>
    <w:rsid w:val="00E51D62"/>
    <w:rsid w:val="00E51DEB"/>
    <w:rsid w:val="00E52988"/>
    <w:rsid w:val="00E53033"/>
    <w:rsid w:val="00E535B6"/>
    <w:rsid w:val="00E536F9"/>
    <w:rsid w:val="00E541A4"/>
    <w:rsid w:val="00E5506D"/>
    <w:rsid w:val="00E55177"/>
    <w:rsid w:val="00E551AB"/>
    <w:rsid w:val="00E551D7"/>
    <w:rsid w:val="00E55F17"/>
    <w:rsid w:val="00E565F5"/>
    <w:rsid w:val="00E56E79"/>
    <w:rsid w:val="00E606E3"/>
    <w:rsid w:val="00E607DF"/>
    <w:rsid w:val="00E608E4"/>
    <w:rsid w:val="00E62C0E"/>
    <w:rsid w:val="00E63268"/>
    <w:rsid w:val="00E635E6"/>
    <w:rsid w:val="00E65997"/>
    <w:rsid w:val="00E65AC4"/>
    <w:rsid w:val="00E664C0"/>
    <w:rsid w:val="00E6712E"/>
    <w:rsid w:val="00E671FD"/>
    <w:rsid w:val="00E672E4"/>
    <w:rsid w:val="00E67496"/>
    <w:rsid w:val="00E674D3"/>
    <w:rsid w:val="00E6776B"/>
    <w:rsid w:val="00E677F5"/>
    <w:rsid w:val="00E70559"/>
    <w:rsid w:val="00E70A52"/>
    <w:rsid w:val="00E71BDA"/>
    <w:rsid w:val="00E73DC4"/>
    <w:rsid w:val="00E746E8"/>
    <w:rsid w:val="00E74A16"/>
    <w:rsid w:val="00E74FFB"/>
    <w:rsid w:val="00E75209"/>
    <w:rsid w:val="00E7563B"/>
    <w:rsid w:val="00E771D3"/>
    <w:rsid w:val="00E80003"/>
    <w:rsid w:val="00E8101B"/>
    <w:rsid w:val="00E819B3"/>
    <w:rsid w:val="00E822E8"/>
    <w:rsid w:val="00E83734"/>
    <w:rsid w:val="00E852B9"/>
    <w:rsid w:val="00E853F3"/>
    <w:rsid w:val="00E854CB"/>
    <w:rsid w:val="00E85542"/>
    <w:rsid w:val="00E859D4"/>
    <w:rsid w:val="00E85AC0"/>
    <w:rsid w:val="00E85CA7"/>
    <w:rsid w:val="00E87222"/>
    <w:rsid w:val="00E902C9"/>
    <w:rsid w:val="00E90343"/>
    <w:rsid w:val="00E908B7"/>
    <w:rsid w:val="00E919B4"/>
    <w:rsid w:val="00E91FC0"/>
    <w:rsid w:val="00E923B9"/>
    <w:rsid w:val="00E93414"/>
    <w:rsid w:val="00E93E69"/>
    <w:rsid w:val="00E940B2"/>
    <w:rsid w:val="00E949CA"/>
    <w:rsid w:val="00E94EB4"/>
    <w:rsid w:val="00E95DBC"/>
    <w:rsid w:val="00E96067"/>
    <w:rsid w:val="00E9634D"/>
    <w:rsid w:val="00E96DB9"/>
    <w:rsid w:val="00EA0287"/>
    <w:rsid w:val="00EA0C3D"/>
    <w:rsid w:val="00EA10BE"/>
    <w:rsid w:val="00EA169E"/>
    <w:rsid w:val="00EA2236"/>
    <w:rsid w:val="00EA2507"/>
    <w:rsid w:val="00EA2BFA"/>
    <w:rsid w:val="00EA306B"/>
    <w:rsid w:val="00EA32E8"/>
    <w:rsid w:val="00EA363E"/>
    <w:rsid w:val="00EA4028"/>
    <w:rsid w:val="00EA5031"/>
    <w:rsid w:val="00EA51E7"/>
    <w:rsid w:val="00EA5FB1"/>
    <w:rsid w:val="00EA6A98"/>
    <w:rsid w:val="00EA746B"/>
    <w:rsid w:val="00EA791C"/>
    <w:rsid w:val="00EB14CF"/>
    <w:rsid w:val="00EB3131"/>
    <w:rsid w:val="00EB4B0F"/>
    <w:rsid w:val="00EB5D3B"/>
    <w:rsid w:val="00EB6150"/>
    <w:rsid w:val="00EB7980"/>
    <w:rsid w:val="00EB79A3"/>
    <w:rsid w:val="00EC1EF2"/>
    <w:rsid w:val="00EC412A"/>
    <w:rsid w:val="00EC48D3"/>
    <w:rsid w:val="00EC65FD"/>
    <w:rsid w:val="00EC6603"/>
    <w:rsid w:val="00EC6628"/>
    <w:rsid w:val="00EC7228"/>
    <w:rsid w:val="00EC7B4E"/>
    <w:rsid w:val="00ED0304"/>
    <w:rsid w:val="00ED0C10"/>
    <w:rsid w:val="00ED1961"/>
    <w:rsid w:val="00ED283D"/>
    <w:rsid w:val="00ED2E7E"/>
    <w:rsid w:val="00ED4771"/>
    <w:rsid w:val="00ED58AD"/>
    <w:rsid w:val="00ED5AAF"/>
    <w:rsid w:val="00ED6AFC"/>
    <w:rsid w:val="00ED71DD"/>
    <w:rsid w:val="00ED7F85"/>
    <w:rsid w:val="00EE0794"/>
    <w:rsid w:val="00EE0B9D"/>
    <w:rsid w:val="00EE0C14"/>
    <w:rsid w:val="00EE0EB4"/>
    <w:rsid w:val="00EE1058"/>
    <w:rsid w:val="00EE1CF2"/>
    <w:rsid w:val="00EE21B1"/>
    <w:rsid w:val="00EE2D2D"/>
    <w:rsid w:val="00EE4B43"/>
    <w:rsid w:val="00EE6531"/>
    <w:rsid w:val="00EE689D"/>
    <w:rsid w:val="00EE7132"/>
    <w:rsid w:val="00EE7166"/>
    <w:rsid w:val="00EE7489"/>
    <w:rsid w:val="00EF0275"/>
    <w:rsid w:val="00EF03CD"/>
    <w:rsid w:val="00EF071F"/>
    <w:rsid w:val="00EF0A50"/>
    <w:rsid w:val="00EF109F"/>
    <w:rsid w:val="00EF1438"/>
    <w:rsid w:val="00EF165C"/>
    <w:rsid w:val="00EF2B3D"/>
    <w:rsid w:val="00EF2B71"/>
    <w:rsid w:val="00EF3D67"/>
    <w:rsid w:val="00EF4B21"/>
    <w:rsid w:val="00EF4C07"/>
    <w:rsid w:val="00EF596E"/>
    <w:rsid w:val="00EF6165"/>
    <w:rsid w:val="00EF65CB"/>
    <w:rsid w:val="00EF6D7C"/>
    <w:rsid w:val="00EF72BA"/>
    <w:rsid w:val="00F004FB"/>
    <w:rsid w:val="00F0183F"/>
    <w:rsid w:val="00F0201A"/>
    <w:rsid w:val="00F027F2"/>
    <w:rsid w:val="00F02AC9"/>
    <w:rsid w:val="00F03077"/>
    <w:rsid w:val="00F032A1"/>
    <w:rsid w:val="00F03E95"/>
    <w:rsid w:val="00F04A18"/>
    <w:rsid w:val="00F06058"/>
    <w:rsid w:val="00F06ACC"/>
    <w:rsid w:val="00F07523"/>
    <w:rsid w:val="00F07580"/>
    <w:rsid w:val="00F1062F"/>
    <w:rsid w:val="00F115A7"/>
    <w:rsid w:val="00F11F5B"/>
    <w:rsid w:val="00F1205E"/>
    <w:rsid w:val="00F122CA"/>
    <w:rsid w:val="00F13804"/>
    <w:rsid w:val="00F13AC9"/>
    <w:rsid w:val="00F14475"/>
    <w:rsid w:val="00F16532"/>
    <w:rsid w:val="00F17781"/>
    <w:rsid w:val="00F20E1B"/>
    <w:rsid w:val="00F226AC"/>
    <w:rsid w:val="00F227E4"/>
    <w:rsid w:val="00F242DE"/>
    <w:rsid w:val="00F24354"/>
    <w:rsid w:val="00F244DE"/>
    <w:rsid w:val="00F2451B"/>
    <w:rsid w:val="00F24929"/>
    <w:rsid w:val="00F24CB3"/>
    <w:rsid w:val="00F253B9"/>
    <w:rsid w:val="00F25E38"/>
    <w:rsid w:val="00F26D49"/>
    <w:rsid w:val="00F30E68"/>
    <w:rsid w:val="00F31784"/>
    <w:rsid w:val="00F32239"/>
    <w:rsid w:val="00F32A3F"/>
    <w:rsid w:val="00F32B3C"/>
    <w:rsid w:val="00F34EEE"/>
    <w:rsid w:val="00F351A1"/>
    <w:rsid w:val="00F35524"/>
    <w:rsid w:val="00F36158"/>
    <w:rsid w:val="00F376C1"/>
    <w:rsid w:val="00F37794"/>
    <w:rsid w:val="00F37930"/>
    <w:rsid w:val="00F37DC2"/>
    <w:rsid w:val="00F401DB"/>
    <w:rsid w:val="00F4071A"/>
    <w:rsid w:val="00F40F67"/>
    <w:rsid w:val="00F41427"/>
    <w:rsid w:val="00F416F9"/>
    <w:rsid w:val="00F4216A"/>
    <w:rsid w:val="00F4352A"/>
    <w:rsid w:val="00F44379"/>
    <w:rsid w:val="00F445C4"/>
    <w:rsid w:val="00F450CA"/>
    <w:rsid w:val="00F4624B"/>
    <w:rsid w:val="00F4698F"/>
    <w:rsid w:val="00F479D0"/>
    <w:rsid w:val="00F5003D"/>
    <w:rsid w:val="00F5022E"/>
    <w:rsid w:val="00F50327"/>
    <w:rsid w:val="00F51916"/>
    <w:rsid w:val="00F52F63"/>
    <w:rsid w:val="00F5327E"/>
    <w:rsid w:val="00F536AE"/>
    <w:rsid w:val="00F5383D"/>
    <w:rsid w:val="00F540AD"/>
    <w:rsid w:val="00F541DA"/>
    <w:rsid w:val="00F548F4"/>
    <w:rsid w:val="00F54DAC"/>
    <w:rsid w:val="00F54EB5"/>
    <w:rsid w:val="00F55768"/>
    <w:rsid w:val="00F561D8"/>
    <w:rsid w:val="00F56360"/>
    <w:rsid w:val="00F5715B"/>
    <w:rsid w:val="00F609A5"/>
    <w:rsid w:val="00F618A1"/>
    <w:rsid w:val="00F629C3"/>
    <w:rsid w:val="00F62F23"/>
    <w:rsid w:val="00F639D2"/>
    <w:rsid w:val="00F63A75"/>
    <w:rsid w:val="00F63AFA"/>
    <w:rsid w:val="00F648B1"/>
    <w:rsid w:val="00F65C3D"/>
    <w:rsid w:val="00F67199"/>
    <w:rsid w:val="00F70F52"/>
    <w:rsid w:val="00F7182B"/>
    <w:rsid w:val="00F7196D"/>
    <w:rsid w:val="00F71ADE"/>
    <w:rsid w:val="00F71CB9"/>
    <w:rsid w:val="00F72DB9"/>
    <w:rsid w:val="00F73C85"/>
    <w:rsid w:val="00F73E6B"/>
    <w:rsid w:val="00F74A91"/>
    <w:rsid w:val="00F7501B"/>
    <w:rsid w:val="00F75140"/>
    <w:rsid w:val="00F753C7"/>
    <w:rsid w:val="00F767A0"/>
    <w:rsid w:val="00F76A2D"/>
    <w:rsid w:val="00F76C60"/>
    <w:rsid w:val="00F77AC6"/>
    <w:rsid w:val="00F77E5B"/>
    <w:rsid w:val="00F8111F"/>
    <w:rsid w:val="00F81892"/>
    <w:rsid w:val="00F83CDF"/>
    <w:rsid w:val="00F8468A"/>
    <w:rsid w:val="00F84A49"/>
    <w:rsid w:val="00F84F2A"/>
    <w:rsid w:val="00F85026"/>
    <w:rsid w:val="00F90055"/>
    <w:rsid w:val="00F91B02"/>
    <w:rsid w:val="00F92E9A"/>
    <w:rsid w:val="00F93F99"/>
    <w:rsid w:val="00F9426D"/>
    <w:rsid w:val="00F947D7"/>
    <w:rsid w:val="00F94DF0"/>
    <w:rsid w:val="00FA057B"/>
    <w:rsid w:val="00FA095A"/>
    <w:rsid w:val="00FA1EBD"/>
    <w:rsid w:val="00FA22E0"/>
    <w:rsid w:val="00FA32EB"/>
    <w:rsid w:val="00FA3D8F"/>
    <w:rsid w:val="00FA5351"/>
    <w:rsid w:val="00FA5DD8"/>
    <w:rsid w:val="00FA6D83"/>
    <w:rsid w:val="00FB1946"/>
    <w:rsid w:val="00FB20DB"/>
    <w:rsid w:val="00FB276B"/>
    <w:rsid w:val="00FB2F3F"/>
    <w:rsid w:val="00FB2FD0"/>
    <w:rsid w:val="00FB33A4"/>
    <w:rsid w:val="00FB4E5D"/>
    <w:rsid w:val="00FB5A52"/>
    <w:rsid w:val="00FB6A8E"/>
    <w:rsid w:val="00FB73E5"/>
    <w:rsid w:val="00FB7A18"/>
    <w:rsid w:val="00FB7F16"/>
    <w:rsid w:val="00FB7FD4"/>
    <w:rsid w:val="00FC01AD"/>
    <w:rsid w:val="00FC031D"/>
    <w:rsid w:val="00FC0892"/>
    <w:rsid w:val="00FC09BC"/>
    <w:rsid w:val="00FC18D4"/>
    <w:rsid w:val="00FC2A58"/>
    <w:rsid w:val="00FC3084"/>
    <w:rsid w:val="00FC30B0"/>
    <w:rsid w:val="00FC5893"/>
    <w:rsid w:val="00FC69CB"/>
    <w:rsid w:val="00FC6FC5"/>
    <w:rsid w:val="00FC71E9"/>
    <w:rsid w:val="00FC7434"/>
    <w:rsid w:val="00FC74DD"/>
    <w:rsid w:val="00FC7C2A"/>
    <w:rsid w:val="00FC7FE1"/>
    <w:rsid w:val="00FD21E6"/>
    <w:rsid w:val="00FD2DF5"/>
    <w:rsid w:val="00FD4922"/>
    <w:rsid w:val="00FD4975"/>
    <w:rsid w:val="00FD4A1D"/>
    <w:rsid w:val="00FD50B9"/>
    <w:rsid w:val="00FD58D4"/>
    <w:rsid w:val="00FD666F"/>
    <w:rsid w:val="00FD6758"/>
    <w:rsid w:val="00FE03B7"/>
    <w:rsid w:val="00FE118A"/>
    <w:rsid w:val="00FE1323"/>
    <w:rsid w:val="00FE14F3"/>
    <w:rsid w:val="00FE1ACF"/>
    <w:rsid w:val="00FE1DE2"/>
    <w:rsid w:val="00FE26E9"/>
    <w:rsid w:val="00FE3240"/>
    <w:rsid w:val="00FE4763"/>
    <w:rsid w:val="00FE4CF8"/>
    <w:rsid w:val="00FE50FC"/>
    <w:rsid w:val="00FE57BE"/>
    <w:rsid w:val="00FE6ED1"/>
    <w:rsid w:val="00FE7FB8"/>
    <w:rsid w:val="00FF0019"/>
    <w:rsid w:val="00FF03A3"/>
    <w:rsid w:val="00FF04B9"/>
    <w:rsid w:val="00FF052A"/>
    <w:rsid w:val="00FF15D9"/>
    <w:rsid w:val="00FF1B06"/>
    <w:rsid w:val="00FF1BC9"/>
    <w:rsid w:val="00FF2785"/>
    <w:rsid w:val="00FF3FC3"/>
    <w:rsid w:val="00FF4353"/>
    <w:rsid w:val="00FF4A1C"/>
    <w:rsid w:val="00FF4DEA"/>
    <w:rsid w:val="00FF51C5"/>
    <w:rsid w:val="00FF600A"/>
    <w:rsid w:val="00FF60A7"/>
    <w:rsid w:val="00FF62E7"/>
    <w:rsid w:val="00FF7D21"/>
    <w:rsid w:val="00FF7DEA"/>
    <w:rsid w:val="3184B6F9"/>
    <w:rsid w:val="51825749"/>
    <w:rsid w:val="54D59E10"/>
    <w:rsid w:val="5892FECB"/>
    <w:rsid w:val="6A329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92A965F"/>
  <w15:docId w15:val="{BE69A08C-DE8D-4C1D-90E3-BDC0DFD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0EF8"/>
    <w:rPr>
      <w:rFonts w:ascii="Arial" w:hAnsi="Arial"/>
    </w:rPr>
  </w:style>
  <w:style w:type="paragraph" w:styleId="Kop1">
    <w:name w:val="heading 1"/>
    <w:basedOn w:val="Standaard"/>
    <w:next w:val="Standaard"/>
    <w:qFormat/>
    <w:rsid w:val="00D0698E"/>
    <w:pPr>
      <w:keepNext/>
      <w:spacing w:before="240" w:after="60"/>
      <w:outlineLvl w:val="0"/>
    </w:pPr>
    <w:rPr>
      <w:rFonts w:cs="Arial"/>
      <w:b/>
      <w:bCs/>
      <w:kern w:val="32"/>
      <w:sz w:val="32"/>
      <w:szCs w:val="32"/>
    </w:rPr>
  </w:style>
  <w:style w:type="paragraph" w:styleId="Kop2">
    <w:name w:val="heading 2"/>
    <w:basedOn w:val="Standaard"/>
    <w:next w:val="Standaard"/>
    <w:qFormat/>
    <w:rsid w:val="00F85026"/>
    <w:pPr>
      <w:keepNext/>
      <w:spacing w:before="240" w:after="60"/>
      <w:outlineLvl w:val="1"/>
    </w:pPr>
    <w:rPr>
      <w:rFonts w:cs="Arial"/>
      <w:b/>
      <w:bCs/>
      <w:i/>
      <w:iCs/>
      <w:sz w:val="28"/>
      <w:szCs w:val="28"/>
    </w:rPr>
  </w:style>
  <w:style w:type="paragraph" w:styleId="Kop3">
    <w:name w:val="heading 3"/>
    <w:basedOn w:val="Standaard"/>
    <w:next w:val="Standaard"/>
    <w:link w:val="Kop3Char"/>
    <w:semiHidden/>
    <w:unhideWhenUsed/>
    <w:qFormat/>
    <w:rsid w:val="006071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6">
    <w:name w:val="heading 6"/>
    <w:basedOn w:val="Standaard"/>
    <w:next w:val="Standaard"/>
    <w:qFormat/>
    <w:rsid w:val="00A31375"/>
    <w:pPr>
      <w:keepNext/>
      <w:overflowPunct w:val="0"/>
      <w:autoSpaceDE w:val="0"/>
      <w:autoSpaceDN w:val="0"/>
      <w:adjustRightInd w:val="0"/>
      <w:ind w:left="851" w:hanging="851"/>
      <w:textAlignment w:val="baseline"/>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D4535"/>
    <w:rPr>
      <w:color w:val="0000FF"/>
      <w:u w:val="single"/>
    </w:rPr>
  </w:style>
  <w:style w:type="character" w:styleId="GevolgdeHyperlink">
    <w:name w:val="FollowedHyperlink"/>
    <w:rsid w:val="005D4535"/>
    <w:rPr>
      <w:color w:val="800080"/>
      <w:u w:val="single"/>
    </w:rPr>
  </w:style>
  <w:style w:type="paragraph" w:styleId="Ballontekst">
    <w:name w:val="Balloon Text"/>
    <w:basedOn w:val="Standaard"/>
    <w:semiHidden/>
    <w:rsid w:val="003D1AC8"/>
    <w:rPr>
      <w:rFonts w:ascii="Tahoma" w:hAnsi="Tahoma" w:cs="Tahoma"/>
      <w:sz w:val="16"/>
      <w:szCs w:val="16"/>
    </w:rPr>
  </w:style>
  <w:style w:type="character" w:styleId="Voetnootmarkering">
    <w:name w:val="footnote reference"/>
    <w:uiPriority w:val="99"/>
    <w:rsid w:val="00707CE2"/>
    <w:rPr>
      <w:vertAlign w:val="superscript"/>
    </w:rPr>
  </w:style>
  <w:style w:type="paragraph" w:styleId="Voetnoottekst">
    <w:name w:val="footnote text"/>
    <w:basedOn w:val="Standaard"/>
    <w:link w:val="VoetnoottekstChar"/>
    <w:rsid w:val="00707CE2"/>
    <w:pPr>
      <w:widowControl w:val="0"/>
    </w:pPr>
    <w:rPr>
      <w:rFonts w:ascii="Courier New" w:hAnsi="Courier New"/>
      <w:sz w:val="24"/>
      <w:lang w:val="nl"/>
    </w:rPr>
  </w:style>
  <w:style w:type="paragraph" w:styleId="Tekstopmerking">
    <w:name w:val="annotation text"/>
    <w:basedOn w:val="Standaard"/>
    <w:link w:val="TekstopmerkingChar"/>
    <w:uiPriority w:val="99"/>
    <w:semiHidden/>
    <w:rsid w:val="00707CE2"/>
    <w:rPr>
      <w:rFonts w:ascii="Times New Roman" w:hAnsi="Times New Roman"/>
    </w:rPr>
  </w:style>
  <w:style w:type="paragraph" w:styleId="Lijstnummering">
    <w:name w:val="List Number"/>
    <w:aliases w:val="List Bullet"/>
    <w:basedOn w:val="Standaard"/>
    <w:rsid w:val="00707CE2"/>
    <w:pPr>
      <w:keepNext/>
      <w:numPr>
        <w:numId w:val="1"/>
      </w:numPr>
      <w:spacing w:before="360"/>
    </w:pPr>
    <w:rPr>
      <w:rFonts w:ascii="Times New Roman" w:hAnsi="Times New Roman"/>
      <w:sz w:val="24"/>
      <w:szCs w:val="24"/>
    </w:rPr>
  </w:style>
  <w:style w:type="paragraph" w:styleId="Voettekst">
    <w:name w:val="footer"/>
    <w:basedOn w:val="Standaard"/>
    <w:link w:val="VoettekstChar"/>
    <w:uiPriority w:val="99"/>
    <w:rsid w:val="006B08AA"/>
    <w:pPr>
      <w:tabs>
        <w:tab w:val="center" w:pos="4536"/>
        <w:tab w:val="right" w:pos="9072"/>
      </w:tabs>
    </w:pPr>
  </w:style>
  <w:style w:type="character" w:styleId="Paginanummer">
    <w:name w:val="page number"/>
    <w:basedOn w:val="Standaardalinea-lettertype"/>
    <w:rsid w:val="006B08AA"/>
  </w:style>
  <w:style w:type="table" w:styleId="Tabelraster">
    <w:name w:val="Table Grid"/>
    <w:basedOn w:val="Standaardtabel"/>
    <w:rsid w:val="008E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6A1051"/>
    <w:pPr>
      <w:numPr>
        <w:numId w:val="2"/>
      </w:numPr>
    </w:pPr>
    <w:rPr>
      <w:rFonts w:ascii="Times New Roman" w:hAnsi="Times New Roman"/>
      <w:sz w:val="22"/>
    </w:rPr>
  </w:style>
  <w:style w:type="paragraph" w:styleId="Koptekst">
    <w:name w:val="header"/>
    <w:basedOn w:val="Standaard"/>
    <w:link w:val="KoptekstChar"/>
    <w:uiPriority w:val="99"/>
    <w:rsid w:val="00135B49"/>
    <w:pPr>
      <w:tabs>
        <w:tab w:val="center" w:pos="4536"/>
        <w:tab w:val="right" w:pos="9072"/>
      </w:tabs>
    </w:pPr>
  </w:style>
  <w:style w:type="paragraph" w:styleId="Documentstructuur">
    <w:name w:val="Document Map"/>
    <w:basedOn w:val="Standaard"/>
    <w:semiHidden/>
    <w:rsid w:val="00DB0C8F"/>
    <w:pPr>
      <w:shd w:val="clear" w:color="auto" w:fill="000080"/>
    </w:pPr>
    <w:rPr>
      <w:rFonts w:ascii="Tahoma" w:hAnsi="Tahoma" w:cs="Tahoma"/>
    </w:rPr>
  </w:style>
  <w:style w:type="character" w:styleId="Verwijzingopmerking">
    <w:name w:val="annotation reference"/>
    <w:uiPriority w:val="99"/>
    <w:semiHidden/>
    <w:rsid w:val="00C01121"/>
    <w:rPr>
      <w:sz w:val="16"/>
      <w:szCs w:val="16"/>
    </w:rPr>
  </w:style>
  <w:style w:type="paragraph" w:styleId="Onderwerpvanopmerking">
    <w:name w:val="annotation subject"/>
    <w:basedOn w:val="Tekstopmerking"/>
    <w:next w:val="Tekstopmerking"/>
    <w:semiHidden/>
    <w:rsid w:val="00C01121"/>
    <w:rPr>
      <w:rFonts w:ascii="Arial" w:hAnsi="Arial"/>
      <w:b/>
      <w:bCs/>
    </w:rPr>
  </w:style>
  <w:style w:type="paragraph" w:customStyle="1" w:styleId="Default">
    <w:name w:val="Default"/>
    <w:rsid w:val="00080230"/>
    <w:pPr>
      <w:autoSpaceDE w:val="0"/>
      <w:autoSpaceDN w:val="0"/>
      <w:adjustRightInd w:val="0"/>
    </w:pPr>
    <w:rPr>
      <w:rFonts w:ascii="Palatino Linotype" w:hAnsi="Palatino Linotype" w:cs="Palatino Linotype"/>
      <w:color w:val="000000"/>
      <w:sz w:val="24"/>
      <w:szCs w:val="24"/>
    </w:rPr>
  </w:style>
  <w:style w:type="paragraph" w:styleId="Plattetekst">
    <w:name w:val="Body Text"/>
    <w:basedOn w:val="Standaard"/>
    <w:rsid w:val="0087646C"/>
    <w:pPr>
      <w:spacing w:after="120"/>
    </w:pPr>
    <w:rPr>
      <w:rFonts w:ascii="Verdana" w:hAnsi="Verdana"/>
      <w:sz w:val="18"/>
      <w:szCs w:val="22"/>
      <w:lang w:eastAsia="en-US"/>
    </w:rPr>
  </w:style>
  <w:style w:type="character" w:customStyle="1" w:styleId="VoettekstChar">
    <w:name w:val="Voettekst Char"/>
    <w:link w:val="Voettekst"/>
    <w:uiPriority w:val="99"/>
    <w:rsid w:val="00F13804"/>
    <w:rPr>
      <w:rFonts w:ascii="Arial" w:hAnsi="Arial"/>
    </w:rPr>
  </w:style>
  <w:style w:type="character" w:customStyle="1" w:styleId="KoptekstChar">
    <w:name w:val="Koptekst Char"/>
    <w:link w:val="Koptekst"/>
    <w:uiPriority w:val="99"/>
    <w:rsid w:val="00057167"/>
    <w:rPr>
      <w:rFonts w:ascii="Arial" w:hAnsi="Arial"/>
    </w:rPr>
  </w:style>
  <w:style w:type="paragraph" w:styleId="Lijstalinea">
    <w:name w:val="List Paragraph"/>
    <w:basedOn w:val="Standaard"/>
    <w:uiPriority w:val="34"/>
    <w:qFormat/>
    <w:rsid w:val="004A5B86"/>
    <w:pPr>
      <w:ind w:left="720"/>
      <w:contextualSpacing/>
    </w:pPr>
    <w:rPr>
      <w:rFonts w:ascii="Verdana" w:eastAsia="Calibri" w:hAnsi="Verdana"/>
      <w:sz w:val="18"/>
      <w:szCs w:val="22"/>
      <w:lang w:eastAsia="en-US"/>
    </w:rPr>
  </w:style>
  <w:style w:type="character" w:styleId="Nadruk">
    <w:name w:val="Emphasis"/>
    <w:uiPriority w:val="20"/>
    <w:qFormat/>
    <w:rsid w:val="004A5B86"/>
    <w:rPr>
      <w:i/>
      <w:iCs/>
    </w:rPr>
  </w:style>
  <w:style w:type="paragraph" w:customStyle="1" w:styleId="Agendapunt-Huisstijl">
    <w:name w:val="Agendapunt - Huisstijl"/>
    <w:basedOn w:val="Standaard"/>
    <w:uiPriority w:val="1"/>
    <w:qFormat/>
    <w:rsid w:val="00015D2B"/>
    <w:pPr>
      <w:numPr>
        <w:numId w:val="3"/>
      </w:numPr>
      <w:spacing w:before="240" w:after="240" w:line="240" w:lineRule="exact"/>
      <w:ind w:left="629" w:hanging="629"/>
    </w:pPr>
    <w:rPr>
      <w:rFonts w:ascii="Verdana" w:eastAsia="Calibri" w:hAnsi="Verdana"/>
      <w:sz w:val="18"/>
      <w:szCs w:val="22"/>
      <w:lang w:eastAsia="en-US"/>
    </w:rPr>
  </w:style>
  <w:style w:type="paragraph" w:styleId="Revisie">
    <w:name w:val="Revision"/>
    <w:hidden/>
    <w:uiPriority w:val="99"/>
    <w:semiHidden/>
    <w:rsid w:val="00CC32B4"/>
    <w:rPr>
      <w:rFonts w:ascii="Arial" w:hAnsi="Arial"/>
    </w:rPr>
  </w:style>
  <w:style w:type="character" w:customStyle="1" w:styleId="s1">
    <w:name w:val="s1"/>
    <w:basedOn w:val="Standaardalinea-lettertype"/>
    <w:rsid w:val="00CF0BAE"/>
    <w:rPr>
      <w:rFonts w:ascii=".SFUIText-Regular" w:hAnsi=".SFUIText-Regular" w:hint="default"/>
      <w:b w:val="0"/>
      <w:bCs w:val="0"/>
      <w:i w:val="0"/>
      <w:iCs w:val="0"/>
      <w:sz w:val="38"/>
      <w:szCs w:val="38"/>
    </w:rPr>
  </w:style>
  <w:style w:type="character" w:customStyle="1" w:styleId="VoetnoottekstChar">
    <w:name w:val="Voetnoottekst Char"/>
    <w:basedOn w:val="Standaardalinea-lettertype"/>
    <w:link w:val="Voetnoottekst"/>
    <w:rsid w:val="00BB5456"/>
    <w:rPr>
      <w:rFonts w:ascii="Courier New" w:hAnsi="Courier New"/>
      <w:sz w:val="24"/>
      <w:lang w:val="nl"/>
    </w:rPr>
  </w:style>
  <w:style w:type="paragraph" w:styleId="Normaalweb">
    <w:name w:val="Normal (Web)"/>
    <w:basedOn w:val="Standaard"/>
    <w:uiPriority w:val="99"/>
    <w:unhideWhenUsed/>
    <w:rsid w:val="008E342B"/>
    <w:pPr>
      <w:spacing w:before="100" w:beforeAutospacing="1" w:after="100" w:afterAutospacing="1"/>
    </w:pPr>
    <w:rPr>
      <w:rFonts w:ascii="Times New Roman" w:hAnsi="Times New Roman"/>
      <w:sz w:val="24"/>
      <w:szCs w:val="24"/>
    </w:rPr>
  </w:style>
  <w:style w:type="paragraph" w:customStyle="1" w:styleId="tussenkop">
    <w:name w:val="tussenkop"/>
    <w:basedOn w:val="Standaard"/>
    <w:rsid w:val="008E342B"/>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8E342B"/>
    <w:rPr>
      <w:b/>
      <w:bCs/>
    </w:rPr>
  </w:style>
  <w:style w:type="paragraph" w:customStyle="1" w:styleId="labeled">
    <w:name w:val="labeled"/>
    <w:basedOn w:val="Standaard"/>
    <w:rsid w:val="008E342B"/>
    <w:pPr>
      <w:spacing w:before="100" w:beforeAutospacing="1" w:after="100" w:afterAutospacing="1"/>
    </w:pPr>
    <w:rPr>
      <w:rFonts w:ascii="Times New Roman" w:hAnsi="Times New Roman"/>
      <w:sz w:val="24"/>
      <w:szCs w:val="24"/>
    </w:rPr>
  </w:style>
  <w:style w:type="character" w:customStyle="1" w:styleId="ol">
    <w:name w:val="ol"/>
    <w:basedOn w:val="Standaardalinea-lettertype"/>
    <w:rsid w:val="008E342B"/>
  </w:style>
  <w:style w:type="paragraph" w:customStyle="1" w:styleId="lid">
    <w:name w:val="lid"/>
    <w:basedOn w:val="Standaard"/>
    <w:rsid w:val="00906782"/>
    <w:pPr>
      <w:spacing w:before="100" w:beforeAutospacing="1" w:after="100" w:afterAutospacing="1"/>
    </w:pPr>
    <w:rPr>
      <w:rFonts w:ascii="Times New Roman" w:hAnsi="Times New Roman"/>
      <w:sz w:val="24"/>
      <w:szCs w:val="24"/>
    </w:rPr>
  </w:style>
  <w:style w:type="character" w:customStyle="1" w:styleId="lidnr">
    <w:name w:val="lidnr"/>
    <w:basedOn w:val="Standaardalinea-lettertype"/>
    <w:rsid w:val="00906782"/>
  </w:style>
  <w:style w:type="character" w:customStyle="1" w:styleId="TekstopmerkingChar">
    <w:name w:val="Tekst opmerking Char"/>
    <w:basedOn w:val="Standaardalinea-lettertype"/>
    <w:link w:val="Tekstopmerking"/>
    <w:uiPriority w:val="99"/>
    <w:semiHidden/>
    <w:rsid w:val="00536A7B"/>
  </w:style>
  <w:style w:type="character" w:customStyle="1" w:styleId="Kop3Char">
    <w:name w:val="Kop 3 Char"/>
    <w:basedOn w:val="Standaardalinea-lettertype"/>
    <w:link w:val="Kop3"/>
    <w:semiHidden/>
    <w:rsid w:val="006071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9055">
      <w:bodyDiv w:val="1"/>
      <w:marLeft w:val="0"/>
      <w:marRight w:val="0"/>
      <w:marTop w:val="0"/>
      <w:marBottom w:val="0"/>
      <w:divBdr>
        <w:top w:val="none" w:sz="0" w:space="0" w:color="auto"/>
        <w:left w:val="none" w:sz="0" w:space="0" w:color="auto"/>
        <w:bottom w:val="none" w:sz="0" w:space="0" w:color="auto"/>
        <w:right w:val="none" w:sz="0" w:space="0" w:color="auto"/>
      </w:divBdr>
    </w:div>
    <w:div w:id="123888559">
      <w:bodyDiv w:val="1"/>
      <w:marLeft w:val="0"/>
      <w:marRight w:val="0"/>
      <w:marTop w:val="0"/>
      <w:marBottom w:val="0"/>
      <w:divBdr>
        <w:top w:val="none" w:sz="0" w:space="0" w:color="auto"/>
        <w:left w:val="none" w:sz="0" w:space="0" w:color="auto"/>
        <w:bottom w:val="none" w:sz="0" w:space="0" w:color="auto"/>
        <w:right w:val="none" w:sz="0" w:space="0" w:color="auto"/>
      </w:divBdr>
    </w:div>
    <w:div w:id="133569981">
      <w:bodyDiv w:val="1"/>
      <w:marLeft w:val="0"/>
      <w:marRight w:val="0"/>
      <w:marTop w:val="0"/>
      <w:marBottom w:val="0"/>
      <w:divBdr>
        <w:top w:val="none" w:sz="0" w:space="0" w:color="auto"/>
        <w:left w:val="none" w:sz="0" w:space="0" w:color="auto"/>
        <w:bottom w:val="none" w:sz="0" w:space="0" w:color="auto"/>
        <w:right w:val="none" w:sz="0" w:space="0" w:color="auto"/>
      </w:divBdr>
    </w:div>
    <w:div w:id="149294925">
      <w:bodyDiv w:val="1"/>
      <w:marLeft w:val="0"/>
      <w:marRight w:val="0"/>
      <w:marTop w:val="0"/>
      <w:marBottom w:val="0"/>
      <w:divBdr>
        <w:top w:val="none" w:sz="0" w:space="0" w:color="auto"/>
        <w:left w:val="none" w:sz="0" w:space="0" w:color="auto"/>
        <w:bottom w:val="none" w:sz="0" w:space="0" w:color="auto"/>
        <w:right w:val="none" w:sz="0" w:space="0" w:color="auto"/>
      </w:divBdr>
      <w:divsChild>
        <w:div w:id="1257326797">
          <w:marLeft w:val="0"/>
          <w:marRight w:val="0"/>
          <w:marTop w:val="0"/>
          <w:marBottom w:val="300"/>
          <w:divBdr>
            <w:top w:val="none" w:sz="0" w:space="0" w:color="auto"/>
            <w:left w:val="none" w:sz="0" w:space="0" w:color="auto"/>
            <w:bottom w:val="none" w:sz="0" w:space="0" w:color="auto"/>
            <w:right w:val="none" w:sz="0" w:space="0" w:color="auto"/>
          </w:divBdr>
        </w:div>
      </w:divsChild>
    </w:div>
    <w:div w:id="158545121">
      <w:bodyDiv w:val="1"/>
      <w:marLeft w:val="0"/>
      <w:marRight w:val="0"/>
      <w:marTop w:val="0"/>
      <w:marBottom w:val="0"/>
      <w:divBdr>
        <w:top w:val="none" w:sz="0" w:space="0" w:color="auto"/>
        <w:left w:val="none" w:sz="0" w:space="0" w:color="auto"/>
        <w:bottom w:val="none" w:sz="0" w:space="0" w:color="auto"/>
        <w:right w:val="none" w:sz="0" w:space="0" w:color="auto"/>
      </w:divBdr>
    </w:div>
    <w:div w:id="159660804">
      <w:bodyDiv w:val="1"/>
      <w:marLeft w:val="0"/>
      <w:marRight w:val="0"/>
      <w:marTop w:val="0"/>
      <w:marBottom w:val="0"/>
      <w:divBdr>
        <w:top w:val="none" w:sz="0" w:space="0" w:color="auto"/>
        <w:left w:val="none" w:sz="0" w:space="0" w:color="auto"/>
        <w:bottom w:val="none" w:sz="0" w:space="0" w:color="auto"/>
        <w:right w:val="none" w:sz="0" w:space="0" w:color="auto"/>
      </w:divBdr>
    </w:div>
    <w:div w:id="183254892">
      <w:bodyDiv w:val="1"/>
      <w:marLeft w:val="0"/>
      <w:marRight w:val="0"/>
      <w:marTop w:val="0"/>
      <w:marBottom w:val="0"/>
      <w:divBdr>
        <w:top w:val="none" w:sz="0" w:space="0" w:color="auto"/>
        <w:left w:val="none" w:sz="0" w:space="0" w:color="auto"/>
        <w:bottom w:val="none" w:sz="0" w:space="0" w:color="auto"/>
        <w:right w:val="none" w:sz="0" w:space="0" w:color="auto"/>
      </w:divBdr>
    </w:div>
    <w:div w:id="244459682">
      <w:bodyDiv w:val="1"/>
      <w:marLeft w:val="0"/>
      <w:marRight w:val="0"/>
      <w:marTop w:val="0"/>
      <w:marBottom w:val="0"/>
      <w:divBdr>
        <w:top w:val="none" w:sz="0" w:space="0" w:color="auto"/>
        <w:left w:val="none" w:sz="0" w:space="0" w:color="auto"/>
        <w:bottom w:val="none" w:sz="0" w:space="0" w:color="auto"/>
        <w:right w:val="none" w:sz="0" w:space="0" w:color="auto"/>
      </w:divBdr>
    </w:div>
    <w:div w:id="290088192">
      <w:bodyDiv w:val="1"/>
      <w:marLeft w:val="0"/>
      <w:marRight w:val="0"/>
      <w:marTop w:val="0"/>
      <w:marBottom w:val="0"/>
      <w:divBdr>
        <w:top w:val="none" w:sz="0" w:space="0" w:color="auto"/>
        <w:left w:val="none" w:sz="0" w:space="0" w:color="auto"/>
        <w:bottom w:val="none" w:sz="0" w:space="0" w:color="auto"/>
        <w:right w:val="none" w:sz="0" w:space="0" w:color="auto"/>
      </w:divBdr>
    </w:div>
    <w:div w:id="303005348">
      <w:bodyDiv w:val="1"/>
      <w:marLeft w:val="0"/>
      <w:marRight w:val="0"/>
      <w:marTop w:val="0"/>
      <w:marBottom w:val="0"/>
      <w:divBdr>
        <w:top w:val="none" w:sz="0" w:space="0" w:color="auto"/>
        <w:left w:val="none" w:sz="0" w:space="0" w:color="auto"/>
        <w:bottom w:val="none" w:sz="0" w:space="0" w:color="auto"/>
        <w:right w:val="none" w:sz="0" w:space="0" w:color="auto"/>
      </w:divBdr>
    </w:div>
    <w:div w:id="324866548">
      <w:bodyDiv w:val="1"/>
      <w:marLeft w:val="0"/>
      <w:marRight w:val="0"/>
      <w:marTop w:val="0"/>
      <w:marBottom w:val="0"/>
      <w:divBdr>
        <w:top w:val="none" w:sz="0" w:space="0" w:color="auto"/>
        <w:left w:val="none" w:sz="0" w:space="0" w:color="auto"/>
        <w:bottom w:val="none" w:sz="0" w:space="0" w:color="auto"/>
        <w:right w:val="none" w:sz="0" w:space="0" w:color="auto"/>
      </w:divBdr>
    </w:div>
    <w:div w:id="350225450">
      <w:bodyDiv w:val="1"/>
      <w:marLeft w:val="0"/>
      <w:marRight w:val="0"/>
      <w:marTop w:val="0"/>
      <w:marBottom w:val="0"/>
      <w:divBdr>
        <w:top w:val="none" w:sz="0" w:space="0" w:color="auto"/>
        <w:left w:val="none" w:sz="0" w:space="0" w:color="auto"/>
        <w:bottom w:val="none" w:sz="0" w:space="0" w:color="auto"/>
        <w:right w:val="none" w:sz="0" w:space="0" w:color="auto"/>
      </w:divBdr>
    </w:div>
    <w:div w:id="364721875">
      <w:bodyDiv w:val="1"/>
      <w:marLeft w:val="0"/>
      <w:marRight w:val="0"/>
      <w:marTop w:val="0"/>
      <w:marBottom w:val="0"/>
      <w:divBdr>
        <w:top w:val="none" w:sz="0" w:space="0" w:color="auto"/>
        <w:left w:val="none" w:sz="0" w:space="0" w:color="auto"/>
        <w:bottom w:val="none" w:sz="0" w:space="0" w:color="auto"/>
        <w:right w:val="none" w:sz="0" w:space="0" w:color="auto"/>
      </w:divBdr>
    </w:div>
    <w:div w:id="421612023">
      <w:bodyDiv w:val="1"/>
      <w:marLeft w:val="0"/>
      <w:marRight w:val="0"/>
      <w:marTop w:val="0"/>
      <w:marBottom w:val="0"/>
      <w:divBdr>
        <w:top w:val="none" w:sz="0" w:space="0" w:color="auto"/>
        <w:left w:val="none" w:sz="0" w:space="0" w:color="auto"/>
        <w:bottom w:val="none" w:sz="0" w:space="0" w:color="auto"/>
        <w:right w:val="none" w:sz="0" w:space="0" w:color="auto"/>
      </w:divBdr>
    </w:div>
    <w:div w:id="430317359">
      <w:bodyDiv w:val="1"/>
      <w:marLeft w:val="0"/>
      <w:marRight w:val="0"/>
      <w:marTop w:val="0"/>
      <w:marBottom w:val="0"/>
      <w:divBdr>
        <w:top w:val="none" w:sz="0" w:space="0" w:color="auto"/>
        <w:left w:val="none" w:sz="0" w:space="0" w:color="auto"/>
        <w:bottom w:val="none" w:sz="0" w:space="0" w:color="auto"/>
        <w:right w:val="none" w:sz="0" w:space="0" w:color="auto"/>
      </w:divBdr>
    </w:div>
    <w:div w:id="442261509">
      <w:bodyDiv w:val="1"/>
      <w:marLeft w:val="0"/>
      <w:marRight w:val="0"/>
      <w:marTop w:val="0"/>
      <w:marBottom w:val="0"/>
      <w:divBdr>
        <w:top w:val="none" w:sz="0" w:space="0" w:color="auto"/>
        <w:left w:val="none" w:sz="0" w:space="0" w:color="auto"/>
        <w:bottom w:val="none" w:sz="0" w:space="0" w:color="auto"/>
        <w:right w:val="none" w:sz="0" w:space="0" w:color="auto"/>
      </w:divBdr>
    </w:div>
    <w:div w:id="486748966">
      <w:bodyDiv w:val="1"/>
      <w:marLeft w:val="0"/>
      <w:marRight w:val="0"/>
      <w:marTop w:val="0"/>
      <w:marBottom w:val="0"/>
      <w:divBdr>
        <w:top w:val="none" w:sz="0" w:space="0" w:color="auto"/>
        <w:left w:val="none" w:sz="0" w:space="0" w:color="auto"/>
        <w:bottom w:val="none" w:sz="0" w:space="0" w:color="auto"/>
        <w:right w:val="none" w:sz="0" w:space="0" w:color="auto"/>
      </w:divBdr>
    </w:div>
    <w:div w:id="492768260">
      <w:bodyDiv w:val="1"/>
      <w:marLeft w:val="0"/>
      <w:marRight w:val="0"/>
      <w:marTop w:val="0"/>
      <w:marBottom w:val="0"/>
      <w:divBdr>
        <w:top w:val="none" w:sz="0" w:space="0" w:color="auto"/>
        <w:left w:val="none" w:sz="0" w:space="0" w:color="auto"/>
        <w:bottom w:val="none" w:sz="0" w:space="0" w:color="auto"/>
        <w:right w:val="none" w:sz="0" w:space="0" w:color="auto"/>
      </w:divBdr>
    </w:div>
    <w:div w:id="554314077">
      <w:bodyDiv w:val="1"/>
      <w:marLeft w:val="0"/>
      <w:marRight w:val="0"/>
      <w:marTop w:val="0"/>
      <w:marBottom w:val="0"/>
      <w:divBdr>
        <w:top w:val="none" w:sz="0" w:space="0" w:color="auto"/>
        <w:left w:val="none" w:sz="0" w:space="0" w:color="auto"/>
        <w:bottom w:val="none" w:sz="0" w:space="0" w:color="auto"/>
        <w:right w:val="none" w:sz="0" w:space="0" w:color="auto"/>
      </w:divBdr>
    </w:div>
    <w:div w:id="608122035">
      <w:bodyDiv w:val="1"/>
      <w:marLeft w:val="0"/>
      <w:marRight w:val="0"/>
      <w:marTop w:val="0"/>
      <w:marBottom w:val="0"/>
      <w:divBdr>
        <w:top w:val="none" w:sz="0" w:space="0" w:color="auto"/>
        <w:left w:val="none" w:sz="0" w:space="0" w:color="auto"/>
        <w:bottom w:val="none" w:sz="0" w:space="0" w:color="auto"/>
        <w:right w:val="none" w:sz="0" w:space="0" w:color="auto"/>
      </w:divBdr>
    </w:div>
    <w:div w:id="647054743">
      <w:bodyDiv w:val="1"/>
      <w:marLeft w:val="0"/>
      <w:marRight w:val="0"/>
      <w:marTop w:val="0"/>
      <w:marBottom w:val="0"/>
      <w:divBdr>
        <w:top w:val="none" w:sz="0" w:space="0" w:color="auto"/>
        <w:left w:val="none" w:sz="0" w:space="0" w:color="auto"/>
        <w:bottom w:val="none" w:sz="0" w:space="0" w:color="auto"/>
        <w:right w:val="none" w:sz="0" w:space="0" w:color="auto"/>
      </w:divBdr>
    </w:div>
    <w:div w:id="730692112">
      <w:bodyDiv w:val="1"/>
      <w:marLeft w:val="0"/>
      <w:marRight w:val="0"/>
      <w:marTop w:val="0"/>
      <w:marBottom w:val="0"/>
      <w:divBdr>
        <w:top w:val="none" w:sz="0" w:space="0" w:color="auto"/>
        <w:left w:val="none" w:sz="0" w:space="0" w:color="auto"/>
        <w:bottom w:val="none" w:sz="0" w:space="0" w:color="auto"/>
        <w:right w:val="none" w:sz="0" w:space="0" w:color="auto"/>
      </w:divBdr>
    </w:div>
    <w:div w:id="734468629">
      <w:bodyDiv w:val="1"/>
      <w:marLeft w:val="0"/>
      <w:marRight w:val="0"/>
      <w:marTop w:val="0"/>
      <w:marBottom w:val="0"/>
      <w:divBdr>
        <w:top w:val="none" w:sz="0" w:space="0" w:color="auto"/>
        <w:left w:val="none" w:sz="0" w:space="0" w:color="auto"/>
        <w:bottom w:val="none" w:sz="0" w:space="0" w:color="auto"/>
        <w:right w:val="none" w:sz="0" w:space="0" w:color="auto"/>
      </w:divBdr>
    </w:div>
    <w:div w:id="764305841">
      <w:bodyDiv w:val="1"/>
      <w:marLeft w:val="0"/>
      <w:marRight w:val="0"/>
      <w:marTop w:val="0"/>
      <w:marBottom w:val="0"/>
      <w:divBdr>
        <w:top w:val="none" w:sz="0" w:space="0" w:color="auto"/>
        <w:left w:val="none" w:sz="0" w:space="0" w:color="auto"/>
        <w:bottom w:val="none" w:sz="0" w:space="0" w:color="auto"/>
        <w:right w:val="none" w:sz="0" w:space="0" w:color="auto"/>
      </w:divBdr>
    </w:div>
    <w:div w:id="766194695">
      <w:bodyDiv w:val="1"/>
      <w:marLeft w:val="0"/>
      <w:marRight w:val="0"/>
      <w:marTop w:val="0"/>
      <w:marBottom w:val="0"/>
      <w:divBdr>
        <w:top w:val="none" w:sz="0" w:space="0" w:color="auto"/>
        <w:left w:val="none" w:sz="0" w:space="0" w:color="auto"/>
        <w:bottom w:val="none" w:sz="0" w:space="0" w:color="auto"/>
        <w:right w:val="none" w:sz="0" w:space="0" w:color="auto"/>
      </w:divBdr>
    </w:div>
    <w:div w:id="771437680">
      <w:bodyDiv w:val="1"/>
      <w:marLeft w:val="0"/>
      <w:marRight w:val="0"/>
      <w:marTop w:val="0"/>
      <w:marBottom w:val="0"/>
      <w:divBdr>
        <w:top w:val="none" w:sz="0" w:space="0" w:color="auto"/>
        <w:left w:val="none" w:sz="0" w:space="0" w:color="auto"/>
        <w:bottom w:val="none" w:sz="0" w:space="0" w:color="auto"/>
        <w:right w:val="none" w:sz="0" w:space="0" w:color="auto"/>
      </w:divBdr>
    </w:div>
    <w:div w:id="780799513">
      <w:bodyDiv w:val="1"/>
      <w:marLeft w:val="0"/>
      <w:marRight w:val="0"/>
      <w:marTop w:val="0"/>
      <w:marBottom w:val="0"/>
      <w:divBdr>
        <w:top w:val="none" w:sz="0" w:space="0" w:color="auto"/>
        <w:left w:val="none" w:sz="0" w:space="0" w:color="auto"/>
        <w:bottom w:val="none" w:sz="0" w:space="0" w:color="auto"/>
        <w:right w:val="none" w:sz="0" w:space="0" w:color="auto"/>
      </w:divBdr>
    </w:div>
    <w:div w:id="792669522">
      <w:bodyDiv w:val="1"/>
      <w:marLeft w:val="0"/>
      <w:marRight w:val="0"/>
      <w:marTop w:val="0"/>
      <w:marBottom w:val="0"/>
      <w:divBdr>
        <w:top w:val="none" w:sz="0" w:space="0" w:color="auto"/>
        <w:left w:val="none" w:sz="0" w:space="0" w:color="auto"/>
        <w:bottom w:val="none" w:sz="0" w:space="0" w:color="auto"/>
        <w:right w:val="none" w:sz="0" w:space="0" w:color="auto"/>
      </w:divBdr>
    </w:div>
    <w:div w:id="795835275">
      <w:bodyDiv w:val="1"/>
      <w:marLeft w:val="0"/>
      <w:marRight w:val="0"/>
      <w:marTop w:val="0"/>
      <w:marBottom w:val="0"/>
      <w:divBdr>
        <w:top w:val="none" w:sz="0" w:space="0" w:color="auto"/>
        <w:left w:val="none" w:sz="0" w:space="0" w:color="auto"/>
        <w:bottom w:val="none" w:sz="0" w:space="0" w:color="auto"/>
        <w:right w:val="none" w:sz="0" w:space="0" w:color="auto"/>
      </w:divBdr>
    </w:div>
    <w:div w:id="798376432">
      <w:bodyDiv w:val="1"/>
      <w:marLeft w:val="0"/>
      <w:marRight w:val="0"/>
      <w:marTop w:val="0"/>
      <w:marBottom w:val="0"/>
      <w:divBdr>
        <w:top w:val="none" w:sz="0" w:space="0" w:color="auto"/>
        <w:left w:val="none" w:sz="0" w:space="0" w:color="auto"/>
        <w:bottom w:val="none" w:sz="0" w:space="0" w:color="auto"/>
        <w:right w:val="none" w:sz="0" w:space="0" w:color="auto"/>
      </w:divBdr>
    </w:div>
    <w:div w:id="802776105">
      <w:bodyDiv w:val="1"/>
      <w:marLeft w:val="0"/>
      <w:marRight w:val="0"/>
      <w:marTop w:val="0"/>
      <w:marBottom w:val="0"/>
      <w:divBdr>
        <w:top w:val="none" w:sz="0" w:space="0" w:color="auto"/>
        <w:left w:val="none" w:sz="0" w:space="0" w:color="auto"/>
        <w:bottom w:val="none" w:sz="0" w:space="0" w:color="auto"/>
        <w:right w:val="none" w:sz="0" w:space="0" w:color="auto"/>
      </w:divBdr>
    </w:div>
    <w:div w:id="810512719">
      <w:bodyDiv w:val="1"/>
      <w:marLeft w:val="0"/>
      <w:marRight w:val="0"/>
      <w:marTop w:val="0"/>
      <w:marBottom w:val="0"/>
      <w:divBdr>
        <w:top w:val="none" w:sz="0" w:space="0" w:color="auto"/>
        <w:left w:val="none" w:sz="0" w:space="0" w:color="auto"/>
        <w:bottom w:val="none" w:sz="0" w:space="0" w:color="auto"/>
        <w:right w:val="none" w:sz="0" w:space="0" w:color="auto"/>
      </w:divBdr>
    </w:div>
    <w:div w:id="810635893">
      <w:bodyDiv w:val="1"/>
      <w:marLeft w:val="0"/>
      <w:marRight w:val="0"/>
      <w:marTop w:val="0"/>
      <w:marBottom w:val="0"/>
      <w:divBdr>
        <w:top w:val="none" w:sz="0" w:space="0" w:color="auto"/>
        <w:left w:val="none" w:sz="0" w:space="0" w:color="auto"/>
        <w:bottom w:val="none" w:sz="0" w:space="0" w:color="auto"/>
        <w:right w:val="none" w:sz="0" w:space="0" w:color="auto"/>
      </w:divBdr>
    </w:div>
    <w:div w:id="914245169">
      <w:bodyDiv w:val="1"/>
      <w:marLeft w:val="0"/>
      <w:marRight w:val="0"/>
      <w:marTop w:val="0"/>
      <w:marBottom w:val="0"/>
      <w:divBdr>
        <w:top w:val="none" w:sz="0" w:space="0" w:color="auto"/>
        <w:left w:val="none" w:sz="0" w:space="0" w:color="auto"/>
        <w:bottom w:val="none" w:sz="0" w:space="0" w:color="auto"/>
        <w:right w:val="none" w:sz="0" w:space="0" w:color="auto"/>
      </w:divBdr>
    </w:div>
    <w:div w:id="978727501">
      <w:bodyDiv w:val="1"/>
      <w:marLeft w:val="0"/>
      <w:marRight w:val="0"/>
      <w:marTop w:val="0"/>
      <w:marBottom w:val="0"/>
      <w:divBdr>
        <w:top w:val="none" w:sz="0" w:space="0" w:color="auto"/>
        <w:left w:val="none" w:sz="0" w:space="0" w:color="auto"/>
        <w:bottom w:val="none" w:sz="0" w:space="0" w:color="auto"/>
        <w:right w:val="none" w:sz="0" w:space="0" w:color="auto"/>
      </w:divBdr>
    </w:div>
    <w:div w:id="984898162">
      <w:bodyDiv w:val="1"/>
      <w:marLeft w:val="0"/>
      <w:marRight w:val="0"/>
      <w:marTop w:val="0"/>
      <w:marBottom w:val="0"/>
      <w:divBdr>
        <w:top w:val="none" w:sz="0" w:space="0" w:color="auto"/>
        <w:left w:val="none" w:sz="0" w:space="0" w:color="auto"/>
        <w:bottom w:val="none" w:sz="0" w:space="0" w:color="auto"/>
        <w:right w:val="none" w:sz="0" w:space="0" w:color="auto"/>
      </w:divBdr>
    </w:div>
    <w:div w:id="1003582875">
      <w:bodyDiv w:val="1"/>
      <w:marLeft w:val="0"/>
      <w:marRight w:val="0"/>
      <w:marTop w:val="0"/>
      <w:marBottom w:val="0"/>
      <w:divBdr>
        <w:top w:val="none" w:sz="0" w:space="0" w:color="auto"/>
        <w:left w:val="none" w:sz="0" w:space="0" w:color="auto"/>
        <w:bottom w:val="none" w:sz="0" w:space="0" w:color="auto"/>
        <w:right w:val="none" w:sz="0" w:space="0" w:color="auto"/>
      </w:divBdr>
    </w:div>
    <w:div w:id="1050374027">
      <w:bodyDiv w:val="1"/>
      <w:marLeft w:val="0"/>
      <w:marRight w:val="0"/>
      <w:marTop w:val="0"/>
      <w:marBottom w:val="0"/>
      <w:divBdr>
        <w:top w:val="none" w:sz="0" w:space="0" w:color="auto"/>
        <w:left w:val="none" w:sz="0" w:space="0" w:color="auto"/>
        <w:bottom w:val="none" w:sz="0" w:space="0" w:color="auto"/>
        <w:right w:val="none" w:sz="0" w:space="0" w:color="auto"/>
      </w:divBdr>
    </w:div>
    <w:div w:id="1053114797">
      <w:bodyDiv w:val="1"/>
      <w:marLeft w:val="0"/>
      <w:marRight w:val="0"/>
      <w:marTop w:val="0"/>
      <w:marBottom w:val="0"/>
      <w:divBdr>
        <w:top w:val="none" w:sz="0" w:space="0" w:color="auto"/>
        <w:left w:val="none" w:sz="0" w:space="0" w:color="auto"/>
        <w:bottom w:val="none" w:sz="0" w:space="0" w:color="auto"/>
        <w:right w:val="none" w:sz="0" w:space="0" w:color="auto"/>
      </w:divBdr>
    </w:div>
    <w:div w:id="1069763816">
      <w:bodyDiv w:val="1"/>
      <w:marLeft w:val="0"/>
      <w:marRight w:val="0"/>
      <w:marTop w:val="0"/>
      <w:marBottom w:val="0"/>
      <w:divBdr>
        <w:top w:val="none" w:sz="0" w:space="0" w:color="auto"/>
        <w:left w:val="none" w:sz="0" w:space="0" w:color="auto"/>
        <w:bottom w:val="none" w:sz="0" w:space="0" w:color="auto"/>
        <w:right w:val="none" w:sz="0" w:space="0" w:color="auto"/>
      </w:divBdr>
    </w:div>
    <w:div w:id="1079328489">
      <w:bodyDiv w:val="1"/>
      <w:marLeft w:val="0"/>
      <w:marRight w:val="0"/>
      <w:marTop w:val="0"/>
      <w:marBottom w:val="0"/>
      <w:divBdr>
        <w:top w:val="none" w:sz="0" w:space="0" w:color="auto"/>
        <w:left w:val="none" w:sz="0" w:space="0" w:color="auto"/>
        <w:bottom w:val="none" w:sz="0" w:space="0" w:color="auto"/>
        <w:right w:val="none" w:sz="0" w:space="0" w:color="auto"/>
      </w:divBdr>
    </w:div>
    <w:div w:id="1080520445">
      <w:bodyDiv w:val="1"/>
      <w:marLeft w:val="0"/>
      <w:marRight w:val="0"/>
      <w:marTop w:val="0"/>
      <w:marBottom w:val="0"/>
      <w:divBdr>
        <w:top w:val="none" w:sz="0" w:space="0" w:color="auto"/>
        <w:left w:val="none" w:sz="0" w:space="0" w:color="auto"/>
        <w:bottom w:val="none" w:sz="0" w:space="0" w:color="auto"/>
        <w:right w:val="none" w:sz="0" w:space="0" w:color="auto"/>
      </w:divBdr>
    </w:div>
    <w:div w:id="1093430455">
      <w:bodyDiv w:val="1"/>
      <w:marLeft w:val="0"/>
      <w:marRight w:val="0"/>
      <w:marTop w:val="0"/>
      <w:marBottom w:val="0"/>
      <w:divBdr>
        <w:top w:val="none" w:sz="0" w:space="0" w:color="auto"/>
        <w:left w:val="none" w:sz="0" w:space="0" w:color="auto"/>
        <w:bottom w:val="none" w:sz="0" w:space="0" w:color="auto"/>
        <w:right w:val="none" w:sz="0" w:space="0" w:color="auto"/>
      </w:divBdr>
    </w:div>
    <w:div w:id="1109666180">
      <w:bodyDiv w:val="1"/>
      <w:marLeft w:val="0"/>
      <w:marRight w:val="0"/>
      <w:marTop w:val="0"/>
      <w:marBottom w:val="0"/>
      <w:divBdr>
        <w:top w:val="none" w:sz="0" w:space="0" w:color="auto"/>
        <w:left w:val="none" w:sz="0" w:space="0" w:color="auto"/>
        <w:bottom w:val="none" w:sz="0" w:space="0" w:color="auto"/>
        <w:right w:val="none" w:sz="0" w:space="0" w:color="auto"/>
      </w:divBdr>
    </w:div>
    <w:div w:id="1118648760">
      <w:bodyDiv w:val="1"/>
      <w:marLeft w:val="0"/>
      <w:marRight w:val="0"/>
      <w:marTop w:val="0"/>
      <w:marBottom w:val="0"/>
      <w:divBdr>
        <w:top w:val="none" w:sz="0" w:space="0" w:color="auto"/>
        <w:left w:val="none" w:sz="0" w:space="0" w:color="auto"/>
        <w:bottom w:val="none" w:sz="0" w:space="0" w:color="auto"/>
        <w:right w:val="none" w:sz="0" w:space="0" w:color="auto"/>
      </w:divBdr>
      <w:divsChild>
        <w:div w:id="686176952">
          <w:marLeft w:val="0"/>
          <w:marRight w:val="0"/>
          <w:marTop w:val="0"/>
          <w:marBottom w:val="0"/>
          <w:divBdr>
            <w:top w:val="none" w:sz="0" w:space="0" w:color="auto"/>
            <w:left w:val="none" w:sz="0" w:space="0" w:color="auto"/>
            <w:bottom w:val="none" w:sz="0" w:space="0" w:color="auto"/>
            <w:right w:val="none" w:sz="0" w:space="0" w:color="auto"/>
          </w:divBdr>
          <w:divsChild>
            <w:div w:id="10189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637">
      <w:bodyDiv w:val="1"/>
      <w:marLeft w:val="0"/>
      <w:marRight w:val="0"/>
      <w:marTop w:val="0"/>
      <w:marBottom w:val="0"/>
      <w:divBdr>
        <w:top w:val="none" w:sz="0" w:space="0" w:color="auto"/>
        <w:left w:val="none" w:sz="0" w:space="0" w:color="auto"/>
        <w:bottom w:val="none" w:sz="0" w:space="0" w:color="auto"/>
        <w:right w:val="none" w:sz="0" w:space="0" w:color="auto"/>
      </w:divBdr>
      <w:divsChild>
        <w:div w:id="728040834">
          <w:marLeft w:val="0"/>
          <w:marRight w:val="0"/>
          <w:marTop w:val="0"/>
          <w:marBottom w:val="0"/>
          <w:divBdr>
            <w:top w:val="none" w:sz="0" w:space="0" w:color="auto"/>
            <w:left w:val="none" w:sz="0" w:space="0" w:color="auto"/>
            <w:bottom w:val="none" w:sz="0" w:space="0" w:color="auto"/>
            <w:right w:val="none" w:sz="0" w:space="0" w:color="auto"/>
          </w:divBdr>
        </w:div>
      </w:divsChild>
    </w:div>
    <w:div w:id="1203635603">
      <w:bodyDiv w:val="1"/>
      <w:marLeft w:val="0"/>
      <w:marRight w:val="0"/>
      <w:marTop w:val="0"/>
      <w:marBottom w:val="0"/>
      <w:divBdr>
        <w:top w:val="none" w:sz="0" w:space="0" w:color="auto"/>
        <w:left w:val="none" w:sz="0" w:space="0" w:color="auto"/>
        <w:bottom w:val="none" w:sz="0" w:space="0" w:color="auto"/>
        <w:right w:val="none" w:sz="0" w:space="0" w:color="auto"/>
      </w:divBdr>
    </w:div>
    <w:div w:id="1212615753">
      <w:bodyDiv w:val="1"/>
      <w:marLeft w:val="0"/>
      <w:marRight w:val="0"/>
      <w:marTop w:val="0"/>
      <w:marBottom w:val="0"/>
      <w:divBdr>
        <w:top w:val="none" w:sz="0" w:space="0" w:color="auto"/>
        <w:left w:val="none" w:sz="0" w:space="0" w:color="auto"/>
        <w:bottom w:val="none" w:sz="0" w:space="0" w:color="auto"/>
        <w:right w:val="none" w:sz="0" w:space="0" w:color="auto"/>
      </w:divBdr>
    </w:div>
    <w:div w:id="1213469961">
      <w:bodyDiv w:val="1"/>
      <w:marLeft w:val="0"/>
      <w:marRight w:val="0"/>
      <w:marTop w:val="0"/>
      <w:marBottom w:val="0"/>
      <w:divBdr>
        <w:top w:val="none" w:sz="0" w:space="0" w:color="auto"/>
        <w:left w:val="none" w:sz="0" w:space="0" w:color="auto"/>
        <w:bottom w:val="none" w:sz="0" w:space="0" w:color="auto"/>
        <w:right w:val="none" w:sz="0" w:space="0" w:color="auto"/>
      </w:divBdr>
    </w:div>
    <w:div w:id="1232354359">
      <w:bodyDiv w:val="1"/>
      <w:marLeft w:val="0"/>
      <w:marRight w:val="0"/>
      <w:marTop w:val="0"/>
      <w:marBottom w:val="0"/>
      <w:divBdr>
        <w:top w:val="none" w:sz="0" w:space="0" w:color="auto"/>
        <w:left w:val="none" w:sz="0" w:space="0" w:color="auto"/>
        <w:bottom w:val="none" w:sz="0" w:space="0" w:color="auto"/>
        <w:right w:val="none" w:sz="0" w:space="0" w:color="auto"/>
      </w:divBdr>
    </w:div>
    <w:div w:id="1238323045">
      <w:bodyDiv w:val="1"/>
      <w:marLeft w:val="0"/>
      <w:marRight w:val="0"/>
      <w:marTop w:val="0"/>
      <w:marBottom w:val="0"/>
      <w:divBdr>
        <w:top w:val="none" w:sz="0" w:space="0" w:color="auto"/>
        <w:left w:val="none" w:sz="0" w:space="0" w:color="auto"/>
        <w:bottom w:val="none" w:sz="0" w:space="0" w:color="auto"/>
        <w:right w:val="none" w:sz="0" w:space="0" w:color="auto"/>
      </w:divBdr>
    </w:div>
    <w:div w:id="1273242608">
      <w:bodyDiv w:val="1"/>
      <w:marLeft w:val="0"/>
      <w:marRight w:val="0"/>
      <w:marTop w:val="0"/>
      <w:marBottom w:val="0"/>
      <w:divBdr>
        <w:top w:val="none" w:sz="0" w:space="0" w:color="auto"/>
        <w:left w:val="none" w:sz="0" w:space="0" w:color="auto"/>
        <w:bottom w:val="none" w:sz="0" w:space="0" w:color="auto"/>
        <w:right w:val="none" w:sz="0" w:space="0" w:color="auto"/>
      </w:divBdr>
    </w:div>
    <w:div w:id="1306200532">
      <w:bodyDiv w:val="1"/>
      <w:marLeft w:val="0"/>
      <w:marRight w:val="0"/>
      <w:marTop w:val="0"/>
      <w:marBottom w:val="0"/>
      <w:divBdr>
        <w:top w:val="none" w:sz="0" w:space="0" w:color="auto"/>
        <w:left w:val="none" w:sz="0" w:space="0" w:color="auto"/>
        <w:bottom w:val="none" w:sz="0" w:space="0" w:color="auto"/>
        <w:right w:val="none" w:sz="0" w:space="0" w:color="auto"/>
      </w:divBdr>
    </w:div>
    <w:div w:id="1317490207">
      <w:bodyDiv w:val="1"/>
      <w:marLeft w:val="0"/>
      <w:marRight w:val="0"/>
      <w:marTop w:val="0"/>
      <w:marBottom w:val="0"/>
      <w:divBdr>
        <w:top w:val="none" w:sz="0" w:space="0" w:color="auto"/>
        <w:left w:val="none" w:sz="0" w:space="0" w:color="auto"/>
        <w:bottom w:val="none" w:sz="0" w:space="0" w:color="auto"/>
        <w:right w:val="none" w:sz="0" w:space="0" w:color="auto"/>
      </w:divBdr>
    </w:div>
    <w:div w:id="1379890762">
      <w:bodyDiv w:val="1"/>
      <w:marLeft w:val="0"/>
      <w:marRight w:val="0"/>
      <w:marTop w:val="0"/>
      <w:marBottom w:val="0"/>
      <w:divBdr>
        <w:top w:val="none" w:sz="0" w:space="0" w:color="auto"/>
        <w:left w:val="none" w:sz="0" w:space="0" w:color="auto"/>
        <w:bottom w:val="none" w:sz="0" w:space="0" w:color="auto"/>
        <w:right w:val="none" w:sz="0" w:space="0" w:color="auto"/>
      </w:divBdr>
    </w:div>
    <w:div w:id="1406151486">
      <w:bodyDiv w:val="1"/>
      <w:marLeft w:val="0"/>
      <w:marRight w:val="0"/>
      <w:marTop w:val="0"/>
      <w:marBottom w:val="0"/>
      <w:divBdr>
        <w:top w:val="none" w:sz="0" w:space="0" w:color="auto"/>
        <w:left w:val="none" w:sz="0" w:space="0" w:color="auto"/>
        <w:bottom w:val="none" w:sz="0" w:space="0" w:color="auto"/>
        <w:right w:val="none" w:sz="0" w:space="0" w:color="auto"/>
      </w:divBdr>
    </w:div>
    <w:div w:id="1450008224">
      <w:bodyDiv w:val="1"/>
      <w:marLeft w:val="0"/>
      <w:marRight w:val="0"/>
      <w:marTop w:val="0"/>
      <w:marBottom w:val="0"/>
      <w:divBdr>
        <w:top w:val="none" w:sz="0" w:space="0" w:color="auto"/>
        <w:left w:val="none" w:sz="0" w:space="0" w:color="auto"/>
        <w:bottom w:val="none" w:sz="0" w:space="0" w:color="auto"/>
        <w:right w:val="none" w:sz="0" w:space="0" w:color="auto"/>
      </w:divBdr>
    </w:div>
    <w:div w:id="1484199461">
      <w:bodyDiv w:val="1"/>
      <w:marLeft w:val="0"/>
      <w:marRight w:val="0"/>
      <w:marTop w:val="0"/>
      <w:marBottom w:val="0"/>
      <w:divBdr>
        <w:top w:val="none" w:sz="0" w:space="0" w:color="auto"/>
        <w:left w:val="none" w:sz="0" w:space="0" w:color="auto"/>
        <w:bottom w:val="none" w:sz="0" w:space="0" w:color="auto"/>
        <w:right w:val="none" w:sz="0" w:space="0" w:color="auto"/>
      </w:divBdr>
    </w:div>
    <w:div w:id="1490709398">
      <w:bodyDiv w:val="1"/>
      <w:marLeft w:val="0"/>
      <w:marRight w:val="0"/>
      <w:marTop w:val="0"/>
      <w:marBottom w:val="0"/>
      <w:divBdr>
        <w:top w:val="none" w:sz="0" w:space="0" w:color="auto"/>
        <w:left w:val="none" w:sz="0" w:space="0" w:color="auto"/>
        <w:bottom w:val="none" w:sz="0" w:space="0" w:color="auto"/>
        <w:right w:val="none" w:sz="0" w:space="0" w:color="auto"/>
      </w:divBdr>
    </w:div>
    <w:div w:id="1553926623">
      <w:bodyDiv w:val="1"/>
      <w:marLeft w:val="0"/>
      <w:marRight w:val="0"/>
      <w:marTop w:val="0"/>
      <w:marBottom w:val="0"/>
      <w:divBdr>
        <w:top w:val="none" w:sz="0" w:space="0" w:color="auto"/>
        <w:left w:val="none" w:sz="0" w:space="0" w:color="auto"/>
        <w:bottom w:val="none" w:sz="0" w:space="0" w:color="auto"/>
        <w:right w:val="none" w:sz="0" w:space="0" w:color="auto"/>
      </w:divBdr>
    </w:div>
    <w:div w:id="1565599343">
      <w:bodyDiv w:val="1"/>
      <w:marLeft w:val="0"/>
      <w:marRight w:val="0"/>
      <w:marTop w:val="0"/>
      <w:marBottom w:val="0"/>
      <w:divBdr>
        <w:top w:val="none" w:sz="0" w:space="0" w:color="auto"/>
        <w:left w:val="none" w:sz="0" w:space="0" w:color="auto"/>
        <w:bottom w:val="none" w:sz="0" w:space="0" w:color="auto"/>
        <w:right w:val="none" w:sz="0" w:space="0" w:color="auto"/>
      </w:divBdr>
    </w:div>
    <w:div w:id="1674913113">
      <w:bodyDiv w:val="1"/>
      <w:marLeft w:val="0"/>
      <w:marRight w:val="0"/>
      <w:marTop w:val="0"/>
      <w:marBottom w:val="0"/>
      <w:divBdr>
        <w:top w:val="none" w:sz="0" w:space="0" w:color="auto"/>
        <w:left w:val="none" w:sz="0" w:space="0" w:color="auto"/>
        <w:bottom w:val="none" w:sz="0" w:space="0" w:color="auto"/>
        <w:right w:val="none" w:sz="0" w:space="0" w:color="auto"/>
      </w:divBdr>
    </w:div>
    <w:div w:id="1679306122">
      <w:bodyDiv w:val="1"/>
      <w:marLeft w:val="0"/>
      <w:marRight w:val="0"/>
      <w:marTop w:val="0"/>
      <w:marBottom w:val="0"/>
      <w:divBdr>
        <w:top w:val="none" w:sz="0" w:space="0" w:color="auto"/>
        <w:left w:val="none" w:sz="0" w:space="0" w:color="auto"/>
        <w:bottom w:val="none" w:sz="0" w:space="0" w:color="auto"/>
        <w:right w:val="none" w:sz="0" w:space="0" w:color="auto"/>
      </w:divBdr>
    </w:div>
    <w:div w:id="1683508687">
      <w:bodyDiv w:val="1"/>
      <w:marLeft w:val="0"/>
      <w:marRight w:val="0"/>
      <w:marTop w:val="0"/>
      <w:marBottom w:val="0"/>
      <w:divBdr>
        <w:top w:val="none" w:sz="0" w:space="0" w:color="auto"/>
        <w:left w:val="none" w:sz="0" w:space="0" w:color="auto"/>
        <w:bottom w:val="none" w:sz="0" w:space="0" w:color="auto"/>
        <w:right w:val="none" w:sz="0" w:space="0" w:color="auto"/>
      </w:divBdr>
    </w:div>
    <w:div w:id="1712416033">
      <w:bodyDiv w:val="1"/>
      <w:marLeft w:val="0"/>
      <w:marRight w:val="0"/>
      <w:marTop w:val="0"/>
      <w:marBottom w:val="0"/>
      <w:divBdr>
        <w:top w:val="none" w:sz="0" w:space="0" w:color="auto"/>
        <w:left w:val="none" w:sz="0" w:space="0" w:color="auto"/>
        <w:bottom w:val="none" w:sz="0" w:space="0" w:color="auto"/>
        <w:right w:val="none" w:sz="0" w:space="0" w:color="auto"/>
      </w:divBdr>
    </w:div>
    <w:div w:id="1714305405">
      <w:bodyDiv w:val="1"/>
      <w:marLeft w:val="0"/>
      <w:marRight w:val="0"/>
      <w:marTop w:val="0"/>
      <w:marBottom w:val="0"/>
      <w:divBdr>
        <w:top w:val="none" w:sz="0" w:space="0" w:color="auto"/>
        <w:left w:val="none" w:sz="0" w:space="0" w:color="auto"/>
        <w:bottom w:val="none" w:sz="0" w:space="0" w:color="auto"/>
        <w:right w:val="none" w:sz="0" w:space="0" w:color="auto"/>
      </w:divBdr>
    </w:div>
    <w:div w:id="1783185037">
      <w:bodyDiv w:val="1"/>
      <w:marLeft w:val="0"/>
      <w:marRight w:val="0"/>
      <w:marTop w:val="0"/>
      <w:marBottom w:val="0"/>
      <w:divBdr>
        <w:top w:val="none" w:sz="0" w:space="0" w:color="auto"/>
        <w:left w:val="none" w:sz="0" w:space="0" w:color="auto"/>
        <w:bottom w:val="none" w:sz="0" w:space="0" w:color="auto"/>
        <w:right w:val="none" w:sz="0" w:space="0" w:color="auto"/>
      </w:divBdr>
    </w:div>
    <w:div w:id="1842626518">
      <w:bodyDiv w:val="1"/>
      <w:marLeft w:val="0"/>
      <w:marRight w:val="0"/>
      <w:marTop w:val="0"/>
      <w:marBottom w:val="0"/>
      <w:divBdr>
        <w:top w:val="none" w:sz="0" w:space="0" w:color="auto"/>
        <w:left w:val="none" w:sz="0" w:space="0" w:color="auto"/>
        <w:bottom w:val="none" w:sz="0" w:space="0" w:color="auto"/>
        <w:right w:val="none" w:sz="0" w:space="0" w:color="auto"/>
      </w:divBdr>
    </w:div>
    <w:div w:id="1843623606">
      <w:bodyDiv w:val="1"/>
      <w:marLeft w:val="0"/>
      <w:marRight w:val="0"/>
      <w:marTop w:val="0"/>
      <w:marBottom w:val="0"/>
      <w:divBdr>
        <w:top w:val="none" w:sz="0" w:space="0" w:color="auto"/>
        <w:left w:val="none" w:sz="0" w:space="0" w:color="auto"/>
        <w:bottom w:val="none" w:sz="0" w:space="0" w:color="auto"/>
        <w:right w:val="none" w:sz="0" w:space="0" w:color="auto"/>
      </w:divBdr>
    </w:div>
    <w:div w:id="1861889867">
      <w:bodyDiv w:val="1"/>
      <w:marLeft w:val="0"/>
      <w:marRight w:val="0"/>
      <w:marTop w:val="0"/>
      <w:marBottom w:val="0"/>
      <w:divBdr>
        <w:top w:val="none" w:sz="0" w:space="0" w:color="auto"/>
        <w:left w:val="none" w:sz="0" w:space="0" w:color="auto"/>
        <w:bottom w:val="none" w:sz="0" w:space="0" w:color="auto"/>
        <w:right w:val="none" w:sz="0" w:space="0" w:color="auto"/>
      </w:divBdr>
    </w:div>
    <w:div w:id="1944147934">
      <w:bodyDiv w:val="1"/>
      <w:marLeft w:val="0"/>
      <w:marRight w:val="0"/>
      <w:marTop w:val="0"/>
      <w:marBottom w:val="0"/>
      <w:divBdr>
        <w:top w:val="none" w:sz="0" w:space="0" w:color="auto"/>
        <w:left w:val="none" w:sz="0" w:space="0" w:color="auto"/>
        <w:bottom w:val="none" w:sz="0" w:space="0" w:color="auto"/>
        <w:right w:val="none" w:sz="0" w:space="0" w:color="auto"/>
      </w:divBdr>
      <w:divsChild>
        <w:div w:id="1177039335">
          <w:marLeft w:val="0"/>
          <w:marRight w:val="0"/>
          <w:marTop w:val="0"/>
          <w:marBottom w:val="300"/>
          <w:divBdr>
            <w:top w:val="none" w:sz="0" w:space="0" w:color="auto"/>
            <w:left w:val="none" w:sz="0" w:space="0" w:color="auto"/>
            <w:bottom w:val="none" w:sz="0" w:space="0" w:color="auto"/>
            <w:right w:val="none" w:sz="0" w:space="0" w:color="auto"/>
          </w:divBdr>
        </w:div>
      </w:divsChild>
    </w:div>
    <w:div w:id="1948804019">
      <w:bodyDiv w:val="1"/>
      <w:marLeft w:val="0"/>
      <w:marRight w:val="0"/>
      <w:marTop w:val="0"/>
      <w:marBottom w:val="0"/>
      <w:divBdr>
        <w:top w:val="none" w:sz="0" w:space="0" w:color="auto"/>
        <w:left w:val="none" w:sz="0" w:space="0" w:color="auto"/>
        <w:bottom w:val="none" w:sz="0" w:space="0" w:color="auto"/>
        <w:right w:val="none" w:sz="0" w:space="0" w:color="auto"/>
      </w:divBdr>
    </w:div>
    <w:div w:id="2057007398">
      <w:bodyDiv w:val="1"/>
      <w:marLeft w:val="0"/>
      <w:marRight w:val="0"/>
      <w:marTop w:val="0"/>
      <w:marBottom w:val="0"/>
      <w:divBdr>
        <w:top w:val="none" w:sz="0" w:space="0" w:color="auto"/>
        <w:left w:val="none" w:sz="0" w:space="0" w:color="auto"/>
        <w:bottom w:val="none" w:sz="0" w:space="0" w:color="auto"/>
        <w:right w:val="none" w:sz="0" w:space="0" w:color="auto"/>
      </w:divBdr>
    </w:div>
    <w:div w:id="2062359006">
      <w:bodyDiv w:val="1"/>
      <w:marLeft w:val="0"/>
      <w:marRight w:val="0"/>
      <w:marTop w:val="0"/>
      <w:marBottom w:val="0"/>
      <w:divBdr>
        <w:top w:val="none" w:sz="0" w:space="0" w:color="auto"/>
        <w:left w:val="none" w:sz="0" w:space="0" w:color="auto"/>
        <w:bottom w:val="none" w:sz="0" w:space="0" w:color="auto"/>
        <w:right w:val="none" w:sz="0" w:space="0" w:color="auto"/>
      </w:divBdr>
    </w:div>
    <w:div w:id="2121215421">
      <w:bodyDiv w:val="1"/>
      <w:marLeft w:val="0"/>
      <w:marRight w:val="0"/>
      <w:marTop w:val="0"/>
      <w:marBottom w:val="0"/>
      <w:divBdr>
        <w:top w:val="none" w:sz="0" w:space="0" w:color="auto"/>
        <w:left w:val="none" w:sz="0" w:space="0" w:color="auto"/>
        <w:bottom w:val="none" w:sz="0" w:space="0" w:color="auto"/>
        <w:right w:val="none" w:sz="0" w:space="0" w:color="auto"/>
      </w:divBdr>
    </w:div>
    <w:div w:id="21258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etten.overheid.nl/jci1.3:c:BWBR0039429&amp;hoofdstuk=4&amp;paragraaf=2&amp;artikel=4.4&amp;z=2021-02-13&amp;g=2021-02-13" TargetMode="External" Id="rId13" /><Relationship Type="http://schemas.openxmlformats.org/officeDocument/2006/relationships/hyperlink" Target="https://wetten.overheid.nl/jci1.3:c:BWBR0001840&amp;hoofdstuk=3&amp;paragraaf=1&amp;artikel=50&amp;z=2018-12-21&amp;g=2018-12-21" TargetMode="External" Id="rId18" /><Relationship Type="http://schemas.openxmlformats.org/officeDocument/2006/relationships/theme" Target="theme/theme1.xml" Id="rId26" /><Relationship Type="http://schemas.openxmlformats.org/officeDocument/2006/relationships/hyperlink" Target="https://wetten.overheid.nl/jci1.3:c:BWBR0001840&amp;hoofdstuk=3&amp;paragraaf=1&amp;artikel=50&amp;z=2018-12-21&amp;g=2018-12-21" TargetMode="External" Id="rId21" /><Relationship Type="http://schemas.openxmlformats.org/officeDocument/2006/relationships/styles" Target="styles.xml" Id="rId7" /><Relationship Type="http://schemas.openxmlformats.org/officeDocument/2006/relationships/hyperlink" Target="https://wetten.overheid.nl/jci1.3:c:BWBR0039429&amp;hoofdstuk=4&amp;paragraaf=2&amp;artikel=4.4&amp;z=2021-02-13&amp;g=2021-02-13" TargetMode="External" Id="rId12" /><Relationship Type="http://schemas.openxmlformats.org/officeDocument/2006/relationships/hyperlink" Target="https://wetten.overheid.nl/jci1.3:c:BWBR0001840&amp;hoofdstuk=3&amp;paragraaf=1&amp;artikel=50&amp;z=2018-12-21&amp;g=2018-12-21" TargetMode="External" Id="rId17" /><Relationship Type="http://schemas.openxmlformats.org/officeDocument/2006/relationships/fontTable" Target="fontTable.xml" Id="rId25" /><Relationship Type="http://schemas.openxmlformats.org/officeDocument/2006/relationships/hyperlink" Target="https://wetten.overheid.nl/BWBR0002691/2023-01-01" TargetMode="External" Id="rId16" /><Relationship Type="http://schemas.openxmlformats.org/officeDocument/2006/relationships/hyperlink" Target="https://wetten.overheid.nl/jci1.3:c:BWBR0001840&amp;hoofdstuk=3&amp;paragraaf=1&amp;artikel=50&amp;z=2018-12-21&amp;g=2018-12-21" TargetMode="Externa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3.xml" Id="rId24" /><Relationship Type="http://schemas.openxmlformats.org/officeDocument/2006/relationships/hyperlink" Target="https://wetten.overheid.nl/BWBR0004939/2023-01-01" TargetMode="External" Id="rId15" /><Relationship Type="http://schemas.openxmlformats.org/officeDocument/2006/relationships/footer" Target="footer2.xml" Id="rId23" /><Relationship Type="http://schemas.openxmlformats.org/officeDocument/2006/relationships/footnotes" Target="footnotes.xml" Id="rId10" /><Relationship Type="http://schemas.openxmlformats.org/officeDocument/2006/relationships/hyperlink" Target="https://wetten.overheid.nl/jci1.3:c:BWBR0001840&amp;hoofdstuk=3&amp;paragraaf=1&amp;artikel=50&amp;z=2018-12-21&amp;g=2018-12-21" TargetMode="External" Id="rId19" /><Relationship Type="http://schemas.openxmlformats.org/officeDocument/2006/relationships/webSettings" Target="webSettings.xml" Id="rId9" /><Relationship Type="http://schemas.openxmlformats.org/officeDocument/2006/relationships/hyperlink" Target="https://wetten.overheid.nl/jci1.3:c:BWBR0039429&amp;hoofdstuk=2&amp;paragraaf=1&amp;artikel=2.1&amp;z=2020-01-01&amp;g=2020-01-01" TargetMode="External" Id="rId14" /><Relationship Type="http://schemas.openxmlformats.org/officeDocument/2006/relationships/footer" Target="footer1.xml" Id="rId2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3553</ap:Words>
  <ap:Characters>19544</ap:Characters>
  <ap:DocSecurity>0</ap:DocSecurity>
  <ap:Lines>162</ap:Lines>
  <ap:Paragraphs>46</ap:Paragraphs>
  <ap:ScaleCrop>false</ap:ScaleCrop>
  <ap:HeadingPairs>
    <vt:vector baseType="variant" size="2">
      <vt:variant>
        <vt:lpstr>Titel</vt:lpstr>
      </vt:variant>
      <vt:variant>
        <vt:i4>1</vt:i4>
      </vt:variant>
    </vt:vector>
  </ap:HeadingPairs>
  <ap:TitlesOfParts>
    <vt:vector baseType="lpstr" size="1">
      <vt:lpstr>Aanmaken verwijzingen</vt:lpstr>
    </vt:vector>
  </ap:TitlesOfParts>
  <ap:LinksUpToDate>false</ap:LinksUpToDate>
  <ap:CharactersWithSpaces>23051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2023-03-13T15:02:00.0000000Z</lastPrinted>
  <dcterms:created xsi:type="dcterms:W3CDTF">2024-03-27T17:32:00.0000000Z</dcterms:created>
  <dcterms:modified xsi:type="dcterms:W3CDTF">2024-03-27T17:32:00.0000000Z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1.4</vt:lpwstr>
  </property>
  <property fmtid="{D5CDD505-2E9C-101B-9397-08002B2CF9AE}" pid="3" name="_entryid">
    <vt:lpwstr>00000000A0ABD29129DC11D194FE0000F87702F8010700010000000000000000020000006E060C044646303130303030303030303030303030303030303030303138393844314534413746383030303030303032313037303030303030343043303636453746373400000000</vt:lpwstr>
  </property>
  <property fmtid="{D5CDD505-2E9C-101B-9397-08002B2CF9AE}" pid="4" name="_storeid">
    <vt:lpwstr>0000000038A1BB1005E5101AA1BB08002B2A56C20000574D455052562E444C4C0000000000000000A0ABD29129DC11D194FE0000F87702F801010000000000000000000000000000000000000000000000000000000000000000000000000000000000000000000000000000000000000000000000000000000000000000000</vt:lpwstr>
  </property>
  <property fmtid="{D5CDD505-2E9C-101B-9397-08002B2CF9AE}" pid="5" name="ContentTypeId">
    <vt:lpwstr>0x0101000F242F6B9240FC4CB5A686C68C782191</vt:lpwstr>
  </property>
  <property fmtid="{D5CDD505-2E9C-101B-9397-08002B2CF9AE}" pid="6" name="_dlc_DocIdItemGuid">
    <vt:lpwstr>51770432-1714-43b8-8a79-ed7181374607</vt:lpwstr>
  </property>
</Properties>
</file>