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069" w:rsidP="00C35069" w:rsidRDefault="00C35069" w14:paraId="5116FFA2" w14:textId="77777777"/>
    <w:p w:rsidR="00C35069" w:rsidP="00C35069" w:rsidRDefault="00C35069" w14:paraId="7A59BA19" w14:textId="77777777"/>
    <w:p w:rsidR="00C35069" w:rsidP="00C35069" w:rsidRDefault="00C35069" w14:paraId="5F453F86" w14:textId="77777777"/>
    <w:p w:rsidR="00C35069" w:rsidP="00C35069" w:rsidRDefault="00C35069" w14:paraId="7EA2EDFD" w14:textId="77777777"/>
    <w:p w:rsidR="00C35069" w:rsidP="00C35069" w:rsidRDefault="00C35069" w14:paraId="4B90FBD8" w14:textId="77777777"/>
    <w:p w:rsidR="00C35069" w:rsidP="00C35069" w:rsidRDefault="00C35069" w14:paraId="141A6DE8" w14:textId="77777777"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het bovenvermelde voorstel aan.</w:t>
      </w:r>
    </w:p>
    <w:p w:rsidR="006B4F71" w:rsidRDefault="00C35069" w14:paraId="54F707FD" w14:textId="77777777">
      <w:pPr>
        <w:pStyle w:val="WitregelW1bodytekst"/>
      </w:pPr>
      <w:r>
        <w:t xml:space="preserve"> </w:t>
      </w:r>
    </w:p>
    <w:p w:rsidR="006B4F71" w:rsidRDefault="00C35069" w14:paraId="23FA6348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6B4F71" w:rsidRDefault="006B4F71" w14:paraId="57BF89FC" w14:textId="77777777"/>
    <w:sectPr w:rsidR="006B4F71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3259" w14:textId="77777777" w:rsidR="00C35069" w:rsidRDefault="00C35069">
      <w:pPr>
        <w:spacing w:line="240" w:lineRule="auto"/>
      </w:pPr>
      <w:r>
        <w:separator/>
      </w:r>
    </w:p>
  </w:endnote>
  <w:endnote w:type="continuationSeparator" w:id="0">
    <w:p w14:paraId="208DA262" w14:textId="77777777" w:rsidR="00C35069" w:rsidRDefault="00C35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C995" w14:textId="77777777" w:rsidR="006B4F71" w:rsidRDefault="006B4F7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6351" w14:textId="77777777" w:rsidR="00C35069" w:rsidRDefault="00C35069">
      <w:pPr>
        <w:spacing w:line="240" w:lineRule="auto"/>
      </w:pPr>
      <w:r>
        <w:separator/>
      </w:r>
    </w:p>
  </w:footnote>
  <w:footnote w:type="continuationSeparator" w:id="0">
    <w:p w14:paraId="75163FC7" w14:textId="77777777" w:rsidR="00C35069" w:rsidRDefault="00C350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289A" w14:textId="77777777" w:rsidR="006B4F71" w:rsidRDefault="00C3506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335D394" wp14:editId="0302AC96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19B886" w14:textId="77777777" w:rsidR="00C35069" w:rsidRDefault="00C350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35D394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3019B886" w14:textId="77777777" w:rsidR="00C35069" w:rsidRDefault="00C350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8A3A57A" wp14:editId="590FE887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E8825D" w14:textId="77777777" w:rsidR="006A4E3D" w:rsidRDefault="00EB73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A3A57A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5DE8825D" w14:textId="77777777" w:rsidR="006A4E3D" w:rsidRDefault="00EB73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2585E28" wp14:editId="2320F99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52214" w14:textId="77777777" w:rsidR="006B4F71" w:rsidRDefault="00C3506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FC92BD7" w14:textId="77777777" w:rsidR="006B4F71" w:rsidRDefault="006B4F71">
                          <w:pPr>
                            <w:pStyle w:val="WitregelW1"/>
                          </w:pPr>
                        </w:p>
                        <w:p w14:paraId="33A39107" w14:textId="77777777" w:rsidR="006B4F71" w:rsidRDefault="006B4F71">
                          <w:pPr>
                            <w:pStyle w:val="WitregelW1"/>
                          </w:pPr>
                        </w:p>
                        <w:p w14:paraId="24FF7CAE" w14:textId="77777777" w:rsidR="006B4F71" w:rsidRDefault="00C3506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85EEF75" w14:textId="77777777" w:rsidR="006A4E3D" w:rsidRDefault="00EB73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15 maart 2024</w:t>
                          </w:r>
                          <w:r>
                            <w:fldChar w:fldCharType="end"/>
                          </w:r>
                        </w:p>
                        <w:p w14:paraId="6D1549F2" w14:textId="77777777" w:rsidR="006B4F71" w:rsidRDefault="006B4F71">
                          <w:pPr>
                            <w:pStyle w:val="WitregelW1"/>
                          </w:pPr>
                        </w:p>
                        <w:p w14:paraId="64C2BF39" w14:textId="77777777" w:rsidR="006B4F71" w:rsidRDefault="00C3506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E2EE6B8" w14:textId="77777777" w:rsidR="006A4E3D" w:rsidRDefault="00EB73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2024-0000167303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85E28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52152214" w14:textId="77777777" w:rsidR="006B4F71" w:rsidRDefault="00C3506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FC92BD7" w14:textId="77777777" w:rsidR="006B4F71" w:rsidRDefault="006B4F71">
                    <w:pPr>
                      <w:pStyle w:val="WitregelW1"/>
                    </w:pPr>
                  </w:p>
                  <w:p w14:paraId="33A39107" w14:textId="77777777" w:rsidR="006B4F71" w:rsidRDefault="006B4F71">
                    <w:pPr>
                      <w:pStyle w:val="WitregelW1"/>
                    </w:pPr>
                  </w:p>
                  <w:p w14:paraId="24FF7CAE" w14:textId="77777777" w:rsidR="006B4F71" w:rsidRDefault="00C35069">
                    <w:pPr>
                      <w:pStyle w:val="Kopjereferentiegegevens"/>
                    </w:pPr>
                    <w:r>
                      <w:t>Datum</w:t>
                    </w:r>
                  </w:p>
                  <w:p w14:paraId="785EEF75" w14:textId="77777777" w:rsidR="006A4E3D" w:rsidRDefault="00EB73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15 maart 2024</w:t>
                    </w:r>
                    <w:r>
                      <w:fldChar w:fldCharType="end"/>
                    </w:r>
                  </w:p>
                  <w:p w14:paraId="6D1549F2" w14:textId="77777777" w:rsidR="006B4F71" w:rsidRDefault="006B4F71">
                    <w:pPr>
                      <w:pStyle w:val="WitregelW1"/>
                    </w:pPr>
                  </w:p>
                  <w:p w14:paraId="64C2BF39" w14:textId="77777777" w:rsidR="006B4F71" w:rsidRDefault="00C3506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E2EE6B8" w14:textId="77777777" w:rsidR="006A4E3D" w:rsidRDefault="00EB73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2024-0000167303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3135C76" wp14:editId="58CEEF76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1A84F" w14:textId="77777777" w:rsidR="00C35069" w:rsidRDefault="00C350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135C76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61C1A84F" w14:textId="77777777" w:rsidR="00C35069" w:rsidRDefault="00C350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02C8" w14:textId="77777777" w:rsidR="006B4F71" w:rsidRDefault="00C3506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C55E7B" wp14:editId="4FC65BA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C857F" w14:textId="77777777" w:rsidR="00C35069" w:rsidRDefault="00C350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C55E7B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3AC857F" w14:textId="77777777" w:rsidR="00C35069" w:rsidRDefault="00C350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7B67CF2" wp14:editId="7EE405A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A852C" w14:textId="77777777" w:rsidR="006B4F71" w:rsidRDefault="00C3506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89FE3" wp14:editId="2F6A9E9C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67CF2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DFA852C" w14:textId="77777777" w:rsidR="006B4F71" w:rsidRDefault="00C3506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889FE3" wp14:editId="2F6A9E9C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B92120" wp14:editId="3538731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8AF3D" w14:textId="77777777" w:rsidR="006B4F71" w:rsidRDefault="00C3506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92120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4C78AF3D" w14:textId="77777777" w:rsidR="006B4F71" w:rsidRDefault="00C3506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A4D2A3" wp14:editId="3B318C69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FA04" w14:textId="77777777" w:rsidR="006B4F71" w:rsidRDefault="00C35069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5E9949F0" w14:textId="77777777" w:rsidR="006B4F71" w:rsidRDefault="00C35069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A4D2A3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B19FA04" w14:textId="77777777" w:rsidR="006B4F71" w:rsidRDefault="00C35069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5E9949F0" w14:textId="77777777" w:rsidR="006B4F71" w:rsidRDefault="00C35069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6E45FC6" wp14:editId="323B21A5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61865" cy="14859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48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B4F71" w14:paraId="7B77870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59D8DB" w14:textId="77777777" w:rsidR="006B4F71" w:rsidRDefault="006B4F71"/>
                            </w:tc>
                            <w:tc>
                              <w:tcPr>
                                <w:tcW w:w="5918" w:type="dxa"/>
                              </w:tcPr>
                              <w:p w14:paraId="48E10487" w14:textId="77777777" w:rsidR="006B4F71" w:rsidRDefault="006B4F71"/>
                            </w:tc>
                          </w:tr>
                          <w:tr w:rsidR="006B4F71" w14:paraId="3A4882D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3833B02" w14:textId="77777777" w:rsidR="006B4F71" w:rsidRDefault="00C350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C7B8921" w14:textId="23C1905D" w:rsidR="006B4F71" w:rsidRDefault="00EB738D">
                                <w:pPr>
                                  <w:pStyle w:val="Gegevensdocument"/>
                                </w:pPr>
                                <w:r>
                                  <w:t>20 maart 2024</w:t>
                                </w:r>
                              </w:p>
                            </w:tc>
                          </w:tr>
                          <w:tr w:rsidR="006B4F71" w14:paraId="10BB19D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ACF5EE0" w14:textId="77777777" w:rsidR="006B4F71" w:rsidRDefault="00C35069">
                                <w:r>
                                  <w:t>Betreft</w:t>
                                </w:r>
                              </w:p>
                            </w:tc>
                            <w:bookmarkStart w:id="0" w:name="_Hlk161831468"/>
                            <w:tc>
                              <w:tcPr>
                                <w:tcW w:w="5918" w:type="dxa"/>
                              </w:tcPr>
                              <w:p w14:paraId="50776DC6" w14:textId="77777777" w:rsidR="006A4E3D" w:rsidRDefault="00EB738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Voorstel van wet tot wijziging van de Wet maximering huurprijsverhogingen geliberaliseerde huurovereenkomsten, van Boek 7 van het Burgerlijk Wetboek, van de Uitvoeringswet huurprijzen woonruimte en van de Wet goed </w:t>
                                </w:r>
                                <w:proofErr w:type="spellStart"/>
                                <w:r>
                                  <w:t>verhuurderschap</w:t>
                                </w:r>
                                <w:proofErr w:type="spellEnd"/>
                                <w:r>
                                  <w:t xml:space="preserve"> (verlenging, wijziging en handhaving van de maximering en verkorting van de verjaringstermijn voor huurverhogingen)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(36 511</w:t>
                                </w:r>
                                <w:r>
                                  <w:t>)</w:t>
                                </w:r>
                                <w:bookmarkEnd w:id="0"/>
                              </w:p>
                            </w:tc>
                          </w:tr>
                          <w:tr w:rsidR="006B4F71" w14:paraId="1891102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DA85C5" w14:textId="77777777" w:rsidR="006B4F71" w:rsidRDefault="006B4F71"/>
                            </w:tc>
                            <w:tc>
                              <w:tcPr>
                                <w:tcW w:w="5918" w:type="dxa"/>
                              </w:tcPr>
                              <w:p w14:paraId="7E4AD9C3" w14:textId="77777777" w:rsidR="006B4F71" w:rsidRDefault="006B4F71"/>
                            </w:tc>
                          </w:tr>
                        </w:tbl>
                        <w:p w14:paraId="10250A20" w14:textId="77777777" w:rsidR="00C35069" w:rsidRDefault="00C3506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E45FC6" id="Documenteigenschappen" o:spid="_x0000_s1034" type="#_x0000_t202" style="position:absolute;margin-left:79.5pt;margin-top:293.25pt;width:374.95pt;height:117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VqogEAAC8DAAAOAAAAZHJzL2Uyb0RvYy54bWysUsFu2zAMvQ/oPwi6N3aKNsuMKMW2okOB&#10;YRvQ9QMUWYoFWKJGKbHTrx+lxMmw3oZdKIqUHh8fubofXc/2GqMFL/h8VnOmvYLW+q3gLz8fr5ec&#10;xSR9K3vwWvCDjvx+ffVuNYRG30AHfauREYiPzRAE71IKTVVF1Wkn4wyC9pQ0gE4muuK2alEOhO76&#10;6qauF9UA2AYEpWOk6MMxydcF3xit0ndjok6sF5y4pWKx2E221Xolmy3K0Fl1oiH/gYWT1lPRM9SD&#10;TJLt0L6BclYhRDBppsBVYIxVuvRA3czrv7p57mTQpRcSJ4azTPH/wapv++fwA1kaP8FIA8yCDCE2&#10;kYK5n9GgyycxZZQnCQ9n2fSYmKLg7fvFfLm440xRbn67vPtQF2Gry/eAMX3R4Fh2BEeaS5FL7r/G&#10;RCXp6fQkV/PwaPs+xy9cspfGzchsK/hy4rmB9kD0aQMJtgN85WygaQoef+0kas76J09y5dFPDk7O&#10;ZnKkV/RV8MTZ0f2cyoocqXzcJTC2sMwcjhVP1Ggqhfxpg/LY/7yXV5c9X/8GAAD//wMAUEsDBBQA&#10;BgAIAAAAIQCoz8Ok4AAAAAsBAAAPAAAAZHJzL2Rvd25yZXYueG1sTI8xT8MwFIR3JP6D9SqxUbuV&#10;EiUhTlUhmJAQaTowOrGbWI2fQ+y24d/zmGA83enuu3K3uJFdzRysRwmbtQBmsPPaYi/h2Lw+ZsBC&#10;VKjV6NFI+DYBdtX9XakK7W9Ym+sh9oxKMBRKwhDjVHAeusE4FdZ+Mkjeyc9ORZJzz/WsblTuRr4V&#10;IuVOWaSFQU3meTDd+XBxEvafWL/Yr/f2oz7VtmlygW/pWcqH1bJ/AhbNEv/C8ItP6FARU+svqAMb&#10;SSc5fYkSkixNgFEiF1kOrJWQbUUCvCr5/w/VDwAAAP//AwBQSwECLQAUAAYACAAAACEAtoM4kv4A&#10;AADhAQAAEwAAAAAAAAAAAAAAAAAAAAAAW0NvbnRlbnRfVHlwZXNdLnhtbFBLAQItABQABgAIAAAA&#10;IQA4/SH/1gAAAJQBAAALAAAAAAAAAAAAAAAAAC8BAABfcmVscy8ucmVsc1BLAQItABQABgAIAAAA&#10;IQD3YyVqogEAAC8DAAAOAAAAAAAAAAAAAAAAAC4CAABkcnMvZTJvRG9jLnhtbFBLAQItABQABgAI&#10;AAAAIQCoz8Ok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B4F71" w14:paraId="7B77870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59D8DB" w14:textId="77777777" w:rsidR="006B4F71" w:rsidRDefault="006B4F71"/>
                      </w:tc>
                      <w:tc>
                        <w:tcPr>
                          <w:tcW w:w="5918" w:type="dxa"/>
                        </w:tcPr>
                        <w:p w14:paraId="48E10487" w14:textId="77777777" w:rsidR="006B4F71" w:rsidRDefault="006B4F71"/>
                      </w:tc>
                    </w:tr>
                    <w:tr w:rsidR="006B4F71" w14:paraId="3A4882D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3833B02" w14:textId="77777777" w:rsidR="006B4F71" w:rsidRDefault="00C3506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C7B8921" w14:textId="23C1905D" w:rsidR="006B4F71" w:rsidRDefault="00EB738D">
                          <w:pPr>
                            <w:pStyle w:val="Gegevensdocument"/>
                          </w:pPr>
                          <w:r>
                            <w:t>20 maart 2024</w:t>
                          </w:r>
                        </w:p>
                      </w:tc>
                    </w:tr>
                    <w:tr w:rsidR="006B4F71" w14:paraId="10BB19D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ACF5EE0" w14:textId="77777777" w:rsidR="006B4F71" w:rsidRDefault="00C35069">
                          <w:r>
                            <w:t>Betreft</w:t>
                          </w:r>
                        </w:p>
                      </w:tc>
                      <w:bookmarkStart w:id="1" w:name="_Hlk161831468"/>
                      <w:tc>
                        <w:tcPr>
                          <w:tcW w:w="5918" w:type="dxa"/>
                        </w:tcPr>
                        <w:p w14:paraId="50776DC6" w14:textId="77777777" w:rsidR="006A4E3D" w:rsidRDefault="00EB738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Voorstel van wet tot wijziging van de Wet maximering huurprijsverhogingen geliberaliseerde huurovereenkomsten, van Boek 7 van het Burgerlijk Wetboek, van de Uitvoeringswet huurprijzen woonruimte en van de Wet goed </w:t>
                          </w:r>
                          <w:proofErr w:type="spellStart"/>
                          <w:r>
                            <w:t>verhuurderschap</w:t>
                          </w:r>
                          <w:proofErr w:type="spellEnd"/>
                          <w:r>
                            <w:t xml:space="preserve"> (verlenging, wijziging en handhaving van de maximering en verkorting van de verjaringstermijn voor huurverhogingen)</w:t>
                          </w:r>
                          <w:r>
                            <w:fldChar w:fldCharType="end"/>
                          </w:r>
                          <w:r>
                            <w:t xml:space="preserve"> (36 511</w:t>
                          </w:r>
                          <w:r>
                            <w:t>)</w:t>
                          </w:r>
                          <w:bookmarkEnd w:id="1"/>
                        </w:p>
                      </w:tc>
                    </w:tr>
                    <w:tr w:rsidR="006B4F71" w14:paraId="1891102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DA85C5" w14:textId="77777777" w:rsidR="006B4F71" w:rsidRDefault="006B4F71"/>
                      </w:tc>
                      <w:tc>
                        <w:tcPr>
                          <w:tcW w:w="5918" w:type="dxa"/>
                        </w:tcPr>
                        <w:p w14:paraId="7E4AD9C3" w14:textId="77777777" w:rsidR="006B4F71" w:rsidRDefault="006B4F71"/>
                      </w:tc>
                    </w:tr>
                  </w:tbl>
                  <w:p w14:paraId="10250A20" w14:textId="77777777" w:rsidR="00C35069" w:rsidRDefault="00C350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1869461" wp14:editId="42F7141F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B4963" w14:textId="77777777" w:rsidR="006B4F71" w:rsidRDefault="00C3506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72B114A" w14:textId="77777777" w:rsidR="006B4F71" w:rsidRDefault="006B4F71">
                          <w:pPr>
                            <w:pStyle w:val="WitregelW1"/>
                          </w:pPr>
                        </w:p>
                        <w:p w14:paraId="6A4311CE" w14:textId="77777777" w:rsidR="006B4F71" w:rsidRPr="00C35069" w:rsidRDefault="00C350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C35069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3506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A0F0871" w14:textId="77777777" w:rsidR="006B4F71" w:rsidRPr="00C35069" w:rsidRDefault="00C350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5069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1DC3B384" w14:textId="77777777" w:rsidR="006B4F71" w:rsidRPr="00C35069" w:rsidRDefault="00C350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5069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7CA87F8" w14:textId="77777777" w:rsidR="006B4F71" w:rsidRPr="00C35069" w:rsidRDefault="00C350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5069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C35069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C3506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FCF3E10" w14:textId="77777777" w:rsidR="006B4F71" w:rsidRPr="00C35069" w:rsidRDefault="006B4F7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C8CC727" w14:textId="77777777" w:rsidR="006B4F71" w:rsidRPr="00C35069" w:rsidRDefault="006B4F7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C0E6C0" w14:textId="77777777" w:rsidR="006B4F71" w:rsidRDefault="00C3506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6614DCF" w14:textId="77777777" w:rsidR="006A4E3D" w:rsidRDefault="00EB73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2024-0000167303</w:t>
                          </w:r>
                          <w:r>
                            <w:fldChar w:fldCharType="end"/>
                          </w:r>
                        </w:p>
                        <w:p w14:paraId="7DF2D3FD" w14:textId="77777777" w:rsidR="006B4F71" w:rsidRDefault="006B4F71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869461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05AB4963" w14:textId="77777777" w:rsidR="006B4F71" w:rsidRDefault="00C3506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72B114A" w14:textId="77777777" w:rsidR="006B4F71" w:rsidRDefault="006B4F71">
                    <w:pPr>
                      <w:pStyle w:val="WitregelW1"/>
                    </w:pPr>
                  </w:p>
                  <w:p w14:paraId="6A4311CE" w14:textId="77777777" w:rsidR="006B4F71" w:rsidRPr="00C35069" w:rsidRDefault="00C35069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C35069">
                      <w:rPr>
                        <w:lang w:val="de-DE"/>
                      </w:rPr>
                      <w:t>Turfmarkt</w:t>
                    </w:r>
                    <w:proofErr w:type="spellEnd"/>
                    <w:r w:rsidRPr="00C35069">
                      <w:rPr>
                        <w:lang w:val="de-DE"/>
                      </w:rPr>
                      <w:t xml:space="preserve"> 147</w:t>
                    </w:r>
                  </w:p>
                  <w:p w14:paraId="2A0F0871" w14:textId="77777777" w:rsidR="006B4F71" w:rsidRPr="00C35069" w:rsidRDefault="00C35069">
                    <w:pPr>
                      <w:pStyle w:val="Afzendgegevens"/>
                      <w:rPr>
                        <w:lang w:val="de-DE"/>
                      </w:rPr>
                    </w:pPr>
                    <w:r w:rsidRPr="00C35069">
                      <w:rPr>
                        <w:lang w:val="de-DE"/>
                      </w:rPr>
                      <w:t>Den Haag</w:t>
                    </w:r>
                  </w:p>
                  <w:p w14:paraId="1DC3B384" w14:textId="77777777" w:rsidR="006B4F71" w:rsidRPr="00C35069" w:rsidRDefault="00C35069">
                    <w:pPr>
                      <w:pStyle w:val="Afzendgegevens"/>
                      <w:rPr>
                        <w:lang w:val="de-DE"/>
                      </w:rPr>
                    </w:pPr>
                    <w:r w:rsidRPr="00C35069">
                      <w:rPr>
                        <w:lang w:val="de-DE"/>
                      </w:rPr>
                      <w:t>Postbus 20011</w:t>
                    </w:r>
                  </w:p>
                  <w:p w14:paraId="77CA87F8" w14:textId="77777777" w:rsidR="006B4F71" w:rsidRPr="00C35069" w:rsidRDefault="00C35069">
                    <w:pPr>
                      <w:pStyle w:val="Afzendgegevens"/>
                      <w:rPr>
                        <w:lang w:val="de-DE"/>
                      </w:rPr>
                    </w:pPr>
                    <w:r w:rsidRPr="00C35069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C35069">
                      <w:rPr>
                        <w:lang w:val="de-DE"/>
                      </w:rPr>
                      <w:t>EA  Den</w:t>
                    </w:r>
                    <w:proofErr w:type="gramEnd"/>
                    <w:r w:rsidRPr="00C35069">
                      <w:rPr>
                        <w:lang w:val="de-DE"/>
                      </w:rPr>
                      <w:t xml:space="preserve"> Haag</w:t>
                    </w:r>
                  </w:p>
                  <w:p w14:paraId="2FCF3E10" w14:textId="77777777" w:rsidR="006B4F71" w:rsidRPr="00C35069" w:rsidRDefault="006B4F7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C8CC727" w14:textId="77777777" w:rsidR="006B4F71" w:rsidRPr="00C35069" w:rsidRDefault="006B4F7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C0E6C0" w14:textId="77777777" w:rsidR="006B4F71" w:rsidRDefault="00C3506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6614DCF" w14:textId="77777777" w:rsidR="006A4E3D" w:rsidRDefault="00EB73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2024-0000167303</w:t>
                    </w:r>
                    <w:r>
                      <w:fldChar w:fldCharType="end"/>
                    </w:r>
                  </w:p>
                  <w:p w14:paraId="7DF2D3FD" w14:textId="77777777" w:rsidR="006B4F71" w:rsidRDefault="006B4F71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CBBCA9" wp14:editId="7211593D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B38A2" w14:textId="77777777" w:rsidR="006A4E3D" w:rsidRDefault="00EB73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CBBCA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19B38A2" w14:textId="77777777" w:rsidR="006A4E3D" w:rsidRDefault="00EB73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995BB1" wp14:editId="7C5F69B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546F0" w14:textId="77777777" w:rsidR="00C35069" w:rsidRDefault="00C350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995BB1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38D546F0" w14:textId="77777777" w:rsidR="00C35069" w:rsidRDefault="00C350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368930F" wp14:editId="0DDE9C2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3B8E3" w14:textId="77777777" w:rsidR="00C35069" w:rsidRDefault="00C350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68930F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06E3B8E3" w14:textId="77777777" w:rsidR="00C35069" w:rsidRDefault="00C350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EE22A9"/>
    <w:multiLevelType w:val="multilevel"/>
    <w:tmpl w:val="9896CCF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437F3D"/>
    <w:multiLevelType w:val="multilevel"/>
    <w:tmpl w:val="36F041D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B015D8"/>
    <w:multiLevelType w:val="multilevel"/>
    <w:tmpl w:val="B35FF2E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3D454C"/>
    <w:multiLevelType w:val="multilevel"/>
    <w:tmpl w:val="F3C1AB4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010532"/>
    <w:multiLevelType w:val="multilevel"/>
    <w:tmpl w:val="408D0C4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624FE9"/>
    <w:multiLevelType w:val="multilevel"/>
    <w:tmpl w:val="3CEF852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9702F0F"/>
    <w:multiLevelType w:val="multilevel"/>
    <w:tmpl w:val="C4E43CC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C8B4FDB"/>
    <w:multiLevelType w:val="multilevel"/>
    <w:tmpl w:val="491F412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62805A8"/>
    <w:multiLevelType w:val="multilevel"/>
    <w:tmpl w:val="43B6536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C39F2E6"/>
    <w:multiLevelType w:val="multilevel"/>
    <w:tmpl w:val="21978A5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59CD67D"/>
    <w:multiLevelType w:val="multilevel"/>
    <w:tmpl w:val="EECBCA9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F8D8ED"/>
    <w:multiLevelType w:val="multilevel"/>
    <w:tmpl w:val="92EAA28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0C3661"/>
    <w:multiLevelType w:val="multilevel"/>
    <w:tmpl w:val="A5EC4D1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B00993D"/>
    <w:multiLevelType w:val="multilevel"/>
    <w:tmpl w:val="66D5F96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B56A8A6"/>
    <w:multiLevelType w:val="multilevel"/>
    <w:tmpl w:val="AABA251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F004574"/>
    <w:multiLevelType w:val="multilevel"/>
    <w:tmpl w:val="EEB0FE9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5E5B41F"/>
    <w:multiLevelType w:val="multilevel"/>
    <w:tmpl w:val="3D7EA56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C392854"/>
    <w:multiLevelType w:val="multilevel"/>
    <w:tmpl w:val="2A71C12A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CB645F"/>
    <w:multiLevelType w:val="multilevel"/>
    <w:tmpl w:val="ABEC593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B81BDF"/>
    <w:multiLevelType w:val="multilevel"/>
    <w:tmpl w:val="E57FD94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BBE388C"/>
    <w:multiLevelType w:val="multilevel"/>
    <w:tmpl w:val="DA2385D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2ED8170"/>
    <w:multiLevelType w:val="multilevel"/>
    <w:tmpl w:val="823366A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49C24B9"/>
    <w:multiLevelType w:val="multilevel"/>
    <w:tmpl w:val="CBF4B5F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8A562D1"/>
    <w:multiLevelType w:val="multilevel"/>
    <w:tmpl w:val="90A86C9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CD5930"/>
    <w:multiLevelType w:val="multilevel"/>
    <w:tmpl w:val="002228B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882BA9"/>
    <w:multiLevelType w:val="multilevel"/>
    <w:tmpl w:val="5980D369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E4F72"/>
    <w:multiLevelType w:val="multilevel"/>
    <w:tmpl w:val="65C8DFA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639E09"/>
    <w:multiLevelType w:val="multilevel"/>
    <w:tmpl w:val="98F9D54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878BE2"/>
    <w:multiLevelType w:val="multilevel"/>
    <w:tmpl w:val="D477F9D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25210A"/>
    <w:multiLevelType w:val="multilevel"/>
    <w:tmpl w:val="F86D656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0B4598"/>
    <w:multiLevelType w:val="multilevel"/>
    <w:tmpl w:val="7E7117B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BDB411"/>
    <w:multiLevelType w:val="multilevel"/>
    <w:tmpl w:val="7694450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20F5AE"/>
    <w:multiLevelType w:val="multilevel"/>
    <w:tmpl w:val="AC5CA3CA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B151B5"/>
    <w:multiLevelType w:val="multilevel"/>
    <w:tmpl w:val="7C137BB4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F697B5"/>
    <w:multiLevelType w:val="multilevel"/>
    <w:tmpl w:val="068CAFE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6278827">
    <w:abstractNumId w:val="21"/>
  </w:num>
  <w:num w:numId="2" w16cid:durableId="171185483">
    <w:abstractNumId w:val="31"/>
  </w:num>
  <w:num w:numId="3" w16cid:durableId="462382417">
    <w:abstractNumId w:val="6"/>
  </w:num>
  <w:num w:numId="4" w16cid:durableId="1982073359">
    <w:abstractNumId w:val="17"/>
  </w:num>
  <w:num w:numId="5" w16cid:durableId="1182862799">
    <w:abstractNumId w:val="15"/>
  </w:num>
  <w:num w:numId="6" w16cid:durableId="1042244963">
    <w:abstractNumId w:val="23"/>
  </w:num>
  <w:num w:numId="7" w16cid:durableId="1119030873">
    <w:abstractNumId w:val="7"/>
  </w:num>
  <w:num w:numId="8" w16cid:durableId="1872642798">
    <w:abstractNumId w:val="5"/>
  </w:num>
  <w:num w:numId="9" w16cid:durableId="62994259">
    <w:abstractNumId w:val="0"/>
  </w:num>
  <w:num w:numId="10" w16cid:durableId="1816531915">
    <w:abstractNumId w:val="18"/>
  </w:num>
  <w:num w:numId="11" w16cid:durableId="1528981985">
    <w:abstractNumId w:val="3"/>
  </w:num>
  <w:num w:numId="12" w16cid:durableId="1220484405">
    <w:abstractNumId w:val="34"/>
  </w:num>
  <w:num w:numId="13" w16cid:durableId="1772436915">
    <w:abstractNumId w:val="25"/>
  </w:num>
  <w:num w:numId="14" w16cid:durableId="1965309492">
    <w:abstractNumId w:val="2"/>
  </w:num>
  <w:num w:numId="15" w16cid:durableId="318048098">
    <w:abstractNumId w:val="12"/>
  </w:num>
  <w:num w:numId="16" w16cid:durableId="328749159">
    <w:abstractNumId w:val="8"/>
  </w:num>
  <w:num w:numId="17" w16cid:durableId="1609773278">
    <w:abstractNumId w:val="10"/>
  </w:num>
  <w:num w:numId="18" w16cid:durableId="1885214549">
    <w:abstractNumId w:val="19"/>
  </w:num>
  <w:num w:numId="19" w16cid:durableId="3946008">
    <w:abstractNumId w:val="33"/>
  </w:num>
  <w:num w:numId="20" w16cid:durableId="367268686">
    <w:abstractNumId w:val="13"/>
  </w:num>
  <w:num w:numId="21" w16cid:durableId="1200043789">
    <w:abstractNumId w:val="29"/>
  </w:num>
  <w:num w:numId="22" w16cid:durableId="1247960428">
    <w:abstractNumId w:val="24"/>
  </w:num>
  <w:num w:numId="23" w16cid:durableId="1462260849">
    <w:abstractNumId w:val="14"/>
  </w:num>
  <w:num w:numId="24" w16cid:durableId="1233732854">
    <w:abstractNumId w:val="32"/>
  </w:num>
  <w:num w:numId="25" w16cid:durableId="1752964527">
    <w:abstractNumId w:val="20"/>
  </w:num>
  <w:num w:numId="26" w16cid:durableId="139538172">
    <w:abstractNumId w:val="26"/>
  </w:num>
  <w:num w:numId="27" w16cid:durableId="1968779238">
    <w:abstractNumId w:val="11"/>
  </w:num>
  <w:num w:numId="28" w16cid:durableId="1070885255">
    <w:abstractNumId w:val="28"/>
  </w:num>
  <w:num w:numId="29" w16cid:durableId="1264798300">
    <w:abstractNumId w:val="30"/>
  </w:num>
  <w:num w:numId="30" w16cid:durableId="305014773">
    <w:abstractNumId w:val="27"/>
  </w:num>
  <w:num w:numId="31" w16cid:durableId="1774011077">
    <w:abstractNumId w:val="1"/>
  </w:num>
  <w:num w:numId="32" w16cid:durableId="2039692486">
    <w:abstractNumId w:val="4"/>
  </w:num>
  <w:num w:numId="33" w16cid:durableId="830295223">
    <w:abstractNumId w:val="16"/>
  </w:num>
  <w:num w:numId="34" w16cid:durableId="1921019366">
    <w:abstractNumId w:val="22"/>
  </w:num>
  <w:num w:numId="35" w16cid:durableId="109207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F71"/>
    <w:rsid w:val="006A4E3D"/>
    <w:rsid w:val="006B4F71"/>
    <w:rsid w:val="00C35069"/>
    <w:rsid w:val="00E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6EEE50E"/>
  <w15:docId w15:val="{3FEBAE93-E0ED-4202-88FF-F35AEBE7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350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506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350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506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2024-03-15T10:02:00.0000000Z</dcterms:created>
  <dcterms:modified xsi:type="dcterms:W3CDTF">2024-03-20T11:51:00.0000000Z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15 maart 2024</vt:lpwstr>
  </property>
  <property fmtid="{D5CDD505-2E9C-101B-9397-08002B2CF9AE}" pid="4" name="Onderwerp">
    <vt:lpwstr>Voorstel van wet tot wijziging van de Wet maximering huurprijsverhogingen geliberaliseerde huurovereenkomsten, van Boek 7 van het Burgerlijk Wetboek, van de Uitvoeringswet huurprijzen woonruimte en van de Wet goed verhuurderschap (verlenging, wijziging en handhaving van de maximering en verkorting van de verjaringstermijn voor huurverhogingen)</vt:lpwstr>
  </property>
  <property fmtid="{D5CDD505-2E9C-101B-9397-08002B2CF9AE}" pid="5" name="Kenmerk">
    <vt:lpwstr>2024-0000167303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