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33B7" w:rsidR="005C490E" w:rsidP="005C490E" w:rsidRDefault="002C4849" w14:paraId="7AEE77C6" w14:textId="773A1CA9">
      <w:pPr>
        <w:pStyle w:val="NoSpacing"/>
        <w:rPr>
          <w:b/>
          <w:bCs/>
        </w:rPr>
      </w:pPr>
      <w:r>
        <w:rPr>
          <w:b/>
          <w:bCs/>
        </w:rPr>
        <w:t>B</w:t>
      </w:r>
      <w:r w:rsidR="005C490E">
        <w:rPr>
          <w:b/>
          <w:bCs/>
        </w:rPr>
        <w:t>ackground</w:t>
      </w:r>
      <w:r w:rsidR="00B3663D">
        <w:rPr>
          <w:b/>
          <w:bCs/>
        </w:rPr>
        <w:t xml:space="preserve"> </w:t>
      </w:r>
    </w:p>
    <w:bookmarkStart w:name="_Hlk144290448" w:id="0"/>
    <w:p w:rsidR="002F253C" w:rsidP="005C490E" w:rsidRDefault="002F253C" w14:paraId="4A792674" w14:textId="2AAED4CC">
      <w:pPr>
        <w:spacing w:line="240" w:lineRule="auto"/>
      </w:pPr>
      <w:r>
        <w:fldChar w:fldCharType="begin"/>
      </w:r>
      <w:r>
        <w:instrText>HYPERLINK "https://www.iob-evaluatie.nl/"</w:instrText>
      </w:r>
      <w:r>
        <w:fldChar w:fldCharType="separate"/>
      </w:r>
      <w:r>
        <w:rPr>
          <w:rStyle w:val="Hyperlink"/>
        </w:rPr>
        <w:t>IOB</w:t>
      </w:r>
      <w:r>
        <w:fldChar w:fldCharType="end"/>
      </w:r>
      <w:r w:rsidR="005E3F94">
        <w:t xml:space="preserve"> </w:t>
      </w:r>
      <w:r w:rsidR="002C4849">
        <w:t xml:space="preserve">is the independent evaluation department at the Dutch Ministry of Foreign Affairs. </w:t>
      </w:r>
      <w:hyperlink w:history="1" r:id="rId11">
        <w:r>
          <w:rPr>
            <w:rStyle w:val="Hyperlink"/>
          </w:rPr>
          <w:t>IOB has evaluated Dutch policy on SRHR between 2012 and 2022</w:t>
        </w:r>
      </w:hyperlink>
      <w:r>
        <w:t xml:space="preserve">. </w:t>
      </w:r>
      <w:r w:rsidR="005C490E">
        <w:t>During that period</w:t>
      </w:r>
      <w:r w:rsidRPr="002E5291" w:rsidR="005C490E">
        <w:t xml:space="preserve">, the </w:t>
      </w:r>
      <w:r w:rsidR="005C490E">
        <w:t xml:space="preserve">ministry </w:t>
      </w:r>
      <w:r w:rsidRPr="002E5291" w:rsidR="005C490E">
        <w:t>allocated 10% of the Dutch development-cooperation budget to this theme, nearly EUR 5 billion.</w:t>
      </w:r>
      <w:r w:rsidRPr="00E833B7" w:rsidR="005C490E">
        <w:t xml:space="preserve"> </w:t>
      </w:r>
      <w:bookmarkEnd w:id="0"/>
      <w:r w:rsidR="005C490E">
        <w:t>T</w:t>
      </w:r>
      <w:r w:rsidRPr="00E833B7" w:rsidR="005C490E">
        <w:t xml:space="preserve">he ministry </w:t>
      </w:r>
      <w:r w:rsidR="005C490E">
        <w:t>focus</w:t>
      </w:r>
      <w:r w:rsidRPr="00E833B7" w:rsidR="005C490E">
        <w:t xml:space="preserve">ed on </w:t>
      </w:r>
      <w:r w:rsidR="0013768E">
        <w:t xml:space="preserve">ten </w:t>
      </w:r>
      <w:r w:rsidRPr="00E833B7" w:rsidR="005C490E">
        <w:t>specific ‘SRHR</w:t>
      </w:r>
      <w:r w:rsidR="005C490E">
        <w:t xml:space="preserve"> </w:t>
      </w:r>
      <w:r w:rsidRPr="00E833B7" w:rsidR="005C490E">
        <w:t>target countries’</w:t>
      </w:r>
      <w:r w:rsidR="005C490E">
        <w:t xml:space="preserve"> and</w:t>
      </w:r>
      <w:r w:rsidR="00B3663D">
        <w:t xml:space="preserve"> </w:t>
      </w:r>
      <w:r w:rsidRPr="00E833B7" w:rsidR="005C490E">
        <w:t xml:space="preserve">provided support to </w:t>
      </w:r>
      <w:r w:rsidRPr="004F68A1" w:rsidR="005C490E">
        <w:t>multilatera</w:t>
      </w:r>
      <w:r w:rsidRPr="00E833B7" w:rsidR="005C490E">
        <w:t>l organisations, international funds</w:t>
      </w:r>
      <w:r w:rsidR="005C490E">
        <w:t xml:space="preserve"> and</w:t>
      </w:r>
      <w:r w:rsidRPr="00E833B7" w:rsidR="005C490E">
        <w:t xml:space="preserve"> (I)NGOs</w:t>
      </w:r>
      <w:r w:rsidR="005C490E">
        <w:t>.</w:t>
      </w:r>
      <w:r w:rsidRPr="00E833B7" w:rsidR="005C490E">
        <w:t xml:space="preserve"> </w:t>
      </w:r>
    </w:p>
    <w:p w:rsidR="00AA6C60" w:rsidP="005E3F94" w:rsidRDefault="0013768E" w14:paraId="03BBABB5" w14:textId="5F71FC09">
      <w:pPr>
        <w:spacing w:line="240" w:lineRule="auto"/>
      </w:pPr>
      <w:r>
        <w:t xml:space="preserve">With its international cooperation policy, </w:t>
      </w:r>
      <w:r w:rsidR="0057416F">
        <w:t>t</w:t>
      </w:r>
      <w:r w:rsidRPr="00E833B7" w:rsidR="002F253C">
        <w:t xml:space="preserve">he </w:t>
      </w:r>
      <w:r w:rsidRPr="00E833B7" w:rsidR="002F253C">
        <w:t>Netherland</w:t>
      </w:r>
      <w:r w:rsidR="0057416F">
        <w:t>s</w:t>
      </w:r>
      <w:r w:rsidRPr="00E833B7" w:rsidR="002F253C">
        <w:t xml:space="preserve"> strives to contribute to commitments made in the Sustainable Development Goals (SDGs)</w:t>
      </w:r>
      <w:r w:rsidR="002F253C">
        <w:t xml:space="preserve">, such as </w:t>
      </w:r>
      <w:r w:rsidRPr="00E833B7" w:rsidR="002F253C">
        <w:t>targets on maternal and child mortality</w:t>
      </w:r>
      <w:r w:rsidR="002F253C">
        <w:t xml:space="preserve"> </w:t>
      </w:r>
      <w:r w:rsidRPr="00E833B7" w:rsidR="002F253C">
        <w:t>and achieving universal access to sexual and reproductive health and rights</w:t>
      </w:r>
      <w:r w:rsidR="005E3F94">
        <w:t>.</w:t>
      </w:r>
      <w:r w:rsidRPr="00E833B7" w:rsidR="002F253C">
        <w:t xml:space="preserve"> Although certain countries </w:t>
      </w:r>
      <w:r w:rsidR="002F253C">
        <w:t xml:space="preserve">have </w:t>
      </w:r>
      <w:r w:rsidRPr="00E833B7" w:rsidR="002F253C">
        <w:t xml:space="preserve">recorded advancements on certain SDGs, numerous SDG targets </w:t>
      </w:r>
      <w:r w:rsidR="002F253C">
        <w:t>continue to be</w:t>
      </w:r>
      <w:r w:rsidRPr="00E833B7" w:rsidR="002F253C">
        <w:t xml:space="preserve"> out of reach in Dutch SRHR target countries</w:t>
      </w:r>
      <w:r w:rsidR="002F253C">
        <w:t xml:space="preserve"> (see annex</w:t>
      </w:r>
      <w:r w:rsidR="00AA6C60">
        <w:t xml:space="preserve"> on page 3</w:t>
      </w:r>
      <w:r w:rsidR="002F253C">
        <w:t>)</w:t>
      </w:r>
      <w:r w:rsidRPr="00E833B7" w:rsidR="002F253C">
        <w:t xml:space="preserve">. </w:t>
      </w:r>
      <w:bookmarkStart w:name="_Hlk142900159" w:id="1"/>
    </w:p>
    <w:p w:rsidRPr="00E833B7" w:rsidR="005E3F94" w:rsidP="005E3F94" w:rsidRDefault="005E3F94" w14:paraId="3D9C20A1" w14:textId="068BF8CC">
      <w:pPr>
        <w:spacing w:line="240" w:lineRule="auto"/>
      </w:pPr>
      <w:r w:rsidRPr="00E833B7">
        <w:t xml:space="preserve">The Netherlands is one of the few donor countries that </w:t>
      </w:r>
      <w:r>
        <w:t xml:space="preserve">has </w:t>
      </w:r>
      <w:r w:rsidRPr="00E833B7">
        <w:t xml:space="preserve">supported projects on </w:t>
      </w:r>
      <w:r>
        <w:t xml:space="preserve">SRHR issues that are considered ‘sensitive’ in large parts of the world, such as abortion, LGBTI+ rights and sex workers. </w:t>
      </w:r>
      <w:bookmarkEnd w:id="1"/>
      <w:r>
        <w:t>A</w:t>
      </w:r>
      <w:r w:rsidRPr="00E833B7">
        <w:t>cross the globe</w:t>
      </w:r>
      <w:r w:rsidR="0013768E">
        <w:t>,</w:t>
      </w:r>
      <w:r>
        <w:t xml:space="preserve"> </w:t>
      </w:r>
      <w:r w:rsidRPr="00E833B7">
        <w:t>civic space for supported organisations active on these issues has been shrinking</w:t>
      </w:r>
      <w:r>
        <w:t xml:space="preserve"> and issues important </w:t>
      </w:r>
      <w:r w:rsidR="0013768E">
        <w:t xml:space="preserve">to </w:t>
      </w:r>
      <w:r w:rsidRPr="00E833B7">
        <w:t xml:space="preserve">the Netherlands have </w:t>
      </w:r>
      <w:r>
        <w:t xml:space="preserve">become </w:t>
      </w:r>
      <w:r w:rsidRPr="00E833B7">
        <w:t>increasingly under pressure</w:t>
      </w:r>
      <w:r>
        <w:t>.</w:t>
      </w:r>
    </w:p>
    <w:p w:rsidR="004B532E" w:rsidP="004B532E" w:rsidRDefault="005E3F94" w14:paraId="01B2B5CF" w14:textId="45198783">
      <w:pPr>
        <w:spacing w:after="0" w:line="240" w:lineRule="auto"/>
        <w:rPr>
          <w:b/>
          <w:bCs/>
        </w:rPr>
      </w:pPr>
      <w:r>
        <w:rPr>
          <w:b/>
          <w:bCs/>
        </w:rPr>
        <w:t xml:space="preserve">IOB </w:t>
      </w:r>
      <w:r w:rsidR="00E77FE6">
        <w:rPr>
          <w:b/>
          <w:bCs/>
        </w:rPr>
        <w:t>e</w:t>
      </w:r>
      <w:r>
        <w:rPr>
          <w:b/>
          <w:bCs/>
        </w:rPr>
        <w:t>valuation</w:t>
      </w:r>
      <w:r w:rsidR="00E77FE6">
        <w:rPr>
          <w:b/>
          <w:bCs/>
        </w:rPr>
        <w:t xml:space="preserve"> on SRHR</w:t>
      </w:r>
    </w:p>
    <w:p w:rsidRPr="00E77FE6" w:rsidR="005E3F94" w:rsidP="005C490E" w:rsidRDefault="004D4C7A" w14:paraId="4E5A93F4" w14:textId="562A4F9F">
      <w:pPr>
        <w:spacing w:line="240" w:lineRule="auto"/>
      </w:pPr>
      <w:r>
        <w:t xml:space="preserve">The main question that guided the evaluation is: </w:t>
      </w:r>
    </w:p>
    <w:p w:rsidR="005C490E" w:rsidP="005C490E" w:rsidRDefault="005C490E" w14:paraId="66EBAE38" w14:textId="03EADD06">
      <w:pPr>
        <w:spacing w:line="240" w:lineRule="auto"/>
        <w:rPr>
          <w:i/>
        </w:rPr>
      </w:pPr>
      <w:r w:rsidRPr="00E833B7">
        <w:rPr>
          <w:i/>
        </w:rPr>
        <w:t>To what extent has the Netherlands contributed to the improvement of Sexual and Reproductive Health and Rights and contributed to halting the spread of HIV/AIDS in low- and lower</w:t>
      </w:r>
      <w:r>
        <w:rPr>
          <w:i/>
        </w:rPr>
        <w:t>-</w:t>
      </w:r>
      <w:r w:rsidRPr="00E833B7">
        <w:rPr>
          <w:i/>
        </w:rPr>
        <w:t>middle-income countries and what lessons can be learned for future policy?</w:t>
      </w:r>
    </w:p>
    <w:p w:rsidR="0013768E" w:rsidP="0013768E" w:rsidRDefault="0013768E" w14:paraId="10D29FE7" w14:textId="77777777">
      <w:pPr>
        <w:spacing w:line="240" w:lineRule="auto"/>
      </w:pPr>
      <w:r>
        <w:rPr>
          <w:iCs/>
        </w:rPr>
        <w:t xml:space="preserve">The </w:t>
      </w:r>
      <w:hyperlink w:history="1" r:id="rId12">
        <w:r>
          <w:rPr>
            <w:rStyle w:val="Hyperlink"/>
          </w:rPr>
          <w:t>IOB evaluation</w:t>
        </w:r>
      </w:hyperlink>
      <w:r>
        <w:rPr>
          <w:iCs/>
        </w:rPr>
        <w:t xml:space="preserve"> is based on more than 300 interviews, 44 spot checks, and 24 weeks of primary data collection in Bangladesh and Uganda. It incorporates findings from a </w:t>
      </w:r>
      <w:hyperlink w:history="1" r:id="rId13">
        <w:r>
          <w:rPr>
            <w:rStyle w:val="Hyperlink"/>
          </w:rPr>
          <w:t>comprehensive literature review</w:t>
        </w:r>
      </w:hyperlink>
      <w:r>
        <w:t xml:space="preserve"> and numerous underlying evaluation reports. </w:t>
      </w:r>
    </w:p>
    <w:p w:rsidRPr="00223DBE" w:rsidR="002C4849" w:rsidP="002C4849" w:rsidRDefault="00223DBE" w14:paraId="0CA8B6BD" w14:textId="278A95EE">
      <w:pPr>
        <w:spacing w:after="0"/>
        <w:rPr>
          <w:b/>
          <w:bCs/>
          <w:lang w:val="en-US"/>
        </w:rPr>
      </w:pPr>
      <w:r>
        <w:rPr>
          <w:b/>
          <w:bCs/>
          <w:lang w:val="en-US"/>
        </w:rPr>
        <w:t>Highlights from the evaluation</w:t>
      </w:r>
      <w:r w:rsidR="00E77FE6">
        <w:rPr>
          <w:b/>
          <w:bCs/>
          <w:lang w:val="en-US"/>
        </w:rPr>
        <w:t xml:space="preserve"> report</w:t>
      </w:r>
    </w:p>
    <w:p w:rsidR="004D4C7A" w:rsidP="00AF1CD9" w:rsidRDefault="00FE55E7" w14:paraId="4ACDC75C" w14:textId="512DD39A">
      <w:pPr>
        <w:pStyle w:val="ListParagraph"/>
        <w:numPr>
          <w:ilvl w:val="0"/>
          <w:numId w:val="16"/>
        </w:numPr>
        <w:spacing w:after="0" w:line="240" w:lineRule="auto"/>
      </w:pPr>
      <w:r>
        <w:t xml:space="preserve">The IOB evaluation concludes that the ministry’s efforts </w:t>
      </w:r>
      <w:r w:rsidR="004D4C7A">
        <w:t>resulted in a variety of effects.</w:t>
      </w:r>
    </w:p>
    <w:p w:rsidRPr="00AF1CD9" w:rsidR="00AF1CD9" w:rsidP="00AF1CD9" w:rsidRDefault="00AF1CD9" w14:paraId="23ABDE15" w14:textId="2B544508">
      <w:pPr>
        <w:pStyle w:val="ListParagraph"/>
        <w:numPr>
          <w:ilvl w:val="0"/>
          <w:numId w:val="17"/>
        </w:numPr>
        <w:spacing w:line="240" w:lineRule="auto"/>
        <w:rPr>
          <w:rFonts w:asciiTheme="minorHAnsi" w:hAnsiTheme="minorHAnsi" w:cstheme="minorHAnsi"/>
        </w:rPr>
      </w:pPr>
      <w:r w:rsidRPr="00AF1CD9">
        <w:rPr>
          <w:rFonts w:cstheme="minorHAnsi"/>
        </w:rPr>
        <w:t>T</w:t>
      </w:r>
      <w:r w:rsidRPr="00AF1CD9" w:rsidR="00223DBE">
        <w:rPr>
          <w:rFonts w:cstheme="minorHAnsi"/>
        </w:rPr>
        <w:t xml:space="preserve">he Netherlands contributed to </w:t>
      </w:r>
      <w:r w:rsidRPr="00AF1CD9" w:rsidR="004D4C7A">
        <w:rPr>
          <w:rFonts w:cstheme="minorHAnsi"/>
        </w:rPr>
        <w:t xml:space="preserve">improving access to and the use of reproductive health commodities, including family planning </w:t>
      </w:r>
      <w:r w:rsidR="00AD79A4">
        <w:rPr>
          <w:rFonts w:cstheme="minorHAnsi"/>
        </w:rPr>
        <w:t>methods</w:t>
      </w:r>
      <w:r w:rsidRPr="00AF1CD9" w:rsidR="004D4C7A">
        <w:rPr>
          <w:rFonts w:cstheme="minorHAnsi"/>
        </w:rPr>
        <w:t xml:space="preserve"> and antiretroviral therapy</w:t>
      </w:r>
      <w:r w:rsidR="00AD79A4">
        <w:rPr>
          <w:rFonts w:cstheme="minorHAnsi"/>
        </w:rPr>
        <w:t xml:space="preserve">. This has contributed </w:t>
      </w:r>
      <w:r w:rsidRPr="00AF1CD9" w:rsidR="004D4C7A">
        <w:rPr>
          <w:rFonts w:cstheme="minorHAnsi"/>
        </w:rPr>
        <w:t xml:space="preserve">to decreasing </w:t>
      </w:r>
      <w:r w:rsidR="00AD79A4">
        <w:rPr>
          <w:rFonts w:cstheme="minorHAnsi"/>
        </w:rPr>
        <w:t xml:space="preserve">global </w:t>
      </w:r>
      <w:r w:rsidRPr="00AF1CD9" w:rsidR="00223DBE">
        <w:rPr>
          <w:rFonts w:cstheme="minorHAnsi"/>
        </w:rPr>
        <w:t>HIV-related incidence and mortality.</w:t>
      </w:r>
    </w:p>
    <w:p w:rsidRPr="00AF1CD9" w:rsidR="00AF1CD9" w:rsidP="00AF1CD9" w:rsidRDefault="00AD79A4" w14:paraId="31C6B58E" w14:textId="1C90A3D6">
      <w:pPr>
        <w:pStyle w:val="ListParagraph"/>
        <w:numPr>
          <w:ilvl w:val="0"/>
          <w:numId w:val="17"/>
        </w:numPr>
        <w:spacing w:line="240" w:lineRule="auto"/>
        <w:rPr>
          <w:rFonts w:asciiTheme="minorHAnsi" w:hAnsiTheme="minorHAnsi" w:cstheme="minorHAnsi"/>
        </w:rPr>
      </w:pPr>
      <w:r>
        <w:rPr>
          <w:rFonts w:cstheme="minorHAnsi"/>
        </w:rPr>
        <w:t>T</w:t>
      </w:r>
      <w:r w:rsidRPr="00AF1CD9" w:rsidR="00223DBE">
        <w:rPr>
          <w:rFonts w:cstheme="minorHAnsi"/>
        </w:rPr>
        <w:t xml:space="preserve">he Netherlands also </w:t>
      </w:r>
      <w:r>
        <w:rPr>
          <w:rFonts w:cstheme="minorHAnsi"/>
        </w:rPr>
        <w:t xml:space="preserve">intended </w:t>
      </w:r>
      <w:r w:rsidRPr="00AF1CD9" w:rsidR="00223DBE">
        <w:rPr>
          <w:rFonts w:cstheme="minorHAnsi"/>
        </w:rPr>
        <w:t xml:space="preserve">to contribute to improved SRHR through lobby and advocacy related interventions, but it remains unclear how effective that approach was. </w:t>
      </w:r>
    </w:p>
    <w:p w:rsidRPr="00AF1CD9" w:rsidR="00AF1CD9" w:rsidP="00AF1CD9" w:rsidRDefault="00AF1CD9" w14:paraId="59AE0A23" w14:textId="3E2A4698">
      <w:pPr>
        <w:pStyle w:val="ListParagraph"/>
        <w:numPr>
          <w:ilvl w:val="0"/>
          <w:numId w:val="17"/>
        </w:numPr>
        <w:spacing w:line="240" w:lineRule="auto"/>
        <w:rPr>
          <w:rFonts w:asciiTheme="minorHAnsi" w:hAnsiTheme="minorHAnsi" w:cstheme="minorHAnsi"/>
        </w:rPr>
      </w:pPr>
      <w:r w:rsidRPr="00AF1CD9">
        <w:rPr>
          <w:rFonts w:cstheme="minorHAnsi"/>
        </w:rPr>
        <w:t xml:space="preserve">Most supported activities didn’t bridge ‘the last mile’ in reaching the most isolated and economically-deprived people. </w:t>
      </w:r>
    </w:p>
    <w:p w:rsidR="006D2D9C" w:rsidP="00AA6C60" w:rsidRDefault="00FE55E7" w14:paraId="5A053B23" w14:textId="1DA18062">
      <w:pPr>
        <w:pStyle w:val="ListParagraph"/>
        <w:numPr>
          <w:ilvl w:val="0"/>
          <w:numId w:val="16"/>
        </w:numPr>
        <w:spacing w:line="240" w:lineRule="auto"/>
        <w:rPr>
          <w:rFonts w:cstheme="minorHAnsi"/>
        </w:rPr>
      </w:pPr>
      <w:r>
        <w:rPr>
          <w:rFonts w:cstheme="minorHAnsi"/>
        </w:rPr>
        <w:t>Another finding is that c</w:t>
      </w:r>
      <w:r w:rsidR="006D2D9C">
        <w:rPr>
          <w:rFonts w:cstheme="minorHAnsi"/>
        </w:rPr>
        <w:t xml:space="preserve">ost-efficiency and cost-effectiveness analyses were </w:t>
      </w:r>
      <w:r>
        <w:rPr>
          <w:rFonts w:cstheme="minorHAnsi"/>
        </w:rPr>
        <w:t>uncommon</w:t>
      </w:r>
      <w:r w:rsidR="00AA6C60">
        <w:rPr>
          <w:rFonts w:cstheme="minorHAnsi"/>
        </w:rPr>
        <w:t xml:space="preserve"> and, therefore,</w:t>
      </w:r>
      <w:r w:rsidR="006D2D9C">
        <w:rPr>
          <w:rFonts w:cstheme="minorHAnsi"/>
        </w:rPr>
        <w:t xml:space="preserve"> it remains unclear </w:t>
      </w:r>
      <w:r w:rsidR="008676F7">
        <w:rPr>
          <w:rFonts w:cstheme="minorHAnsi"/>
        </w:rPr>
        <w:t>if the policy was efficient</w:t>
      </w:r>
      <w:r w:rsidR="006D2D9C">
        <w:rPr>
          <w:rFonts w:cstheme="minorHAnsi"/>
        </w:rPr>
        <w:t xml:space="preserve">. </w:t>
      </w:r>
      <w:r w:rsidR="0013768E">
        <w:rPr>
          <w:rFonts w:cstheme="minorHAnsi"/>
        </w:rPr>
        <w:t xml:space="preserve">However, IOB’s </w:t>
      </w:r>
      <w:r w:rsidR="006D2D9C">
        <w:rPr>
          <w:rFonts w:cstheme="minorHAnsi"/>
        </w:rPr>
        <w:t xml:space="preserve">evaluation </w:t>
      </w:r>
      <w:r w:rsidR="00AA6C60">
        <w:rPr>
          <w:rFonts w:cstheme="minorHAnsi"/>
        </w:rPr>
        <w:t xml:space="preserve">identified operational inefficiencies in </w:t>
      </w:r>
      <w:r w:rsidR="008676F7">
        <w:rPr>
          <w:rFonts w:cstheme="minorHAnsi"/>
        </w:rPr>
        <w:t xml:space="preserve">multilateral </w:t>
      </w:r>
      <w:proofErr w:type="spellStart"/>
      <w:r w:rsidR="008676F7">
        <w:rPr>
          <w:rFonts w:cstheme="minorHAnsi"/>
        </w:rPr>
        <w:t>organisations</w:t>
      </w:r>
      <w:proofErr w:type="spellEnd"/>
      <w:r w:rsidR="008676F7">
        <w:rPr>
          <w:rFonts w:cstheme="minorHAnsi"/>
        </w:rPr>
        <w:t xml:space="preserve"> and </w:t>
      </w:r>
      <w:r w:rsidR="00AA6C60">
        <w:rPr>
          <w:rFonts w:cstheme="minorHAnsi"/>
        </w:rPr>
        <w:t xml:space="preserve">in </w:t>
      </w:r>
      <w:r w:rsidR="008676F7">
        <w:rPr>
          <w:rFonts w:cstheme="minorHAnsi"/>
        </w:rPr>
        <w:t xml:space="preserve">NGO partnerships. </w:t>
      </w:r>
      <w:r w:rsidR="00AA6C60">
        <w:rPr>
          <w:rFonts w:cstheme="minorHAnsi"/>
        </w:rPr>
        <w:t xml:space="preserve">Many NGO partnership projects had complex organizational structures across different layers and countries, which led to bureaucratic </w:t>
      </w:r>
      <w:proofErr w:type="spellStart"/>
      <w:r w:rsidR="00AA6C60">
        <w:rPr>
          <w:rFonts w:cstheme="minorHAnsi"/>
        </w:rPr>
        <w:t>pro</w:t>
      </w:r>
      <w:r w:rsidR="008676F7">
        <w:rPr>
          <w:rFonts w:cstheme="minorHAnsi"/>
        </w:rPr>
        <w:t>gramme</w:t>
      </w:r>
      <w:proofErr w:type="spellEnd"/>
      <w:r w:rsidR="008676F7">
        <w:rPr>
          <w:rFonts w:cstheme="minorHAnsi"/>
        </w:rPr>
        <w:t xml:space="preserve"> management, high indirect costs and delays in implementation. </w:t>
      </w:r>
    </w:p>
    <w:p w:rsidRPr="008676F7" w:rsidR="008676F7" w:rsidP="00AA6C60" w:rsidRDefault="00AA6C60" w14:paraId="4E8117C1" w14:textId="2C2FBC64">
      <w:pPr>
        <w:pStyle w:val="ListParagraph"/>
        <w:numPr>
          <w:ilvl w:val="0"/>
          <w:numId w:val="19"/>
        </w:numPr>
        <w:spacing w:line="240" w:lineRule="auto"/>
        <w:ind w:left="1560"/>
        <w:rPr>
          <w:rFonts w:cstheme="minorHAnsi"/>
        </w:rPr>
      </w:pPr>
      <w:r>
        <w:rPr>
          <w:rFonts w:cstheme="minorHAnsi"/>
        </w:rPr>
        <w:t>Therefore, IOB recommends reassessing the current setup of NGO partnerships</w:t>
      </w:r>
      <w:r w:rsidR="008676F7">
        <w:rPr>
          <w:rFonts w:cstheme="minorHAnsi"/>
        </w:rPr>
        <w:t xml:space="preserve">, and </w:t>
      </w:r>
      <w:r>
        <w:rPr>
          <w:rFonts w:cstheme="minorHAnsi"/>
        </w:rPr>
        <w:t xml:space="preserve">formulating </w:t>
      </w:r>
      <w:r w:rsidR="008676F7">
        <w:rPr>
          <w:rFonts w:cstheme="minorHAnsi"/>
        </w:rPr>
        <w:t>a strategy to allocate direct core funding to national NGOs responsible for implementing activities.</w:t>
      </w:r>
    </w:p>
    <w:p w:rsidRPr="00AD79A4" w:rsidR="008676F7" w:rsidP="00AA6C60" w:rsidRDefault="00AD79A4" w14:paraId="4F6BCF98" w14:textId="57C6FF8D">
      <w:pPr>
        <w:pStyle w:val="ListParagraph"/>
        <w:numPr>
          <w:ilvl w:val="0"/>
          <w:numId w:val="16"/>
        </w:numPr>
        <w:spacing w:line="240" w:lineRule="auto"/>
        <w:rPr>
          <w:rFonts w:cstheme="minorHAnsi"/>
        </w:rPr>
      </w:pPr>
      <w:r w:rsidRPr="00AD79A4">
        <w:rPr>
          <w:rFonts w:cstheme="minorHAnsi"/>
        </w:rPr>
        <w:t xml:space="preserve">The </w:t>
      </w:r>
      <w:r w:rsidR="00AA6C60">
        <w:rPr>
          <w:rFonts w:cstheme="minorHAnsi"/>
        </w:rPr>
        <w:t xml:space="preserve">ministry’s </w:t>
      </w:r>
      <w:r w:rsidRPr="00AD79A4">
        <w:rPr>
          <w:rFonts w:cstheme="minorHAnsi"/>
        </w:rPr>
        <w:t xml:space="preserve">current </w:t>
      </w:r>
      <w:r w:rsidR="00AA6C60">
        <w:rPr>
          <w:rFonts w:cstheme="minorHAnsi"/>
        </w:rPr>
        <w:t xml:space="preserve">annual </w:t>
      </w:r>
      <w:r w:rsidRPr="00AD79A4">
        <w:rPr>
          <w:rFonts w:cstheme="minorHAnsi"/>
        </w:rPr>
        <w:t xml:space="preserve">results framework on SRHR </w:t>
      </w:r>
      <w:r w:rsidR="00AA6C60">
        <w:rPr>
          <w:rFonts w:cstheme="minorHAnsi"/>
        </w:rPr>
        <w:t xml:space="preserve">strains the capacity of implementing </w:t>
      </w:r>
      <w:proofErr w:type="spellStart"/>
      <w:r w:rsidR="00AA6C60">
        <w:rPr>
          <w:rFonts w:cstheme="minorHAnsi"/>
        </w:rPr>
        <w:t>organi</w:t>
      </w:r>
      <w:r w:rsidR="00AA6C60">
        <w:rPr>
          <w:rFonts w:cstheme="minorHAnsi"/>
        </w:rPr>
        <w:t>s</w:t>
      </w:r>
      <w:r w:rsidR="00AA6C60">
        <w:rPr>
          <w:rFonts w:cstheme="minorHAnsi"/>
        </w:rPr>
        <w:t>ations</w:t>
      </w:r>
      <w:proofErr w:type="spellEnd"/>
      <w:r w:rsidR="00AA6C60">
        <w:rPr>
          <w:rFonts w:cstheme="minorHAnsi"/>
        </w:rPr>
        <w:t xml:space="preserve"> and the ministry itself. </w:t>
      </w:r>
      <w:r>
        <w:rPr>
          <w:rFonts w:cstheme="minorHAnsi"/>
        </w:rPr>
        <w:t>M</w:t>
      </w:r>
      <w:r w:rsidRPr="00AD79A4" w:rsidR="00AF1CD9">
        <w:rPr>
          <w:rFonts w:cstheme="minorHAnsi"/>
        </w:rPr>
        <w:t xml:space="preserve">any </w:t>
      </w:r>
      <w:r>
        <w:rPr>
          <w:rFonts w:cstheme="minorHAnsi"/>
        </w:rPr>
        <w:t xml:space="preserve">of the </w:t>
      </w:r>
      <w:r w:rsidR="00AA6C60">
        <w:rPr>
          <w:rFonts w:cstheme="minorHAnsi"/>
        </w:rPr>
        <w:t xml:space="preserve">reported </w:t>
      </w:r>
      <w:r w:rsidRPr="00AD79A4" w:rsidR="00AF1CD9">
        <w:rPr>
          <w:rFonts w:cstheme="minorHAnsi"/>
        </w:rPr>
        <w:t>results in the annual framework</w:t>
      </w:r>
      <w:r>
        <w:rPr>
          <w:rFonts w:cstheme="minorHAnsi"/>
        </w:rPr>
        <w:t>, at the same time,</w:t>
      </w:r>
      <w:r w:rsidRPr="00AD79A4" w:rsidR="00AF1CD9">
        <w:rPr>
          <w:rFonts w:cstheme="minorHAnsi"/>
        </w:rPr>
        <w:t xml:space="preserve"> are not reliable and are not valid. </w:t>
      </w:r>
    </w:p>
    <w:p w:rsidR="006D2D9C" w:rsidP="00AA6C60" w:rsidRDefault="006D2D9C" w14:paraId="7CD0FE09" w14:textId="04E1F297">
      <w:pPr>
        <w:pStyle w:val="ListParagraph"/>
        <w:numPr>
          <w:ilvl w:val="0"/>
          <w:numId w:val="19"/>
        </w:numPr>
        <w:spacing w:line="240" w:lineRule="auto"/>
        <w:ind w:left="1560"/>
        <w:rPr>
          <w:rFonts w:cstheme="minorHAnsi"/>
        </w:rPr>
      </w:pPr>
      <w:r w:rsidRPr="008676F7">
        <w:rPr>
          <w:rFonts w:cstheme="minorHAnsi"/>
        </w:rPr>
        <w:t xml:space="preserve">IOB therefore recommends to invest more in independent external evaluations to assess the results achieved, and rely less on annually reported results of implementing </w:t>
      </w:r>
      <w:proofErr w:type="spellStart"/>
      <w:r w:rsidRPr="008676F7">
        <w:rPr>
          <w:rFonts w:cstheme="minorHAnsi"/>
        </w:rPr>
        <w:t>organi</w:t>
      </w:r>
      <w:r w:rsidRPr="008676F7">
        <w:rPr>
          <w:rFonts w:cstheme="minorHAnsi"/>
        </w:rPr>
        <w:t>s</w:t>
      </w:r>
      <w:r w:rsidRPr="008676F7">
        <w:rPr>
          <w:rFonts w:cstheme="minorHAnsi"/>
        </w:rPr>
        <w:t>ations</w:t>
      </w:r>
      <w:proofErr w:type="spellEnd"/>
      <w:r w:rsidRPr="008676F7">
        <w:rPr>
          <w:rFonts w:cstheme="minorHAnsi"/>
        </w:rPr>
        <w:t xml:space="preserve">. </w:t>
      </w:r>
    </w:p>
    <w:p w:rsidRPr="00FE55E7" w:rsidR="00FE55E7" w:rsidP="00FE55E7" w:rsidRDefault="00FE55E7" w14:paraId="5E327AE9" w14:textId="77777777">
      <w:pPr>
        <w:pStyle w:val="ListParagraph"/>
        <w:spacing w:line="240" w:lineRule="auto"/>
        <w:ind w:left="1276"/>
        <w:rPr>
          <w:rFonts w:cstheme="minorHAnsi"/>
        </w:rPr>
      </w:pPr>
    </w:p>
    <w:p w:rsidRPr="00AA6C60" w:rsidR="005C490E" w:rsidP="005C490E" w:rsidRDefault="002C4849" w14:paraId="3E43C9EA" w14:textId="5D76E1A1">
      <w:pPr>
        <w:spacing w:after="0" w:line="240" w:lineRule="auto"/>
        <w:rPr>
          <w:b/>
          <w:bCs/>
          <w:lang w:val="en-US"/>
        </w:rPr>
      </w:pPr>
      <w:r>
        <w:rPr>
          <w:b/>
          <w:bCs/>
        </w:rPr>
        <w:lastRenderedPageBreak/>
        <w:t>All c</w:t>
      </w:r>
      <w:r w:rsidR="00B90D55">
        <w:rPr>
          <w:b/>
          <w:bCs/>
        </w:rPr>
        <w:t>on</w:t>
      </w:r>
      <w:r w:rsidRPr="00E833B7" w:rsidR="005C490E">
        <w:rPr>
          <w:b/>
          <w:bCs/>
        </w:rPr>
        <w:t>clusion</w:t>
      </w:r>
      <w:r w:rsidR="00B90D55">
        <w:rPr>
          <w:b/>
          <w:bCs/>
        </w:rPr>
        <w:t>s</w:t>
      </w:r>
      <w:r w:rsidR="00AA6C60">
        <w:rPr>
          <w:b/>
          <w:bCs/>
        </w:rPr>
        <w:t xml:space="preserve"> from the IOB evaluation</w:t>
      </w:r>
    </w:p>
    <w:p w:rsidRPr="002D27B3" w:rsidR="0027097A" w:rsidP="0027097A" w:rsidRDefault="005C490E" w14:paraId="4B949C48" w14:textId="77777777">
      <w:pPr>
        <w:pStyle w:val="ListParagraph"/>
        <w:numPr>
          <w:ilvl w:val="0"/>
          <w:numId w:val="7"/>
        </w:numPr>
        <w:spacing w:line="240" w:lineRule="auto"/>
        <w:rPr>
          <w:rFonts w:cstheme="minorHAnsi"/>
        </w:rPr>
      </w:pPr>
      <w:r w:rsidRPr="002D27B3">
        <w:rPr>
          <w:rFonts w:cstheme="minorHAnsi"/>
        </w:rPr>
        <w:t xml:space="preserve">Dutch policy on SRHR has been consistent over the years and has simultaneously responded to the existing and emerging needs of intended target groups in low- and lower-middle-income countries. However, key policy assumptions were often not clearly articulated, and policy choices were not always evidence-based. </w:t>
      </w:r>
    </w:p>
    <w:p w:rsidRPr="00314D37" w:rsidR="001B4DE9" w:rsidP="00314D37" w:rsidRDefault="005C490E" w14:paraId="26AA2B60" w14:textId="6CF3E876">
      <w:pPr>
        <w:pStyle w:val="ListParagraph"/>
        <w:numPr>
          <w:ilvl w:val="0"/>
          <w:numId w:val="7"/>
        </w:numPr>
        <w:spacing w:line="240" w:lineRule="auto"/>
        <w:rPr>
          <w:rFonts w:cstheme="minorHAnsi"/>
        </w:rPr>
      </w:pPr>
      <w:r w:rsidRPr="002D27B3">
        <w:rPr>
          <w:rFonts w:cstheme="minorHAnsi"/>
        </w:rPr>
        <w:t xml:space="preserve">Efforts towards enhancing SRHR and addressing the spread of HIV/AIDS in low- and lower-middle-income countries have resulted in a </w:t>
      </w:r>
      <w:r w:rsidRPr="00FE55E7">
        <w:rPr>
          <w:rFonts w:cstheme="minorHAnsi"/>
          <w:u w:val="single"/>
        </w:rPr>
        <w:t>variety of effects</w:t>
      </w:r>
      <w:r w:rsidR="00314D37">
        <w:rPr>
          <w:rFonts w:cstheme="minorHAnsi"/>
        </w:rPr>
        <w:t>.</w:t>
      </w:r>
      <w:r w:rsidRPr="00314D37" w:rsidR="001B4DE9">
        <w:rPr>
          <w:rFonts w:cstheme="minorHAnsi"/>
        </w:rPr>
        <w:t xml:space="preserve"> </w:t>
      </w:r>
    </w:p>
    <w:p w:rsidR="005C490E" w:rsidP="001B4DE9" w:rsidRDefault="005C490E" w14:paraId="281DBACD" w14:textId="50B7F040">
      <w:pPr>
        <w:pStyle w:val="ListParagraph"/>
        <w:numPr>
          <w:ilvl w:val="0"/>
          <w:numId w:val="7"/>
        </w:numPr>
        <w:spacing w:line="240" w:lineRule="auto"/>
        <w:rPr>
          <w:rFonts w:cstheme="minorHAnsi"/>
        </w:rPr>
      </w:pPr>
      <w:r w:rsidRPr="00B90D55">
        <w:rPr>
          <w:rFonts w:cstheme="minorHAnsi"/>
        </w:rPr>
        <w:t xml:space="preserve">Although Dutch parliament and the general Dutch public are annually informed of the results achieved on SRHR, the </w:t>
      </w:r>
      <w:r w:rsidRPr="00FE55E7">
        <w:rPr>
          <w:rFonts w:cstheme="minorHAnsi"/>
          <w:u w:val="single"/>
        </w:rPr>
        <w:t>M&amp;E</w:t>
      </w:r>
      <w:r w:rsidRPr="00B90D55">
        <w:rPr>
          <w:rFonts w:cstheme="minorHAnsi"/>
        </w:rPr>
        <w:t xml:space="preserve"> systems have several limitations that hinder the validity and reliability of reported results, especially at outcome and impact levels.</w:t>
      </w:r>
    </w:p>
    <w:p w:rsidR="005C490E" w:rsidP="00B90D55" w:rsidRDefault="005C490E" w14:paraId="25BB4B58" w14:textId="77777777">
      <w:pPr>
        <w:pStyle w:val="ListParagraph"/>
        <w:numPr>
          <w:ilvl w:val="0"/>
          <w:numId w:val="7"/>
        </w:numPr>
        <w:spacing w:line="240" w:lineRule="auto"/>
        <w:rPr>
          <w:rFonts w:cstheme="minorHAnsi"/>
        </w:rPr>
      </w:pPr>
      <w:r w:rsidRPr="00B90D55">
        <w:rPr>
          <w:rFonts w:cstheme="minorHAnsi"/>
        </w:rPr>
        <w:t xml:space="preserve">Economic </w:t>
      </w:r>
      <w:r w:rsidRPr="00FE55E7">
        <w:rPr>
          <w:rFonts w:cstheme="minorHAnsi"/>
          <w:u w:val="single"/>
        </w:rPr>
        <w:t>efficiency</w:t>
      </w:r>
      <w:r w:rsidRPr="00B90D55">
        <w:rPr>
          <w:rFonts w:cstheme="minorHAnsi"/>
        </w:rPr>
        <w:t xml:space="preserve"> of supported SRHR projects and interventions is unknown. The organisational efficiency and timeliness of supported organisations presents a mixed picture, with room for improvement, both for multilateral and international organisations and for NGO partnership projects. </w:t>
      </w:r>
    </w:p>
    <w:p w:rsidR="00B90D55" w:rsidP="00B90D55" w:rsidRDefault="005C490E" w14:paraId="79165DD6" w14:textId="77777777">
      <w:pPr>
        <w:pStyle w:val="ListParagraph"/>
        <w:numPr>
          <w:ilvl w:val="0"/>
          <w:numId w:val="7"/>
        </w:numPr>
        <w:spacing w:line="240" w:lineRule="auto"/>
        <w:rPr>
          <w:rFonts w:cstheme="minorHAnsi"/>
        </w:rPr>
      </w:pPr>
      <w:r w:rsidRPr="00FE55E7">
        <w:rPr>
          <w:rFonts w:cstheme="minorHAnsi"/>
          <w:u w:val="single"/>
        </w:rPr>
        <w:t>Coherence</w:t>
      </w:r>
      <w:r w:rsidRPr="00B90D55">
        <w:rPr>
          <w:rFonts w:cstheme="minorHAnsi"/>
        </w:rPr>
        <w:t xml:space="preserve"> within and between instruments and organisations supported by the Netherlands was insufficient. </w:t>
      </w:r>
    </w:p>
    <w:p w:rsidRPr="00B90D55" w:rsidR="005C490E" w:rsidP="00B90D55" w:rsidRDefault="005C490E" w14:paraId="7CE7E38E" w14:textId="5BF5A060">
      <w:pPr>
        <w:pStyle w:val="ListParagraph"/>
        <w:numPr>
          <w:ilvl w:val="0"/>
          <w:numId w:val="7"/>
        </w:numPr>
        <w:spacing w:line="240" w:lineRule="auto"/>
        <w:rPr>
          <w:rFonts w:cstheme="minorHAnsi"/>
        </w:rPr>
      </w:pPr>
      <w:r w:rsidRPr="00B90D55">
        <w:rPr>
          <w:rFonts w:cstheme="minorHAnsi"/>
        </w:rPr>
        <w:t xml:space="preserve">SRHR projects generally </w:t>
      </w:r>
      <w:r w:rsidRPr="00FE55E7">
        <w:rPr>
          <w:rFonts w:cstheme="minorHAnsi"/>
          <w:u w:val="single"/>
        </w:rPr>
        <w:t>come to a halt</w:t>
      </w:r>
      <w:r w:rsidRPr="00B90D55">
        <w:rPr>
          <w:rFonts w:cstheme="minorHAnsi"/>
        </w:rPr>
        <w:t xml:space="preserve"> once Dutch funding ends, since there are hardly any stakeholders willing and able to take over supported activities. In addition, there is only limited insight into the sustainability of results achieved.</w:t>
      </w:r>
    </w:p>
    <w:p w:rsidRPr="00B90D55" w:rsidR="005C490E" w:rsidP="005C490E" w:rsidRDefault="002C4849" w14:paraId="46E08233" w14:textId="0A441056">
      <w:pPr>
        <w:spacing w:after="0" w:line="240" w:lineRule="auto"/>
        <w:rPr>
          <w:b/>
          <w:bCs/>
        </w:rPr>
      </w:pPr>
      <w:r>
        <w:rPr>
          <w:b/>
          <w:bCs/>
        </w:rPr>
        <w:t>All r</w:t>
      </w:r>
      <w:r w:rsidRPr="00E833B7" w:rsidR="005C490E">
        <w:rPr>
          <w:b/>
          <w:bCs/>
        </w:rPr>
        <w:t>ecomm</w:t>
      </w:r>
      <w:r w:rsidRPr="00B90D55" w:rsidR="005C490E">
        <w:rPr>
          <w:b/>
          <w:bCs/>
        </w:rPr>
        <w:t>endations</w:t>
      </w:r>
      <w:r w:rsidR="00AA6C60">
        <w:rPr>
          <w:b/>
          <w:bCs/>
        </w:rPr>
        <w:t xml:space="preserve"> from the IOB evaluation</w:t>
      </w:r>
    </w:p>
    <w:p w:rsidR="004E11A1" w:rsidP="006D00FE" w:rsidRDefault="005C490E" w14:paraId="52B8D174" w14:textId="6419FB57">
      <w:pPr>
        <w:pStyle w:val="NoSpacing"/>
        <w:numPr>
          <w:ilvl w:val="0"/>
          <w:numId w:val="8"/>
        </w:numPr>
        <w:rPr>
          <w:rFonts w:ascii="Calibri" w:hAnsi="Calibri"/>
        </w:rPr>
      </w:pPr>
      <w:r w:rsidRPr="00B90D55">
        <w:t xml:space="preserve">Clearly formulate the ministry’s policy on SRHR in an updated policy document, which </w:t>
      </w:r>
      <w:r w:rsidR="004D2953">
        <w:t xml:space="preserve">should </w:t>
      </w:r>
      <w:r w:rsidRPr="00B90D55">
        <w:t xml:space="preserve">include the objectives, policy choices, priorities, channels and the relationship of SRHR with the Dutch global health strategy. </w:t>
      </w:r>
      <w:r w:rsidR="00E77FE6">
        <w:t xml:space="preserve">The updated policy document should consider high-quality evidence to inform policy decisions. </w:t>
      </w:r>
    </w:p>
    <w:p w:rsidRPr="00B90D55" w:rsidR="00B90D55" w:rsidP="00B90D55" w:rsidRDefault="00B90D55" w14:paraId="2A56953C" w14:textId="71EB7542">
      <w:pPr>
        <w:pStyle w:val="NoSpacing"/>
        <w:numPr>
          <w:ilvl w:val="0"/>
          <w:numId w:val="8"/>
        </w:numPr>
        <w:rPr>
          <w:rFonts w:ascii="Calibri" w:hAnsi="Calibri"/>
        </w:rPr>
      </w:pPr>
      <w:r>
        <w:rPr>
          <w:rFonts w:ascii="Calibri" w:hAnsi="Calibri" w:cs="Calibri"/>
        </w:rPr>
        <w:t>The ministry should a</w:t>
      </w:r>
      <w:r w:rsidRPr="00B90D55" w:rsidR="005C490E">
        <w:rPr>
          <w:rFonts w:ascii="Calibri" w:hAnsi="Calibri" w:cs="Calibri"/>
        </w:rPr>
        <w:t xml:space="preserve">ttach more weight to programme management, balancing it with diplomatic and ad-hoc activities </w:t>
      </w:r>
      <w:r w:rsidR="004D2953">
        <w:rPr>
          <w:rFonts w:ascii="Calibri" w:hAnsi="Calibri" w:cs="Calibri"/>
        </w:rPr>
        <w:t>(</w:t>
      </w:r>
      <w:r w:rsidR="004E11A1">
        <w:rPr>
          <w:rFonts w:ascii="Calibri" w:hAnsi="Calibri" w:cs="Calibri"/>
        </w:rPr>
        <w:t>such as</w:t>
      </w:r>
      <w:r w:rsidR="000B455C">
        <w:rPr>
          <w:rFonts w:ascii="Calibri" w:hAnsi="Calibri" w:cs="Calibri"/>
        </w:rPr>
        <w:t xml:space="preserve"> answering parliamentary questions and preparing materials for the minister) </w:t>
      </w:r>
      <w:r w:rsidRPr="00B90D55" w:rsidR="005C490E">
        <w:rPr>
          <w:rFonts w:ascii="Calibri" w:hAnsi="Calibri" w:cs="Calibri"/>
        </w:rPr>
        <w:t xml:space="preserve">of the policy staff responsible for SRHR. </w:t>
      </w:r>
    </w:p>
    <w:p w:rsidRPr="00B90D55" w:rsidR="00B90D55" w:rsidP="00B90D55" w:rsidRDefault="005C490E" w14:paraId="4CBF67B3" w14:textId="145D4AF3">
      <w:pPr>
        <w:pStyle w:val="NoSpacing"/>
        <w:numPr>
          <w:ilvl w:val="0"/>
          <w:numId w:val="8"/>
        </w:numPr>
        <w:rPr>
          <w:rFonts w:ascii="Calibri" w:hAnsi="Calibri"/>
        </w:rPr>
      </w:pPr>
      <w:r w:rsidRPr="00B90D55">
        <w:rPr>
          <w:rFonts w:ascii="Calibri" w:hAnsi="Calibri" w:cs="Calibri"/>
        </w:rPr>
        <w:t xml:space="preserve">To reduce high management costs and fragmentation at the country level, reconsider the current strategic-partnership operational model. Future subsidy frameworks </w:t>
      </w:r>
      <w:r w:rsidR="004D2953">
        <w:rPr>
          <w:rFonts w:ascii="Calibri" w:hAnsi="Calibri" w:cs="Calibri"/>
        </w:rPr>
        <w:t>should:</w:t>
      </w:r>
      <w:r w:rsidRPr="00B90D55">
        <w:rPr>
          <w:rFonts w:ascii="Calibri" w:hAnsi="Calibri" w:cs="Calibri"/>
        </w:rPr>
        <w:t xml:space="preserve"> </w:t>
      </w:r>
    </w:p>
    <w:p w:rsidRPr="00B90D55" w:rsidR="00B90D55" w:rsidP="00B90D55" w:rsidRDefault="00B90D55" w14:paraId="1176C2C2" w14:textId="5A10F7D9">
      <w:pPr>
        <w:pStyle w:val="NoSpacing"/>
        <w:numPr>
          <w:ilvl w:val="1"/>
          <w:numId w:val="8"/>
        </w:numPr>
        <w:rPr>
          <w:rFonts w:ascii="Calibri" w:hAnsi="Calibri"/>
        </w:rPr>
      </w:pPr>
      <w:r>
        <w:rPr>
          <w:rFonts w:ascii="Calibri" w:hAnsi="Calibri" w:cs="Calibri"/>
        </w:rPr>
        <w:t>reconsider the added value of multi-layered and multi country setup</w:t>
      </w:r>
      <w:r w:rsidRPr="00B90D55" w:rsidR="005C490E">
        <w:rPr>
          <w:rFonts w:ascii="Calibri" w:hAnsi="Calibri" w:cs="Calibri"/>
        </w:rPr>
        <w:t xml:space="preserve"> </w:t>
      </w:r>
      <w:r>
        <w:rPr>
          <w:rFonts w:ascii="Calibri" w:hAnsi="Calibri" w:cs="Calibri"/>
        </w:rPr>
        <w:t>and;</w:t>
      </w:r>
    </w:p>
    <w:p w:rsidRPr="00B90D55" w:rsidR="00B90D55" w:rsidP="00B90D55" w:rsidRDefault="00B90D55" w14:paraId="59D2E8B6" w14:textId="77777777">
      <w:pPr>
        <w:pStyle w:val="NoSpacing"/>
        <w:numPr>
          <w:ilvl w:val="1"/>
          <w:numId w:val="8"/>
        </w:numPr>
        <w:rPr>
          <w:rFonts w:ascii="Calibri" w:hAnsi="Calibri"/>
        </w:rPr>
      </w:pPr>
      <w:r>
        <w:rPr>
          <w:rFonts w:ascii="Calibri" w:hAnsi="Calibri" w:cs="Calibri"/>
        </w:rPr>
        <w:t>formulate a strategy to allocate direct core funding to national NGOs and CSOs and;</w:t>
      </w:r>
    </w:p>
    <w:p w:rsidR="00B90D55" w:rsidP="00B90D55" w:rsidRDefault="00B90D55" w14:paraId="32B7F0D5" w14:textId="62BE80FD">
      <w:pPr>
        <w:pStyle w:val="NoSpacing"/>
        <w:numPr>
          <w:ilvl w:val="1"/>
          <w:numId w:val="8"/>
        </w:numPr>
        <w:rPr>
          <w:rFonts w:ascii="Calibri" w:hAnsi="Calibri"/>
        </w:rPr>
      </w:pPr>
      <w:r>
        <w:rPr>
          <w:rFonts w:ascii="Calibri" w:hAnsi="Calibri" w:cs="Calibri"/>
        </w:rPr>
        <w:t>reconsider the focus on lobby and advocacy at the exp</w:t>
      </w:r>
      <w:r w:rsidR="00512F3E">
        <w:rPr>
          <w:rFonts w:ascii="Calibri" w:hAnsi="Calibri" w:cs="Calibri"/>
        </w:rPr>
        <w:t>e</w:t>
      </w:r>
      <w:r>
        <w:rPr>
          <w:rFonts w:ascii="Calibri" w:hAnsi="Calibri" w:cs="Calibri"/>
        </w:rPr>
        <w:t>nse of service delivery;</w:t>
      </w:r>
    </w:p>
    <w:p w:rsidRPr="00951253" w:rsidR="00951253" w:rsidP="00951253" w:rsidRDefault="005C490E" w14:paraId="72DCA352" w14:textId="77777777">
      <w:pPr>
        <w:pStyle w:val="NoSpacing"/>
        <w:numPr>
          <w:ilvl w:val="0"/>
          <w:numId w:val="8"/>
        </w:numPr>
        <w:rPr>
          <w:rFonts w:ascii="Calibri" w:hAnsi="Calibri" w:cs="Calibri"/>
          <w:u w:val="single"/>
        </w:rPr>
      </w:pPr>
      <w:r w:rsidRPr="00B90D55">
        <w:t xml:space="preserve">Have a realistic outlook on the limited possibilities to achieve continuation of activities beyond project support. Given the human-rights-based approach of Dutch SRHR policy, and considering the often limited national and international ownership, possibilities to hand activities over are inherently narrow. </w:t>
      </w:r>
    </w:p>
    <w:p w:rsidR="004E11A1" w:rsidP="00951253" w:rsidRDefault="005C490E" w14:paraId="3886D90F" w14:textId="2569852F">
      <w:pPr>
        <w:pStyle w:val="NoSpacing"/>
        <w:numPr>
          <w:ilvl w:val="0"/>
          <w:numId w:val="8"/>
        </w:numPr>
        <w:rPr>
          <w:rFonts w:ascii="Calibri" w:hAnsi="Calibri" w:cs="Calibri"/>
        </w:rPr>
      </w:pPr>
      <w:r w:rsidRPr="00951253">
        <w:rPr>
          <w:rFonts w:ascii="Calibri" w:hAnsi="Calibri" w:cs="Calibri"/>
        </w:rPr>
        <w:t xml:space="preserve">Be cautious about what can realistically be monitored at the outcome and impact levels. Indicators at these levels </w:t>
      </w:r>
      <w:r w:rsidR="004E11A1">
        <w:rPr>
          <w:rFonts w:ascii="Calibri" w:hAnsi="Calibri" w:cs="Calibri"/>
        </w:rPr>
        <w:t xml:space="preserve">are beyond the sphere of influence of the implementing agencies and </w:t>
      </w:r>
      <w:r w:rsidRPr="00951253">
        <w:rPr>
          <w:rFonts w:ascii="Calibri" w:hAnsi="Calibri" w:cs="Calibri"/>
        </w:rPr>
        <w:t xml:space="preserve">generally require </w:t>
      </w:r>
      <w:r w:rsidR="00951253">
        <w:rPr>
          <w:rFonts w:ascii="Calibri" w:hAnsi="Calibri" w:cs="Calibri"/>
        </w:rPr>
        <w:t xml:space="preserve">independent evaluations of good quality. </w:t>
      </w:r>
    </w:p>
    <w:p w:rsidR="00FE55E7" w:rsidP="004E11A1" w:rsidRDefault="004D2953" w14:paraId="505516E7" w14:textId="2A35DA5F">
      <w:pPr>
        <w:pStyle w:val="NoSpacing"/>
        <w:numPr>
          <w:ilvl w:val="0"/>
          <w:numId w:val="8"/>
        </w:numPr>
        <w:rPr>
          <w:rFonts w:ascii="Calibri" w:hAnsi="Calibri" w:cs="Calibri"/>
        </w:rPr>
      </w:pPr>
      <w:r>
        <w:rPr>
          <w:rFonts w:ascii="Calibri" w:hAnsi="Calibri" w:cs="Calibri"/>
        </w:rPr>
        <w:t xml:space="preserve">Improve the quality of evaluations of implementing organisations, and those commissioned by the ministry. Amongst other things, IOB recommends to conduct ex-post evaluations, assess the economic efficiency, and hire evaluators before project implementation. </w:t>
      </w:r>
    </w:p>
    <w:p w:rsidR="00FE55E7" w:rsidP="00FE55E7" w:rsidRDefault="00FE55E7" w14:paraId="6F074A99" w14:textId="77777777">
      <w:pPr>
        <w:pStyle w:val="CommentText"/>
      </w:pPr>
      <w:r>
        <w:br w:type="page"/>
      </w:r>
    </w:p>
    <w:p w:rsidR="00FE55E7" w:rsidRDefault="00FE55E7" w14:paraId="6197B459" w14:textId="77777777">
      <w:pPr>
        <w:rPr>
          <w:rFonts w:ascii="Calibri" w:hAnsi="Calibri" w:cs="Calibri"/>
        </w:rPr>
        <w:sectPr w:rsidR="00FE55E7" w:rsidSect="001B4DE9">
          <w:pgSz w:w="11906" w:h="16838"/>
          <w:pgMar w:top="1134" w:right="1440" w:bottom="1440" w:left="1440" w:header="708" w:footer="708" w:gutter="0"/>
          <w:cols w:space="708"/>
          <w:docGrid w:linePitch="360"/>
        </w:sectPr>
      </w:pPr>
    </w:p>
    <w:p w:rsidRPr="00FE55E7" w:rsidR="00FE55E7" w:rsidP="00FE55E7" w:rsidRDefault="00FE55E7" w14:paraId="3701A0AF" w14:textId="66F16A98">
      <w:pPr>
        <w:pStyle w:val="NoSpacing"/>
        <w:rPr>
          <w:b/>
          <w:bCs/>
          <w:lang w:val="en-US"/>
        </w:rPr>
      </w:pPr>
      <w:r w:rsidRPr="00FE55E7">
        <w:rPr>
          <w:b/>
          <w:bCs/>
          <w:lang w:val="en-US"/>
        </w:rPr>
        <w:lastRenderedPageBreak/>
        <w:t>Annex. Progress on SRHR-related SDG indicators</w:t>
      </w:r>
      <w:r w:rsidR="00AA6C60">
        <w:rPr>
          <w:b/>
          <w:bCs/>
          <w:lang w:val="en-US"/>
        </w:rPr>
        <w:t xml:space="preserve"> in 10 Dutch SRHR target countries</w:t>
      </w:r>
      <w:r w:rsidRPr="00FE55E7">
        <w:rPr>
          <w:b/>
          <w:bCs/>
          <w:lang w:val="en-US"/>
        </w:rPr>
        <w:t>, S</w:t>
      </w:r>
      <w:r>
        <w:rPr>
          <w:b/>
          <w:bCs/>
          <w:lang w:val="en-US"/>
        </w:rPr>
        <w:t>u</w:t>
      </w:r>
      <w:r w:rsidRPr="00FE55E7">
        <w:rPr>
          <w:b/>
          <w:bCs/>
          <w:lang w:val="en-US"/>
        </w:rPr>
        <w:t xml:space="preserve">stainable Development Report. </w:t>
      </w:r>
    </w:p>
    <w:tbl>
      <w:tblPr>
        <w:tblStyle w:val="TableGrid"/>
        <w:tblW w:w="0" w:type="auto"/>
        <w:tblLayout w:type="fixed"/>
        <w:tblLook w:val="04A0" w:firstRow="1" w:lastRow="0" w:firstColumn="1" w:lastColumn="0" w:noHBand="0" w:noVBand="1"/>
      </w:tblPr>
      <w:tblGrid>
        <w:gridCol w:w="2917"/>
        <w:gridCol w:w="1189"/>
        <w:gridCol w:w="1017"/>
        <w:gridCol w:w="1103"/>
        <w:gridCol w:w="1103"/>
        <w:gridCol w:w="1103"/>
        <w:gridCol w:w="1103"/>
        <w:gridCol w:w="1375"/>
        <w:gridCol w:w="831"/>
        <w:gridCol w:w="1103"/>
        <w:gridCol w:w="1104"/>
      </w:tblGrid>
      <w:tr w:rsidRPr="00441859" w:rsidR="00FE55E7" w:rsidTr="00A66D78" w14:paraId="0635C83D" w14:textId="77777777">
        <w:trPr>
          <w:trHeight w:val="494"/>
        </w:trPr>
        <w:tc>
          <w:tcPr>
            <w:tcW w:w="2917" w:type="dxa"/>
          </w:tcPr>
          <w:p w:rsidRPr="00441859" w:rsidR="00FE55E7" w:rsidP="00A66D78" w:rsidRDefault="00FE55E7" w14:paraId="06AFD065" w14:textId="77777777">
            <w:pPr>
              <w:pStyle w:val="NoSpacing"/>
              <w:rPr>
                <w:sz w:val="20"/>
                <w:szCs w:val="20"/>
                <w:lang w:val="en-US"/>
              </w:rPr>
            </w:pPr>
          </w:p>
        </w:tc>
        <w:tc>
          <w:tcPr>
            <w:tcW w:w="1189" w:type="dxa"/>
          </w:tcPr>
          <w:p w:rsidRPr="00441859" w:rsidR="00FE55E7" w:rsidP="00A66D78" w:rsidRDefault="00FE55E7" w14:paraId="21DA5709" w14:textId="77777777">
            <w:pPr>
              <w:pStyle w:val="NoSpacing"/>
              <w:rPr>
                <w:b/>
                <w:bCs/>
                <w:sz w:val="20"/>
                <w:szCs w:val="20"/>
              </w:rPr>
            </w:pPr>
            <w:r w:rsidRPr="00441859">
              <w:rPr>
                <w:b/>
                <w:bCs/>
                <w:sz w:val="20"/>
                <w:szCs w:val="20"/>
              </w:rPr>
              <w:t>Bangladesh</w:t>
            </w:r>
          </w:p>
        </w:tc>
        <w:tc>
          <w:tcPr>
            <w:tcW w:w="1017" w:type="dxa"/>
          </w:tcPr>
          <w:p w:rsidRPr="00441859" w:rsidR="00FE55E7" w:rsidP="00A66D78" w:rsidRDefault="00FE55E7" w14:paraId="5049AB6B" w14:textId="77777777">
            <w:pPr>
              <w:pStyle w:val="NoSpacing"/>
              <w:rPr>
                <w:b/>
                <w:bCs/>
                <w:sz w:val="20"/>
                <w:szCs w:val="20"/>
              </w:rPr>
            </w:pPr>
            <w:r w:rsidRPr="00441859">
              <w:rPr>
                <w:b/>
                <w:bCs/>
                <w:sz w:val="20"/>
                <w:szCs w:val="20"/>
              </w:rPr>
              <w:t>Benin</w:t>
            </w:r>
          </w:p>
        </w:tc>
        <w:tc>
          <w:tcPr>
            <w:tcW w:w="1103" w:type="dxa"/>
          </w:tcPr>
          <w:p w:rsidRPr="00441859" w:rsidR="00FE55E7" w:rsidP="00A66D78" w:rsidRDefault="00FE55E7" w14:paraId="3541F5B9" w14:textId="77777777">
            <w:pPr>
              <w:pStyle w:val="NoSpacing"/>
              <w:rPr>
                <w:b/>
                <w:bCs/>
                <w:sz w:val="20"/>
                <w:szCs w:val="20"/>
              </w:rPr>
            </w:pPr>
            <w:r w:rsidRPr="00441859">
              <w:rPr>
                <w:b/>
                <w:bCs/>
                <w:sz w:val="20"/>
                <w:szCs w:val="20"/>
              </w:rPr>
              <w:t>Burkina Faso</w:t>
            </w:r>
          </w:p>
        </w:tc>
        <w:tc>
          <w:tcPr>
            <w:tcW w:w="1103" w:type="dxa"/>
          </w:tcPr>
          <w:p w:rsidRPr="00441859" w:rsidR="00FE55E7" w:rsidP="00A66D78" w:rsidRDefault="00FE55E7" w14:paraId="3E7C897B" w14:textId="77777777">
            <w:pPr>
              <w:pStyle w:val="NoSpacing"/>
              <w:rPr>
                <w:b/>
                <w:bCs/>
                <w:sz w:val="20"/>
                <w:szCs w:val="20"/>
              </w:rPr>
            </w:pPr>
            <w:r w:rsidRPr="00441859">
              <w:rPr>
                <w:b/>
                <w:bCs/>
                <w:sz w:val="20"/>
                <w:szCs w:val="20"/>
              </w:rPr>
              <w:t>Burundi</w:t>
            </w:r>
          </w:p>
        </w:tc>
        <w:tc>
          <w:tcPr>
            <w:tcW w:w="1103" w:type="dxa"/>
          </w:tcPr>
          <w:p w:rsidRPr="00441859" w:rsidR="00FE55E7" w:rsidP="00A66D78" w:rsidRDefault="00FE55E7" w14:paraId="4AB31444" w14:textId="77777777">
            <w:pPr>
              <w:pStyle w:val="NoSpacing"/>
              <w:rPr>
                <w:b/>
                <w:bCs/>
                <w:sz w:val="20"/>
                <w:szCs w:val="20"/>
              </w:rPr>
            </w:pPr>
            <w:r w:rsidRPr="00441859">
              <w:rPr>
                <w:b/>
                <w:bCs/>
                <w:sz w:val="20"/>
                <w:szCs w:val="20"/>
              </w:rPr>
              <w:t>Ethiopia</w:t>
            </w:r>
          </w:p>
        </w:tc>
        <w:tc>
          <w:tcPr>
            <w:tcW w:w="1103" w:type="dxa"/>
          </w:tcPr>
          <w:p w:rsidRPr="00441859" w:rsidR="00FE55E7" w:rsidP="00A66D78" w:rsidRDefault="00FE55E7" w14:paraId="531D53B6" w14:textId="77777777">
            <w:pPr>
              <w:pStyle w:val="NoSpacing"/>
              <w:rPr>
                <w:b/>
                <w:bCs/>
                <w:sz w:val="20"/>
                <w:szCs w:val="20"/>
              </w:rPr>
            </w:pPr>
            <w:r w:rsidRPr="00441859">
              <w:rPr>
                <w:b/>
                <w:bCs/>
                <w:sz w:val="20"/>
                <w:szCs w:val="20"/>
              </w:rPr>
              <w:t>Mali</w:t>
            </w:r>
          </w:p>
        </w:tc>
        <w:tc>
          <w:tcPr>
            <w:tcW w:w="1375" w:type="dxa"/>
          </w:tcPr>
          <w:p w:rsidRPr="00441859" w:rsidR="00FE55E7" w:rsidP="00A66D78" w:rsidRDefault="00FE55E7" w14:paraId="2721533F" w14:textId="77777777">
            <w:pPr>
              <w:pStyle w:val="NoSpacing"/>
              <w:rPr>
                <w:b/>
                <w:bCs/>
                <w:sz w:val="20"/>
                <w:szCs w:val="20"/>
              </w:rPr>
            </w:pPr>
            <w:r w:rsidRPr="00441859">
              <w:rPr>
                <w:b/>
                <w:bCs/>
                <w:sz w:val="20"/>
                <w:szCs w:val="20"/>
              </w:rPr>
              <w:t>Mozambique</w:t>
            </w:r>
          </w:p>
        </w:tc>
        <w:tc>
          <w:tcPr>
            <w:tcW w:w="831" w:type="dxa"/>
          </w:tcPr>
          <w:p w:rsidRPr="00441859" w:rsidR="00FE55E7" w:rsidP="00A66D78" w:rsidRDefault="00FE55E7" w14:paraId="44836177" w14:textId="77777777">
            <w:pPr>
              <w:pStyle w:val="NoSpacing"/>
              <w:rPr>
                <w:b/>
                <w:bCs/>
                <w:sz w:val="20"/>
                <w:szCs w:val="20"/>
              </w:rPr>
            </w:pPr>
            <w:r w:rsidRPr="00441859">
              <w:rPr>
                <w:b/>
                <w:bCs/>
                <w:sz w:val="20"/>
                <w:szCs w:val="20"/>
              </w:rPr>
              <w:t>Niger</w:t>
            </w:r>
          </w:p>
        </w:tc>
        <w:tc>
          <w:tcPr>
            <w:tcW w:w="1103" w:type="dxa"/>
          </w:tcPr>
          <w:p w:rsidRPr="00441859" w:rsidR="00FE55E7" w:rsidP="00A66D78" w:rsidRDefault="00FE55E7" w14:paraId="7F3EFA4D" w14:textId="77777777">
            <w:pPr>
              <w:pStyle w:val="NoSpacing"/>
              <w:rPr>
                <w:b/>
                <w:bCs/>
                <w:sz w:val="20"/>
                <w:szCs w:val="20"/>
              </w:rPr>
            </w:pPr>
            <w:r w:rsidRPr="00441859">
              <w:rPr>
                <w:b/>
                <w:bCs/>
                <w:sz w:val="20"/>
                <w:szCs w:val="20"/>
              </w:rPr>
              <w:t>Uganda</w:t>
            </w:r>
          </w:p>
        </w:tc>
        <w:tc>
          <w:tcPr>
            <w:tcW w:w="1104" w:type="dxa"/>
          </w:tcPr>
          <w:p w:rsidRPr="00441859" w:rsidR="00FE55E7" w:rsidP="00A66D78" w:rsidRDefault="00FE55E7" w14:paraId="2E1567A4" w14:textId="77777777">
            <w:pPr>
              <w:pStyle w:val="NoSpacing"/>
              <w:rPr>
                <w:b/>
                <w:bCs/>
                <w:sz w:val="20"/>
                <w:szCs w:val="20"/>
              </w:rPr>
            </w:pPr>
            <w:r w:rsidRPr="00441859">
              <w:rPr>
                <w:b/>
                <w:bCs/>
                <w:sz w:val="20"/>
                <w:szCs w:val="20"/>
              </w:rPr>
              <w:t>Yemen</w:t>
            </w:r>
          </w:p>
        </w:tc>
      </w:tr>
      <w:tr w:rsidRPr="00A51F79" w:rsidR="00FE55E7" w:rsidTr="00A66D78" w14:paraId="53E68188" w14:textId="77777777">
        <w:trPr>
          <w:trHeight w:val="725"/>
        </w:trPr>
        <w:tc>
          <w:tcPr>
            <w:tcW w:w="2917" w:type="dxa"/>
          </w:tcPr>
          <w:p w:rsidRPr="00441859" w:rsidR="00FE55E7" w:rsidP="00A66D78" w:rsidRDefault="00FE55E7" w14:paraId="584F6E7A" w14:textId="77777777">
            <w:pPr>
              <w:pStyle w:val="NoSpacing"/>
              <w:rPr>
                <w:sz w:val="20"/>
                <w:szCs w:val="20"/>
                <w:lang w:val="en-US"/>
              </w:rPr>
            </w:pPr>
            <w:r w:rsidRPr="00441859">
              <w:rPr>
                <w:sz w:val="20"/>
                <w:szCs w:val="20"/>
                <w:lang w:val="en-US"/>
              </w:rPr>
              <w:t>SDG 3</w:t>
            </w:r>
            <w:r>
              <w:rPr>
                <w:sz w:val="20"/>
                <w:szCs w:val="20"/>
                <w:lang w:val="en-US"/>
              </w:rPr>
              <w:t>.</w:t>
            </w:r>
            <w:r w:rsidRPr="00441859">
              <w:rPr>
                <w:sz w:val="20"/>
                <w:szCs w:val="20"/>
                <w:lang w:val="en-US"/>
              </w:rPr>
              <w:t xml:space="preserve"> </w:t>
            </w:r>
            <w:r w:rsidRPr="00441859">
              <w:rPr>
                <w:b/>
                <w:bCs/>
                <w:sz w:val="20"/>
                <w:szCs w:val="20"/>
                <w:u w:val="single"/>
                <w:lang w:val="en-US"/>
              </w:rPr>
              <w:t>Maternal mortality</w:t>
            </w:r>
            <w:r w:rsidRPr="00441859">
              <w:rPr>
                <w:sz w:val="20"/>
                <w:szCs w:val="20"/>
                <w:lang w:val="en-US"/>
              </w:rPr>
              <w:t xml:space="preserve"> rate per 100,000 live births.</w:t>
            </w:r>
          </w:p>
        </w:tc>
        <w:tc>
          <w:tcPr>
            <w:tcW w:w="1189" w:type="dxa"/>
            <w:shd w:val="clear" w:color="auto" w:fill="92D050"/>
          </w:tcPr>
          <w:p w:rsidRPr="00441859" w:rsidR="00FE55E7" w:rsidP="00A66D78" w:rsidRDefault="00FE55E7" w14:paraId="7A4E1F80" w14:textId="77777777">
            <w:pPr>
              <w:pStyle w:val="NoSpacing"/>
              <w:rPr>
                <w:sz w:val="20"/>
                <w:szCs w:val="20"/>
                <w:lang w:val="en-US"/>
              </w:rPr>
            </w:pPr>
          </w:p>
        </w:tc>
        <w:tc>
          <w:tcPr>
            <w:tcW w:w="1017" w:type="dxa"/>
            <w:shd w:val="clear" w:color="auto" w:fill="FFC000"/>
          </w:tcPr>
          <w:p w:rsidRPr="00441859" w:rsidR="00FE55E7" w:rsidP="00A66D78" w:rsidRDefault="00FE55E7" w14:paraId="221B61E5" w14:textId="77777777">
            <w:pPr>
              <w:pStyle w:val="NoSpacing"/>
              <w:rPr>
                <w:sz w:val="20"/>
                <w:szCs w:val="20"/>
                <w:lang w:val="en-US"/>
              </w:rPr>
            </w:pPr>
          </w:p>
        </w:tc>
        <w:tc>
          <w:tcPr>
            <w:tcW w:w="1103" w:type="dxa"/>
            <w:shd w:val="clear" w:color="auto" w:fill="FFC000"/>
          </w:tcPr>
          <w:p w:rsidRPr="00441859" w:rsidR="00FE55E7" w:rsidP="00A66D78" w:rsidRDefault="00FE55E7" w14:paraId="0F87535A" w14:textId="77777777">
            <w:pPr>
              <w:pStyle w:val="NoSpacing"/>
              <w:rPr>
                <w:sz w:val="20"/>
                <w:szCs w:val="20"/>
                <w:lang w:val="en-US"/>
              </w:rPr>
            </w:pPr>
          </w:p>
        </w:tc>
        <w:tc>
          <w:tcPr>
            <w:tcW w:w="1103" w:type="dxa"/>
            <w:shd w:val="clear" w:color="auto" w:fill="FFC000"/>
          </w:tcPr>
          <w:p w:rsidRPr="00441859" w:rsidR="00FE55E7" w:rsidP="00A66D78" w:rsidRDefault="00FE55E7" w14:paraId="55957045" w14:textId="77777777">
            <w:pPr>
              <w:pStyle w:val="NoSpacing"/>
              <w:rPr>
                <w:sz w:val="20"/>
                <w:szCs w:val="20"/>
                <w:lang w:val="en-US"/>
              </w:rPr>
            </w:pPr>
          </w:p>
        </w:tc>
        <w:tc>
          <w:tcPr>
            <w:tcW w:w="1103" w:type="dxa"/>
            <w:shd w:val="clear" w:color="auto" w:fill="92D050"/>
          </w:tcPr>
          <w:p w:rsidRPr="00441859" w:rsidR="00FE55E7" w:rsidP="00A66D78" w:rsidRDefault="00FE55E7" w14:paraId="6100F955" w14:textId="77777777">
            <w:pPr>
              <w:pStyle w:val="NoSpacing"/>
              <w:rPr>
                <w:sz w:val="20"/>
                <w:szCs w:val="20"/>
                <w:lang w:val="en-US"/>
              </w:rPr>
            </w:pPr>
          </w:p>
        </w:tc>
        <w:tc>
          <w:tcPr>
            <w:tcW w:w="1103" w:type="dxa"/>
            <w:shd w:val="clear" w:color="auto" w:fill="FFC000"/>
          </w:tcPr>
          <w:p w:rsidRPr="00441859" w:rsidR="00FE55E7" w:rsidP="00A66D78" w:rsidRDefault="00FE55E7" w14:paraId="7D6A0BCA" w14:textId="77777777">
            <w:pPr>
              <w:pStyle w:val="NoSpacing"/>
              <w:rPr>
                <w:sz w:val="20"/>
                <w:szCs w:val="20"/>
                <w:lang w:val="en-US"/>
              </w:rPr>
            </w:pPr>
          </w:p>
        </w:tc>
        <w:tc>
          <w:tcPr>
            <w:tcW w:w="1375" w:type="dxa"/>
            <w:shd w:val="clear" w:color="auto" w:fill="92D050"/>
          </w:tcPr>
          <w:p w:rsidRPr="00441859" w:rsidR="00FE55E7" w:rsidP="00A66D78" w:rsidRDefault="00FE55E7" w14:paraId="68534362" w14:textId="77777777">
            <w:pPr>
              <w:pStyle w:val="NoSpacing"/>
              <w:rPr>
                <w:sz w:val="20"/>
                <w:szCs w:val="20"/>
                <w:lang w:val="en-US"/>
              </w:rPr>
            </w:pPr>
          </w:p>
        </w:tc>
        <w:tc>
          <w:tcPr>
            <w:tcW w:w="831" w:type="dxa"/>
            <w:shd w:val="clear" w:color="auto" w:fill="FFC000"/>
          </w:tcPr>
          <w:p w:rsidRPr="00441859" w:rsidR="00FE55E7" w:rsidP="00A66D78" w:rsidRDefault="00FE55E7" w14:paraId="5D4D024F" w14:textId="77777777">
            <w:pPr>
              <w:pStyle w:val="NoSpacing"/>
              <w:rPr>
                <w:sz w:val="20"/>
                <w:szCs w:val="20"/>
                <w:lang w:val="en-US"/>
              </w:rPr>
            </w:pPr>
          </w:p>
        </w:tc>
        <w:tc>
          <w:tcPr>
            <w:tcW w:w="1103" w:type="dxa"/>
            <w:shd w:val="clear" w:color="auto" w:fill="FFC000"/>
          </w:tcPr>
          <w:p w:rsidRPr="00441859" w:rsidR="00FE55E7" w:rsidP="00A66D78" w:rsidRDefault="00FE55E7" w14:paraId="6E5E6644" w14:textId="77777777">
            <w:pPr>
              <w:pStyle w:val="NoSpacing"/>
              <w:rPr>
                <w:sz w:val="20"/>
                <w:szCs w:val="20"/>
                <w:lang w:val="en-US"/>
              </w:rPr>
            </w:pPr>
          </w:p>
        </w:tc>
        <w:tc>
          <w:tcPr>
            <w:tcW w:w="1104" w:type="dxa"/>
            <w:shd w:val="clear" w:color="auto" w:fill="FFC000"/>
          </w:tcPr>
          <w:p w:rsidRPr="00441859" w:rsidR="00FE55E7" w:rsidP="00A66D78" w:rsidRDefault="00FE55E7" w14:paraId="3686292D" w14:textId="77777777">
            <w:pPr>
              <w:pStyle w:val="NoSpacing"/>
              <w:rPr>
                <w:sz w:val="20"/>
                <w:szCs w:val="20"/>
                <w:lang w:val="en-US"/>
              </w:rPr>
            </w:pPr>
          </w:p>
        </w:tc>
      </w:tr>
      <w:tr w:rsidRPr="00A51F79" w:rsidR="00FE55E7" w:rsidTr="00A66D78" w14:paraId="465E14B7" w14:textId="77777777">
        <w:trPr>
          <w:trHeight w:val="767"/>
        </w:trPr>
        <w:tc>
          <w:tcPr>
            <w:tcW w:w="2917" w:type="dxa"/>
          </w:tcPr>
          <w:p w:rsidRPr="00441859" w:rsidR="00FE55E7" w:rsidP="00A66D78" w:rsidRDefault="00FE55E7" w14:paraId="4D04249C" w14:textId="77777777">
            <w:pPr>
              <w:pStyle w:val="NoSpacing"/>
              <w:rPr>
                <w:sz w:val="20"/>
                <w:szCs w:val="20"/>
                <w:lang w:val="en-US"/>
              </w:rPr>
            </w:pPr>
            <w:r w:rsidRPr="00441859">
              <w:rPr>
                <w:sz w:val="20"/>
                <w:szCs w:val="20"/>
                <w:lang w:val="en-US"/>
              </w:rPr>
              <w:t>SDG 3</w:t>
            </w:r>
            <w:r>
              <w:rPr>
                <w:sz w:val="20"/>
                <w:szCs w:val="20"/>
                <w:lang w:val="en-US"/>
              </w:rPr>
              <w:t>.</w:t>
            </w:r>
            <w:r w:rsidRPr="00441859">
              <w:rPr>
                <w:sz w:val="20"/>
                <w:szCs w:val="20"/>
                <w:lang w:val="en-US"/>
              </w:rPr>
              <w:t xml:space="preserve"> </w:t>
            </w:r>
            <w:r w:rsidRPr="00441859">
              <w:rPr>
                <w:b/>
                <w:bCs/>
                <w:sz w:val="20"/>
                <w:szCs w:val="20"/>
                <w:u w:val="single"/>
                <w:lang w:val="en-US"/>
              </w:rPr>
              <w:t>Neonatal mortality</w:t>
            </w:r>
            <w:r w:rsidRPr="00441859">
              <w:rPr>
                <w:sz w:val="20"/>
                <w:szCs w:val="20"/>
                <w:lang w:val="en-US"/>
              </w:rPr>
              <w:t xml:space="preserve"> rate per 1,000 live births.</w:t>
            </w:r>
          </w:p>
        </w:tc>
        <w:tc>
          <w:tcPr>
            <w:tcW w:w="1189" w:type="dxa"/>
            <w:shd w:val="clear" w:color="auto" w:fill="92D050"/>
          </w:tcPr>
          <w:p w:rsidRPr="00441859" w:rsidR="00FE55E7" w:rsidP="00A66D78" w:rsidRDefault="00FE55E7" w14:paraId="32FD4539" w14:textId="77777777">
            <w:pPr>
              <w:pStyle w:val="NoSpacing"/>
              <w:rPr>
                <w:sz w:val="20"/>
                <w:szCs w:val="20"/>
                <w:lang w:val="en-US"/>
              </w:rPr>
            </w:pPr>
          </w:p>
        </w:tc>
        <w:tc>
          <w:tcPr>
            <w:tcW w:w="1017" w:type="dxa"/>
            <w:shd w:val="clear" w:color="auto" w:fill="FFC000"/>
          </w:tcPr>
          <w:p w:rsidRPr="00441859" w:rsidR="00FE55E7" w:rsidP="00A66D78" w:rsidRDefault="00FE55E7" w14:paraId="3955594C" w14:textId="77777777">
            <w:pPr>
              <w:pStyle w:val="NoSpacing"/>
              <w:rPr>
                <w:sz w:val="20"/>
                <w:szCs w:val="20"/>
                <w:lang w:val="en-US"/>
              </w:rPr>
            </w:pPr>
          </w:p>
        </w:tc>
        <w:tc>
          <w:tcPr>
            <w:tcW w:w="1103" w:type="dxa"/>
            <w:shd w:val="clear" w:color="auto" w:fill="FFC000"/>
          </w:tcPr>
          <w:p w:rsidRPr="00441859" w:rsidR="00FE55E7" w:rsidP="00A66D78" w:rsidRDefault="00FE55E7" w14:paraId="1A4F9E4A" w14:textId="77777777">
            <w:pPr>
              <w:pStyle w:val="NoSpacing"/>
              <w:rPr>
                <w:sz w:val="20"/>
                <w:szCs w:val="20"/>
                <w:lang w:val="en-US"/>
              </w:rPr>
            </w:pPr>
          </w:p>
        </w:tc>
        <w:tc>
          <w:tcPr>
            <w:tcW w:w="1103" w:type="dxa"/>
            <w:shd w:val="clear" w:color="auto" w:fill="FFFF00"/>
          </w:tcPr>
          <w:p w:rsidRPr="00441859" w:rsidR="00FE55E7" w:rsidP="00A66D78" w:rsidRDefault="00FE55E7" w14:paraId="7B784303" w14:textId="77777777">
            <w:pPr>
              <w:pStyle w:val="NoSpacing"/>
              <w:rPr>
                <w:sz w:val="20"/>
                <w:szCs w:val="20"/>
                <w:lang w:val="en-US"/>
              </w:rPr>
            </w:pPr>
          </w:p>
        </w:tc>
        <w:tc>
          <w:tcPr>
            <w:tcW w:w="1103" w:type="dxa"/>
            <w:shd w:val="clear" w:color="auto" w:fill="FFFF00"/>
          </w:tcPr>
          <w:p w:rsidRPr="00441859" w:rsidR="00FE55E7" w:rsidP="00A66D78" w:rsidRDefault="00FE55E7" w14:paraId="4FAFCAE4" w14:textId="77777777">
            <w:pPr>
              <w:pStyle w:val="NoSpacing"/>
              <w:rPr>
                <w:sz w:val="20"/>
                <w:szCs w:val="20"/>
                <w:lang w:val="en-US"/>
              </w:rPr>
            </w:pPr>
          </w:p>
        </w:tc>
        <w:tc>
          <w:tcPr>
            <w:tcW w:w="1103" w:type="dxa"/>
            <w:shd w:val="clear" w:color="auto" w:fill="FFC000"/>
          </w:tcPr>
          <w:p w:rsidRPr="00441859" w:rsidR="00FE55E7" w:rsidP="00A66D78" w:rsidRDefault="00FE55E7" w14:paraId="26076FF6" w14:textId="77777777">
            <w:pPr>
              <w:pStyle w:val="NoSpacing"/>
              <w:rPr>
                <w:sz w:val="20"/>
                <w:szCs w:val="20"/>
                <w:lang w:val="en-US"/>
              </w:rPr>
            </w:pPr>
          </w:p>
        </w:tc>
        <w:tc>
          <w:tcPr>
            <w:tcW w:w="1375" w:type="dxa"/>
            <w:shd w:val="clear" w:color="auto" w:fill="FFC000"/>
          </w:tcPr>
          <w:p w:rsidRPr="00441859" w:rsidR="00FE55E7" w:rsidP="00A66D78" w:rsidRDefault="00FE55E7" w14:paraId="065EEFC3" w14:textId="77777777">
            <w:pPr>
              <w:pStyle w:val="NoSpacing"/>
              <w:rPr>
                <w:sz w:val="20"/>
                <w:szCs w:val="20"/>
                <w:lang w:val="en-US"/>
              </w:rPr>
            </w:pPr>
          </w:p>
        </w:tc>
        <w:tc>
          <w:tcPr>
            <w:tcW w:w="831" w:type="dxa"/>
            <w:shd w:val="clear" w:color="auto" w:fill="FFC000"/>
          </w:tcPr>
          <w:p w:rsidRPr="00441859" w:rsidR="00FE55E7" w:rsidP="00A66D78" w:rsidRDefault="00FE55E7" w14:paraId="0320B295" w14:textId="77777777">
            <w:pPr>
              <w:pStyle w:val="NoSpacing"/>
              <w:rPr>
                <w:sz w:val="20"/>
                <w:szCs w:val="20"/>
                <w:lang w:val="en-US"/>
              </w:rPr>
            </w:pPr>
          </w:p>
        </w:tc>
        <w:tc>
          <w:tcPr>
            <w:tcW w:w="1103" w:type="dxa"/>
            <w:shd w:val="clear" w:color="auto" w:fill="FFFF00"/>
          </w:tcPr>
          <w:p w:rsidRPr="00441859" w:rsidR="00FE55E7" w:rsidP="00A66D78" w:rsidRDefault="00FE55E7" w14:paraId="186FAE16" w14:textId="77777777">
            <w:pPr>
              <w:pStyle w:val="NoSpacing"/>
              <w:rPr>
                <w:sz w:val="20"/>
                <w:szCs w:val="20"/>
                <w:lang w:val="en-US"/>
              </w:rPr>
            </w:pPr>
          </w:p>
        </w:tc>
        <w:tc>
          <w:tcPr>
            <w:tcW w:w="1104" w:type="dxa"/>
            <w:shd w:val="clear" w:color="auto" w:fill="FF0000"/>
          </w:tcPr>
          <w:p w:rsidRPr="00441859" w:rsidR="00FE55E7" w:rsidP="00A66D78" w:rsidRDefault="00FE55E7" w14:paraId="0F763F10" w14:textId="77777777">
            <w:pPr>
              <w:pStyle w:val="NoSpacing"/>
              <w:rPr>
                <w:sz w:val="20"/>
                <w:szCs w:val="20"/>
                <w:lang w:val="en-US"/>
              </w:rPr>
            </w:pPr>
          </w:p>
        </w:tc>
      </w:tr>
      <w:tr w:rsidRPr="00A51F79" w:rsidR="00FE55E7" w:rsidTr="00A66D78" w14:paraId="5B969B6D" w14:textId="77777777">
        <w:trPr>
          <w:trHeight w:val="725"/>
        </w:trPr>
        <w:tc>
          <w:tcPr>
            <w:tcW w:w="2917" w:type="dxa"/>
          </w:tcPr>
          <w:p w:rsidRPr="00441859" w:rsidR="00FE55E7" w:rsidP="00A66D78" w:rsidRDefault="00FE55E7" w14:paraId="224D8A66" w14:textId="77777777">
            <w:pPr>
              <w:pStyle w:val="NoSpacing"/>
              <w:rPr>
                <w:sz w:val="20"/>
                <w:szCs w:val="20"/>
                <w:lang w:val="en-US"/>
              </w:rPr>
            </w:pPr>
            <w:r w:rsidRPr="00441859">
              <w:rPr>
                <w:sz w:val="20"/>
                <w:szCs w:val="20"/>
                <w:lang w:val="en-US"/>
              </w:rPr>
              <w:t>SDG 3</w:t>
            </w:r>
            <w:r>
              <w:rPr>
                <w:sz w:val="20"/>
                <w:szCs w:val="20"/>
                <w:lang w:val="en-US"/>
              </w:rPr>
              <w:t>.</w:t>
            </w:r>
            <w:r w:rsidRPr="00441859">
              <w:rPr>
                <w:sz w:val="20"/>
                <w:szCs w:val="20"/>
                <w:lang w:val="en-US"/>
              </w:rPr>
              <w:t xml:space="preserve"> New </w:t>
            </w:r>
            <w:r w:rsidRPr="00441859">
              <w:rPr>
                <w:b/>
                <w:bCs/>
                <w:sz w:val="20"/>
                <w:szCs w:val="20"/>
                <w:u w:val="single"/>
                <w:lang w:val="en-US"/>
              </w:rPr>
              <w:t xml:space="preserve">HIV infections </w:t>
            </w:r>
            <w:r w:rsidRPr="00441859">
              <w:rPr>
                <w:sz w:val="20"/>
                <w:szCs w:val="20"/>
                <w:lang w:val="en-US"/>
              </w:rPr>
              <w:t>per 1,000 uninfected population</w:t>
            </w:r>
          </w:p>
        </w:tc>
        <w:tc>
          <w:tcPr>
            <w:tcW w:w="1189" w:type="dxa"/>
            <w:shd w:val="clear" w:color="auto" w:fill="92D050"/>
          </w:tcPr>
          <w:p w:rsidRPr="00441859" w:rsidR="00FE55E7" w:rsidP="00A66D78" w:rsidRDefault="00FE55E7" w14:paraId="13C31D56" w14:textId="77777777">
            <w:pPr>
              <w:pStyle w:val="NoSpacing"/>
              <w:rPr>
                <w:sz w:val="20"/>
                <w:szCs w:val="20"/>
                <w:lang w:val="en-US"/>
              </w:rPr>
            </w:pPr>
          </w:p>
        </w:tc>
        <w:tc>
          <w:tcPr>
            <w:tcW w:w="1017" w:type="dxa"/>
            <w:shd w:val="clear" w:color="auto" w:fill="92D050"/>
          </w:tcPr>
          <w:p w:rsidRPr="00441859" w:rsidR="00FE55E7" w:rsidP="00A66D78" w:rsidRDefault="00FE55E7" w14:paraId="3F491B26" w14:textId="77777777">
            <w:pPr>
              <w:pStyle w:val="NoSpacing"/>
              <w:rPr>
                <w:sz w:val="20"/>
                <w:szCs w:val="20"/>
                <w:lang w:val="en-US"/>
              </w:rPr>
            </w:pPr>
          </w:p>
        </w:tc>
        <w:tc>
          <w:tcPr>
            <w:tcW w:w="1103" w:type="dxa"/>
            <w:shd w:val="clear" w:color="auto" w:fill="92D050"/>
          </w:tcPr>
          <w:p w:rsidRPr="00441859" w:rsidR="00FE55E7" w:rsidP="00A66D78" w:rsidRDefault="00FE55E7" w14:paraId="72A34F67" w14:textId="77777777">
            <w:pPr>
              <w:pStyle w:val="NoSpacing"/>
              <w:rPr>
                <w:sz w:val="20"/>
                <w:szCs w:val="20"/>
                <w:lang w:val="en-US"/>
              </w:rPr>
            </w:pPr>
          </w:p>
        </w:tc>
        <w:tc>
          <w:tcPr>
            <w:tcW w:w="1103" w:type="dxa"/>
            <w:shd w:val="clear" w:color="auto" w:fill="92D050"/>
          </w:tcPr>
          <w:p w:rsidRPr="00441859" w:rsidR="00FE55E7" w:rsidP="00A66D78" w:rsidRDefault="00FE55E7" w14:paraId="7E2A1102" w14:textId="77777777">
            <w:pPr>
              <w:pStyle w:val="NoSpacing"/>
              <w:rPr>
                <w:sz w:val="20"/>
                <w:szCs w:val="20"/>
                <w:lang w:val="en-US"/>
              </w:rPr>
            </w:pPr>
          </w:p>
        </w:tc>
        <w:tc>
          <w:tcPr>
            <w:tcW w:w="1103" w:type="dxa"/>
            <w:shd w:val="clear" w:color="auto" w:fill="92D050"/>
          </w:tcPr>
          <w:p w:rsidRPr="00441859" w:rsidR="00FE55E7" w:rsidP="00A66D78" w:rsidRDefault="00FE55E7" w14:paraId="2EDB7DD4" w14:textId="77777777">
            <w:pPr>
              <w:pStyle w:val="NoSpacing"/>
              <w:rPr>
                <w:sz w:val="20"/>
                <w:szCs w:val="20"/>
                <w:lang w:val="en-US"/>
              </w:rPr>
            </w:pPr>
          </w:p>
        </w:tc>
        <w:tc>
          <w:tcPr>
            <w:tcW w:w="1103" w:type="dxa"/>
            <w:shd w:val="clear" w:color="auto" w:fill="92D050"/>
          </w:tcPr>
          <w:p w:rsidRPr="00441859" w:rsidR="00FE55E7" w:rsidP="00A66D78" w:rsidRDefault="00FE55E7" w14:paraId="3576EA7C" w14:textId="77777777">
            <w:pPr>
              <w:pStyle w:val="NoSpacing"/>
              <w:rPr>
                <w:sz w:val="20"/>
                <w:szCs w:val="20"/>
                <w:lang w:val="en-US"/>
              </w:rPr>
            </w:pPr>
          </w:p>
        </w:tc>
        <w:tc>
          <w:tcPr>
            <w:tcW w:w="1375" w:type="dxa"/>
            <w:shd w:val="clear" w:color="auto" w:fill="DBDBDB" w:themeFill="accent3" w:themeFillTint="66"/>
          </w:tcPr>
          <w:p w:rsidRPr="00441859" w:rsidR="00FE55E7" w:rsidP="00A66D78" w:rsidRDefault="00FE55E7" w14:paraId="2E0E60ED" w14:textId="77777777">
            <w:pPr>
              <w:pStyle w:val="NoSpacing"/>
              <w:rPr>
                <w:sz w:val="20"/>
                <w:szCs w:val="20"/>
                <w:lang w:val="en-US"/>
              </w:rPr>
            </w:pPr>
          </w:p>
        </w:tc>
        <w:tc>
          <w:tcPr>
            <w:tcW w:w="831" w:type="dxa"/>
            <w:shd w:val="clear" w:color="auto" w:fill="92D050"/>
          </w:tcPr>
          <w:p w:rsidRPr="00441859" w:rsidR="00FE55E7" w:rsidP="00A66D78" w:rsidRDefault="00FE55E7" w14:paraId="78A941AE" w14:textId="77777777">
            <w:pPr>
              <w:pStyle w:val="NoSpacing"/>
              <w:rPr>
                <w:sz w:val="20"/>
                <w:szCs w:val="20"/>
                <w:lang w:val="en-US"/>
              </w:rPr>
            </w:pPr>
          </w:p>
        </w:tc>
        <w:tc>
          <w:tcPr>
            <w:tcW w:w="1103" w:type="dxa"/>
            <w:shd w:val="clear" w:color="auto" w:fill="92D050"/>
          </w:tcPr>
          <w:p w:rsidRPr="00441859" w:rsidR="00FE55E7" w:rsidP="00A66D78" w:rsidRDefault="00FE55E7" w14:paraId="1049AB65" w14:textId="77777777">
            <w:pPr>
              <w:pStyle w:val="NoSpacing"/>
              <w:rPr>
                <w:sz w:val="20"/>
                <w:szCs w:val="20"/>
                <w:lang w:val="en-US"/>
              </w:rPr>
            </w:pPr>
          </w:p>
        </w:tc>
        <w:tc>
          <w:tcPr>
            <w:tcW w:w="1104" w:type="dxa"/>
            <w:shd w:val="clear" w:color="auto" w:fill="FFC000"/>
          </w:tcPr>
          <w:p w:rsidRPr="00441859" w:rsidR="00FE55E7" w:rsidP="00A66D78" w:rsidRDefault="00FE55E7" w14:paraId="75410CD7" w14:textId="77777777">
            <w:pPr>
              <w:pStyle w:val="NoSpacing"/>
              <w:rPr>
                <w:sz w:val="20"/>
                <w:szCs w:val="20"/>
                <w:lang w:val="en-US"/>
              </w:rPr>
            </w:pPr>
          </w:p>
        </w:tc>
      </w:tr>
      <w:tr w:rsidRPr="00A51F79" w:rsidR="00FE55E7" w:rsidTr="00A66D78" w14:paraId="647CC8E4" w14:textId="77777777">
        <w:trPr>
          <w:trHeight w:val="767"/>
        </w:trPr>
        <w:tc>
          <w:tcPr>
            <w:tcW w:w="2917" w:type="dxa"/>
          </w:tcPr>
          <w:p w:rsidRPr="00441859" w:rsidR="00FE55E7" w:rsidP="00A66D78" w:rsidRDefault="00FE55E7" w14:paraId="3BD5803C" w14:textId="77777777">
            <w:pPr>
              <w:pStyle w:val="NoSpacing"/>
              <w:rPr>
                <w:sz w:val="20"/>
                <w:szCs w:val="20"/>
                <w:lang w:val="en-US"/>
              </w:rPr>
            </w:pPr>
            <w:r w:rsidRPr="00441859">
              <w:rPr>
                <w:sz w:val="20"/>
                <w:szCs w:val="20"/>
                <w:lang w:val="en-US"/>
              </w:rPr>
              <w:t>SDG 3</w:t>
            </w:r>
            <w:r>
              <w:rPr>
                <w:sz w:val="20"/>
                <w:szCs w:val="20"/>
                <w:lang w:val="en-US"/>
              </w:rPr>
              <w:t>.</w:t>
            </w:r>
            <w:r w:rsidRPr="00441859">
              <w:rPr>
                <w:sz w:val="20"/>
                <w:szCs w:val="20"/>
                <w:lang w:val="en-US"/>
              </w:rPr>
              <w:t xml:space="preserve"> </w:t>
            </w:r>
            <w:r w:rsidRPr="00441859">
              <w:rPr>
                <w:b/>
                <w:bCs/>
                <w:sz w:val="20"/>
                <w:szCs w:val="20"/>
                <w:u w:val="single"/>
                <w:lang w:val="en-US"/>
              </w:rPr>
              <w:t>Universal health coverage</w:t>
            </w:r>
            <w:r w:rsidRPr="00441859">
              <w:rPr>
                <w:sz w:val="20"/>
                <w:szCs w:val="20"/>
                <w:lang w:val="en-US"/>
              </w:rPr>
              <w:t xml:space="preserve"> index of service coverage</w:t>
            </w:r>
          </w:p>
        </w:tc>
        <w:tc>
          <w:tcPr>
            <w:tcW w:w="1189" w:type="dxa"/>
            <w:shd w:val="clear" w:color="auto" w:fill="FFFF00"/>
          </w:tcPr>
          <w:p w:rsidRPr="00441859" w:rsidR="00FE55E7" w:rsidP="00A66D78" w:rsidRDefault="00FE55E7" w14:paraId="08A55D42" w14:textId="77777777">
            <w:pPr>
              <w:pStyle w:val="NoSpacing"/>
              <w:rPr>
                <w:sz w:val="20"/>
                <w:szCs w:val="20"/>
                <w:lang w:val="en-US"/>
              </w:rPr>
            </w:pPr>
          </w:p>
        </w:tc>
        <w:tc>
          <w:tcPr>
            <w:tcW w:w="1017" w:type="dxa"/>
            <w:shd w:val="clear" w:color="auto" w:fill="FFC000"/>
          </w:tcPr>
          <w:p w:rsidRPr="00441859" w:rsidR="00FE55E7" w:rsidP="00A66D78" w:rsidRDefault="00FE55E7" w14:paraId="4AF77030" w14:textId="77777777">
            <w:pPr>
              <w:pStyle w:val="NoSpacing"/>
              <w:rPr>
                <w:sz w:val="20"/>
                <w:szCs w:val="20"/>
                <w:lang w:val="en-US"/>
              </w:rPr>
            </w:pPr>
          </w:p>
        </w:tc>
        <w:tc>
          <w:tcPr>
            <w:tcW w:w="1103" w:type="dxa"/>
            <w:shd w:val="clear" w:color="auto" w:fill="FFC000"/>
          </w:tcPr>
          <w:p w:rsidRPr="00441859" w:rsidR="00FE55E7" w:rsidP="00A66D78" w:rsidRDefault="00FE55E7" w14:paraId="1197B8A8" w14:textId="77777777">
            <w:pPr>
              <w:pStyle w:val="NoSpacing"/>
              <w:rPr>
                <w:sz w:val="20"/>
                <w:szCs w:val="20"/>
                <w:lang w:val="en-US"/>
              </w:rPr>
            </w:pPr>
          </w:p>
        </w:tc>
        <w:tc>
          <w:tcPr>
            <w:tcW w:w="1103" w:type="dxa"/>
            <w:shd w:val="clear" w:color="auto" w:fill="FFC000"/>
          </w:tcPr>
          <w:p w:rsidRPr="00441859" w:rsidR="00FE55E7" w:rsidP="00A66D78" w:rsidRDefault="00FE55E7" w14:paraId="0493C8FF" w14:textId="77777777">
            <w:pPr>
              <w:pStyle w:val="NoSpacing"/>
              <w:rPr>
                <w:sz w:val="20"/>
                <w:szCs w:val="20"/>
                <w:lang w:val="en-US"/>
              </w:rPr>
            </w:pPr>
          </w:p>
        </w:tc>
        <w:tc>
          <w:tcPr>
            <w:tcW w:w="1103" w:type="dxa"/>
            <w:shd w:val="clear" w:color="auto" w:fill="FFC000"/>
          </w:tcPr>
          <w:p w:rsidRPr="00441859" w:rsidR="00FE55E7" w:rsidP="00A66D78" w:rsidRDefault="00FE55E7" w14:paraId="34928873" w14:textId="77777777">
            <w:pPr>
              <w:pStyle w:val="NoSpacing"/>
              <w:rPr>
                <w:sz w:val="20"/>
                <w:szCs w:val="20"/>
                <w:lang w:val="en-US"/>
              </w:rPr>
            </w:pPr>
          </w:p>
        </w:tc>
        <w:tc>
          <w:tcPr>
            <w:tcW w:w="1103" w:type="dxa"/>
            <w:shd w:val="clear" w:color="auto" w:fill="FFC000"/>
          </w:tcPr>
          <w:p w:rsidRPr="00441859" w:rsidR="00FE55E7" w:rsidP="00A66D78" w:rsidRDefault="00FE55E7" w14:paraId="748964E3" w14:textId="77777777">
            <w:pPr>
              <w:pStyle w:val="NoSpacing"/>
              <w:rPr>
                <w:sz w:val="20"/>
                <w:szCs w:val="20"/>
                <w:lang w:val="en-US"/>
              </w:rPr>
            </w:pPr>
          </w:p>
        </w:tc>
        <w:tc>
          <w:tcPr>
            <w:tcW w:w="1375" w:type="dxa"/>
            <w:shd w:val="clear" w:color="auto" w:fill="FFC000"/>
          </w:tcPr>
          <w:p w:rsidRPr="00441859" w:rsidR="00FE55E7" w:rsidP="00A66D78" w:rsidRDefault="00FE55E7" w14:paraId="55F052BF" w14:textId="77777777">
            <w:pPr>
              <w:pStyle w:val="NoSpacing"/>
              <w:rPr>
                <w:sz w:val="20"/>
                <w:szCs w:val="20"/>
                <w:lang w:val="en-US"/>
              </w:rPr>
            </w:pPr>
          </w:p>
        </w:tc>
        <w:tc>
          <w:tcPr>
            <w:tcW w:w="831" w:type="dxa"/>
            <w:shd w:val="clear" w:color="auto" w:fill="FFC000"/>
          </w:tcPr>
          <w:p w:rsidRPr="00441859" w:rsidR="00FE55E7" w:rsidP="00A66D78" w:rsidRDefault="00FE55E7" w14:paraId="7FA35402" w14:textId="77777777">
            <w:pPr>
              <w:pStyle w:val="NoSpacing"/>
              <w:rPr>
                <w:sz w:val="20"/>
                <w:szCs w:val="20"/>
                <w:lang w:val="en-US"/>
              </w:rPr>
            </w:pPr>
          </w:p>
        </w:tc>
        <w:tc>
          <w:tcPr>
            <w:tcW w:w="1103" w:type="dxa"/>
            <w:shd w:val="clear" w:color="auto" w:fill="FFFF00"/>
          </w:tcPr>
          <w:p w:rsidRPr="00441859" w:rsidR="00FE55E7" w:rsidP="00A66D78" w:rsidRDefault="00FE55E7" w14:paraId="37DABCC6" w14:textId="77777777">
            <w:pPr>
              <w:pStyle w:val="NoSpacing"/>
              <w:rPr>
                <w:sz w:val="20"/>
                <w:szCs w:val="20"/>
                <w:lang w:val="en-US"/>
              </w:rPr>
            </w:pPr>
          </w:p>
        </w:tc>
        <w:tc>
          <w:tcPr>
            <w:tcW w:w="1104" w:type="dxa"/>
            <w:shd w:val="clear" w:color="auto" w:fill="FFC000"/>
          </w:tcPr>
          <w:p w:rsidRPr="00441859" w:rsidR="00FE55E7" w:rsidP="00A66D78" w:rsidRDefault="00FE55E7" w14:paraId="5D88CF12" w14:textId="77777777">
            <w:pPr>
              <w:pStyle w:val="NoSpacing"/>
              <w:rPr>
                <w:sz w:val="20"/>
                <w:szCs w:val="20"/>
                <w:lang w:val="en-US"/>
              </w:rPr>
            </w:pPr>
          </w:p>
        </w:tc>
      </w:tr>
      <w:tr w:rsidRPr="00A51F79" w:rsidR="00FE55E7" w:rsidTr="00A66D78" w14:paraId="1FF56A08" w14:textId="77777777">
        <w:trPr>
          <w:trHeight w:val="854"/>
        </w:trPr>
        <w:tc>
          <w:tcPr>
            <w:tcW w:w="2917" w:type="dxa"/>
          </w:tcPr>
          <w:p w:rsidRPr="00C46D05" w:rsidR="00FE55E7" w:rsidP="00A66D78" w:rsidRDefault="00FE55E7" w14:paraId="2233CD7D" w14:textId="77777777">
            <w:pPr>
              <w:pStyle w:val="NoSpacing"/>
              <w:rPr>
                <w:sz w:val="20"/>
                <w:szCs w:val="20"/>
                <w:lang w:val="en-US"/>
              </w:rPr>
            </w:pPr>
            <w:r w:rsidRPr="00441859">
              <w:rPr>
                <w:sz w:val="20"/>
                <w:szCs w:val="20"/>
                <w:lang w:val="en-US"/>
              </w:rPr>
              <w:t>SDG 5</w:t>
            </w:r>
            <w:r>
              <w:rPr>
                <w:sz w:val="20"/>
                <w:szCs w:val="20"/>
                <w:lang w:val="en-US"/>
              </w:rPr>
              <w:t>.</w:t>
            </w:r>
            <w:r w:rsidRPr="00441859">
              <w:rPr>
                <w:sz w:val="20"/>
                <w:szCs w:val="20"/>
                <w:lang w:val="en-US"/>
              </w:rPr>
              <w:t xml:space="preserve"> </w:t>
            </w:r>
            <w:r>
              <w:rPr>
                <w:sz w:val="20"/>
                <w:szCs w:val="20"/>
                <w:lang w:val="en-US"/>
              </w:rPr>
              <w:t xml:space="preserve">Demand for </w:t>
            </w:r>
            <w:r>
              <w:rPr>
                <w:b/>
                <w:bCs/>
                <w:sz w:val="20"/>
                <w:szCs w:val="20"/>
                <w:u w:val="single"/>
                <w:lang w:val="en-US"/>
              </w:rPr>
              <w:t>family planning</w:t>
            </w:r>
            <w:r>
              <w:rPr>
                <w:sz w:val="20"/>
                <w:szCs w:val="20"/>
                <w:lang w:val="en-US"/>
              </w:rPr>
              <w:t xml:space="preserve"> satisfied by modern methods</w:t>
            </w:r>
          </w:p>
        </w:tc>
        <w:tc>
          <w:tcPr>
            <w:tcW w:w="1189" w:type="dxa"/>
            <w:shd w:val="clear" w:color="auto" w:fill="FFC000"/>
          </w:tcPr>
          <w:p w:rsidRPr="00441859" w:rsidR="00FE55E7" w:rsidP="00A66D78" w:rsidRDefault="00FE55E7" w14:paraId="385EF526" w14:textId="77777777">
            <w:pPr>
              <w:pStyle w:val="NoSpacing"/>
              <w:rPr>
                <w:color w:val="FFC000"/>
                <w:sz w:val="20"/>
                <w:szCs w:val="20"/>
                <w:lang w:val="en-US"/>
              </w:rPr>
            </w:pPr>
          </w:p>
        </w:tc>
        <w:tc>
          <w:tcPr>
            <w:tcW w:w="1017" w:type="dxa"/>
            <w:shd w:val="clear" w:color="auto" w:fill="FFC000"/>
          </w:tcPr>
          <w:p w:rsidRPr="00441859" w:rsidR="00FE55E7" w:rsidP="00A66D78" w:rsidRDefault="00FE55E7" w14:paraId="2DEF8A3F" w14:textId="77777777">
            <w:pPr>
              <w:pStyle w:val="NoSpacing"/>
              <w:rPr>
                <w:sz w:val="20"/>
                <w:szCs w:val="20"/>
                <w:lang w:val="en-US"/>
              </w:rPr>
            </w:pPr>
          </w:p>
        </w:tc>
        <w:tc>
          <w:tcPr>
            <w:tcW w:w="1103" w:type="dxa"/>
            <w:shd w:val="clear" w:color="auto" w:fill="FFFF00"/>
          </w:tcPr>
          <w:p w:rsidRPr="00441859" w:rsidR="00FE55E7" w:rsidP="00A66D78" w:rsidRDefault="00FE55E7" w14:paraId="59976BC0" w14:textId="77777777">
            <w:pPr>
              <w:pStyle w:val="NoSpacing"/>
              <w:rPr>
                <w:sz w:val="20"/>
                <w:szCs w:val="20"/>
                <w:lang w:val="en-US"/>
              </w:rPr>
            </w:pPr>
          </w:p>
        </w:tc>
        <w:tc>
          <w:tcPr>
            <w:tcW w:w="1103" w:type="dxa"/>
            <w:shd w:val="clear" w:color="auto" w:fill="FFC000"/>
          </w:tcPr>
          <w:p w:rsidRPr="00441859" w:rsidR="00FE55E7" w:rsidP="00A66D78" w:rsidRDefault="00FE55E7" w14:paraId="210D8EED" w14:textId="77777777">
            <w:pPr>
              <w:pStyle w:val="NoSpacing"/>
              <w:rPr>
                <w:sz w:val="20"/>
                <w:szCs w:val="20"/>
                <w:lang w:val="en-US"/>
              </w:rPr>
            </w:pPr>
          </w:p>
        </w:tc>
        <w:tc>
          <w:tcPr>
            <w:tcW w:w="1103" w:type="dxa"/>
            <w:shd w:val="clear" w:color="auto" w:fill="FFC000"/>
          </w:tcPr>
          <w:p w:rsidRPr="00441859" w:rsidR="00FE55E7" w:rsidP="00A66D78" w:rsidRDefault="00FE55E7" w14:paraId="2030DC56" w14:textId="77777777">
            <w:pPr>
              <w:pStyle w:val="NoSpacing"/>
              <w:rPr>
                <w:sz w:val="20"/>
                <w:szCs w:val="20"/>
                <w:lang w:val="en-US"/>
              </w:rPr>
            </w:pPr>
          </w:p>
        </w:tc>
        <w:tc>
          <w:tcPr>
            <w:tcW w:w="1103" w:type="dxa"/>
            <w:shd w:val="clear" w:color="auto" w:fill="FFC000"/>
          </w:tcPr>
          <w:p w:rsidRPr="00441859" w:rsidR="00FE55E7" w:rsidP="00A66D78" w:rsidRDefault="00FE55E7" w14:paraId="0D81989A" w14:textId="77777777">
            <w:pPr>
              <w:pStyle w:val="NoSpacing"/>
              <w:rPr>
                <w:sz w:val="20"/>
                <w:szCs w:val="20"/>
                <w:lang w:val="en-US"/>
              </w:rPr>
            </w:pPr>
          </w:p>
        </w:tc>
        <w:tc>
          <w:tcPr>
            <w:tcW w:w="1375" w:type="dxa"/>
            <w:shd w:val="clear" w:color="auto" w:fill="FFFF00"/>
          </w:tcPr>
          <w:p w:rsidRPr="00441859" w:rsidR="00FE55E7" w:rsidP="00A66D78" w:rsidRDefault="00FE55E7" w14:paraId="3FC7F8C1" w14:textId="77777777">
            <w:pPr>
              <w:pStyle w:val="NoSpacing"/>
              <w:rPr>
                <w:sz w:val="20"/>
                <w:szCs w:val="20"/>
                <w:lang w:val="en-US"/>
              </w:rPr>
            </w:pPr>
          </w:p>
        </w:tc>
        <w:tc>
          <w:tcPr>
            <w:tcW w:w="831" w:type="dxa"/>
            <w:shd w:val="clear" w:color="auto" w:fill="FF0000"/>
          </w:tcPr>
          <w:p w:rsidRPr="00441859" w:rsidR="00FE55E7" w:rsidP="00A66D78" w:rsidRDefault="00FE55E7" w14:paraId="759ECF6A" w14:textId="77777777">
            <w:pPr>
              <w:pStyle w:val="NoSpacing"/>
              <w:rPr>
                <w:sz w:val="20"/>
                <w:szCs w:val="20"/>
                <w:lang w:val="en-US"/>
              </w:rPr>
            </w:pPr>
          </w:p>
        </w:tc>
        <w:tc>
          <w:tcPr>
            <w:tcW w:w="1103" w:type="dxa"/>
            <w:shd w:val="clear" w:color="auto" w:fill="FFFF00"/>
          </w:tcPr>
          <w:p w:rsidRPr="00441859" w:rsidR="00FE55E7" w:rsidP="00A66D78" w:rsidRDefault="00FE55E7" w14:paraId="68880466" w14:textId="77777777">
            <w:pPr>
              <w:pStyle w:val="NoSpacing"/>
              <w:rPr>
                <w:sz w:val="20"/>
                <w:szCs w:val="20"/>
                <w:lang w:val="en-US"/>
              </w:rPr>
            </w:pPr>
          </w:p>
        </w:tc>
        <w:tc>
          <w:tcPr>
            <w:tcW w:w="1104" w:type="dxa"/>
            <w:shd w:val="clear" w:color="auto" w:fill="FFC000"/>
          </w:tcPr>
          <w:p w:rsidRPr="00441859" w:rsidR="00FE55E7" w:rsidP="00A66D78" w:rsidRDefault="00FE55E7" w14:paraId="451DB6AA" w14:textId="77777777">
            <w:pPr>
              <w:pStyle w:val="NoSpacing"/>
              <w:rPr>
                <w:sz w:val="20"/>
                <w:szCs w:val="20"/>
                <w:lang w:val="en-US"/>
              </w:rPr>
            </w:pPr>
          </w:p>
        </w:tc>
      </w:tr>
    </w:tbl>
    <w:p w:rsidRPr="00C46D05" w:rsidR="00FE55E7" w:rsidP="00FE55E7" w:rsidRDefault="00FE55E7" w14:paraId="5EC7EC0B" w14:textId="77777777">
      <w:pPr>
        <w:pStyle w:val="NoSpacing"/>
        <w:rPr>
          <w:sz w:val="20"/>
          <w:szCs w:val="20"/>
          <w:lang w:val="en-US"/>
        </w:rPr>
      </w:pPr>
    </w:p>
    <w:tbl>
      <w:tblPr>
        <w:tblStyle w:val="TableGrid"/>
        <w:tblW w:w="0" w:type="auto"/>
        <w:tblLayout w:type="fixed"/>
        <w:tblLook w:val="04A0" w:firstRow="1" w:lastRow="0" w:firstColumn="1" w:lastColumn="0" w:noHBand="0" w:noVBand="1"/>
      </w:tblPr>
      <w:tblGrid>
        <w:gridCol w:w="1189"/>
        <w:gridCol w:w="5185"/>
      </w:tblGrid>
      <w:tr w:rsidRPr="00441859" w:rsidR="00FE55E7" w:rsidTr="00A66D78" w14:paraId="31A8161A" w14:textId="77777777">
        <w:trPr>
          <w:trHeight w:val="242"/>
        </w:trPr>
        <w:tc>
          <w:tcPr>
            <w:tcW w:w="1189" w:type="dxa"/>
            <w:shd w:val="clear" w:color="auto" w:fill="FF0000"/>
          </w:tcPr>
          <w:p w:rsidRPr="00441859" w:rsidR="00FE55E7" w:rsidP="00A66D78" w:rsidRDefault="00FE55E7" w14:paraId="36B7571C" w14:textId="77777777">
            <w:pPr>
              <w:pStyle w:val="NoSpacing"/>
              <w:rPr>
                <w:sz w:val="20"/>
                <w:szCs w:val="20"/>
                <w:lang w:val="en-US"/>
              </w:rPr>
            </w:pPr>
          </w:p>
        </w:tc>
        <w:tc>
          <w:tcPr>
            <w:tcW w:w="5185" w:type="dxa"/>
            <w:shd w:val="clear" w:color="auto" w:fill="auto"/>
          </w:tcPr>
          <w:p w:rsidRPr="00A51F79" w:rsidR="00FE55E7" w:rsidP="00A66D78" w:rsidRDefault="00FE55E7" w14:paraId="3295A357" w14:textId="77777777">
            <w:pPr>
              <w:pStyle w:val="NoSpacing"/>
              <w:rPr>
                <w:sz w:val="20"/>
                <w:szCs w:val="20"/>
                <w:lang w:val="en-US"/>
              </w:rPr>
            </w:pPr>
            <w:r>
              <w:rPr>
                <w:sz w:val="20"/>
                <w:szCs w:val="20"/>
                <w:lang w:val="en-US"/>
              </w:rPr>
              <w:t>Decreasing</w:t>
            </w:r>
          </w:p>
        </w:tc>
      </w:tr>
      <w:tr w:rsidRPr="00A51F79" w:rsidR="00FE55E7" w:rsidTr="00A66D78" w14:paraId="07CAA412" w14:textId="77777777">
        <w:trPr>
          <w:trHeight w:val="133"/>
        </w:trPr>
        <w:tc>
          <w:tcPr>
            <w:tcW w:w="1189" w:type="dxa"/>
            <w:shd w:val="clear" w:color="auto" w:fill="FFC000"/>
          </w:tcPr>
          <w:p w:rsidRPr="00441859" w:rsidR="00FE55E7" w:rsidP="00A66D78" w:rsidRDefault="00FE55E7" w14:paraId="1864A097" w14:textId="77777777">
            <w:pPr>
              <w:pStyle w:val="NoSpacing"/>
              <w:rPr>
                <w:sz w:val="20"/>
                <w:szCs w:val="20"/>
                <w:lang w:val="en-US"/>
              </w:rPr>
            </w:pPr>
          </w:p>
        </w:tc>
        <w:tc>
          <w:tcPr>
            <w:tcW w:w="5185" w:type="dxa"/>
            <w:shd w:val="clear" w:color="auto" w:fill="auto"/>
          </w:tcPr>
          <w:p w:rsidRPr="00A51F79" w:rsidR="00FE55E7" w:rsidP="00A66D78" w:rsidRDefault="00FE55E7" w14:paraId="67717CB9" w14:textId="77777777">
            <w:pPr>
              <w:pStyle w:val="NoSpacing"/>
              <w:rPr>
                <w:sz w:val="20"/>
                <w:szCs w:val="20"/>
                <w:lang w:val="en-US"/>
              </w:rPr>
            </w:pPr>
            <w:r>
              <w:rPr>
                <w:sz w:val="20"/>
                <w:szCs w:val="20"/>
                <w:lang w:val="en-US"/>
              </w:rPr>
              <w:t>Stagnating or increasing at less than 50% of required rate</w:t>
            </w:r>
          </w:p>
        </w:tc>
      </w:tr>
      <w:tr w:rsidRPr="00A51F79" w:rsidR="00FE55E7" w:rsidTr="00A66D78" w14:paraId="4D40B46B" w14:textId="77777777">
        <w:trPr>
          <w:trHeight w:val="163"/>
        </w:trPr>
        <w:tc>
          <w:tcPr>
            <w:tcW w:w="1189" w:type="dxa"/>
            <w:shd w:val="clear" w:color="auto" w:fill="FFFF00"/>
          </w:tcPr>
          <w:p w:rsidRPr="00441859" w:rsidR="00FE55E7" w:rsidP="00A66D78" w:rsidRDefault="00FE55E7" w14:paraId="0404F85F" w14:textId="77777777">
            <w:pPr>
              <w:pStyle w:val="NoSpacing"/>
              <w:rPr>
                <w:sz w:val="20"/>
                <w:szCs w:val="20"/>
                <w:lang w:val="en-US"/>
              </w:rPr>
            </w:pPr>
          </w:p>
        </w:tc>
        <w:tc>
          <w:tcPr>
            <w:tcW w:w="5185" w:type="dxa"/>
            <w:shd w:val="clear" w:color="auto" w:fill="auto"/>
          </w:tcPr>
          <w:p w:rsidRPr="00A51F79" w:rsidR="00FE55E7" w:rsidP="00A66D78" w:rsidRDefault="00FE55E7" w14:paraId="4DB8FFF8" w14:textId="77777777">
            <w:pPr>
              <w:pStyle w:val="NoSpacing"/>
              <w:rPr>
                <w:sz w:val="20"/>
                <w:szCs w:val="20"/>
                <w:lang w:val="en-US"/>
              </w:rPr>
            </w:pPr>
            <w:r>
              <w:rPr>
                <w:sz w:val="20"/>
                <w:szCs w:val="20"/>
                <w:lang w:val="en-US"/>
              </w:rPr>
              <w:t>Moderately improving, insufficient to attain goal</w:t>
            </w:r>
          </w:p>
        </w:tc>
      </w:tr>
      <w:tr w:rsidRPr="00A51F79" w:rsidR="00FE55E7" w:rsidTr="00A66D78" w14:paraId="77809AC3" w14:textId="77777777">
        <w:trPr>
          <w:trHeight w:val="182"/>
        </w:trPr>
        <w:tc>
          <w:tcPr>
            <w:tcW w:w="1189" w:type="dxa"/>
            <w:shd w:val="clear" w:color="auto" w:fill="92D050"/>
          </w:tcPr>
          <w:p w:rsidRPr="00441859" w:rsidR="00FE55E7" w:rsidP="00A66D78" w:rsidRDefault="00FE55E7" w14:paraId="46565938" w14:textId="77777777">
            <w:pPr>
              <w:pStyle w:val="NoSpacing"/>
              <w:rPr>
                <w:color w:val="FFC000"/>
                <w:sz w:val="20"/>
                <w:szCs w:val="20"/>
                <w:lang w:val="en-US"/>
              </w:rPr>
            </w:pPr>
          </w:p>
        </w:tc>
        <w:tc>
          <w:tcPr>
            <w:tcW w:w="5185" w:type="dxa"/>
            <w:shd w:val="clear" w:color="auto" w:fill="auto"/>
          </w:tcPr>
          <w:p w:rsidRPr="00A51F79" w:rsidR="00FE55E7" w:rsidP="00A66D78" w:rsidRDefault="00FE55E7" w14:paraId="79A985D8" w14:textId="77777777">
            <w:pPr>
              <w:pStyle w:val="NoSpacing"/>
              <w:rPr>
                <w:sz w:val="20"/>
                <w:szCs w:val="20"/>
                <w:lang w:val="en-US"/>
              </w:rPr>
            </w:pPr>
            <w:r w:rsidRPr="00A51F79">
              <w:rPr>
                <w:sz w:val="20"/>
                <w:szCs w:val="20"/>
                <w:lang w:val="en-US"/>
              </w:rPr>
              <w:t>On track or maintaining SDG achievement</w:t>
            </w:r>
          </w:p>
        </w:tc>
      </w:tr>
      <w:tr w:rsidRPr="00A51F79" w:rsidR="00FE55E7" w:rsidTr="00A66D78" w14:paraId="778A8141" w14:textId="77777777">
        <w:trPr>
          <w:trHeight w:val="182"/>
        </w:trPr>
        <w:tc>
          <w:tcPr>
            <w:tcW w:w="1189" w:type="dxa"/>
            <w:shd w:val="clear" w:color="auto" w:fill="D9D9D9" w:themeFill="background1" w:themeFillShade="D9"/>
          </w:tcPr>
          <w:p w:rsidRPr="00441859" w:rsidR="00FE55E7" w:rsidP="00A66D78" w:rsidRDefault="00FE55E7" w14:paraId="1BBE2F3E" w14:textId="77777777">
            <w:pPr>
              <w:pStyle w:val="NoSpacing"/>
              <w:rPr>
                <w:color w:val="FFC000"/>
                <w:sz w:val="20"/>
                <w:szCs w:val="20"/>
                <w:lang w:val="en-US"/>
              </w:rPr>
            </w:pPr>
          </w:p>
        </w:tc>
        <w:tc>
          <w:tcPr>
            <w:tcW w:w="5185" w:type="dxa"/>
            <w:shd w:val="clear" w:color="auto" w:fill="auto"/>
          </w:tcPr>
          <w:p w:rsidRPr="00A51F79" w:rsidR="00FE55E7" w:rsidP="00A66D78" w:rsidRDefault="00FE55E7" w14:paraId="6A270F80" w14:textId="77777777">
            <w:pPr>
              <w:pStyle w:val="NoSpacing"/>
              <w:rPr>
                <w:sz w:val="20"/>
                <w:szCs w:val="20"/>
                <w:lang w:val="en-US"/>
              </w:rPr>
            </w:pPr>
            <w:r>
              <w:rPr>
                <w:sz w:val="20"/>
                <w:szCs w:val="20"/>
                <w:lang w:val="en-US"/>
              </w:rPr>
              <w:t>No information available</w:t>
            </w:r>
          </w:p>
        </w:tc>
      </w:tr>
    </w:tbl>
    <w:p w:rsidR="004E11A1" w:rsidP="00FE55E7" w:rsidRDefault="004E11A1" w14:paraId="0C5D3643" w14:textId="064F4CCD">
      <w:pPr>
        <w:rPr>
          <w:rFonts w:ascii="Calibri" w:hAnsi="Calibri" w:cs="Calibri"/>
        </w:rPr>
      </w:pPr>
    </w:p>
    <w:p w:rsidRPr="00E77FE6" w:rsidR="00FE55E7" w:rsidP="00FE55E7" w:rsidRDefault="00FE55E7" w14:paraId="2D37C15A" w14:textId="3C64D4E1">
      <w:pPr>
        <w:rPr>
          <w:sz w:val="18"/>
          <w:szCs w:val="18"/>
        </w:rPr>
      </w:pPr>
      <w:r w:rsidRPr="00E77FE6">
        <w:rPr>
          <w:sz w:val="20"/>
          <w:szCs w:val="20"/>
        </w:rPr>
        <w:t xml:space="preserve">Source: Sachs, J.D., </w:t>
      </w:r>
      <w:proofErr w:type="spellStart"/>
      <w:r w:rsidRPr="00E77FE6">
        <w:rPr>
          <w:sz w:val="20"/>
          <w:szCs w:val="20"/>
        </w:rPr>
        <w:t>Lafortune</w:t>
      </w:r>
      <w:proofErr w:type="spellEnd"/>
      <w:r w:rsidRPr="00E77FE6">
        <w:rPr>
          <w:sz w:val="20"/>
          <w:szCs w:val="20"/>
        </w:rPr>
        <w:t xml:space="preserve">, G., Fuller, G., </w:t>
      </w:r>
      <w:proofErr w:type="spellStart"/>
      <w:r w:rsidRPr="00E77FE6">
        <w:rPr>
          <w:sz w:val="20"/>
          <w:szCs w:val="20"/>
        </w:rPr>
        <w:t>Drumm</w:t>
      </w:r>
      <w:proofErr w:type="spellEnd"/>
      <w:r w:rsidRPr="00E77FE6">
        <w:rPr>
          <w:sz w:val="20"/>
          <w:szCs w:val="20"/>
        </w:rPr>
        <w:t xml:space="preserve">, E. (2023). Implementing the SDG Stimulus. Sustainable Development Report 2023. Paris: SDSN, Dublin: </w:t>
      </w:r>
      <w:r w:rsidRPr="00E77FE6">
        <w:rPr>
          <w:sz w:val="18"/>
          <w:szCs w:val="18"/>
        </w:rPr>
        <w:t xml:space="preserve">Dublin University Press, 2023. 10.25546/102924. </w:t>
      </w:r>
      <w:r w:rsidRPr="00E77FE6" w:rsidR="00AA6C60">
        <w:rPr>
          <w:sz w:val="18"/>
          <w:szCs w:val="18"/>
        </w:rPr>
        <w:t xml:space="preserve">See also: </w:t>
      </w:r>
      <w:hyperlink w:history="1" r:id="rId14">
        <w:r w:rsidRPr="00E77FE6" w:rsidR="00AA6C60">
          <w:rPr>
            <w:rStyle w:val="Hyperlink"/>
            <w:sz w:val="18"/>
            <w:szCs w:val="18"/>
            <w:lang w:val="en-US"/>
          </w:rPr>
          <w:t>https://dashboards.sdgindex.org/map</w:t>
        </w:r>
      </w:hyperlink>
    </w:p>
    <w:p w:rsidRPr="00FE55E7" w:rsidR="00FE55E7" w:rsidP="00FE55E7" w:rsidRDefault="00FE55E7" w14:paraId="4E1D00C9" w14:textId="0C3D44C0">
      <w:pPr>
        <w:pStyle w:val="CommentText"/>
      </w:pPr>
    </w:p>
    <w:sectPr w:rsidRPr="00FE55E7" w:rsidR="00FE55E7" w:rsidSect="00FE55E7">
      <w:pgSz w:w="16838" w:h="11906" w:orient="landscape"/>
      <w:pgMar w:top="1440" w:right="1134"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2B8F" w14:textId="77777777" w:rsidR="00C711D1" w:rsidRDefault="00C711D1" w:rsidP="005C490E">
      <w:pPr>
        <w:spacing w:after="0" w:line="240" w:lineRule="auto"/>
      </w:pPr>
      <w:r>
        <w:separator/>
      </w:r>
    </w:p>
  </w:endnote>
  <w:endnote w:type="continuationSeparator" w:id="0">
    <w:p w14:paraId="715865C5" w14:textId="77777777" w:rsidR="00C711D1" w:rsidRDefault="00C711D1" w:rsidP="005C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E7154" w14:textId="77777777" w:rsidR="00C711D1" w:rsidRDefault="00C711D1" w:rsidP="005C490E">
      <w:pPr>
        <w:spacing w:after="0" w:line="240" w:lineRule="auto"/>
      </w:pPr>
      <w:r>
        <w:separator/>
      </w:r>
    </w:p>
  </w:footnote>
  <w:footnote w:type="continuationSeparator" w:id="0">
    <w:p w14:paraId="14D72D74" w14:textId="77777777" w:rsidR="00C711D1" w:rsidRDefault="00C711D1" w:rsidP="005C4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41B9"/>
    <w:multiLevelType w:val="hybridMultilevel"/>
    <w:tmpl w:val="2218676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15F0E0C"/>
    <w:multiLevelType w:val="hybridMultilevel"/>
    <w:tmpl w:val="2D8EEA2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711231"/>
    <w:multiLevelType w:val="hybridMultilevel"/>
    <w:tmpl w:val="160C3628"/>
    <w:lvl w:ilvl="0" w:tplc="0A1C250C">
      <w:start w:val="1"/>
      <w:numFmt w:val="decimal"/>
      <w:lvlText w:val="Recommendation %1"/>
      <w:lvlJc w:val="left"/>
      <w:pPr>
        <w:ind w:left="1068" w:hanging="360"/>
      </w:pPr>
      <w:rPr>
        <w:rFonts w:hint="default"/>
        <w:b w:val="0"/>
        <w:bCs w:val="0"/>
        <w:u w:val="single"/>
      </w:rPr>
    </w:lvl>
    <w:lvl w:ilvl="1" w:tplc="FFFFFFFF">
      <w:start w:val="1"/>
      <w:numFmt w:val="decimal"/>
      <w:lvlText w:val="%2."/>
      <w:lvlJc w:val="left"/>
      <w:pPr>
        <w:ind w:left="1788" w:hanging="360"/>
      </w:pPr>
      <w:rPr>
        <w:rFonts w:asciiTheme="minorHAnsi" w:eastAsiaTheme="minorHAnsi" w:hAnsiTheme="minorHAnsi" w:cstheme="minorBidi"/>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20DF3038"/>
    <w:multiLevelType w:val="hybridMultilevel"/>
    <w:tmpl w:val="0E4E343C"/>
    <w:lvl w:ilvl="0" w:tplc="FFFFFFFF">
      <w:start w:val="1"/>
      <w:numFmt w:val="decimal"/>
      <w:lvlText w:val="Sub-conclusion %1"/>
      <w:lvlJc w:val="left"/>
      <w:pPr>
        <w:ind w:left="720" w:hanging="360"/>
      </w:pPr>
      <w:rPr>
        <w:rFonts w:hint="default"/>
        <w:b w:val="0"/>
        <w:bCs w:val="0"/>
        <w:i w:val="0"/>
        <w:iCs w:val="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762FAE"/>
    <w:multiLevelType w:val="hybridMultilevel"/>
    <w:tmpl w:val="33F23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7D3BA1"/>
    <w:multiLevelType w:val="hybridMultilevel"/>
    <w:tmpl w:val="36FCE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1711D8"/>
    <w:multiLevelType w:val="hybridMultilevel"/>
    <w:tmpl w:val="61821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4603AC"/>
    <w:multiLevelType w:val="hybridMultilevel"/>
    <w:tmpl w:val="27A6661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540C16B9"/>
    <w:multiLevelType w:val="hybridMultilevel"/>
    <w:tmpl w:val="D2BC18D6"/>
    <w:lvl w:ilvl="0" w:tplc="83C208C6">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52D79A8"/>
    <w:multiLevelType w:val="hybridMultilevel"/>
    <w:tmpl w:val="6ACA34EA"/>
    <w:lvl w:ilvl="0" w:tplc="664619EA">
      <w:start w:val="1"/>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EFE0DFF"/>
    <w:multiLevelType w:val="hybridMultilevel"/>
    <w:tmpl w:val="C748A476"/>
    <w:lvl w:ilvl="0" w:tplc="B6EAD2CA">
      <w:start w:val="1"/>
      <w:numFmt w:val="bullet"/>
      <w:lvlText w:val=""/>
      <w:lvlJc w:val="left"/>
      <w:pPr>
        <w:ind w:left="1656" w:hanging="360"/>
      </w:pPr>
      <w:rPr>
        <w:rFonts w:ascii="Symbol" w:hAnsi="Symbol" w:hint="default"/>
        <w:u w:val="none"/>
      </w:rPr>
    </w:lvl>
    <w:lvl w:ilvl="1" w:tplc="04130003" w:tentative="1">
      <w:start w:val="1"/>
      <w:numFmt w:val="bullet"/>
      <w:lvlText w:val="o"/>
      <w:lvlJc w:val="left"/>
      <w:pPr>
        <w:ind w:left="2376" w:hanging="360"/>
      </w:pPr>
      <w:rPr>
        <w:rFonts w:ascii="Courier New" w:hAnsi="Courier New" w:cs="Courier New" w:hint="default"/>
      </w:rPr>
    </w:lvl>
    <w:lvl w:ilvl="2" w:tplc="04130005" w:tentative="1">
      <w:start w:val="1"/>
      <w:numFmt w:val="bullet"/>
      <w:lvlText w:val=""/>
      <w:lvlJc w:val="left"/>
      <w:pPr>
        <w:ind w:left="3096" w:hanging="360"/>
      </w:pPr>
      <w:rPr>
        <w:rFonts w:ascii="Wingdings" w:hAnsi="Wingdings" w:hint="default"/>
      </w:rPr>
    </w:lvl>
    <w:lvl w:ilvl="3" w:tplc="04130001" w:tentative="1">
      <w:start w:val="1"/>
      <w:numFmt w:val="bullet"/>
      <w:lvlText w:val=""/>
      <w:lvlJc w:val="left"/>
      <w:pPr>
        <w:ind w:left="3816" w:hanging="360"/>
      </w:pPr>
      <w:rPr>
        <w:rFonts w:ascii="Symbol" w:hAnsi="Symbol" w:hint="default"/>
      </w:rPr>
    </w:lvl>
    <w:lvl w:ilvl="4" w:tplc="04130003" w:tentative="1">
      <w:start w:val="1"/>
      <w:numFmt w:val="bullet"/>
      <w:lvlText w:val="o"/>
      <w:lvlJc w:val="left"/>
      <w:pPr>
        <w:ind w:left="4536" w:hanging="360"/>
      </w:pPr>
      <w:rPr>
        <w:rFonts w:ascii="Courier New" w:hAnsi="Courier New" w:cs="Courier New" w:hint="default"/>
      </w:rPr>
    </w:lvl>
    <w:lvl w:ilvl="5" w:tplc="04130005" w:tentative="1">
      <w:start w:val="1"/>
      <w:numFmt w:val="bullet"/>
      <w:lvlText w:val=""/>
      <w:lvlJc w:val="left"/>
      <w:pPr>
        <w:ind w:left="5256" w:hanging="360"/>
      </w:pPr>
      <w:rPr>
        <w:rFonts w:ascii="Wingdings" w:hAnsi="Wingdings" w:hint="default"/>
      </w:rPr>
    </w:lvl>
    <w:lvl w:ilvl="6" w:tplc="04130001" w:tentative="1">
      <w:start w:val="1"/>
      <w:numFmt w:val="bullet"/>
      <w:lvlText w:val=""/>
      <w:lvlJc w:val="left"/>
      <w:pPr>
        <w:ind w:left="5976" w:hanging="360"/>
      </w:pPr>
      <w:rPr>
        <w:rFonts w:ascii="Symbol" w:hAnsi="Symbol" w:hint="default"/>
      </w:rPr>
    </w:lvl>
    <w:lvl w:ilvl="7" w:tplc="04130003" w:tentative="1">
      <w:start w:val="1"/>
      <w:numFmt w:val="bullet"/>
      <w:lvlText w:val="o"/>
      <w:lvlJc w:val="left"/>
      <w:pPr>
        <w:ind w:left="6696" w:hanging="360"/>
      </w:pPr>
      <w:rPr>
        <w:rFonts w:ascii="Courier New" w:hAnsi="Courier New" w:cs="Courier New" w:hint="default"/>
      </w:rPr>
    </w:lvl>
    <w:lvl w:ilvl="8" w:tplc="04130005" w:tentative="1">
      <w:start w:val="1"/>
      <w:numFmt w:val="bullet"/>
      <w:lvlText w:val=""/>
      <w:lvlJc w:val="left"/>
      <w:pPr>
        <w:ind w:left="7416" w:hanging="360"/>
      </w:pPr>
      <w:rPr>
        <w:rFonts w:ascii="Wingdings" w:hAnsi="Wingdings" w:hint="default"/>
      </w:rPr>
    </w:lvl>
  </w:abstractNum>
  <w:abstractNum w:abstractNumId="11" w15:restartNumberingAfterBreak="0">
    <w:nsid w:val="635E5428"/>
    <w:multiLevelType w:val="hybridMultilevel"/>
    <w:tmpl w:val="9E56E91E"/>
    <w:lvl w:ilvl="0" w:tplc="03368804">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6B27B4D"/>
    <w:multiLevelType w:val="hybridMultilevel"/>
    <w:tmpl w:val="E28483EE"/>
    <w:lvl w:ilvl="0" w:tplc="838282FE">
      <w:start w:val="2"/>
      <w:numFmt w:val="bullet"/>
      <w:lvlText w:val=""/>
      <w:lvlJc w:val="left"/>
      <w:pPr>
        <w:ind w:left="1720" w:hanging="360"/>
      </w:pPr>
      <w:rPr>
        <w:rFonts w:ascii="Wingdings" w:eastAsiaTheme="minorHAnsi" w:hAnsi="Wingdings" w:cstheme="minorHAnsi" w:hint="default"/>
      </w:rPr>
    </w:lvl>
    <w:lvl w:ilvl="1" w:tplc="04130003">
      <w:start w:val="1"/>
      <w:numFmt w:val="bullet"/>
      <w:lvlText w:val="o"/>
      <w:lvlJc w:val="left"/>
      <w:pPr>
        <w:ind w:left="2440" w:hanging="360"/>
      </w:pPr>
      <w:rPr>
        <w:rFonts w:ascii="Courier New" w:hAnsi="Courier New" w:cs="Courier New" w:hint="default"/>
      </w:rPr>
    </w:lvl>
    <w:lvl w:ilvl="2" w:tplc="04130005" w:tentative="1">
      <w:start w:val="1"/>
      <w:numFmt w:val="bullet"/>
      <w:lvlText w:val=""/>
      <w:lvlJc w:val="left"/>
      <w:pPr>
        <w:ind w:left="3160" w:hanging="360"/>
      </w:pPr>
      <w:rPr>
        <w:rFonts w:ascii="Wingdings" w:hAnsi="Wingdings" w:hint="default"/>
      </w:rPr>
    </w:lvl>
    <w:lvl w:ilvl="3" w:tplc="04130001" w:tentative="1">
      <w:start w:val="1"/>
      <w:numFmt w:val="bullet"/>
      <w:lvlText w:val=""/>
      <w:lvlJc w:val="left"/>
      <w:pPr>
        <w:ind w:left="3880" w:hanging="360"/>
      </w:pPr>
      <w:rPr>
        <w:rFonts w:ascii="Symbol" w:hAnsi="Symbol" w:hint="default"/>
      </w:rPr>
    </w:lvl>
    <w:lvl w:ilvl="4" w:tplc="04130003" w:tentative="1">
      <w:start w:val="1"/>
      <w:numFmt w:val="bullet"/>
      <w:lvlText w:val="o"/>
      <w:lvlJc w:val="left"/>
      <w:pPr>
        <w:ind w:left="4600" w:hanging="360"/>
      </w:pPr>
      <w:rPr>
        <w:rFonts w:ascii="Courier New" w:hAnsi="Courier New" w:cs="Courier New" w:hint="default"/>
      </w:rPr>
    </w:lvl>
    <w:lvl w:ilvl="5" w:tplc="04130005" w:tentative="1">
      <w:start w:val="1"/>
      <w:numFmt w:val="bullet"/>
      <w:lvlText w:val=""/>
      <w:lvlJc w:val="left"/>
      <w:pPr>
        <w:ind w:left="5320" w:hanging="360"/>
      </w:pPr>
      <w:rPr>
        <w:rFonts w:ascii="Wingdings" w:hAnsi="Wingdings" w:hint="default"/>
      </w:rPr>
    </w:lvl>
    <w:lvl w:ilvl="6" w:tplc="04130001" w:tentative="1">
      <w:start w:val="1"/>
      <w:numFmt w:val="bullet"/>
      <w:lvlText w:val=""/>
      <w:lvlJc w:val="left"/>
      <w:pPr>
        <w:ind w:left="6040" w:hanging="360"/>
      </w:pPr>
      <w:rPr>
        <w:rFonts w:ascii="Symbol" w:hAnsi="Symbol" w:hint="default"/>
      </w:rPr>
    </w:lvl>
    <w:lvl w:ilvl="7" w:tplc="04130003" w:tentative="1">
      <w:start w:val="1"/>
      <w:numFmt w:val="bullet"/>
      <w:lvlText w:val="o"/>
      <w:lvlJc w:val="left"/>
      <w:pPr>
        <w:ind w:left="6760" w:hanging="360"/>
      </w:pPr>
      <w:rPr>
        <w:rFonts w:ascii="Courier New" w:hAnsi="Courier New" w:cs="Courier New" w:hint="default"/>
      </w:rPr>
    </w:lvl>
    <w:lvl w:ilvl="8" w:tplc="04130005" w:tentative="1">
      <w:start w:val="1"/>
      <w:numFmt w:val="bullet"/>
      <w:lvlText w:val=""/>
      <w:lvlJc w:val="left"/>
      <w:pPr>
        <w:ind w:left="7480" w:hanging="360"/>
      </w:pPr>
      <w:rPr>
        <w:rFonts w:ascii="Wingdings" w:hAnsi="Wingdings" w:hint="default"/>
      </w:rPr>
    </w:lvl>
  </w:abstractNum>
  <w:abstractNum w:abstractNumId="13" w15:restartNumberingAfterBreak="0">
    <w:nsid w:val="6A6B680A"/>
    <w:multiLevelType w:val="hybridMultilevel"/>
    <w:tmpl w:val="44F00E9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1232723"/>
    <w:multiLevelType w:val="hybridMultilevel"/>
    <w:tmpl w:val="622812D0"/>
    <w:lvl w:ilvl="0" w:tplc="194251AE">
      <w:start w:val="1"/>
      <w:numFmt w:val="decimal"/>
      <w:lvlText w:val="%1."/>
      <w:lvlJc w:val="left"/>
      <w:pPr>
        <w:ind w:left="720" w:hanging="360"/>
      </w:pPr>
      <w:rPr>
        <w:rFonts w:hint="default"/>
        <w:u w:val="non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5BE4BD3"/>
    <w:multiLevelType w:val="hybridMultilevel"/>
    <w:tmpl w:val="3A9AB14C"/>
    <w:lvl w:ilvl="0" w:tplc="5DCA6AB4">
      <w:start w:val="1"/>
      <w:numFmt w:val="decimal"/>
      <w:lvlText w:val="%1."/>
      <w:lvlJc w:val="left"/>
      <w:pPr>
        <w:ind w:left="720" w:hanging="360"/>
      </w:pPr>
      <w:rPr>
        <w:rFonts w:asciiTheme="minorHAnsi" w:hAnsiTheme="minorHAnsi" w:hint="default"/>
        <w:u w:val="none"/>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7084A80"/>
    <w:multiLevelType w:val="hybridMultilevel"/>
    <w:tmpl w:val="8A56946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8191654"/>
    <w:multiLevelType w:val="hybridMultilevel"/>
    <w:tmpl w:val="A688538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79655814"/>
    <w:multiLevelType w:val="hybridMultilevel"/>
    <w:tmpl w:val="C5D283BA"/>
    <w:lvl w:ilvl="0" w:tplc="C0C622FE">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6528796">
    <w:abstractNumId w:val="3"/>
  </w:num>
  <w:num w:numId="2" w16cid:durableId="1742169955">
    <w:abstractNumId w:val="2"/>
  </w:num>
  <w:num w:numId="3" w16cid:durableId="524833194">
    <w:abstractNumId w:val="17"/>
  </w:num>
  <w:num w:numId="4" w16cid:durableId="1065298829">
    <w:abstractNumId w:val="7"/>
  </w:num>
  <w:num w:numId="5" w16cid:durableId="1885750261">
    <w:abstractNumId w:val="18"/>
  </w:num>
  <w:num w:numId="6" w16cid:durableId="455177234">
    <w:abstractNumId w:val="13"/>
  </w:num>
  <w:num w:numId="7" w16cid:durableId="1899321950">
    <w:abstractNumId w:val="14"/>
  </w:num>
  <w:num w:numId="8" w16cid:durableId="78252713">
    <w:abstractNumId w:val="15"/>
  </w:num>
  <w:num w:numId="9" w16cid:durableId="2077698275">
    <w:abstractNumId w:val="16"/>
  </w:num>
  <w:num w:numId="10" w16cid:durableId="753165504">
    <w:abstractNumId w:val="10"/>
  </w:num>
  <w:num w:numId="11" w16cid:durableId="346559999">
    <w:abstractNumId w:val="4"/>
  </w:num>
  <w:num w:numId="12" w16cid:durableId="2011830816">
    <w:abstractNumId w:val="11"/>
  </w:num>
  <w:num w:numId="13" w16cid:durableId="1927349085">
    <w:abstractNumId w:val="9"/>
  </w:num>
  <w:num w:numId="14" w16cid:durableId="1186168805">
    <w:abstractNumId w:val="6"/>
  </w:num>
  <w:num w:numId="15" w16cid:durableId="600070934">
    <w:abstractNumId w:val="5"/>
  </w:num>
  <w:num w:numId="16" w16cid:durableId="1237015301">
    <w:abstractNumId w:val="1"/>
  </w:num>
  <w:num w:numId="17" w16cid:durableId="255360215">
    <w:abstractNumId w:val="0"/>
  </w:num>
  <w:num w:numId="18" w16cid:durableId="1839661167">
    <w:abstractNumId w:val="8"/>
  </w:num>
  <w:num w:numId="19" w16cid:durableId="1156335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0E"/>
    <w:rsid w:val="00042617"/>
    <w:rsid w:val="000B376D"/>
    <w:rsid w:val="000B455C"/>
    <w:rsid w:val="000C3984"/>
    <w:rsid w:val="000E0770"/>
    <w:rsid w:val="00106464"/>
    <w:rsid w:val="0013768E"/>
    <w:rsid w:val="001B4DE9"/>
    <w:rsid w:val="00223DBE"/>
    <w:rsid w:val="00242FA8"/>
    <w:rsid w:val="002534B6"/>
    <w:rsid w:val="0027097A"/>
    <w:rsid w:val="00274D1C"/>
    <w:rsid w:val="002C4849"/>
    <w:rsid w:val="002D27B3"/>
    <w:rsid w:val="002F253C"/>
    <w:rsid w:val="00314D37"/>
    <w:rsid w:val="00463490"/>
    <w:rsid w:val="00496C48"/>
    <w:rsid w:val="004B532E"/>
    <w:rsid w:val="004D2953"/>
    <w:rsid w:val="004D4C7A"/>
    <w:rsid w:val="004E11A1"/>
    <w:rsid w:val="00512F3E"/>
    <w:rsid w:val="0057416F"/>
    <w:rsid w:val="005C490E"/>
    <w:rsid w:val="005E3F94"/>
    <w:rsid w:val="006D00FE"/>
    <w:rsid w:val="006D2D9C"/>
    <w:rsid w:val="00751765"/>
    <w:rsid w:val="007B142E"/>
    <w:rsid w:val="008676F7"/>
    <w:rsid w:val="008B75C4"/>
    <w:rsid w:val="008D6F76"/>
    <w:rsid w:val="008E5183"/>
    <w:rsid w:val="00901D2B"/>
    <w:rsid w:val="00940CA3"/>
    <w:rsid w:val="00951253"/>
    <w:rsid w:val="009616B0"/>
    <w:rsid w:val="00A0255F"/>
    <w:rsid w:val="00A47A91"/>
    <w:rsid w:val="00AA6C60"/>
    <w:rsid w:val="00AD79A4"/>
    <w:rsid w:val="00AF1CD9"/>
    <w:rsid w:val="00B3663D"/>
    <w:rsid w:val="00B47CFA"/>
    <w:rsid w:val="00B90D55"/>
    <w:rsid w:val="00C17302"/>
    <w:rsid w:val="00C711D1"/>
    <w:rsid w:val="00CE30AE"/>
    <w:rsid w:val="00D22ABC"/>
    <w:rsid w:val="00D54368"/>
    <w:rsid w:val="00E77FE6"/>
    <w:rsid w:val="00EB6A18"/>
    <w:rsid w:val="00F2283F"/>
    <w:rsid w:val="00F23CF0"/>
    <w:rsid w:val="00FE4D52"/>
    <w:rsid w:val="00FE55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0038"/>
  <w15:chartTrackingRefBased/>
  <w15:docId w15:val="{93D15E47-C5AC-45F8-9717-B30B23F5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CommentText"/>
    <w:rsid w:val="005C490E"/>
    <w:rPr>
      <w:kern w:val="0"/>
      <w:lang w:val="en-GB"/>
      <w14:ligatures w14:val="none"/>
    </w:rPr>
  </w:style>
  <w:style w:type="paragraph" w:styleId="Heading1">
    <w:name w:val="heading 1"/>
    <w:basedOn w:val="Normal"/>
    <w:next w:val="Normal"/>
    <w:link w:val="Heading1Char"/>
    <w:uiPriority w:val="9"/>
    <w:qFormat/>
    <w:rsid w:val="005C49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90E"/>
    <w:rPr>
      <w:rFonts w:asciiTheme="majorHAnsi" w:eastAsiaTheme="majorEastAsia" w:hAnsiTheme="majorHAnsi" w:cstheme="majorBidi"/>
      <w:color w:val="2F5496" w:themeColor="accent1" w:themeShade="BF"/>
      <w:kern w:val="0"/>
      <w:sz w:val="32"/>
      <w:szCs w:val="32"/>
      <w:lang w:val="en-GB"/>
      <w14:ligatures w14:val="none"/>
    </w:rPr>
  </w:style>
  <w:style w:type="paragraph" w:styleId="NoSpacing">
    <w:name w:val="No Spacing"/>
    <w:uiPriority w:val="1"/>
    <w:qFormat/>
    <w:rsid w:val="005C490E"/>
    <w:pPr>
      <w:spacing w:after="0" w:line="240" w:lineRule="auto"/>
    </w:pPr>
    <w:rPr>
      <w:kern w:val="0"/>
      <w:lang w:val="en-GB"/>
      <w14:ligatures w14:val="none"/>
    </w:rPr>
  </w:style>
  <w:style w:type="paragraph" w:styleId="ListParagraph">
    <w:name w:val="List Paragraph"/>
    <w:aliases w:val="inspringtekst,List Paragraph1,Recommendation,List Paragraph11,L,CV text,Table text,List Paragraph2,F5 List Paragraph,Dot pt,List Paragraph111,Medium Grid 1 - Accent 21,Numbered Paragraph,Main numbered paragraph,Numbered List Paragraph"/>
    <w:basedOn w:val="Normal"/>
    <w:link w:val="ListParagraphChar"/>
    <w:uiPriority w:val="34"/>
    <w:qFormat/>
    <w:rsid w:val="005C490E"/>
    <w:pPr>
      <w:spacing w:after="120"/>
      <w:ind w:left="720"/>
      <w:contextualSpacing/>
    </w:pPr>
    <w:rPr>
      <w:rFonts w:ascii="Calibri" w:hAnsi="Calibri"/>
      <w:lang w:val="en-US"/>
    </w:rPr>
  </w:style>
  <w:style w:type="paragraph" w:styleId="CommentText">
    <w:name w:val="annotation text"/>
    <w:basedOn w:val="Normal"/>
    <w:link w:val="CommentTextChar"/>
    <w:uiPriority w:val="99"/>
    <w:unhideWhenUsed/>
    <w:rsid w:val="005C490E"/>
    <w:pPr>
      <w:spacing w:after="120" w:line="240" w:lineRule="auto"/>
    </w:pPr>
    <w:rPr>
      <w:rFonts w:asciiTheme="majorHAnsi" w:hAnsiTheme="majorHAnsi"/>
      <w:sz w:val="20"/>
      <w:szCs w:val="20"/>
    </w:rPr>
  </w:style>
  <w:style w:type="character" w:customStyle="1" w:styleId="CommentTextChar">
    <w:name w:val="Comment Text Char"/>
    <w:basedOn w:val="DefaultParagraphFont"/>
    <w:link w:val="CommentText"/>
    <w:uiPriority w:val="99"/>
    <w:rsid w:val="005C490E"/>
    <w:rPr>
      <w:rFonts w:asciiTheme="majorHAnsi" w:hAnsiTheme="majorHAnsi"/>
      <w:kern w:val="0"/>
      <w:sz w:val="20"/>
      <w:szCs w:val="20"/>
      <w:lang w:val="en-GB"/>
      <w14:ligatures w14:val="none"/>
    </w:rPr>
  </w:style>
  <w:style w:type="character" w:customStyle="1" w:styleId="ListParagraphChar">
    <w:name w:val="List Paragraph Char"/>
    <w:aliases w:val="inspringtekst Char,List Paragraph1 Char,Recommendation Char,List Paragraph11 Char,L Char,CV text Char,Table text Char,List Paragraph2 Char,F5 List Paragraph Char,Dot pt Char,List Paragraph111 Char,Medium Grid 1 - Accent 21 Char"/>
    <w:link w:val="ListParagraph"/>
    <w:uiPriority w:val="34"/>
    <w:locked/>
    <w:rsid w:val="005C490E"/>
    <w:rPr>
      <w:rFonts w:ascii="Calibri" w:hAnsi="Calibri"/>
      <w:kern w:val="0"/>
      <w:lang w:val="en-US"/>
      <w14:ligatures w14:val="none"/>
    </w:rPr>
  </w:style>
  <w:style w:type="character" w:styleId="EndnoteReference">
    <w:name w:val="endnote reference"/>
    <w:basedOn w:val="DefaultParagraphFont"/>
    <w:uiPriority w:val="99"/>
    <w:semiHidden/>
    <w:unhideWhenUsed/>
    <w:rsid w:val="005C490E"/>
    <w:rPr>
      <w:vertAlign w:val="superscript"/>
    </w:rPr>
  </w:style>
  <w:style w:type="character" w:customStyle="1" w:styleId="cf01">
    <w:name w:val="cf01"/>
    <w:basedOn w:val="DefaultParagraphFont"/>
    <w:rsid w:val="005C490E"/>
    <w:rPr>
      <w:rFonts w:ascii="Segoe UI" w:hAnsi="Segoe UI" w:cs="Segoe UI" w:hint="default"/>
      <w:sz w:val="18"/>
      <w:szCs w:val="18"/>
    </w:rPr>
  </w:style>
  <w:style w:type="paragraph" w:styleId="Revision">
    <w:name w:val="Revision"/>
    <w:hidden/>
    <w:uiPriority w:val="99"/>
    <w:semiHidden/>
    <w:rsid w:val="00F2283F"/>
    <w:pPr>
      <w:spacing w:after="0" w:line="240" w:lineRule="auto"/>
    </w:pPr>
    <w:rPr>
      <w:kern w:val="0"/>
      <w:lang w:val="en-GB"/>
      <w14:ligatures w14:val="none"/>
    </w:rPr>
  </w:style>
  <w:style w:type="character" w:styleId="CommentReference">
    <w:name w:val="annotation reference"/>
    <w:basedOn w:val="DefaultParagraphFont"/>
    <w:uiPriority w:val="99"/>
    <w:semiHidden/>
    <w:unhideWhenUsed/>
    <w:rsid w:val="000B376D"/>
    <w:rPr>
      <w:sz w:val="16"/>
      <w:szCs w:val="16"/>
    </w:rPr>
  </w:style>
  <w:style w:type="paragraph" w:styleId="CommentSubject">
    <w:name w:val="annotation subject"/>
    <w:basedOn w:val="CommentText"/>
    <w:next w:val="CommentText"/>
    <w:link w:val="CommentSubjectChar"/>
    <w:uiPriority w:val="99"/>
    <w:semiHidden/>
    <w:unhideWhenUsed/>
    <w:rsid w:val="000B376D"/>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0B376D"/>
    <w:rPr>
      <w:rFonts w:asciiTheme="majorHAnsi" w:hAnsiTheme="majorHAnsi"/>
      <w:b/>
      <w:bCs/>
      <w:kern w:val="0"/>
      <w:sz w:val="20"/>
      <w:szCs w:val="20"/>
      <w:lang w:val="en-GB"/>
      <w14:ligatures w14:val="none"/>
    </w:rPr>
  </w:style>
  <w:style w:type="character" w:styleId="Hyperlink">
    <w:name w:val="Hyperlink"/>
    <w:basedOn w:val="DefaultParagraphFont"/>
    <w:uiPriority w:val="99"/>
    <w:unhideWhenUsed/>
    <w:rsid w:val="002F253C"/>
    <w:rPr>
      <w:color w:val="0000FF"/>
      <w:u w:val="single"/>
    </w:rPr>
  </w:style>
  <w:style w:type="table" w:styleId="TableGrid">
    <w:name w:val="Table Grid"/>
    <w:basedOn w:val="TableNormal"/>
    <w:uiPriority w:val="39"/>
    <w:rsid w:val="00FE55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55E7"/>
    <w:rPr>
      <w:color w:val="954F72" w:themeColor="followedHyperlink"/>
      <w:u w:val="single"/>
    </w:rPr>
  </w:style>
  <w:style w:type="character" w:styleId="UnresolvedMention">
    <w:name w:val="Unresolved Mention"/>
    <w:basedOn w:val="DefaultParagraphFont"/>
    <w:uiPriority w:val="99"/>
    <w:semiHidden/>
    <w:unhideWhenUsed/>
    <w:rsid w:val="00AA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4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ob-evaluatie.nl/resultaten/publicaties/deelstudies/2021/12/10/srgr-evidence-gap-map" TargetMode="External" Id="rId13" /><Relationship Type="http://schemas.openxmlformats.org/officeDocument/2006/relationships/settings" Target="settings.xml" Id="rId7" /><Relationship Type="http://schemas.openxmlformats.org/officeDocument/2006/relationships/hyperlink" Target="https://www.iob-evaluatie.nl/resultaten/srgr-beleid" TargetMode="Externa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www.iob-evaluatie.nl/resultaten/srgr-beleid"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yperlink" Target="https://dashboards.sdgindex.org/map"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1253</ap:Words>
  <ap:Characters>6897</ap:Characters>
  <ap:DocSecurity>4</ap:DocSecurity>
  <ap:Lines>57</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2024-03-15T15:02:00.0000000Z</dcterms:created>
  <dcterms:modified xsi:type="dcterms:W3CDTF">2024-03-15T15:02:00.0000000Z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0x0101009C7CE436063D44E9BE7DC0259EF7C32F006EB9F9836A634AE58B6169785FD3936F002CD00575285BF7498FBF77FCCC572561</vt:lpwstr>
  </property>
  <property fmtid="{D5CDD505-2E9C-101B-9397-08002B2CF9AE}" pid="3" name="BZ_Country">
    <vt:lpwstr>5;#Not applicable|ec01d90b-9d0f-4785-8785-e1ea615196bf</vt:lpwstr>
  </property>
  <property fmtid="{D5CDD505-2E9C-101B-9397-08002B2CF9AE}" pid="4" name="BZ_Classification">
    <vt:lpwstr>9;#NLD RESTRICTED (Dep.V)|44c5317c-4070-428a-ab5b-3ea8ac7ad9f3;#30;#NO MARKING|879e64ec-6597-483b-94db-f5f70afd7299</vt:lpwstr>
  </property>
  <property fmtid="{D5CDD505-2E9C-101B-9397-08002B2CF9AE}" pid="5" name="BZ_Forum">
    <vt:lpwstr>6;#Not applicable|0049e722-bfb1-4a3f-9d08-af7366a9af40</vt:lpwstr>
  </property>
  <property fmtid="{D5CDD505-2E9C-101B-9397-08002B2CF9AE}" pid="6" name="BZ_Theme">
    <vt:lpwstr>40;#Sexual and reproductive health and rights general|1ba53b54-41cb-4be7-9295-615550b8052f</vt:lpwstr>
  </property>
</Properties>
</file>