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127D6B" w:rsidTr="00127D6B" w14:paraId="2049318A" w14:textId="77777777">
        <w:sdt>
          <w:sdtPr>
            <w:tag w:val="bmZaakNummerAdvies"/>
            <w:id w:val="-1683808894"/>
            <w:lock w:val="sdtLocked"/>
            <w:placeholder>
              <w:docPart w:val="DefaultPlaceholder_-1854013440"/>
            </w:placeholder>
          </w:sdtPr>
          <w:sdtEndPr/>
          <w:sdtContent>
            <w:tc>
              <w:tcPr>
                <w:tcW w:w="4251" w:type="dxa"/>
              </w:tcPr>
              <w:p w:rsidR="00127D6B" w:rsidRDefault="00127D6B" w14:paraId="0B9642E0" w14:textId="1CF91BAA">
                <w:r>
                  <w:t>No. W04.24.00011/I</w:t>
                </w:r>
              </w:p>
            </w:tc>
          </w:sdtContent>
        </w:sdt>
        <w:sdt>
          <w:sdtPr>
            <w:tag w:val="bmDatumAdvies"/>
            <w:id w:val="-879559796"/>
            <w:lock w:val="sdtLocked"/>
            <w:placeholder>
              <w:docPart w:val="DefaultPlaceholder_-1854013440"/>
            </w:placeholder>
          </w:sdtPr>
          <w:sdtEndPr/>
          <w:sdtContent>
            <w:tc>
              <w:tcPr>
                <w:tcW w:w="4252" w:type="dxa"/>
              </w:tcPr>
              <w:p w:rsidR="00127D6B" w:rsidRDefault="00127D6B" w14:paraId="1E9048E5" w14:textId="3565BF20">
                <w:r>
                  <w:t>'s-Gravenhage, 1</w:t>
                </w:r>
                <w:r w:rsidR="00D2029F">
                  <w:t>4</w:t>
                </w:r>
                <w:r>
                  <w:t xml:space="preserve"> februari 2024</w:t>
                </w:r>
              </w:p>
            </w:tc>
          </w:sdtContent>
        </w:sdt>
      </w:tr>
    </w:tbl>
    <w:p w:rsidR="00127D6B" w:rsidRDefault="00127D6B" w14:paraId="2999DB05" w14:textId="77777777"/>
    <w:p w:rsidR="00127D6B" w:rsidRDefault="00127D6B" w14:paraId="197684A3" w14:textId="77777777"/>
    <w:p w:rsidR="007919F3" w:rsidRDefault="002B5AF9" w14:paraId="53EE9372" w14:textId="0E73AD67">
      <w:sdt>
        <w:sdtPr>
          <w:tag w:val="bmAanhef"/>
          <w:id w:val="829796067"/>
          <w:lock w:val="sdtLocked"/>
          <w:placeholder>
            <w:docPart w:val="DefaultPlaceholder_-1854013440"/>
          </w:placeholder>
        </w:sdtPr>
        <w:sdtEndPr/>
        <w:sdtContent>
          <w:r w:rsidR="00127D6B">
            <w:rPr>
              <w:color w:val="000000"/>
            </w:rPr>
            <w:t>Bij Kabinetsmissive van 26 januari 2024, no.2024000158, heeft Uwe Majesteit, op voordracht van de Minister van Binnenlandse Zaken en Koninkrijksrelaties, bij de Afdeling advisering van de Raad van State ter overweging aanhangig gemaakt het voorstel van wet tot wijziging van de Wet maximering huurprijsverhogingen geliberaliseerde huurovereenkomsten, van Boek 7 van het Burgerlijk Wetboek, van de Uitvoeringswet huurprijzen woonruimte en van de Wet goed verhuurderschap (verlenging, wijziging en handhaving van de maximering en verkorting van de verjaringstermijn voor huurverhogingen), met memorie van toelichting.</w:t>
          </w:r>
        </w:sdtContent>
      </w:sdt>
    </w:p>
    <w:p w:rsidR="007919F3" w:rsidRDefault="007919F3" w14:paraId="53EE9373" w14:textId="77777777"/>
    <w:sdt>
      <w:sdtPr>
        <w:tag w:val="bmVrijeTekst1"/>
        <w:id w:val="1522509798"/>
        <w:lock w:val="sdtLocked"/>
        <w:placeholder>
          <w:docPart w:val="DefaultPlaceholder_-1854013440"/>
        </w:placeholder>
      </w:sdtPr>
      <w:sdtEndPr/>
      <w:sdtContent>
        <w:p w:rsidR="000016B0" w:rsidRDefault="00221CCB" w14:paraId="2A7844BA" w14:textId="1812291A">
          <w:r>
            <w:t xml:space="preserve">Het wetsvoorstel </w:t>
          </w:r>
          <w:r w:rsidR="00084CB7">
            <w:t xml:space="preserve">stelt een maximum aan de </w:t>
          </w:r>
          <w:r w:rsidR="00CE5432">
            <w:t>jaarlijkse</w:t>
          </w:r>
          <w:r w:rsidR="00084CB7">
            <w:t xml:space="preserve"> huurverhoging in de vrije huursector. </w:t>
          </w:r>
          <w:r w:rsidR="007B69CB">
            <w:t>Daartoe wordt de huidige tijdelijke wet die daarin voorziet met drie jaar verlengd</w:t>
          </w:r>
          <w:r w:rsidR="00D74CD8">
            <w:t>.</w:t>
          </w:r>
          <w:r w:rsidR="00481940">
            <w:rPr>
              <w:rStyle w:val="Voetnootmarkering"/>
            </w:rPr>
            <w:footnoteReference w:id="2"/>
          </w:r>
          <w:r w:rsidR="00DE7362">
            <w:t xml:space="preserve"> </w:t>
          </w:r>
          <w:r w:rsidR="00204A70">
            <w:t xml:space="preserve">Daarnaast </w:t>
          </w:r>
          <w:r w:rsidR="00821E58">
            <w:t xml:space="preserve">krijgen gemeenten </w:t>
          </w:r>
          <w:r w:rsidR="00F30494">
            <w:t xml:space="preserve">handhavende bevoegdheden </w:t>
          </w:r>
          <w:proofErr w:type="gramStart"/>
          <w:r w:rsidR="0078458D">
            <w:t>jegens</w:t>
          </w:r>
          <w:proofErr w:type="gramEnd"/>
          <w:r w:rsidR="00F30494">
            <w:t xml:space="preserve"> verhuurders die zich niet aan deze </w:t>
          </w:r>
          <w:r w:rsidR="0014161B">
            <w:t>maximering</w:t>
          </w:r>
          <w:r w:rsidR="00F30494">
            <w:t xml:space="preserve"> houden.</w:t>
          </w:r>
          <w:r w:rsidR="004E066E">
            <w:t xml:space="preserve"> Tot slot regelt het wetsvoorstel </w:t>
          </w:r>
          <w:r w:rsidR="00F616A0">
            <w:t>dat</w:t>
          </w:r>
          <w:r w:rsidR="004E066E">
            <w:t xml:space="preserve"> de verjaringstermijn waarbinnen verhuurders een huurverhoging kunnen opeisen</w:t>
          </w:r>
          <w:r w:rsidR="000016B0">
            <w:t xml:space="preserve"> wordt teruggebracht van vijf naar een jaar.</w:t>
          </w:r>
        </w:p>
        <w:p w:rsidR="007919F3" w:rsidRDefault="007919F3" w14:paraId="53EE9374" w14:textId="37AE0811"/>
        <w:p w:rsidR="000016B0" w:rsidRDefault="000016B0" w14:paraId="0FB8B357" w14:textId="7461A615">
          <w:r>
            <w:t>De Afdeling advisering van de Raad van State maakt opmerking</w:t>
          </w:r>
          <w:r w:rsidR="00855541">
            <w:t xml:space="preserve">en </w:t>
          </w:r>
          <w:r>
            <w:t xml:space="preserve">over de </w:t>
          </w:r>
          <w:r w:rsidR="00ED22CB">
            <w:t>effecten</w:t>
          </w:r>
          <w:r w:rsidR="004F3B8D">
            <w:t xml:space="preserve">, </w:t>
          </w:r>
          <w:r w:rsidR="004963C4">
            <w:t xml:space="preserve">de grondslag </w:t>
          </w:r>
          <w:r w:rsidR="004F3B8D">
            <w:t xml:space="preserve">en de verenigbaarheid met het Unierecht </w:t>
          </w:r>
          <w:r w:rsidR="004963C4">
            <w:t xml:space="preserve">van </w:t>
          </w:r>
          <w:r w:rsidR="004F3B8D">
            <w:t xml:space="preserve">de </w:t>
          </w:r>
          <w:r>
            <w:t>v</w:t>
          </w:r>
          <w:r w:rsidR="001477A8">
            <w:t xml:space="preserve">oorgestelde verlenging van de </w:t>
          </w:r>
          <w:r w:rsidR="00FA6F60">
            <w:t xml:space="preserve">maximering. </w:t>
          </w:r>
          <w:r w:rsidR="007E6859">
            <w:t xml:space="preserve">Daarnaast adviseert zij </w:t>
          </w:r>
          <w:r w:rsidR="00E6746C">
            <w:t>het onderdeel</w:t>
          </w:r>
          <w:r w:rsidR="001477A8">
            <w:t xml:space="preserve"> over de inkorting van de </w:t>
          </w:r>
          <w:r w:rsidR="000F0117">
            <w:t>verjaringstermijn</w:t>
          </w:r>
          <w:r w:rsidR="001111B1">
            <w:t xml:space="preserve"> </w:t>
          </w:r>
          <w:r w:rsidR="00E31A22">
            <w:t>nader te doordenken en in een apart wetsvoorstel</w:t>
          </w:r>
          <w:r w:rsidR="003A244E">
            <w:t xml:space="preserve"> in de reguliere wetgevingsprocedure te brengen</w:t>
          </w:r>
          <w:r w:rsidR="00281C60">
            <w:t>.</w:t>
          </w:r>
          <w:r w:rsidR="00855541">
            <w:t xml:space="preserve"> In verband hiermee is aanpassing van de toelichting en zo nodig het wetsvoorstel wenselijk.</w:t>
          </w:r>
        </w:p>
        <w:p w:rsidR="00E33379" w:rsidRDefault="00E33379" w14:paraId="568CA125" w14:textId="77777777"/>
        <w:p w:rsidR="00E33379" w:rsidRDefault="00E33379" w14:paraId="1FDE9806" w14:textId="7DB7A681">
          <w:r>
            <w:t>1.</w:t>
          </w:r>
          <w:r>
            <w:tab/>
          </w:r>
          <w:r w:rsidRPr="00032868" w:rsidR="00032868">
            <w:rPr>
              <w:u w:val="single"/>
            </w:rPr>
            <w:t>Maximering huurprijsverhoging</w:t>
          </w:r>
        </w:p>
        <w:p w:rsidR="00032868" w:rsidRDefault="00032868" w14:paraId="72C77A9B" w14:textId="77777777"/>
        <w:p w:rsidR="00032868" w:rsidRDefault="009C38B1" w14:paraId="173BB4D6" w14:textId="45D669FF">
          <w:r>
            <w:t>a.</w:t>
          </w:r>
          <w:r>
            <w:tab/>
          </w:r>
          <w:r w:rsidRPr="00E70A7D">
            <w:rPr>
              <w:i/>
              <w:iCs/>
            </w:rPr>
            <w:t>Evenwichtige belangenafweging</w:t>
          </w:r>
        </w:p>
        <w:p w:rsidR="009C38B1" w:rsidRDefault="004B3C01" w14:paraId="6E1B5777" w14:textId="424E5D28">
          <w:r>
            <w:t xml:space="preserve">Het primaire doel van de </w:t>
          </w:r>
          <w:r w:rsidR="00596814">
            <w:t>maximering is bescherming van de huurder door ‘hoge en excessieve</w:t>
          </w:r>
          <w:r w:rsidR="00ED3CE0">
            <w:t>’</w:t>
          </w:r>
          <w:r w:rsidR="00596814">
            <w:t xml:space="preserve"> huurprijsstijgingen</w:t>
          </w:r>
          <w:r w:rsidR="00ED3CE0">
            <w:t xml:space="preserve"> te voorkomen</w:t>
          </w:r>
          <w:r w:rsidR="00596814">
            <w:t>.</w:t>
          </w:r>
          <w:r w:rsidR="00946FB1">
            <w:t xml:space="preserve"> </w:t>
          </w:r>
          <w:r w:rsidR="002E3C3A">
            <w:t xml:space="preserve">De Afdeling heeft begrip voor </w:t>
          </w:r>
          <w:r w:rsidR="006C32EF">
            <w:t>dit doel</w:t>
          </w:r>
          <w:r w:rsidR="00026C49">
            <w:t xml:space="preserve">. </w:t>
          </w:r>
          <w:r w:rsidR="00946FB1">
            <w:t xml:space="preserve">De maximering drukt in beperkte mate op </w:t>
          </w:r>
          <w:r w:rsidR="00C04CE2">
            <w:t>de rentabiliteit van verhuurders</w:t>
          </w:r>
          <w:r w:rsidR="00F167DA">
            <w:t xml:space="preserve">, </w:t>
          </w:r>
          <w:r w:rsidR="005144D0">
            <w:t>zij het dat p</w:t>
          </w:r>
          <w:r w:rsidR="001C742D">
            <w:t>a</w:t>
          </w:r>
          <w:r w:rsidR="00C04CE2">
            <w:t xml:space="preserve">rticuliere verhuurders meer </w:t>
          </w:r>
          <w:r w:rsidR="00190AF6">
            <w:t>last van deze maatregel</w:t>
          </w:r>
          <w:r w:rsidR="00C04CE2">
            <w:t xml:space="preserve"> </w:t>
          </w:r>
          <w:r w:rsidR="00F10EDB">
            <w:t xml:space="preserve">hebben </w:t>
          </w:r>
          <w:r w:rsidR="00C04CE2">
            <w:t>dan inst</w:t>
          </w:r>
          <w:r w:rsidR="00DA5F18">
            <w:t>itutionele partijen.</w:t>
          </w:r>
          <w:r w:rsidR="00DA5F18">
            <w:rPr>
              <w:rStyle w:val="Voetnootmarkering"/>
            </w:rPr>
            <w:footnoteReference w:id="3"/>
          </w:r>
          <w:r w:rsidR="00DA5F18">
            <w:t xml:space="preserve"> </w:t>
          </w:r>
          <w:r w:rsidR="00C36071">
            <w:t xml:space="preserve">Belangrijker dan het </w:t>
          </w:r>
          <w:r w:rsidR="0009585B">
            <w:t>geïsoleerde</w:t>
          </w:r>
          <w:r w:rsidR="00C36071">
            <w:t xml:space="preserve"> effect van deze wet is de vraag hoe de </w:t>
          </w:r>
          <w:r w:rsidR="0009585B">
            <w:t>combinatie</w:t>
          </w:r>
          <w:r w:rsidR="00C36071">
            <w:t xml:space="preserve"> van overheidsmaatregelen uitpakt voor </w:t>
          </w:r>
          <w:r w:rsidR="00BA754B">
            <w:t>de woningmarkt en voor de vrije huursector in het bijzonder</w:t>
          </w:r>
          <w:r w:rsidR="00967685">
            <w:t xml:space="preserve">. Belangrijk daarbij zijn niet alleen de </w:t>
          </w:r>
          <w:proofErr w:type="gramStart"/>
          <w:r w:rsidR="00967685">
            <w:t>reeds</w:t>
          </w:r>
          <w:proofErr w:type="gramEnd"/>
          <w:r w:rsidR="00967685">
            <w:t xml:space="preserve"> getroffen maatregelen maar </w:t>
          </w:r>
          <w:r w:rsidR="00FC54EC">
            <w:t xml:space="preserve">ook de toekomstige, in het </w:t>
          </w:r>
          <w:r w:rsidR="0009585B">
            <w:t>bijzonder</w:t>
          </w:r>
          <w:r w:rsidR="00FC54EC">
            <w:t xml:space="preserve"> de wet betaalbare huur.</w:t>
          </w:r>
          <w:r w:rsidR="00D1149F">
            <w:t xml:space="preserve"> De Afdeling heeft eerder gewezen op het </w:t>
          </w:r>
          <w:r w:rsidR="00D1149F">
            <w:lastRenderedPageBreak/>
            <w:t>belang om de uiteenlopende maatregel</w:t>
          </w:r>
          <w:r w:rsidR="006134D6">
            <w:t>en</w:t>
          </w:r>
          <w:r w:rsidR="005F54B3">
            <w:t xml:space="preserve"> op de woningmarkt in samenhang te bezien.</w:t>
          </w:r>
          <w:r w:rsidR="005F54B3">
            <w:rPr>
              <w:rStyle w:val="Voetnootmarkering"/>
            </w:rPr>
            <w:footnoteReference w:id="4"/>
          </w:r>
          <w:r w:rsidR="005F54B3">
            <w:t xml:space="preserve"> </w:t>
          </w:r>
        </w:p>
        <w:p w:rsidR="00BA754B" w:rsidRDefault="00BA754B" w14:paraId="57925E7E" w14:textId="25E8A2FE"/>
        <w:p w:rsidR="008F1C92" w:rsidRDefault="00BA754B" w14:paraId="5E7C3E65" w14:textId="77777777">
          <w:r>
            <w:t xml:space="preserve">Dit </w:t>
          </w:r>
          <w:r w:rsidR="00C33BD5">
            <w:t>is te meer van belang gegeven de schaarste in de vrije huursector</w:t>
          </w:r>
          <w:r w:rsidR="00432EB2">
            <w:t xml:space="preserve">. Zoals de Afdeling eerder uiteenzette, </w:t>
          </w:r>
          <w:r w:rsidR="0056498F">
            <w:t>richt de</w:t>
          </w:r>
          <w:r w:rsidR="00432EB2">
            <w:t xml:space="preserve"> maximering van de huurprijsverhoging </w:t>
          </w:r>
          <w:r w:rsidR="0056498F">
            <w:t xml:space="preserve">zich op een zichtbaar effect zonder de </w:t>
          </w:r>
          <w:r w:rsidR="00D719F0">
            <w:t xml:space="preserve">onderliggende </w:t>
          </w:r>
          <w:r w:rsidR="0056498F">
            <w:t>structurele oorzaken aan</w:t>
          </w:r>
          <w:r w:rsidR="00D719F0">
            <w:t xml:space="preserve"> te pakken</w:t>
          </w:r>
          <w:r w:rsidR="0056498F">
            <w:t>.</w:t>
          </w:r>
          <w:r w:rsidR="0056498F">
            <w:rPr>
              <w:rStyle w:val="Voetnootmarkering"/>
            </w:rPr>
            <w:footnoteReference w:id="5"/>
          </w:r>
          <w:r w:rsidR="00BA7AB4">
            <w:t xml:space="preserve"> De </w:t>
          </w:r>
          <w:r w:rsidR="000B22F8">
            <w:t>wets</w:t>
          </w:r>
          <w:r w:rsidR="00BA7AB4">
            <w:t>eval</w:t>
          </w:r>
          <w:r w:rsidR="000B22F8">
            <w:t>u</w:t>
          </w:r>
          <w:r w:rsidR="00BA7AB4">
            <w:t xml:space="preserve">atie </w:t>
          </w:r>
          <w:r w:rsidR="001C4611">
            <w:t>onderkent</w:t>
          </w:r>
          <w:r w:rsidR="000B22F8">
            <w:t xml:space="preserve"> ook de </w:t>
          </w:r>
          <w:r w:rsidR="001C4611">
            <w:t>aanhouden</w:t>
          </w:r>
          <w:r w:rsidR="0009542A">
            <w:t>de</w:t>
          </w:r>
          <w:r w:rsidR="000B22F8">
            <w:t xml:space="preserve"> schaarste op de woningmarkt</w:t>
          </w:r>
          <w:r w:rsidR="00C64C20">
            <w:t xml:space="preserve"> waardoor huurders </w:t>
          </w:r>
          <w:r w:rsidR="007D3D3E">
            <w:t>in een afhankelijke positie komen en bescherming nodig is</w:t>
          </w:r>
          <w:r w:rsidR="001C4611">
            <w:t>.</w:t>
          </w:r>
          <w:r w:rsidR="001C4611">
            <w:rPr>
              <w:rStyle w:val="Voetnootmarkering"/>
            </w:rPr>
            <w:footnoteReference w:id="6"/>
          </w:r>
          <w:r w:rsidR="007D3D3E">
            <w:t xml:space="preserve"> </w:t>
          </w:r>
        </w:p>
        <w:p w:rsidR="008F1C92" w:rsidRDefault="008F1C92" w14:paraId="129AA37F" w14:textId="77777777"/>
        <w:p w:rsidR="00BA754B" w:rsidRDefault="007D3D3E" w14:paraId="75BD6FBE" w14:textId="5B81847C">
          <w:r>
            <w:t>Tegelijk</w:t>
          </w:r>
          <w:r w:rsidR="00453239">
            <w:t xml:space="preserve"> </w:t>
          </w:r>
          <w:r w:rsidR="00F5343E">
            <w:t>kan</w:t>
          </w:r>
          <w:r w:rsidR="007B30C5">
            <w:t xml:space="preserve"> </w:t>
          </w:r>
          <w:r w:rsidR="00453239">
            <w:t xml:space="preserve">dit wetsvoorstel – bezien in combinatie met andere maatregelen </w:t>
          </w:r>
          <w:r w:rsidR="00C43AB8">
            <w:t>–</w:t>
          </w:r>
          <w:r w:rsidR="00453239">
            <w:t xml:space="preserve"> </w:t>
          </w:r>
          <w:r w:rsidR="00C43AB8">
            <w:t>de rendementen onder druk zetten</w:t>
          </w:r>
          <w:r w:rsidR="004F3503">
            <w:t xml:space="preserve">, </w:t>
          </w:r>
          <w:r w:rsidR="00721BE5">
            <w:t>wat</w:t>
          </w:r>
          <w:r w:rsidR="004F3503">
            <w:t xml:space="preserve"> op termijn de schaarste </w:t>
          </w:r>
          <w:r w:rsidR="004B05C4">
            <w:t xml:space="preserve">juist </w:t>
          </w:r>
          <w:r w:rsidR="004F3503">
            <w:t xml:space="preserve">kan </w:t>
          </w:r>
          <w:r w:rsidR="004B05C4">
            <w:t>vergroten</w:t>
          </w:r>
          <w:r w:rsidR="00A25DA8">
            <w:t>.</w:t>
          </w:r>
          <w:r w:rsidR="00DE028D">
            <w:rPr>
              <w:rStyle w:val="Voetnootmarkering"/>
            </w:rPr>
            <w:footnoteReference w:id="7"/>
          </w:r>
          <w:r w:rsidR="00B74ECB">
            <w:t xml:space="preserve"> In dit verband </w:t>
          </w:r>
          <w:r w:rsidR="001219DC">
            <w:t>rijst ook de vraag hoe deze wet zich precies verhoudt tot het wetsvoorstel betaalbare huur</w:t>
          </w:r>
          <w:r w:rsidR="0025474A">
            <w:t xml:space="preserve"> dat </w:t>
          </w:r>
          <w:r w:rsidR="00301ED8">
            <w:t>onlangs is</w:t>
          </w:r>
          <w:r w:rsidR="0025474A">
            <w:t xml:space="preserve"> ingediend bij de Tweede Kamer.</w:t>
          </w:r>
          <w:r w:rsidR="00301ED8">
            <w:rPr>
              <w:rStyle w:val="Voetnootmarkering"/>
            </w:rPr>
            <w:footnoteReference w:id="8"/>
          </w:r>
          <w:r w:rsidR="006B6599">
            <w:t xml:space="preserve"> </w:t>
          </w:r>
          <w:r w:rsidR="007A737C">
            <w:t xml:space="preserve">Het is daarom wenselijk </w:t>
          </w:r>
          <w:r w:rsidR="00804347">
            <w:t>uitgebreider toe</w:t>
          </w:r>
          <w:r w:rsidR="003E5A27">
            <w:t xml:space="preserve"> t</w:t>
          </w:r>
          <w:r w:rsidR="00804347">
            <w:t>e</w:t>
          </w:r>
          <w:r w:rsidR="003E5A27">
            <w:t xml:space="preserve"> </w:t>
          </w:r>
          <w:r w:rsidR="00804347">
            <w:t>licht</w:t>
          </w:r>
          <w:r w:rsidR="003E5A27">
            <w:t>en</w:t>
          </w:r>
          <w:r w:rsidR="00804347">
            <w:t xml:space="preserve"> </w:t>
          </w:r>
          <w:r w:rsidR="008617B2">
            <w:t>wat</w:t>
          </w:r>
          <w:r w:rsidR="00804347">
            <w:t xml:space="preserve"> dit wetsvoorstel </w:t>
          </w:r>
          <w:r w:rsidR="00111558">
            <w:t>betekent voor</w:t>
          </w:r>
          <w:r w:rsidR="00041C20">
            <w:t>,</w:t>
          </w:r>
          <w:r w:rsidR="00BE685A">
            <w:t xml:space="preserve"> en mogelijkerwijs </w:t>
          </w:r>
          <w:r w:rsidR="00804347">
            <w:t>ingrijpt op</w:t>
          </w:r>
          <w:r w:rsidR="00041C20">
            <w:t>,</w:t>
          </w:r>
          <w:r w:rsidR="00804347">
            <w:t xml:space="preserve"> de gemeentelijke bevoegdheden die </w:t>
          </w:r>
          <w:r w:rsidR="00B006BC">
            <w:t xml:space="preserve">voortvloeien uit de </w:t>
          </w:r>
          <w:r w:rsidR="00AB1A46">
            <w:t>bestaande</w:t>
          </w:r>
          <w:r w:rsidR="00AB1A46">
            <w:rPr>
              <w:rStyle w:val="Voetnootmarkering"/>
            </w:rPr>
            <w:footnoteReference w:id="9"/>
          </w:r>
          <w:r w:rsidR="00AB1A46">
            <w:t xml:space="preserve"> en (mogelijk) toekomstige wettelijke regelingen.</w:t>
          </w:r>
          <w:r w:rsidR="00170F1E">
            <w:rPr>
              <w:rStyle w:val="Voetnootmarkering"/>
            </w:rPr>
            <w:footnoteReference w:id="10"/>
          </w:r>
          <w:r w:rsidR="00695F35">
            <w:t xml:space="preserve"> </w:t>
          </w:r>
        </w:p>
        <w:p w:rsidR="0016341B" w:rsidRDefault="0016341B" w14:paraId="2E568E66" w14:textId="77777777"/>
        <w:p w:rsidR="00BA7AB4" w:rsidRDefault="00BA7AB4" w14:paraId="3B42224C" w14:textId="77A3021D">
          <w:r>
            <w:t>De A</w:t>
          </w:r>
          <w:r w:rsidR="00A25DA8">
            <w:t xml:space="preserve">fdeling adviseert in de toelichting uitgebreider in te gaan op het </w:t>
          </w:r>
          <w:r w:rsidR="00621095">
            <w:t>cumulatieve</w:t>
          </w:r>
          <w:r w:rsidR="008D3E2F">
            <w:t xml:space="preserve"> effect van de maatregelen</w:t>
          </w:r>
          <w:r w:rsidR="00A25DA8">
            <w:t>.</w:t>
          </w:r>
        </w:p>
        <w:p w:rsidR="009C38B1" w:rsidRDefault="009C38B1" w14:paraId="73B9D41A" w14:textId="77777777"/>
        <w:p w:rsidR="009C38B1" w:rsidRDefault="009C38B1" w14:paraId="217DC8A4" w14:textId="1C82CD5F">
          <w:r>
            <w:t>b.</w:t>
          </w:r>
          <w:r>
            <w:tab/>
          </w:r>
          <w:r w:rsidRPr="00720C78" w:rsidR="00D00135">
            <w:rPr>
              <w:i/>
              <w:iCs/>
            </w:rPr>
            <w:t xml:space="preserve">Grondslag voor </w:t>
          </w:r>
          <w:r w:rsidRPr="00720C78" w:rsidR="00720C78">
            <w:rPr>
              <w:i/>
              <w:iCs/>
            </w:rPr>
            <w:t>b</w:t>
          </w:r>
          <w:r w:rsidRPr="00720C78">
            <w:rPr>
              <w:i/>
              <w:iCs/>
            </w:rPr>
            <w:t>erekening</w:t>
          </w:r>
        </w:p>
        <w:p w:rsidR="00013DD7" w:rsidRDefault="00C32CF1" w14:paraId="183492E3" w14:textId="7E16B187">
          <w:r>
            <w:t xml:space="preserve">Oorspronkelijk </w:t>
          </w:r>
          <w:r w:rsidR="00D44B2A">
            <w:t xml:space="preserve">was de maximale verhoging van de huren gekoppeld aan de inflatie vermeerderd met 1 procentpunt. </w:t>
          </w:r>
          <w:r w:rsidR="00A8748D">
            <w:t xml:space="preserve">Per 1 januari 2023 is de wet gewijzigd: vanaf dan geldt dat de maximering gebaseerd is op de laagste </w:t>
          </w:r>
          <w:r w:rsidR="00B74ECB">
            <w:t xml:space="preserve">grondslag </w:t>
          </w:r>
          <w:r w:rsidR="00A8748D">
            <w:t xml:space="preserve">van </w:t>
          </w:r>
          <w:r w:rsidR="00B74ECB">
            <w:t xml:space="preserve">hetzij de </w:t>
          </w:r>
          <w:r w:rsidR="00A8748D">
            <w:t xml:space="preserve">inflatie plus 1 procentpunt </w:t>
          </w:r>
          <w:r w:rsidR="00B74ECB">
            <w:t>dan wel de cao</w:t>
          </w:r>
          <w:r w:rsidR="00A8748D">
            <w:t>-loonontwikkeling plus 1 procentpunt.</w:t>
          </w:r>
          <w:r w:rsidR="00500033">
            <w:t xml:space="preserve"> Deze wijziging hield </w:t>
          </w:r>
          <w:r w:rsidR="00C30377">
            <w:t>verband</w:t>
          </w:r>
          <w:r w:rsidR="00500033">
            <w:t xml:space="preserve"> met de </w:t>
          </w:r>
          <w:r w:rsidR="00853724">
            <w:t xml:space="preserve">toen uitzonderlijk </w:t>
          </w:r>
          <w:r w:rsidR="00500033">
            <w:t>hoge inflatie</w:t>
          </w:r>
          <w:r w:rsidR="00C30377">
            <w:t xml:space="preserve">. In 2023 is daarom de </w:t>
          </w:r>
          <w:r w:rsidR="00DA59F1">
            <w:t>cao</w:t>
          </w:r>
          <w:r w:rsidR="00C30377">
            <w:t>-loonontwikkeling de grondslag voor de berekening geweest</w:t>
          </w:r>
          <w:r w:rsidR="00F0224F">
            <w:t>, terwijl het dit jaar de inflatie is</w:t>
          </w:r>
          <w:r w:rsidR="00C30377">
            <w:t>.</w:t>
          </w:r>
          <w:r w:rsidR="00A8748D">
            <w:t xml:space="preserve"> </w:t>
          </w:r>
        </w:p>
        <w:p w:rsidR="00C30377" w:rsidRDefault="00C30377" w14:paraId="5DE5ABE3" w14:textId="77777777"/>
        <w:p w:rsidR="007C0BFF" w:rsidRDefault="00B96C0E" w14:paraId="161EFB69" w14:textId="3B1796A7">
          <w:r>
            <w:t xml:space="preserve">Mede met het oog op de rechtszekerheid heeft de Afdeling er begrip voor dat de regering nu kiest voor één grondslag in plaats van twee. </w:t>
          </w:r>
          <w:r w:rsidR="00F0224F">
            <w:t xml:space="preserve">Het wetsvoorstel kiest voor de komende drie jaar voor de gemiddelde cao-loonontwikkeling als </w:t>
          </w:r>
          <w:proofErr w:type="gramStart"/>
          <w:r w:rsidR="00F0224F">
            <w:lastRenderedPageBreak/>
            <w:t>grondslag</w:t>
          </w:r>
          <w:proofErr w:type="gramEnd"/>
          <w:r w:rsidR="00F0224F">
            <w:t>, vermeerderd met 1 procentpunt.</w:t>
          </w:r>
          <w:r w:rsidR="00F0224F">
            <w:rPr>
              <w:rStyle w:val="Voetnootmarkering"/>
            </w:rPr>
            <w:footnoteReference w:id="11"/>
          </w:r>
          <w:r w:rsidR="00F0224F">
            <w:t xml:space="preserve"> </w:t>
          </w:r>
          <w:r w:rsidR="000B21A9">
            <w:t>Daarmee wordt aangesloten bij de grondslag die ook is voorzien in andere wetgeving.</w:t>
          </w:r>
          <w:r w:rsidR="00196AE3">
            <w:rPr>
              <w:rStyle w:val="Voetnootmarkering"/>
            </w:rPr>
            <w:footnoteReference w:id="12"/>
          </w:r>
          <w:r w:rsidR="000B21A9">
            <w:t xml:space="preserve"> </w:t>
          </w:r>
          <w:r w:rsidR="00C30377">
            <w:t xml:space="preserve">De regering </w:t>
          </w:r>
          <w:r w:rsidR="00AE4BAA">
            <w:t xml:space="preserve">kiest </w:t>
          </w:r>
          <w:r w:rsidR="00503BE9">
            <w:t>voor deze grondslag om huurders beter te beschermen</w:t>
          </w:r>
          <w:r w:rsidR="00965A0C">
            <w:t xml:space="preserve">. </w:t>
          </w:r>
          <w:r w:rsidR="007C0BFF">
            <w:t>Of d</w:t>
          </w:r>
          <w:r w:rsidR="00A14F47">
            <w:t xml:space="preserve">eze bescherming </w:t>
          </w:r>
          <w:r w:rsidR="007C0BFF">
            <w:t>ook zo uitpakt</w:t>
          </w:r>
          <w:r w:rsidR="0057201A">
            <w:t>,</w:t>
          </w:r>
          <w:r w:rsidR="007C0BFF">
            <w:t xml:space="preserve"> wordt niet cijfermatig onderbouwd</w:t>
          </w:r>
          <w:r w:rsidR="00596060">
            <w:t>. G</w:t>
          </w:r>
          <w:r w:rsidR="007C0BFF">
            <w:t>ezien het na-ijleffect van looncorrecties na de (hoge) inflatie van de afgelopen tijd is het niet ondenkbaar dat de lo</w:t>
          </w:r>
          <w:r w:rsidR="00633460">
            <w:t>o</w:t>
          </w:r>
          <w:r w:rsidR="007C0BFF">
            <w:t xml:space="preserve">nontwikkeling </w:t>
          </w:r>
          <w:r w:rsidR="00606DEF">
            <w:t xml:space="preserve">(plus 1 procentpunt) </w:t>
          </w:r>
          <w:r w:rsidR="007C0BFF">
            <w:t>de komende jaren hoger is dan de inflatie</w:t>
          </w:r>
          <w:r w:rsidR="00F47FF7">
            <w:t xml:space="preserve"> (plus 1 procentpunt)</w:t>
          </w:r>
          <w:r w:rsidR="007C0BFF">
            <w:t xml:space="preserve">. </w:t>
          </w:r>
        </w:p>
        <w:p w:rsidR="007C0BFF" w:rsidRDefault="007C0BFF" w14:paraId="3E7FA1B4" w14:textId="77777777"/>
        <w:p w:rsidR="00CC1158" w:rsidRDefault="007C0BFF" w14:paraId="686D1E19" w14:textId="40153D35">
          <w:r>
            <w:t>Meer principieel is d</w:t>
          </w:r>
          <w:r w:rsidR="000F3821">
            <w:t>e vraag of de loonontwikkeling de meest aangewezen grondslag is.</w:t>
          </w:r>
          <w:r w:rsidR="004434E0">
            <w:t xml:space="preserve"> De grondgedachte achter huurverhogingen is dat deze </w:t>
          </w:r>
          <w:r w:rsidR="00F63A27">
            <w:t xml:space="preserve">gelijke tred houden met de prijsontwikkeling (geldontwaarding). </w:t>
          </w:r>
          <w:r w:rsidR="0097463B">
            <w:t>Een</w:t>
          </w:r>
          <w:r w:rsidR="00F63A27">
            <w:t xml:space="preserve"> logische en objectieve maatstaf hiervoor is de in</w:t>
          </w:r>
          <w:r w:rsidR="00AA4595">
            <w:t xml:space="preserve">flatie. </w:t>
          </w:r>
          <w:r w:rsidR="000F528A">
            <w:t>Of de loonontwikkeling</w:t>
          </w:r>
          <w:r w:rsidR="00300EC6">
            <w:t>, zoals de regering betoogt,</w:t>
          </w:r>
          <w:r w:rsidR="000F528A">
            <w:t xml:space="preserve"> gelijke tred houdt met de inflatie </w:t>
          </w:r>
          <w:r w:rsidR="00300EC6">
            <w:t>wordt niet cijfermatig onderbouwd.</w:t>
          </w:r>
        </w:p>
        <w:p w:rsidR="00CC1158" w:rsidRDefault="00CC1158" w14:paraId="5C0BC967" w14:textId="77777777"/>
        <w:p w:rsidR="00C30377" w:rsidRDefault="00737F14" w14:paraId="10BD6BC0" w14:textId="09874D9E">
          <w:r>
            <w:t xml:space="preserve">De </w:t>
          </w:r>
          <w:r w:rsidR="00C67665">
            <w:t>gekozen grondslag</w:t>
          </w:r>
          <w:r w:rsidR="001926CA">
            <w:t xml:space="preserve"> heeft daarbij </w:t>
          </w:r>
          <w:r w:rsidR="00EB613E">
            <w:t xml:space="preserve">onvermijdelijk </w:t>
          </w:r>
          <w:r w:rsidR="001926CA">
            <w:t xml:space="preserve">iets willekeurigs: niet iedereen </w:t>
          </w:r>
          <w:r w:rsidR="008C5C0C">
            <w:t>gaat er in een bepaalde periode op vooruit door wisselen</w:t>
          </w:r>
          <w:r w:rsidR="009A0D51">
            <w:t>de</w:t>
          </w:r>
          <w:r w:rsidR="008C5C0C">
            <w:t xml:space="preserve"> </w:t>
          </w:r>
          <w:r w:rsidR="00466E6C">
            <w:t>looptijden</w:t>
          </w:r>
          <w:r w:rsidR="001960B2">
            <w:t xml:space="preserve"> </w:t>
          </w:r>
          <w:r w:rsidR="009A0D51">
            <w:t xml:space="preserve">van cao’s </w:t>
          </w:r>
          <w:r w:rsidR="001960B2">
            <w:t xml:space="preserve">en er zijn ook groepen </w:t>
          </w:r>
          <w:r w:rsidR="00466E6C">
            <w:t xml:space="preserve">zonder </w:t>
          </w:r>
          <w:r w:rsidR="00117056">
            <w:t>cao (zelfstandigen, gepensioneerden)</w:t>
          </w:r>
          <w:r w:rsidR="00466E6C">
            <w:t xml:space="preserve">. </w:t>
          </w:r>
          <w:r w:rsidR="004D2170">
            <w:t>Van belang is</w:t>
          </w:r>
          <w:r w:rsidR="000366A8">
            <w:t xml:space="preserve"> verder </w:t>
          </w:r>
          <w:r w:rsidR="004D2170">
            <w:t xml:space="preserve">dat een substantiële </w:t>
          </w:r>
          <w:r w:rsidR="000366A8">
            <w:t xml:space="preserve">vertraging </w:t>
          </w:r>
          <w:r w:rsidR="0001509F">
            <w:t>ontstaat</w:t>
          </w:r>
          <w:r w:rsidR="000366A8">
            <w:t xml:space="preserve"> tussen</w:t>
          </w:r>
          <w:r w:rsidR="00D37AC0">
            <w:t xml:space="preserve"> het jaar waarin de</w:t>
          </w:r>
          <w:r w:rsidR="000366A8">
            <w:t xml:space="preserve"> prijsstijging </w:t>
          </w:r>
          <w:r w:rsidR="00D37AC0">
            <w:t>zich voordoet</w:t>
          </w:r>
          <w:r w:rsidR="003F29C4">
            <w:t xml:space="preserve">, de looncorrectie een of enkele jaren later, en de huurcorrectie die daar </w:t>
          </w:r>
          <w:r w:rsidR="0001509F">
            <w:t>een jaar later</w:t>
          </w:r>
          <w:r w:rsidR="003F29C4">
            <w:t xml:space="preserve"> op volgt. </w:t>
          </w:r>
        </w:p>
        <w:p w:rsidR="003D6F82" w:rsidRDefault="003D6F82" w14:paraId="42203740" w14:textId="77777777"/>
        <w:p w:rsidR="003D6F82" w:rsidRDefault="003D6F82" w14:paraId="6B937824" w14:textId="5B8D99A4">
          <w:r>
            <w:t xml:space="preserve">De Afdeling adviseert </w:t>
          </w:r>
          <w:r w:rsidR="00C9754B">
            <w:t xml:space="preserve">in het licht van het voorgaande </w:t>
          </w:r>
          <w:r>
            <w:t>nader te motiveren waarom voor de loonontwikkeling als grondslag is gekozen in plaats van de inflatie</w:t>
          </w:r>
          <w:r w:rsidR="008D0680">
            <w:t xml:space="preserve"> en zo nodig het wetsvoorstel aan te passen</w:t>
          </w:r>
          <w:r>
            <w:t>.</w:t>
          </w:r>
        </w:p>
        <w:p w:rsidR="00013DD7" w:rsidRDefault="00013DD7" w14:paraId="762EAE7F" w14:textId="77777777"/>
        <w:p w:rsidR="00032868" w:rsidRDefault="003A5899" w14:paraId="048B9F39" w14:textId="7BA3A51E">
          <w:r>
            <w:t>c.</w:t>
          </w:r>
          <w:r>
            <w:tab/>
          </w:r>
          <w:r w:rsidRPr="00E70A7D">
            <w:rPr>
              <w:i/>
              <w:iCs/>
            </w:rPr>
            <w:t>Unierecht</w:t>
          </w:r>
        </w:p>
        <w:p w:rsidR="00015D3E" w:rsidP="00015D3E" w:rsidRDefault="007A3FD0" w14:paraId="3FE7AB1C" w14:textId="5D364D97">
          <w:r>
            <w:t xml:space="preserve">De </w:t>
          </w:r>
          <w:r w:rsidR="00AF7CE6">
            <w:t>toelichting</w:t>
          </w:r>
          <w:r>
            <w:t xml:space="preserve"> </w:t>
          </w:r>
          <w:r w:rsidR="00015D3E">
            <w:t xml:space="preserve">gaat </w:t>
          </w:r>
          <w:r w:rsidR="00E20201">
            <w:t>niet in op</w:t>
          </w:r>
          <w:r w:rsidR="00015D3E">
            <w:t xml:space="preserve"> de vraag hoe </w:t>
          </w:r>
          <w:r w:rsidR="00D515A9">
            <w:t>het</w:t>
          </w:r>
          <w:r w:rsidR="00015D3E">
            <w:t xml:space="preserve"> wetsvoorstel </w:t>
          </w:r>
          <w:r w:rsidR="00E20201">
            <w:t xml:space="preserve">zich verhoudt tot </w:t>
          </w:r>
          <w:r w:rsidR="00F95341">
            <w:t xml:space="preserve">het </w:t>
          </w:r>
          <w:r w:rsidR="00274074">
            <w:t xml:space="preserve">Unierecht. </w:t>
          </w:r>
          <w:r w:rsidR="00015D3E">
            <w:t xml:space="preserve">De voorgestelde maximering van de huurprijsstijging kan </w:t>
          </w:r>
          <w:r w:rsidR="004F1C66">
            <w:t>gevolge</w:t>
          </w:r>
          <w:r w:rsidR="003C528E">
            <w:t>n hebben voor</w:t>
          </w:r>
          <w:r w:rsidR="00015D3E">
            <w:t xml:space="preserve"> de vrijheid van vestiging en het vrij verkeer van diensten.</w:t>
          </w:r>
          <w:r w:rsidR="0026382B">
            <w:rPr>
              <w:rStyle w:val="Voetnootmarkering"/>
            </w:rPr>
            <w:footnoteReference w:id="13"/>
          </w:r>
          <w:r w:rsidR="00015D3E">
            <w:t xml:space="preserve"> Het relevante kader </w:t>
          </w:r>
          <w:r w:rsidR="00FF32E1">
            <w:t>is</w:t>
          </w:r>
          <w:r w:rsidR="00015D3E">
            <w:t xml:space="preserve"> de Europese Dienstenrichtlijn</w:t>
          </w:r>
          <w:r w:rsidR="008D2412">
            <w:t xml:space="preserve">, waaraan </w:t>
          </w:r>
          <w:r w:rsidR="00DF12E5">
            <w:t>deze maatregel</w:t>
          </w:r>
          <w:r w:rsidR="008D2412">
            <w:t xml:space="preserve"> alsnog dient te worden getoetst</w:t>
          </w:r>
          <w:r w:rsidR="00015D3E">
            <w:t>.</w:t>
          </w:r>
          <w:r w:rsidR="00CE3701">
            <w:rPr>
              <w:rStyle w:val="Voetnootmarkering"/>
            </w:rPr>
            <w:footnoteReference w:id="14"/>
          </w:r>
          <w:r w:rsidR="00C9754B">
            <w:t xml:space="preserve"> Voorts kan </w:t>
          </w:r>
          <w:r w:rsidR="00D1424D">
            <w:t>ook het vrij verkeer van kapitaal in het geding zijn.</w:t>
          </w:r>
        </w:p>
        <w:p w:rsidR="008D2412" w:rsidP="00015D3E" w:rsidRDefault="008D2412" w14:paraId="778992A5" w14:textId="77777777"/>
        <w:p w:rsidR="00032868" w:rsidP="00015D3E" w:rsidRDefault="00A13ABD" w14:paraId="7C56E8B6" w14:textId="76D3FAEB">
          <w:r>
            <w:lastRenderedPageBreak/>
            <w:t xml:space="preserve">De </w:t>
          </w:r>
          <w:r w:rsidR="005B3B00">
            <w:t>Afdeling adviseert de maximering alsnog te toetsen aan het Unierecht.</w:t>
          </w:r>
        </w:p>
        <w:p w:rsidR="003A5899" w:rsidRDefault="003A5899" w14:paraId="143AAA0F" w14:textId="77777777"/>
        <w:p w:rsidR="00032868" w:rsidP="007344F7" w:rsidRDefault="00032868" w14:paraId="24EE72E1" w14:textId="4A054D22">
          <w:pPr>
            <w:keepNext/>
            <w:keepLines/>
          </w:pPr>
          <w:r>
            <w:t>2.</w:t>
          </w:r>
          <w:r>
            <w:tab/>
          </w:r>
          <w:r w:rsidR="00EC3A4D">
            <w:rPr>
              <w:u w:val="single"/>
            </w:rPr>
            <w:t>V</w:t>
          </w:r>
          <w:r w:rsidRPr="00224605" w:rsidR="00224605">
            <w:rPr>
              <w:u w:val="single"/>
            </w:rPr>
            <w:t>erjaringstermijn</w:t>
          </w:r>
        </w:p>
        <w:p w:rsidR="00032868" w:rsidP="007344F7" w:rsidRDefault="00032868" w14:paraId="57100642" w14:textId="77777777">
          <w:pPr>
            <w:keepNext/>
            <w:keepLines/>
          </w:pPr>
        </w:p>
        <w:p w:rsidR="00A1600B" w:rsidP="00A1600B" w:rsidRDefault="00A1600B" w14:paraId="512D1DA6" w14:textId="7498F3FE">
          <w:pPr>
            <w:rPr>
              <w:rFonts w:ascii="Calibri" w:hAnsi="Calibri" w:cs="Calibri"/>
              <w:color w:val="000000"/>
              <w:sz w:val="24"/>
            </w:rPr>
          </w:pPr>
          <w:r w:rsidRPr="00BB30FD">
            <w:rPr>
              <w:rFonts w:cs="Calibri"/>
              <w:color w:val="000000"/>
              <w:szCs w:val="22"/>
            </w:rPr>
            <w:t>Aan artikel 7:25</w:t>
          </w:r>
          <w:r w:rsidRPr="00BB30FD" w:rsidR="00FA2483">
            <w:rPr>
              <w:rFonts w:cs="Calibri"/>
              <w:color w:val="000000"/>
              <w:szCs w:val="22"/>
            </w:rPr>
            <w:t>1</w:t>
          </w:r>
          <w:r w:rsidRPr="00BB30FD">
            <w:rPr>
              <w:rFonts w:cs="Calibri"/>
              <w:color w:val="000000"/>
              <w:szCs w:val="22"/>
            </w:rPr>
            <w:t xml:space="preserve"> Burgerlijk Wetboek (BW) wordt toegevoegd dat verhuurders die hun huurders niet informeren over de toepasselijkheid van een huurverhogingsbeding (en die huurverhoging ook niet incasseren) het recht om die huurverhoging op te eisen na een jaar verliezen.</w:t>
          </w:r>
          <w:r w:rsidRPr="00BB30FD" w:rsidR="00532A1D">
            <w:rPr>
              <w:rStyle w:val="Voetnootmarkering"/>
            </w:rPr>
            <w:footnoteReference w:id="15"/>
          </w:r>
          <w:r w:rsidRPr="00E9721E">
            <w:rPr>
              <w:rFonts w:ascii="Calibri" w:hAnsi="Calibri" w:cs="Calibri"/>
              <w:color w:val="000000"/>
              <w:sz w:val="24"/>
            </w:rPr>
            <w:t xml:space="preserve"> </w:t>
          </w:r>
          <w:r w:rsidRPr="00BB30FD" w:rsidR="00274B75">
            <w:rPr>
              <w:rFonts w:cs="Calibri"/>
              <w:color w:val="000000"/>
              <w:szCs w:val="22"/>
            </w:rPr>
            <w:t xml:space="preserve">Dit </w:t>
          </w:r>
          <w:r w:rsidR="00F96017">
            <w:rPr>
              <w:rFonts w:cs="Calibri"/>
              <w:color w:val="000000"/>
              <w:szCs w:val="22"/>
            </w:rPr>
            <w:t xml:space="preserve">is </w:t>
          </w:r>
          <w:r w:rsidRPr="00BB30FD" w:rsidR="00274B75">
            <w:rPr>
              <w:rFonts w:cs="Calibri"/>
              <w:color w:val="000000"/>
              <w:szCs w:val="22"/>
            </w:rPr>
            <w:t xml:space="preserve">in afwijking van de </w:t>
          </w:r>
          <w:r w:rsidR="00F96017">
            <w:rPr>
              <w:rFonts w:cs="Calibri"/>
              <w:color w:val="000000"/>
              <w:szCs w:val="22"/>
            </w:rPr>
            <w:t xml:space="preserve">algemene </w:t>
          </w:r>
          <w:r w:rsidRPr="00BB30FD" w:rsidR="00274B75">
            <w:rPr>
              <w:rFonts w:cs="Calibri"/>
              <w:color w:val="000000"/>
              <w:szCs w:val="22"/>
            </w:rPr>
            <w:t>verjaringstermijn van vijf jaar die geldt voor rechtsvorderingen tot betaling van huur(sommen)</w:t>
          </w:r>
          <w:r w:rsidRPr="00BB30FD">
            <w:rPr>
              <w:rFonts w:cs="Calibri"/>
              <w:color w:val="000000"/>
              <w:szCs w:val="22"/>
            </w:rPr>
            <w:t>.</w:t>
          </w:r>
          <w:r w:rsidRPr="00BB30FD">
            <w:rPr>
              <w:rStyle w:val="Voetnootmarkering"/>
            </w:rPr>
            <w:footnoteReference w:id="16"/>
          </w:r>
        </w:p>
        <w:p w:rsidR="00A1600B" w:rsidRDefault="00A1600B" w14:paraId="7D0F1844" w14:textId="77777777"/>
        <w:p w:rsidR="00A25B4D" w:rsidRDefault="00E02444" w14:paraId="30EB8C5F" w14:textId="77777777">
          <w:r>
            <w:t xml:space="preserve">De Afdeling wijst erop dat het gaat om een substantiële verkorting van de </w:t>
          </w:r>
          <w:r w:rsidR="008A6290">
            <w:t xml:space="preserve">algemene </w:t>
          </w:r>
          <w:r>
            <w:t xml:space="preserve">verjaringstermijn van vijf naar een jaar, die afbreuk doet aan het geliberaliseerde karakter van de huurmarkt en aan de daarmee verbonden contractvrijheid. </w:t>
          </w:r>
          <w:r w:rsidR="0098310F">
            <w:t xml:space="preserve">De Afdeling </w:t>
          </w:r>
          <w:r w:rsidR="00FB1DB3">
            <w:t>begrijpt</w:t>
          </w:r>
          <w:r w:rsidR="0098310F">
            <w:t xml:space="preserve"> dat het </w:t>
          </w:r>
          <w:r w:rsidR="00F050F2">
            <w:t>o</w:t>
          </w:r>
          <w:r w:rsidR="00B43EAD">
            <w:t xml:space="preserve">p zichzelf </w:t>
          </w:r>
          <w:r w:rsidR="00F050F2">
            <w:t xml:space="preserve">onwenselijk is dat een verhuurder na vijf </w:t>
          </w:r>
          <w:r w:rsidR="000F53D6">
            <w:t xml:space="preserve">jaar </w:t>
          </w:r>
          <w:r w:rsidR="00F050F2">
            <w:t xml:space="preserve">in een keer de huurverhogingen van deze jaren kan innen. </w:t>
          </w:r>
        </w:p>
        <w:p w:rsidR="00A25B4D" w:rsidRDefault="00A25B4D" w14:paraId="7CD3E886" w14:textId="77777777"/>
        <w:p w:rsidR="00201831" w:rsidRDefault="005E3892" w14:paraId="339114E8" w14:textId="5C6B4516">
          <w:r>
            <w:t xml:space="preserve">Het is </w:t>
          </w:r>
          <w:r w:rsidR="005E6A7F">
            <w:t>echter</w:t>
          </w:r>
          <w:r>
            <w:t xml:space="preserve"> niet duidelijk uit de toelichting hoe vaak dit</w:t>
          </w:r>
          <w:r w:rsidR="006B0BEF">
            <w:t xml:space="preserve"> in de praktijk</w:t>
          </w:r>
          <w:r>
            <w:t xml:space="preserve"> voorkomt</w:t>
          </w:r>
          <w:r w:rsidR="00C10716">
            <w:t>.</w:t>
          </w:r>
          <w:r w:rsidR="003D7AFC">
            <w:t xml:space="preserve"> </w:t>
          </w:r>
          <w:r w:rsidR="00A63D18">
            <w:t>Dit is van</w:t>
          </w:r>
          <w:r w:rsidR="004A7944">
            <w:t xml:space="preserve"> belang omdat </w:t>
          </w:r>
          <w:r w:rsidR="00DC4B62">
            <w:t xml:space="preserve">alleen </w:t>
          </w:r>
          <w:r w:rsidR="004A7944">
            <w:t xml:space="preserve">van een algemene wet </w:t>
          </w:r>
          <w:r w:rsidR="005F2C76">
            <w:t>mag worden</w:t>
          </w:r>
          <w:r w:rsidR="004A7944">
            <w:t xml:space="preserve"> afgeweken</w:t>
          </w:r>
          <w:r w:rsidR="00DC4B62">
            <w:t xml:space="preserve"> als d</w:t>
          </w:r>
          <w:r w:rsidR="00F9471A">
            <w:t xml:space="preserve">e noodzaak daartoe </w:t>
          </w:r>
          <w:r w:rsidR="00201831">
            <w:t>voldoende is gemotiveerd.</w:t>
          </w:r>
          <w:r w:rsidR="005F2C76">
            <w:rPr>
              <w:rStyle w:val="Voetnootmarkering"/>
            </w:rPr>
            <w:footnoteReference w:id="17"/>
          </w:r>
          <w:r w:rsidR="00201831">
            <w:t xml:space="preserve"> </w:t>
          </w:r>
          <w:r w:rsidR="00657FEF">
            <w:t>Evenmin is duidelijk of de voor- en nadelen (en mogelijke neveneffecten) voldoende in beeld zijn. Zo is het de vraag of een afspraak om een huurverhoging nog niet door te voeren (omdat de huurder tijdelijk krap bij kas zit) nog mogelijk is en onder welke voorwaarden.</w:t>
          </w:r>
        </w:p>
        <w:p w:rsidR="00A95C93" w:rsidRDefault="00A95C93" w14:paraId="51780A59" w14:textId="10979D58"/>
        <w:p w:rsidR="00B43EAD" w:rsidRDefault="008C5F4A" w14:paraId="3F674FF3" w14:textId="31AFC40C">
          <w:r>
            <w:t>Gegeven</w:t>
          </w:r>
          <w:r w:rsidR="00FC1307">
            <w:t xml:space="preserve"> het spoedkarakter van de maximering</w:t>
          </w:r>
          <w:r w:rsidR="004B7BEE">
            <w:t xml:space="preserve">, en het feit dat </w:t>
          </w:r>
          <w:r w:rsidR="00E262FD">
            <w:t xml:space="preserve">de voorgestelde verkorting van de verjaringstermijn </w:t>
          </w:r>
          <w:r w:rsidR="00FB7512">
            <w:t>niet is voorgelegd ter consultatie aan deskundigen en belanghebbenden,</w:t>
          </w:r>
          <w:r w:rsidR="00FC1307">
            <w:t xml:space="preserve"> </w:t>
          </w:r>
          <w:r w:rsidR="006F66AB">
            <w:t>betwijfelt de Afdeling of dit onder</w:t>
          </w:r>
          <w:r w:rsidR="003444E1">
            <w:t>deel</w:t>
          </w:r>
          <w:r w:rsidR="00CF0352">
            <w:t xml:space="preserve"> </w:t>
          </w:r>
          <w:r w:rsidR="005F5B58">
            <w:t xml:space="preserve">nu </w:t>
          </w:r>
          <w:r w:rsidR="00CF0352">
            <w:t>voldoende</w:t>
          </w:r>
          <w:r w:rsidR="00515963">
            <w:t xml:space="preserve"> is doordacht</w:t>
          </w:r>
          <w:r>
            <w:t>.</w:t>
          </w:r>
          <w:r w:rsidR="00C551DC">
            <w:rPr>
              <w:rStyle w:val="Voetnootmarkering"/>
            </w:rPr>
            <w:footnoteReference w:id="18"/>
          </w:r>
          <w:r w:rsidR="006C35D7">
            <w:t xml:space="preserve"> Voor een zorgvuldige wetsvoorbereiding en parlementaire behandeling</w:t>
          </w:r>
          <w:r w:rsidR="00020F2D">
            <w:t xml:space="preserve"> ligt het </w:t>
          </w:r>
          <w:r w:rsidR="00FB270D">
            <w:t xml:space="preserve">daarom </w:t>
          </w:r>
          <w:r w:rsidR="00020F2D">
            <w:t xml:space="preserve">in de rede dit onderdeel </w:t>
          </w:r>
          <w:r w:rsidR="00C3029B">
            <w:t xml:space="preserve">nu </w:t>
          </w:r>
          <w:r w:rsidR="00020F2D">
            <w:t>uit het wet</w:t>
          </w:r>
          <w:r w:rsidR="008E77FA">
            <w:t xml:space="preserve">svoorstel te halen en het zo </w:t>
          </w:r>
          <w:r w:rsidR="00020F2D">
            <w:t>los te koppelen van het spoedtraject.</w:t>
          </w:r>
        </w:p>
        <w:p w:rsidR="00B43EAD" w:rsidRDefault="00B43EAD" w14:paraId="74486E36" w14:textId="77777777"/>
        <w:p w:rsidR="007C0720" w:rsidRDefault="00CA5E8A" w14:paraId="7704448B" w14:textId="1ACDF983">
          <w:r>
            <w:t xml:space="preserve">De Afdeling adviseert </w:t>
          </w:r>
          <w:r w:rsidR="00BA741E">
            <w:t>dit on</w:t>
          </w:r>
          <w:r w:rsidR="00E16E65">
            <w:t>derdeel uit het wets</w:t>
          </w:r>
          <w:r w:rsidR="00826792">
            <w:t xml:space="preserve">voorstel te halen en </w:t>
          </w:r>
          <w:r w:rsidR="00AB670E">
            <w:t xml:space="preserve">het desgewenst </w:t>
          </w:r>
          <w:r w:rsidR="007F6573">
            <w:t xml:space="preserve">als </w:t>
          </w:r>
          <w:r w:rsidR="003125A9">
            <w:t xml:space="preserve">afzonderlijk </w:t>
          </w:r>
          <w:r w:rsidR="004A60ED">
            <w:t>wetsvoorstel</w:t>
          </w:r>
          <w:r w:rsidR="00DA6ACA">
            <w:t xml:space="preserve"> in</w:t>
          </w:r>
          <w:r w:rsidR="00826792">
            <w:t xml:space="preserve"> de reguliere wetgevingsprocedure</w:t>
          </w:r>
          <w:r w:rsidR="00DA6ACA">
            <w:t xml:space="preserve"> te </w:t>
          </w:r>
          <w:r w:rsidR="00F47FF7">
            <w:t>brengen</w:t>
          </w:r>
          <w:r w:rsidR="007C0720">
            <w:t>.</w:t>
          </w:r>
        </w:p>
      </w:sdtContent>
    </w:sdt>
    <w:p w:rsidR="00FE073E" w:rsidRDefault="00FE073E" w14:paraId="60DBDA8D" w14:textId="77777777"/>
    <w:sdt>
      <w:sdtPr>
        <w:tag w:val="bmDictum"/>
        <w:id w:val="287479871"/>
        <w:lock w:val="sdtLocked"/>
        <w:placeholder>
          <w:docPart w:val="DefaultPlaceholder_-1854013440"/>
        </w:placeholder>
      </w:sdtPr>
      <w:sdtEndPr/>
      <w:sdtContent>
        <w:p w:rsidR="00BE390C" w:rsidRDefault="00FE073E" w14:paraId="1E80A928" w14:textId="1E0583EB">
          <w:r>
            <w:t xml:space="preserve">De Afdeling advisering van de Raad van State heeft een aantal opmerkingen bij het voorstel en adviseert daarmee rekening te houden voordat het voorstel bij de Tweede Kamer der Staten-Generaal wordt ingediend. </w:t>
          </w:r>
          <w:r>
            <w:br/>
          </w:r>
        </w:p>
        <w:p w:rsidR="00FE073E" w:rsidRDefault="00FE073E" w14:paraId="0869C040" w14:textId="3E60B15A">
          <w:r>
            <w:lastRenderedPageBreak/>
            <w:br/>
            <w:t>De vice-president van de Raad van State,</w:t>
          </w:r>
        </w:p>
      </w:sdtContent>
    </w:sdt>
    <w:sectPr w:rsidR="00FE073E" w:rsidSect="00127D6B">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92014" w14:textId="77777777" w:rsidR="00077BAB" w:rsidRDefault="00077BAB">
      <w:r>
        <w:separator/>
      </w:r>
    </w:p>
  </w:endnote>
  <w:endnote w:type="continuationSeparator" w:id="0">
    <w:p w14:paraId="61C369D0" w14:textId="77777777" w:rsidR="00077BAB" w:rsidRDefault="00077BAB">
      <w:r>
        <w:continuationSeparator/>
      </w:r>
    </w:p>
  </w:endnote>
  <w:endnote w:type="continuationNotice" w:id="1">
    <w:p w14:paraId="6556AEB6" w14:textId="77777777" w:rsidR="00077BAB" w:rsidRDefault="00077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altName w:val="Cambria"/>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58A5" w14:textId="77777777" w:rsidR="00267688" w:rsidRDefault="002676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11697F" w14:paraId="53EE937C" w14:textId="77777777" w:rsidTr="000C2B3F">
      <w:tc>
        <w:tcPr>
          <w:tcW w:w="4815" w:type="dxa"/>
        </w:tcPr>
        <w:p w14:paraId="53EE937A" w14:textId="77777777" w:rsidR="007919F3" w:rsidRDefault="007919F3" w:rsidP="000C2B3F">
          <w:pPr>
            <w:pStyle w:val="Voettekst"/>
          </w:pPr>
        </w:p>
      </w:tc>
      <w:tc>
        <w:tcPr>
          <w:tcW w:w="4247" w:type="dxa"/>
        </w:tcPr>
        <w:p w14:paraId="53EE937B" w14:textId="77777777" w:rsidR="007919F3" w:rsidRDefault="007919F3" w:rsidP="000C2B3F">
          <w:pPr>
            <w:pStyle w:val="Voettekst"/>
            <w:jc w:val="right"/>
          </w:pPr>
        </w:p>
      </w:tc>
    </w:tr>
  </w:tbl>
  <w:p w14:paraId="53EE937D" w14:textId="77777777" w:rsidR="007919F3" w:rsidRDefault="007919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4315" w14:textId="291E0745" w:rsidR="00127D6B" w:rsidRPr="00127D6B" w:rsidRDefault="00127D6B">
    <w:pPr>
      <w:pStyle w:val="Voettekst"/>
      <w:rPr>
        <w:rFonts w:ascii="Bembo" w:hAnsi="Bembo"/>
        <w:sz w:val="32"/>
      </w:rPr>
    </w:pPr>
    <w:r w:rsidRPr="00127D6B">
      <w:rPr>
        <w:rFonts w:ascii="Bembo" w:hAnsi="Bembo"/>
        <w:sz w:val="32"/>
      </w:rPr>
      <w:t>AAN DE KONING</w:t>
    </w:r>
  </w:p>
  <w:p w14:paraId="49316266" w14:textId="77777777" w:rsidR="00127D6B" w:rsidRDefault="00127D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C66E4" w14:textId="77777777" w:rsidR="00077BAB" w:rsidRDefault="00077BAB">
      <w:r>
        <w:separator/>
      </w:r>
    </w:p>
  </w:footnote>
  <w:footnote w:type="continuationSeparator" w:id="0">
    <w:p w14:paraId="5E2E6687" w14:textId="77777777" w:rsidR="00077BAB" w:rsidRDefault="00077BAB">
      <w:r>
        <w:continuationSeparator/>
      </w:r>
    </w:p>
  </w:footnote>
  <w:footnote w:type="continuationNotice" w:id="1">
    <w:p w14:paraId="2C5A301D" w14:textId="77777777" w:rsidR="00077BAB" w:rsidRDefault="00077BAB"/>
  </w:footnote>
  <w:footnote w:id="2">
    <w:p w14:paraId="02F70DA0" w14:textId="0ED76641" w:rsidR="00481940" w:rsidRDefault="00481940">
      <w:pPr>
        <w:pStyle w:val="Voetnoottekst"/>
      </w:pPr>
      <w:r>
        <w:rPr>
          <w:rStyle w:val="Voetnootmarkering"/>
        </w:rPr>
        <w:footnoteRef/>
      </w:r>
      <w:r>
        <w:t xml:space="preserve"> </w:t>
      </w:r>
      <w:r w:rsidR="000E3509">
        <w:t>Gelet</w:t>
      </w:r>
      <w:r w:rsidRPr="00481940">
        <w:t xml:space="preserve"> op de ingangsdatum van 1 mei 2024 voor </w:t>
      </w:r>
      <w:r w:rsidR="001B0060">
        <w:t xml:space="preserve">de verlenging van </w:t>
      </w:r>
      <w:r w:rsidRPr="00481940">
        <w:t>deze maximering, is het wetsvoorstel met een verzoek om spoedbehandeling voor advies voorgelegd.</w:t>
      </w:r>
    </w:p>
  </w:footnote>
  <w:footnote w:id="3">
    <w:p w14:paraId="1D89D343" w14:textId="380A1A2D" w:rsidR="00DA5F18" w:rsidRDefault="00DA5F18" w:rsidP="00C5112A">
      <w:pPr>
        <w:pStyle w:val="Voetnoottekst"/>
      </w:pPr>
      <w:r>
        <w:rPr>
          <w:rStyle w:val="Voetnootmarkering"/>
        </w:rPr>
        <w:footnoteRef/>
      </w:r>
      <w:r>
        <w:t xml:space="preserve"> R</w:t>
      </w:r>
      <w:r w:rsidR="00B22AE9">
        <w:t>IGO Research en Advies</w:t>
      </w:r>
      <w:r>
        <w:t>, 2023,</w:t>
      </w:r>
      <w:r w:rsidR="00581EF4">
        <w:t xml:space="preserve"> </w:t>
      </w:r>
      <w:r>
        <w:t>Evaluatie</w:t>
      </w:r>
      <w:r w:rsidR="00C5112A">
        <w:t xml:space="preserve"> Wet maximering huurprijsverhoging geliberaliseerde huurovereenkomsten</w:t>
      </w:r>
      <w:r w:rsidR="00B22AE9">
        <w:t>, in opdracht van het Ministerie van BZK</w:t>
      </w:r>
      <w:r w:rsidR="004408BA">
        <w:t>.</w:t>
      </w:r>
    </w:p>
  </w:footnote>
  <w:footnote w:id="4">
    <w:p w14:paraId="49BB3590" w14:textId="5EFF0306" w:rsidR="005F54B3" w:rsidRDefault="005F54B3">
      <w:pPr>
        <w:pStyle w:val="Voetnoottekst"/>
      </w:pPr>
      <w:r>
        <w:rPr>
          <w:rStyle w:val="Voetnootmarkering"/>
        </w:rPr>
        <w:footnoteRef/>
      </w:r>
      <w:r>
        <w:t xml:space="preserve"> </w:t>
      </w:r>
      <w:r w:rsidR="007672D3">
        <w:t xml:space="preserve">Zie </w:t>
      </w:r>
      <w:r w:rsidR="002142CB">
        <w:t>het</w:t>
      </w:r>
      <w:r w:rsidR="007672D3">
        <w:t xml:space="preserve"> advies van de Afdeling over de Wet betaalbare huur</w:t>
      </w:r>
      <w:r w:rsidR="00B24F8A">
        <w:t xml:space="preserve"> </w:t>
      </w:r>
      <w:r w:rsidR="00EF74E9">
        <w:t xml:space="preserve">van 15 november 2023 </w:t>
      </w:r>
      <w:r w:rsidR="00B24F8A">
        <w:t>(</w:t>
      </w:r>
      <w:r w:rsidR="00B24F8A" w:rsidRPr="00B24F8A">
        <w:t>W04.23.00151/I</w:t>
      </w:r>
      <w:r w:rsidR="00B24F8A">
        <w:t>)</w:t>
      </w:r>
      <w:r w:rsidR="00EF74E9">
        <w:t xml:space="preserve">, punt </w:t>
      </w:r>
      <w:r w:rsidR="006A7E4A">
        <w:t>5</w:t>
      </w:r>
      <w:r w:rsidR="002621A9">
        <w:t xml:space="preserve"> en daar aangehaalde rapporten</w:t>
      </w:r>
      <w:r w:rsidR="00B1460D">
        <w:t>.</w:t>
      </w:r>
    </w:p>
  </w:footnote>
  <w:footnote w:id="5">
    <w:p w14:paraId="64F74955" w14:textId="427BE5A5" w:rsidR="0056498F" w:rsidRDefault="0056498F">
      <w:pPr>
        <w:pStyle w:val="Voetnoottekst"/>
      </w:pPr>
      <w:r>
        <w:rPr>
          <w:rStyle w:val="Voetnootmarkering"/>
        </w:rPr>
        <w:footnoteRef/>
      </w:r>
      <w:r>
        <w:t xml:space="preserve"> </w:t>
      </w:r>
      <w:r w:rsidR="000A1F1E">
        <w:t>A</w:t>
      </w:r>
      <w:r w:rsidR="000A1F1E" w:rsidRPr="000A1F1E">
        <w:t xml:space="preserve">dvies van de Afdeling </w:t>
      </w:r>
      <w:r w:rsidR="00163806">
        <w:t xml:space="preserve">advisering </w:t>
      </w:r>
      <w:r w:rsidR="000A1F1E" w:rsidRPr="000A1F1E">
        <w:t>over de Wet maximering huurprijsverhogingen geliberaliseerde huurovereenkomsten van 8 juli 2020 (W04.20.0185/I).</w:t>
      </w:r>
    </w:p>
  </w:footnote>
  <w:footnote w:id="6">
    <w:p w14:paraId="7FCDF727" w14:textId="2BC2D95D" w:rsidR="001C4611" w:rsidRDefault="001C4611">
      <w:pPr>
        <w:pStyle w:val="Voetnoottekst"/>
      </w:pPr>
      <w:r>
        <w:rPr>
          <w:rStyle w:val="Voetnootmarkering"/>
        </w:rPr>
        <w:footnoteRef/>
      </w:r>
      <w:r>
        <w:t xml:space="preserve"> </w:t>
      </w:r>
      <w:r w:rsidR="00B22AE9">
        <w:t>RIGO, 2023, Evaluatie Wet maximering huurprijsverhoging</w:t>
      </w:r>
      <w:r>
        <w:t xml:space="preserve">, paragraaf </w:t>
      </w:r>
      <w:r w:rsidR="00C64C20">
        <w:t>6.1.2.</w:t>
      </w:r>
    </w:p>
  </w:footnote>
  <w:footnote w:id="7">
    <w:p w14:paraId="0D16511D" w14:textId="08AA09AC" w:rsidR="00DE028D" w:rsidRDefault="00DE028D">
      <w:pPr>
        <w:pStyle w:val="Voetnoottekst"/>
      </w:pPr>
      <w:r>
        <w:rPr>
          <w:rStyle w:val="Voetnootmarkering"/>
        </w:rPr>
        <w:footnoteRef/>
      </w:r>
      <w:r>
        <w:t xml:space="preserve"> Zie FD, 20 december 2023, ‘Onderzoek Financiën: rendement particuliere verhuurder verdampt’. Uitgebreider: </w:t>
      </w:r>
      <w:hyperlink r:id="rId1" w:history="1">
        <w:r>
          <w:rPr>
            <w:rStyle w:val="Hyperlink"/>
          </w:rPr>
          <w:t>Rendement particuliere verhuurders onder druk - ESB</w:t>
        </w:r>
      </w:hyperlink>
      <w:r>
        <w:t>; J. Conijn, ‘Verlaging huurstijging vergroot woningtekort’, 25 januari 2024.</w:t>
      </w:r>
      <w:r w:rsidR="004006B9">
        <w:t xml:space="preserve"> Het Kadaster constateert dat het aantal </w:t>
      </w:r>
      <w:r w:rsidR="00785292">
        <w:t>aankopen</w:t>
      </w:r>
      <w:r w:rsidR="004006B9">
        <w:t xml:space="preserve"> in 2023 sterk is </w:t>
      </w:r>
      <w:r w:rsidR="00785292">
        <w:t>gedaald ten opzicht</w:t>
      </w:r>
      <w:r w:rsidR="00346978">
        <w:t>e</w:t>
      </w:r>
      <w:r w:rsidR="00785292">
        <w:t xml:space="preserve"> van de jaren daarvoor: Kadaster, </w:t>
      </w:r>
      <w:r w:rsidR="00713886">
        <w:t>I</w:t>
      </w:r>
      <w:r w:rsidR="00713886" w:rsidRPr="00713886">
        <w:t>nvesteerders op de woningmarkt minder actief in 2023</w:t>
      </w:r>
      <w:r w:rsidR="00713886">
        <w:t>, 1 februari 2024</w:t>
      </w:r>
      <w:r w:rsidR="00785292">
        <w:t>.</w:t>
      </w:r>
    </w:p>
  </w:footnote>
  <w:footnote w:id="8">
    <w:p w14:paraId="2AD39D5E" w14:textId="392B48F9" w:rsidR="00301ED8" w:rsidRDefault="00301ED8">
      <w:pPr>
        <w:pStyle w:val="Voetnoottekst"/>
      </w:pPr>
      <w:r>
        <w:rPr>
          <w:rStyle w:val="Voetnootmarkering"/>
        </w:rPr>
        <w:footnoteRef/>
      </w:r>
      <w:r>
        <w:t xml:space="preserve"> </w:t>
      </w:r>
      <w:r w:rsidR="005E4E9A">
        <w:t xml:space="preserve">Kamerstukken </w:t>
      </w:r>
      <w:r w:rsidR="001816C9">
        <w:t>II 2023/24, 36496, nr. 2.</w:t>
      </w:r>
    </w:p>
  </w:footnote>
  <w:footnote w:id="9">
    <w:p w14:paraId="1D749F78" w14:textId="5419A01F" w:rsidR="00AB1A46" w:rsidRDefault="00AB1A46">
      <w:pPr>
        <w:pStyle w:val="Voetnoottekst"/>
      </w:pPr>
      <w:r>
        <w:rPr>
          <w:rStyle w:val="Voetnootmarkering"/>
        </w:rPr>
        <w:footnoteRef/>
      </w:r>
      <w:r>
        <w:t xml:space="preserve"> </w:t>
      </w:r>
      <w:r w:rsidR="00B8139E">
        <w:t xml:space="preserve">Zie in het bijzonder de Wet goed verhuurderschap die per </w:t>
      </w:r>
      <w:r w:rsidR="00170F1E">
        <w:t>1 juli 2023 van kracht is.</w:t>
      </w:r>
    </w:p>
  </w:footnote>
  <w:footnote w:id="10">
    <w:p w14:paraId="3CD94158" w14:textId="2B973005" w:rsidR="00170F1E" w:rsidRDefault="00170F1E">
      <w:pPr>
        <w:pStyle w:val="Voetnoottekst"/>
      </w:pPr>
      <w:r>
        <w:rPr>
          <w:rStyle w:val="Voetnootmarkering"/>
        </w:rPr>
        <w:footnoteRef/>
      </w:r>
      <w:r>
        <w:t xml:space="preserve"> Het wetsvoorstel Betaalbare huur, waarbij </w:t>
      </w:r>
      <w:r w:rsidR="002F3333">
        <w:t xml:space="preserve">(onder meer) wordt voorgesteld de gemeentelijke </w:t>
      </w:r>
      <w:r w:rsidR="00B41839">
        <w:t xml:space="preserve">bevoegdheden uit </w:t>
      </w:r>
      <w:r w:rsidR="00967057">
        <w:t xml:space="preserve">de </w:t>
      </w:r>
      <w:r w:rsidR="002F3333">
        <w:t>Wet goed verhuurderschap te wijzigen.</w:t>
      </w:r>
    </w:p>
  </w:footnote>
  <w:footnote w:id="11">
    <w:p w14:paraId="44674ADC" w14:textId="77777777" w:rsidR="00F0224F" w:rsidRDefault="00F0224F" w:rsidP="00F0224F">
      <w:pPr>
        <w:pStyle w:val="Voetnoottekst"/>
      </w:pPr>
      <w:r>
        <w:rPr>
          <w:rStyle w:val="Voetnootmarkering"/>
        </w:rPr>
        <w:footnoteRef/>
      </w:r>
      <w:r>
        <w:t xml:space="preserve"> Voorgesteld artikel 10, derde lid van de Uitvoeringswet huurprijzen woonruimte.</w:t>
      </w:r>
    </w:p>
  </w:footnote>
  <w:footnote w:id="12">
    <w:p w14:paraId="12FB4A94" w14:textId="67B115C1" w:rsidR="00196AE3" w:rsidRDefault="00196AE3">
      <w:pPr>
        <w:pStyle w:val="Voetnoottekst"/>
      </w:pPr>
      <w:r>
        <w:rPr>
          <w:rStyle w:val="Voetnootmarkering"/>
        </w:rPr>
        <w:footnoteRef/>
      </w:r>
      <w:r>
        <w:t xml:space="preserve"> </w:t>
      </w:r>
      <w:r w:rsidR="000E2A16">
        <w:t>Memorie van toelichting, paragraaf 1.</w:t>
      </w:r>
    </w:p>
  </w:footnote>
  <w:footnote w:id="13">
    <w:p w14:paraId="36B4F685" w14:textId="0671554C" w:rsidR="0026382B" w:rsidRDefault="0026382B">
      <w:pPr>
        <w:pStyle w:val="Voetnoottekst"/>
      </w:pPr>
      <w:r>
        <w:rPr>
          <w:rStyle w:val="Voetnootmarkering"/>
        </w:rPr>
        <w:footnoteRef/>
      </w:r>
      <w:r>
        <w:t xml:space="preserve"> </w:t>
      </w:r>
      <w:r w:rsidR="004340BB">
        <w:t xml:space="preserve">Zie </w:t>
      </w:r>
      <w:r w:rsidR="00842643">
        <w:t>uitgebreider h</w:t>
      </w:r>
      <w:r w:rsidRPr="0026382B">
        <w:t>et advies van de Afdeling over de Wet maximering huurprijsverhogingen geliberaliseerde huurovereenkomsten van 8 juli 2020 (W04.20.0185/I).</w:t>
      </w:r>
    </w:p>
  </w:footnote>
  <w:footnote w:id="14">
    <w:p w14:paraId="753BB90A" w14:textId="6838F6B6" w:rsidR="00CE3701" w:rsidRDefault="00CE3701">
      <w:pPr>
        <w:pStyle w:val="Voetnoottekst"/>
      </w:pPr>
      <w:r>
        <w:rPr>
          <w:rStyle w:val="Voetnootmarkering"/>
        </w:rPr>
        <w:footnoteRef/>
      </w:r>
      <w:r>
        <w:t xml:space="preserve"> R</w:t>
      </w:r>
      <w:r w:rsidRPr="00CE3701">
        <w:t xml:space="preserve">ichtlijn 2006/123/EG van het Europees Parlement en de Raad van 12 december 2006 </w:t>
      </w:r>
      <w:proofErr w:type="gramStart"/>
      <w:r w:rsidRPr="00CE3701">
        <w:t>betreffende</w:t>
      </w:r>
      <w:proofErr w:type="gramEnd"/>
      <w:r w:rsidRPr="00CE3701">
        <w:t xml:space="preserve"> diensten op de interne markt (PbEU 2006, L 376)</w:t>
      </w:r>
      <w:r w:rsidR="00066ADF">
        <w:t xml:space="preserve">. </w:t>
      </w:r>
      <w:r w:rsidR="006E1E28" w:rsidRPr="006E1E28">
        <w:t xml:space="preserve">Voor zover eigenaren van onroerend goed zelf verhuuractiviteiten ontplooien, is (ook wanneer de eigenaar een Nederlandse partij is) sprake van vestiging, die valt onder Hoofdstuk III van de Dienstenrichtlijn. De maximering is een ‘eis’ </w:t>
      </w:r>
      <w:r w:rsidR="006E1E28">
        <w:t>in de zin van</w:t>
      </w:r>
      <w:r w:rsidR="006E1E28" w:rsidRPr="006E1E28">
        <w:t xml:space="preserve"> artikel 4, onderdeel 7 van de richtlijn, die moet voldoen aan de voorwaarden van artikelen 14 en 15 van de richtlijn. Voor zover eigenaren de verhuur aan een andere partij uitbesteden kan sprake zijn van grensoverschrijdende dienstverrichting, die valt onder hoofdstuk IV. In dat geval is artikel 16 van de richtlijn relevant.</w:t>
      </w:r>
    </w:p>
  </w:footnote>
  <w:footnote w:id="15">
    <w:p w14:paraId="303AC96F" w14:textId="61900EEF" w:rsidR="00532A1D" w:rsidRDefault="00811632">
      <w:pPr>
        <w:pStyle w:val="Voetnoottekst"/>
      </w:pPr>
      <w:r>
        <w:rPr>
          <w:rStyle w:val="Voetnootmarkering"/>
        </w:rPr>
        <w:footnoteRef/>
      </w:r>
      <w:r w:rsidR="00532A1D">
        <w:t xml:space="preserve"> Voorgesteld </w:t>
      </w:r>
      <w:r w:rsidR="0021645F">
        <w:t>Artikel II</w:t>
      </w:r>
      <w:r w:rsidR="009752D9">
        <w:t>, onderdeel B.</w:t>
      </w:r>
    </w:p>
  </w:footnote>
  <w:footnote w:id="16">
    <w:p w14:paraId="4AD7589C" w14:textId="3A5795F0" w:rsidR="00A1600B" w:rsidRDefault="00A1600B" w:rsidP="00A1600B">
      <w:pPr>
        <w:pStyle w:val="Voetnoottekst"/>
      </w:pPr>
      <w:r>
        <w:rPr>
          <w:rStyle w:val="Voetnootmarkering"/>
        </w:rPr>
        <w:footnoteRef/>
      </w:r>
      <w:r>
        <w:t xml:space="preserve"> Artikel 3:308 BW</w:t>
      </w:r>
      <w:r w:rsidRPr="006B4264">
        <w:t>.</w:t>
      </w:r>
    </w:p>
  </w:footnote>
  <w:footnote w:id="17">
    <w:p w14:paraId="6B412318" w14:textId="18783C4E" w:rsidR="005F2C76" w:rsidRDefault="005F2C76">
      <w:pPr>
        <w:pStyle w:val="Voetnoottekst"/>
      </w:pPr>
      <w:r>
        <w:rPr>
          <w:rStyle w:val="Voetnootmarkering"/>
        </w:rPr>
        <w:footnoteRef/>
      </w:r>
      <w:r>
        <w:t xml:space="preserve"> Zie ook </w:t>
      </w:r>
      <w:r w:rsidR="00E81118">
        <w:t xml:space="preserve">de </w:t>
      </w:r>
      <w:r w:rsidRPr="005F2C76">
        <w:t>Aanwijzing</w:t>
      </w:r>
      <w:r w:rsidR="00E81118">
        <w:t>en voor de regelgeving, aanwijzing</w:t>
      </w:r>
      <w:r w:rsidRPr="005F2C76">
        <w:t xml:space="preserve"> 2.46 </w:t>
      </w:r>
      <w:r w:rsidR="00E81118">
        <w:t>‘</w:t>
      </w:r>
      <w:r w:rsidRPr="005F2C76">
        <w:t>Afwijking van algemene wetten</w:t>
      </w:r>
      <w:r w:rsidR="00E81118">
        <w:t>’</w:t>
      </w:r>
      <w:r w:rsidR="00E86DAD">
        <w:t xml:space="preserve"> en het Beleidskompas, </w:t>
      </w:r>
      <w:r w:rsidR="006A4B13">
        <w:t xml:space="preserve">paragraaf </w:t>
      </w:r>
      <w:r w:rsidR="00E86DAD" w:rsidRPr="00E86DAD">
        <w:t xml:space="preserve">3.2.4 </w:t>
      </w:r>
      <w:r w:rsidR="006A4B13">
        <w:t>‘</w:t>
      </w:r>
      <w:r w:rsidR="00E86DAD" w:rsidRPr="00E86DAD">
        <w:t>Algemene nationale wetgeving</w:t>
      </w:r>
      <w:r w:rsidR="006A4B13">
        <w:t>’</w:t>
      </w:r>
      <w:r w:rsidR="00E81118">
        <w:t>.</w:t>
      </w:r>
    </w:p>
  </w:footnote>
  <w:footnote w:id="18">
    <w:p w14:paraId="769A1558" w14:textId="21252CC9" w:rsidR="00C551DC" w:rsidRDefault="00C551DC">
      <w:pPr>
        <w:pStyle w:val="Voetnoottekst"/>
      </w:pPr>
      <w:r>
        <w:rPr>
          <w:rStyle w:val="Voetnootmarkering"/>
        </w:rPr>
        <w:footnoteRef/>
      </w:r>
      <w:r>
        <w:t xml:space="preserve"> Dit onderdeel van het wetsvoorstel is toegevoegd na</w:t>
      </w:r>
      <w:r w:rsidR="003855BD">
        <w:t>ar aanleiding van een reactie in de internetconsultatie van Huurdokters</w:t>
      </w:r>
      <w:r w:rsidR="009978CD">
        <w:t>, oktober 2023.</w:t>
      </w:r>
      <w:r w:rsidR="001C06EC">
        <w:t xml:space="preserve"> </w:t>
      </w:r>
      <w:r w:rsidR="005D5528">
        <w:t xml:space="preserve">Memorie van toelichting, paragraaf </w:t>
      </w:r>
      <w:r w:rsidR="00807BF8">
        <w:t>7</w:t>
      </w:r>
      <w:r w:rsidR="005D5528">
        <w:t xml:space="preserve">, </w:t>
      </w:r>
      <w:r w:rsidR="00BE6AF1">
        <w:t>‘Internetconsultatie’.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CBB2" w14:textId="77777777" w:rsidR="00267688" w:rsidRDefault="002676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9378" w14:textId="77777777" w:rsidR="007919F3" w:rsidRDefault="007919F3" w:rsidP="000C2B3F">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937E" w14:textId="77777777" w:rsidR="007919F3" w:rsidRDefault="007919F3" w:rsidP="000C2B3F">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3EE937F" w14:textId="77777777" w:rsidR="007919F3" w:rsidRDefault="007919F3">
    <w:pPr>
      <w:pStyle w:val="Koptekst"/>
    </w:pPr>
    <w:r>
      <w:rPr>
        <w:noProof/>
      </w:rPr>
      <w:drawing>
        <wp:anchor distT="0" distB="0" distL="114300" distR="114300" simplePos="0" relativeHeight="251658240" behindDoc="1" locked="0" layoutInCell="1" allowOverlap="1" wp14:anchorId="53EE938A" wp14:editId="53EE938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7F"/>
    <w:rsid w:val="000016B0"/>
    <w:rsid w:val="00001B4F"/>
    <w:rsid w:val="00004864"/>
    <w:rsid w:val="00007528"/>
    <w:rsid w:val="000115E1"/>
    <w:rsid w:val="00013DD7"/>
    <w:rsid w:val="000147AC"/>
    <w:rsid w:val="0001509F"/>
    <w:rsid w:val="00015D3E"/>
    <w:rsid w:val="0002026A"/>
    <w:rsid w:val="00020F2D"/>
    <w:rsid w:val="00022FB8"/>
    <w:rsid w:val="00026C49"/>
    <w:rsid w:val="00027033"/>
    <w:rsid w:val="00027429"/>
    <w:rsid w:val="00031FE7"/>
    <w:rsid w:val="00032868"/>
    <w:rsid w:val="000360BE"/>
    <w:rsid w:val="000366A8"/>
    <w:rsid w:val="00041C20"/>
    <w:rsid w:val="00042EDC"/>
    <w:rsid w:val="000518E7"/>
    <w:rsid w:val="00052887"/>
    <w:rsid w:val="000532CD"/>
    <w:rsid w:val="00060EF0"/>
    <w:rsid w:val="00066ADF"/>
    <w:rsid w:val="00074531"/>
    <w:rsid w:val="000749E2"/>
    <w:rsid w:val="0007619E"/>
    <w:rsid w:val="00076E8B"/>
    <w:rsid w:val="00077BAB"/>
    <w:rsid w:val="00083ACC"/>
    <w:rsid w:val="00084CB7"/>
    <w:rsid w:val="00084FEC"/>
    <w:rsid w:val="00094ADF"/>
    <w:rsid w:val="00094EE2"/>
    <w:rsid w:val="0009542A"/>
    <w:rsid w:val="0009585B"/>
    <w:rsid w:val="000A1F1E"/>
    <w:rsid w:val="000A2975"/>
    <w:rsid w:val="000A2C26"/>
    <w:rsid w:val="000B21A9"/>
    <w:rsid w:val="000B22F8"/>
    <w:rsid w:val="000B659E"/>
    <w:rsid w:val="000B7769"/>
    <w:rsid w:val="000C2B3F"/>
    <w:rsid w:val="000C39B1"/>
    <w:rsid w:val="000C5F09"/>
    <w:rsid w:val="000D1512"/>
    <w:rsid w:val="000D15AE"/>
    <w:rsid w:val="000D5D7E"/>
    <w:rsid w:val="000E2A16"/>
    <w:rsid w:val="000E3509"/>
    <w:rsid w:val="000E5FA9"/>
    <w:rsid w:val="000E71BF"/>
    <w:rsid w:val="000F0117"/>
    <w:rsid w:val="000F231A"/>
    <w:rsid w:val="000F3821"/>
    <w:rsid w:val="000F4F3C"/>
    <w:rsid w:val="000F528A"/>
    <w:rsid w:val="000F53D6"/>
    <w:rsid w:val="000F53E3"/>
    <w:rsid w:val="001031BC"/>
    <w:rsid w:val="001111B1"/>
    <w:rsid w:val="00111558"/>
    <w:rsid w:val="00113600"/>
    <w:rsid w:val="0011360E"/>
    <w:rsid w:val="00114AD5"/>
    <w:rsid w:val="00115438"/>
    <w:rsid w:val="0011697F"/>
    <w:rsid w:val="00117056"/>
    <w:rsid w:val="001219DC"/>
    <w:rsid w:val="0012753E"/>
    <w:rsid w:val="0012782B"/>
    <w:rsid w:val="00127D6B"/>
    <w:rsid w:val="00130D7C"/>
    <w:rsid w:val="0014161B"/>
    <w:rsid w:val="00144F21"/>
    <w:rsid w:val="001477A8"/>
    <w:rsid w:val="00153E55"/>
    <w:rsid w:val="00155C5D"/>
    <w:rsid w:val="00161F10"/>
    <w:rsid w:val="0016341B"/>
    <w:rsid w:val="00163806"/>
    <w:rsid w:val="00164227"/>
    <w:rsid w:val="00166043"/>
    <w:rsid w:val="00167890"/>
    <w:rsid w:val="00170F1E"/>
    <w:rsid w:val="00172317"/>
    <w:rsid w:val="001816C9"/>
    <w:rsid w:val="00190AF6"/>
    <w:rsid w:val="001926CA"/>
    <w:rsid w:val="00194626"/>
    <w:rsid w:val="001960B2"/>
    <w:rsid w:val="00196AE3"/>
    <w:rsid w:val="001A2AF5"/>
    <w:rsid w:val="001A3FFF"/>
    <w:rsid w:val="001A4C83"/>
    <w:rsid w:val="001B0060"/>
    <w:rsid w:val="001B0E69"/>
    <w:rsid w:val="001B3E49"/>
    <w:rsid w:val="001C06EC"/>
    <w:rsid w:val="001C33B7"/>
    <w:rsid w:val="001C4611"/>
    <w:rsid w:val="001C6124"/>
    <w:rsid w:val="001C742D"/>
    <w:rsid w:val="001C79E6"/>
    <w:rsid w:val="001D0BC1"/>
    <w:rsid w:val="001D442F"/>
    <w:rsid w:val="001E0A36"/>
    <w:rsid w:val="001E275A"/>
    <w:rsid w:val="001E3A1D"/>
    <w:rsid w:val="001E555C"/>
    <w:rsid w:val="001E6F3F"/>
    <w:rsid w:val="001E7F3A"/>
    <w:rsid w:val="001F03A2"/>
    <w:rsid w:val="001F4152"/>
    <w:rsid w:val="001F7366"/>
    <w:rsid w:val="00201831"/>
    <w:rsid w:val="00202A7A"/>
    <w:rsid w:val="00204A70"/>
    <w:rsid w:val="00207685"/>
    <w:rsid w:val="002142CB"/>
    <w:rsid w:val="00215816"/>
    <w:rsid w:val="0021645F"/>
    <w:rsid w:val="00221CCB"/>
    <w:rsid w:val="00224605"/>
    <w:rsid w:val="0023041D"/>
    <w:rsid w:val="002331EF"/>
    <w:rsid w:val="002350C1"/>
    <w:rsid w:val="00235159"/>
    <w:rsid w:val="002373DB"/>
    <w:rsid w:val="00241E68"/>
    <w:rsid w:val="0025474A"/>
    <w:rsid w:val="002571A8"/>
    <w:rsid w:val="002621A9"/>
    <w:rsid w:val="0026382B"/>
    <w:rsid w:val="00267688"/>
    <w:rsid w:val="0027092B"/>
    <w:rsid w:val="00273A3E"/>
    <w:rsid w:val="00274074"/>
    <w:rsid w:val="00274A00"/>
    <w:rsid w:val="00274B75"/>
    <w:rsid w:val="0027536A"/>
    <w:rsid w:val="00281C60"/>
    <w:rsid w:val="00282A2D"/>
    <w:rsid w:val="00287EA7"/>
    <w:rsid w:val="00292514"/>
    <w:rsid w:val="002A157C"/>
    <w:rsid w:val="002A2DB2"/>
    <w:rsid w:val="002A422C"/>
    <w:rsid w:val="002B11C2"/>
    <w:rsid w:val="002B15AA"/>
    <w:rsid w:val="002B3604"/>
    <w:rsid w:val="002B5AF9"/>
    <w:rsid w:val="002B74EF"/>
    <w:rsid w:val="002C0120"/>
    <w:rsid w:val="002D605C"/>
    <w:rsid w:val="002E0060"/>
    <w:rsid w:val="002E3C3A"/>
    <w:rsid w:val="002E526B"/>
    <w:rsid w:val="002F2775"/>
    <w:rsid w:val="002F3333"/>
    <w:rsid w:val="002F5761"/>
    <w:rsid w:val="002F7658"/>
    <w:rsid w:val="00300EC6"/>
    <w:rsid w:val="00301ED8"/>
    <w:rsid w:val="003031EC"/>
    <w:rsid w:val="003040C3"/>
    <w:rsid w:val="003055C4"/>
    <w:rsid w:val="003125A9"/>
    <w:rsid w:val="00315359"/>
    <w:rsid w:val="00316DE0"/>
    <w:rsid w:val="003173C0"/>
    <w:rsid w:val="003235B5"/>
    <w:rsid w:val="0032721D"/>
    <w:rsid w:val="00332CFC"/>
    <w:rsid w:val="00333593"/>
    <w:rsid w:val="003346DD"/>
    <w:rsid w:val="003364A0"/>
    <w:rsid w:val="0033713C"/>
    <w:rsid w:val="00340791"/>
    <w:rsid w:val="00343A4D"/>
    <w:rsid w:val="003444E1"/>
    <w:rsid w:val="003444E9"/>
    <w:rsid w:val="00344838"/>
    <w:rsid w:val="00346978"/>
    <w:rsid w:val="003469B7"/>
    <w:rsid w:val="0034714C"/>
    <w:rsid w:val="00351961"/>
    <w:rsid w:val="00352361"/>
    <w:rsid w:val="003526F9"/>
    <w:rsid w:val="00354387"/>
    <w:rsid w:val="00370E01"/>
    <w:rsid w:val="0037245F"/>
    <w:rsid w:val="00372ABE"/>
    <w:rsid w:val="00377107"/>
    <w:rsid w:val="003811F6"/>
    <w:rsid w:val="003855BD"/>
    <w:rsid w:val="0038628F"/>
    <w:rsid w:val="00394D3C"/>
    <w:rsid w:val="003A244E"/>
    <w:rsid w:val="003A324A"/>
    <w:rsid w:val="003A5899"/>
    <w:rsid w:val="003B34EB"/>
    <w:rsid w:val="003B54C0"/>
    <w:rsid w:val="003B747B"/>
    <w:rsid w:val="003B7D5E"/>
    <w:rsid w:val="003C1B6A"/>
    <w:rsid w:val="003C528E"/>
    <w:rsid w:val="003C5411"/>
    <w:rsid w:val="003C65D7"/>
    <w:rsid w:val="003C7768"/>
    <w:rsid w:val="003D299E"/>
    <w:rsid w:val="003D6231"/>
    <w:rsid w:val="003D6F82"/>
    <w:rsid w:val="003D7AFC"/>
    <w:rsid w:val="003E548E"/>
    <w:rsid w:val="003E5A27"/>
    <w:rsid w:val="003E5AF4"/>
    <w:rsid w:val="003F00A6"/>
    <w:rsid w:val="003F29C4"/>
    <w:rsid w:val="003F6EF1"/>
    <w:rsid w:val="004006B9"/>
    <w:rsid w:val="00401083"/>
    <w:rsid w:val="0041031D"/>
    <w:rsid w:val="00412E61"/>
    <w:rsid w:val="00417DCB"/>
    <w:rsid w:val="0042289C"/>
    <w:rsid w:val="0042314B"/>
    <w:rsid w:val="0042321C"/>
    <w:rsid w:val="00430450"/>
    <w:rsid w:val="004316D7"/>
    <w:rsid w:val="00432EB2"/>
    <w:rsid w:val="00432F84"/>
    <w:rsid w:val="004340BB"/>
    <w:rsid w:val="004377B0"/>
    <w:rsid w:val="004408BA"/>
    <w:rsid w:val="00442B94"/>
    <w:rsid w:val="004434E0"/>
    <w:rsid w:val="00451121"/>
    <w:rsid w:val="00453239"/>
    <w:rsid w:val="00453525"/>
    <w:rsid w:val="004619A6"/>
    <w:rsid w:val="00466E6C"/>
    <w:rsid w:val="004671D9"/>
    <w:rsid w:val="0047127F"/>
    <w:rsid w:val="004730B8"/>
    <w:rsid w:val="00473AB9"/>
    <w:rsid w:val="00476312"/>
    <w:rsid w:val="004806BF"/>
    <w:rsid w:val="00481940"/>
    <w:rsid w:val="00493FB6"/>
    <w:rsid w:val="004963C4"/>
    <w:rsid w:val="00497F0D"/>
    <w:rsid w:val="004A0551"/>
    <w:rsid w:val="004A1BC8"/>
    <w:rsid w:val="004A1F8C"/>
    <w:rsid w:val="004A2C29"/>
    <w:rsid w:val="004A4A1E"/>
    <w:rsid w:val="004A553E"/>
    <w:rsid w:val="004A60ED"/>
    <w:rsid w:val="004A7944"/>
    <w:rsid w:val="004B05C4"/>
    <w:rsid w:val="004B3C01"/>
    <w:rsid w:val="004B7BEE"/>
    <w:rsid w:val="004C36E7"/>
    <w:rsid w:val="004D02C7"/>
    <w:rsid w:val="004D2170"/>
    <w:rsid w:val="004D3921"/>
    <w:rsid w:val="004E066E"/>
    <w:rsid w:val="004E5095"/>
    <w:rsid w:val="004F1C66"/>
    <w:rsid w:val="004F24AA"/>
    <w:rsid w:val="004F3503"/>
    <w:rsid w:val="004F3776"/>
    <w:rsid w:val="004F3AC4"/>
    <w:rsid w:val="004F3B8D"/>
    <w:rsid w:val="00500033"/>
    <w:rsid w:val="005011AF"/>
    <w:rsid w:val="00503BE9"/>
    <w:rsid w:val="0050472A"/>
    <w:rsid w:val="005144D0"/>
    <w:rsid w:val="00515963"/>
    <w:rsid w:val="00516124"/>
    <w:rsid w:val="0052096F"/>
    <w:rsid w:val="00521191"/>
    <w:rsid w:val="00523204"/>
    <w:rsid w:val="005308C5"/>
    <w:rsid w:val="00532A1D"/>
    <w:rsid w:val="00533385"/>
    <w:rsid w:val="00534519"/>
    <w:rsid w:val="0053642F"/>
    <w:rsid w:val="00541469"/>
    <w:rsid w:val="00541E7D"/>
    <w:rsid w:val="00543554"/>
    <w:rsid w:val="005504AA"/>
    <w:rsid w:val="0055442F"/>
    <w:rsid w:val="005641D1"/>
    <w:rsid w:val="0056498F"/>
    <w:rsid w:val="00570956"/>
    <w:rsid w:val="0057201A"/>
    <w:rsid w:val="005734CA"/>
    <w:rsid w:val="00574D6B"/>
    <w:rsid w:val="00577F91"/>
    <w:rsid w:val="00581780"/>
    <w:rsid w:val="00581EF4"/>
    <w:rsid w:val="00583EDC"/>
    <w:rsid w:val="00587524"/>
    <w:rsid w:val="00596060"/>
    <w:rsid w:val="00596814"/>
    <w:rsid w:val="005970CD"/>
    <w:rsid w:val="005A0C41"/>
    <w:rsid w:val="005B3B00"/>
    <w:rsid w:val="005C19C0"/>
    <w:rsid w:val="005C3A78"/>
    <w:rsid w:val="005C7974"/>
    <w:rsid w:val="005D4714"/>
    <w:rsid w:val="005D5528"/>
    <w:rsid w:val="005D6A22"/>
    <w:rsid w:val="005D6F7B"/>
    <w:rsid w:val="005D7D69"/>
    <w:rsid w:val="005E0F9A"/>
    <w:rsid w:val="005E2299"/>
    <w:rsid w:val="005E3892"/>
    <w:rsid w:val="005E4E9A"/>
    <w:rsid w:val="005E6A7F"/>
    <w:rsid w:val="005E6D92"/>
    <w:rsid w:val="005F046A"/>
    <w:rsid w:val="005F2AFF"/>
    <w:rsid w:val="005F2C76"/>
    <w:rsid w:val="005F54B3"/>
    <w:rsid w:val="005F5B58"/>
    <w:rsid w:val="005F5C3E"/>
    <w:rsid w:val="005F665D"/>
    <w:rsid w:val="005F7941"/>
    <w:rsid w:val="006015EA"/>
    <w:rsid w:val="00604A50"/>
    <w:rsid w:val="0060595C"/>
    <w:rsid w:val="00606DEF"/>
    <w:rsid w:val="006112C9"/>
    <w:rsid w:val="006119DB"/>
    <w:rsid w:val="00611C14"/>
    <w:rsid w:val="00612390"/>
    <w:rsid w:val="006134D6"/>
    <w:rsid w:val="00614C75"/>
    <w:rsid w:val="00621095"/>
    <w:rsid w:val="00622E95"/>
    <w:rsid w:val="00623603"/>
    <w:rsid w:val="006267FE"/>
    <w:rsid w:val="00633460"/>
    <w:rsid w:val="006352A8"/>
    <w:rsid w:val="00637766"/>
    <w:rsid w:val="00643139"/>
    <w:rsid w:val="00653C93"/>
    <w:rsid w:val="00657FEF"/>
    <w:rsid w:val="00662E92"/>
    <w:rsid w:val="00665B5E"/>
    <w:rsid w:val="0066791A"/>
    <w:rsid w:val="0067188D"/>
    <w:rsid w:val="00671B23"/>
    <w:rsid w:val="00672808"/>
    <w:rsid w:val="00677BC3"/>
    <w:rsid w:val="006924B4"/>
    <w:rsid w:val="00695F35"/>
    <w:rsid w:val="0069600A"/>
    <w:rsid w:val="006A06FF"/>
    <w:rsid w:val="006A1CBD"/>
    <w:rsid w:val="006A4B13"/>
    <w:rsid w:val="006A7E4A"/>
    <w:rsid w:val="006B0737"/>
    <w:rsid w:val="006B0BEF"/>
    <w:rsid w:val="006B17E5"/>
    <w:rsid w:val="006B2E92"/>
    <w:rsid w:val="006B34A1"/>
    <w:rsid w:val="006B540F"/>
    <w:rsid w:val="006B6599"/>
    <w:rsid w:val="006B6E44"/>
    <w:rsid w:val="006B7908"/>
    <w:rsid w:val="006C0B36"/>
    <w:rsid w:val="006C32EF"/>
    <w:rsid w:val="006C35D7"/>
    <w:rsid w:val="006C7EFD"/>
    <w:rsid w:val="006D0D06"/>
    <w:rsid w:val="006D2055"/>
    <w:rsid w:val="006D5A1A"/>
    <w:rsid w:val="006D670B"/>
    <w:rsid w:val="006D69F2"/>
    <w:rsid w:val="006D6E47"/>
    <w:rsid w:val="006E0FB6"/>
    <w:rsid w:val="006E1E28"/>
    <w:rsid w:val="006E382D"/>
    <w:rsid w:val="006E54CC"/>
    <w:rsid w:val="006E5B4C"/>
    <w:rsid w:val="006F29F4"/>
    <w:rsid w:val="006F66AB"/>
    <w:rsid w:val="00700275"/>
    <w:rsid w:val="00700C7A"/>
    <w:rsid w:val="00705497"/>
    <w:rsid w:val="007100D0"/>
    <w:rsid w:val="007103C1"/>
    <w:rsid w:val="00713886"/>
    <w:rsid w:val="0071575A"/>
    <w:rsid w:val="00720C78"/>
    <w:rsid w:val="00721BE5"/>
    <w:rsid w:val="00723CBE"/>
    <w:rsid w:val="0073178E"/>
    <w:rsid w:val="00733B4A"/>
    <w:rsid w:val="007344F7"/>
    <w:rsid w:val="00734758"/>
    <w:rsid w:val="00735883"/>
    <w:rsid w:val="00737F14"/>
    <w:rsid w:val="00744347"/>
    <w:rsid w:val="007453BA"/>
    <w:rsid w:val="00746878"/>
    <w:rsid w:val="00753082"/>
    <w:rsid w:val="007544CB"/>
    <w:rsid w:val="007545F6"/>
    <w:rsid w:val="0076186C"/>
    <w:rsid w:val="00762B97"/>
    <w:rsid w:val="00764636"/>
    <w:rsid w:val="007654F4"/>
    <w:rsid w:val="007672D3"/>
    <w:rsid w:val="00784308"/>
    <w:rsid w:val="0078458D"/>
    <w:rsid w:val="00785292"/>
    <w:rsid w:val="007919F3"/>
    <w:rsid w:val="00794B44"/>
    <w:rsid w:val="007A0789"/>
    <w:rsid w:val="007A3FD0"/>
    <w:rsid w:val="007A4D40"/>
    <w:rsid w:val="007A737C"/>
    <w:rsid w:val="007B2937"/>
    <w:rsid w:val="007B30C5"/>
    <w:rsid w:val="007B3E25"/>
    <w:rsid w:val="007B51CD"/>
    <w:rsid w:val="007B53F9"/>
    <w:rsid w:val="007B69CB"/>
    <w:rsid w:val="007C0720"/>
    <w:rsid w:val="007C0BFF"/>
    <w:rsid w:val="007D3D3E"/>
    <w:rsid w:val="007E6859"/>
    <w:rsid w:val="007E7DAD"/>
    <w:rsid w:val="007F6573"/>
    <w:rsid w:val="00800B41"/>
    <w:rsid w:val="00804347"/>
    <w:rsid w:val="00805E66"/>
    <w:rsid w:val="00807BF8"/>
    <w:rsid w:val="00811632"/>
    <w:rsid w:val="00811C89"/>
    <w:rsid w:val="00820294"/>
    <w:rsid w:val="00821E58"/>
    <w:rsid w:val="0082576D"/>
    <w:rsid w:val="008258B8"/>
    <w:rsid w:val="0082669A"/>
    <w:rsid w:val="00826792"/>
    <w:rsid w:val="008272D9"/>
    <w:rsid w:val="00830C11"/>
    <w:rsid w:val="008362F9"/>
    <w:rsid w:val="00840791"/>
    <w:rsid w:val="00842643"/>
    <w:rsid w:val="0084509C"/>
    <w:rsid w:val="008506CD"/>
    <w:rsid w:val="00853724"/>
    <w:rsid w:val="0085448B"/>
    <w:rsid w:val="00854DEF"/>
    <w:rsid w:val="00855541"/>
    <w:rsid w:val="008578A9"/>
    <w:rsid w:val="00860A79"/>
    <w:rsid w:val="00861754"/>
    <w:rsid w:val="008617B2"/>
    <w:rsid w:val="00866759"/>
    <w:rsid w:val="00867DE2"/>
    <w:rsid w:val="008735F9"/>
    <w:rsid w:val="00876027"/>
    <w:rsid w:val="008772EA"/>
    <w:rsid w:val="00884450"/>
    <w:rsid w:val="00885172"/>
    <w:rsid w:val="00885B5B"/>
    <w:rsid w:val="00886F85"/>
    <w:rsid w:val="00887DBC"/>
    <w:rsid w:val="008906CE"/>
    <w:rsid w:val="008960DE"/>
    <w:rsid w:val="008A038E"/>
    <w:rsid w:val="008A07A1"/>
    <w:rsid w:val="008A12CD"/>
    <w:rsid w:val="008A2C4D"/>
    <w:rsid w:val="008A6290"/>
    <w:rsid w:val="008B0AC2"/>
    <w:rsid w:val="008B1A57"/>
    <w:rsid w:val="008C0AAD"/>
    <w:rsid w:val="008C5C0C"/>
    <w:rsid w:val="008C5F4A"/>
    <w:rsid w:val="008C637D"/>
    <w:rsid w:val="008D0680"/>
    <w:rsid w:val="008D0C65"/>
    <w:rsid w:val="008D2412"/>
    <w:rsid w:val="008D3E2F"/>
    <w:rsid w:val="008D7247"/>
    <w:rsid w:val="008E40C8"/>
    <w:rsid w:val="008E77FA"/>
    <w:rsid w:val="008F1C92"/>
    <w:rsid w:val="008F437B"/>
    <w:rsid w:val="008F5A7F"/>
    <w:rsid w:val="009047D7"/>
    <w:rsid w:val="009072A3"/>
    <w:rsid w:val="00910A7F"/>
    <w:rsid w:val="0091272A"/>
    <w:rsid w:val="00914CFE"/>
    <w:rsid w:val="009159AA"/>
    <w:rsid w:val="009270A7"/>
    <w:rsid w:val="00927589"/>
    <w:rsid w:val="00930D61"/>
    <w:rsid w:val="009352FE"/>
    <w:rsid w:val="00936C81"/>
    <w:rsid w:val="00942814"/>
    <w:rsid w:val="009433E5"/>
    <w:rsid w:val="00945275"/>
    <w:rsid w:val="00946FB1"/>
    <w:rsid w:val="00947ABB"/>
    <w:rsid w:val="00947CD5"/>
    <w:rsid w:val="00953BC2"/>
    <w:rsid w:val="00955739"/>
    <w:rsid w:val="00957922"/>
    <w:rsid w:val="00957A11"/>
    <w:rsid w:val="00965A0C"/>
    <w:rsid w:val="00966982"/>
    <w:rsid w:val="00967057"/>
    <w:rsid w:val="00967685"/>
    <w:rsid w:val="00972218"/>
    <w:rsid w:val="0097463B"/>
    <w:rsid w:val="009752D9"/>
    <w:rsid w:val="00976416"/>
    <w:rsid w:val="0098118C"/>
    <w:rsid w:val="0098310F"/>
    <w:rsid w:val="00990AF6"/>
    <w:rsid w:val="009945D0"/>
    <w:rsid w:val="00996F77"/>
    <w:rsid w:val="009978CD"/>
    <w:rsid w:val="009979CA"/>
    <w:rsid w:val="009A0D51"/>
    <w:rsid w:val="009B06D0"/>
    <w:rsid w:val="009B3823"/>
    <w:rsid w:val="009B4434"/>
    <w:rsid w:val="009B45C5"/>
    <w:rsid w:val="009B7BC5"/>
    <w:rsid w:val="009C0613"/>
    <w:rsid w:val="009C2266"/>
    <w:rsid w:val="009C38B1"/>
    <w:rsid w:val="009C3A29"/>
    <w:rsid w:val="009C60E2"/>
    <w:rsid w:val="009D172B"/>
    <w:rsid w:val="009D6D43"/>
    <w:rsid w:val="009E2D53"/>
    <w:rsid w:val="009E4853"/>
    <w:rsid w:val="009E6453"/>
    <w:rsid w:val="009E71C9"/>
    <w:rsid w:val="009F7D63"/>
    <w:rsid w:val="00A010DF"/>
    <w:rsid w:val="00A13ABD"/>
    <w:rsid w:val="00A14A0E"/>
    <w:rsid w:val="00A14F47"/>
    <w:rsid w:val="00A155AB"/>
    <w:rsid w:val="00A1600B"/>
    <w:rsid w:val="00A160B6"/>
    <w:rsid w:val="00A2057E"/>
    <w:rsid w:val="00A21EB6"/>
    <w:rsid w:val="00A25B4D"/>
    <w:rsid w:val="00A25DA8"/>
    <w:rsid w:val="00A31184"/>
    <w:rsid w:val="00A44A74"/>
    <w:rsid w:val="00A46339"/>
    <w:rsid w:val="00A51FA3"/>
    <w:rsid w:val="00A63D18"/>
    <w:rsid w:val="00A65FFE"/>
    <w:rsid w:val="00A66BF5"/>
    <w:rsid w:val="00A7459F"/>
    <w:rsid w:val="00A86B49"/>
    <w:rsid w:val="00A8748D"/>
    <w:rsid w:val="00A900C5"/>
    <w:rsid w:val="00A95C93"/>
    <w:rsid w:val="00A96235"/>
    <w:rsid w:val="00AA4595"/>
    <w:rsid w:val="00AA48BA"/>
    <w:rsid w:val="00AA5456"/>
    <w:rsid w:val="00AA6E5D"/>
    <w:rsid w:val="00AB1A46"/>
    <w:rsid w:val="00AB670E"/>
    <w:rsid w:val="00AC1184"/>
    <w:rsid w:val="00AC3265"/>
    <w:rsid w:val="00AC3ED0"/>
    <w:rsid w:val="00AC7FBB"/>
    <w:rsid w:val="00AD1B23"/>
    <w:rsid w:val="00AD7D0D"/>
    <w:rsid w:val="00AE1608"/>
    <w:rsid w:val="00AE4BAA"/>
    <w:rsid w:val="00AF6C15"/>
    <w:rsid w:val="00AF7CE6"/>
    <w:rsid w:val="00B00268"/>
    <w:rsid w:val="00B005B6"/>
    <w:rsid w:val="00B006BC"/>
    <w:rsid w:val="00B02B3D"/>
    <w:rsid w:val="00B13912"/>
    <w:rsid w:val="00B1460D"/>
    <w:rsid w:val="00B17C57"/>
    <w:rsid w:val="00B22AE9"/>
    <w:rsid w:val="00B24F8A"/>
    <w:rsid w:val="00B26B05"/>
    <w:rsid w:val="00B320EE"/>
    <w:rsid w:val="00B339AE"/>
    <w:rsid w:val="00B41839"/>
    <w:rsid w:val="00B43EAD"/>
    <w:rsid w:val="00B454D6"/>
    <w:rsid w:val="00B47E8A"/>
    <w:rsid w:val="00B53D18"/>
    <w:rsid w:val="00B54CAE"/>
    <w:rsid w:val="00B57C21"/>
    <w:rsid w:val="00B63CFC"/>
    <w:rsid w:val="00B65DE8"/>
    <w:rsid w:val="00B74ECB"/>
    <w:rsid w:val="00B75FCC"/>
    <w:rsid w:val="00B8139E"/>
    <w:rsid w:val="00B90B62"/>
    <w:rsid w:val="00B91617"/>
    <w:rsid w:val="00B92501"/>
    <w:rsid w:val="00B9492E"/>
    <w:rsid w:val="00B949B6"/>
    <w:rsid w:val="00B96C0E"/>
    <w:rsid w:val="00BA4580"/>
    <w:rsid w:val="00BA741E"/>
    <w:rsid w:val="00BA754B"/>
    <w:rsid w:val="00BA7AB4"/>
    <w:rsid w:val="00BB30FD"/>
    <w:rsid w:val="00BB338C"/>
    <w:rsid w:val="00BB3648"/>
    <w:rsid w:val="00BB45B1"/>
    <w:rsid w:val="00BB61E8"/>
    <w:rsid w:val="00BB75CC"/>
    <w:rsid w:val="00BC307C"/>
    <w:rsid w:val="00BD4509"/>
    <w:rsid w:val="00BD5048"/>
    <w:rsid w:val="00BD5F81"/>
    <w:rsid w:val="00BE390C"/>
    <w:rsid w:val="00BE3963"/>
    <w:rsid w:val="00BE685A"/>
    <w:rsid w:val="00BE6AF1"/>
    <w:rsid w:val="00BF2DAB"/>
    <w:rsid w:val="00C02F45"/>
    <w:rsid w:val="00C04491"/>
    <w:rsid w:val="00C04CE2"/>
    <w:rsid w:val="00C1006B"/>
    <w:rsid w:val="00C101EA"/>
    <w:rsid w:val="00C10716"/>
    <w:rsid w:val="00C17C6D"/>
    <w:rsid w:val="00C22425"/>
    <w:rsid w:val="00C25FC4"/>
    <w:rsid w:val="00C3029B"/>
    <w:rsid w:val="00C30377"/>
    <w:rsid w:val="00C3037A"/>
    <w:rsid w:val="00C31035"/>
    <w:rsid w:val="00C31E5D"/>
    <w:rsid w:val="00C32CF1"/>
    <w:rsid w:val="00C33313"/>
    <w:rsid w:val="00C33BD5"/>
    <w:rsid w:val="00C36071"/>
    <w:rsid w:val="00C37557"/>
    <w:rsid w:val="00C376BB"/>
    <w:rsid w:val="00C41A78"/>
    <w:rsid w:val="00C43285"/>
    <w:rsid w:val="00C43AB8"/>
    <w:rsid w:val="00C4470B"/>
    <w:rsid w:val="00C5112A"/>
    <w:rsid w:val="00C51820"/>
    <w:rsid w:val="00C5213E"/>
    <w:rsid w:val="00C551DC"/>
    <w:rsid w:val="00C619E3"/>
    <w:rsid w:val="00C64C20"/>
    <w:rsid w:val="00C669BB"/>
    <w:rsid w:val="00C67665"/>
    <w:rsid w:val="00C711D2"/>
    <w:rsid w:val="00C71D3C"/>
    <w:rsid w:val="00C727A5"/>
    <w:rsid w:val="00C72E26"/>
    <w:rsid w:val="00C82DB4"/>
    <w:rsid w:val="00C84EA3"/>
    <w:rsid w:val="00C8702C"/>
    <w:rsid w:val="00C93C1F"/>
    <w:rsid w:val="00C93E79"/>
    <w:rsid w:val="00C9754B"/>
    <w:rsid w:val="00CA20E0"/>
    <w:rsid w:val="00CA5E8A"/>
    <w:rsid w:val="00CB0C00"/>
    <w:rsid w:val="00CB2CB6"/>
    <w:rsid w:val="00CB70AB"/>
    <w:rsid w:val="00CC1158"/>
    <w:rsid w:val="00CC370C"/>
    <w:rsid w:val="00CC7678"/>
    <w:rsid w:val="00CC7E96"/>
    <w:rsid w:val="00CD0190"/>
    <w:rsid w:val="00CD0BFD"/>
    <w:rsid w:val="00CD1EFE"/>
    <w:rsid w:val="00CD439C"/>
    <w:rsid w:val="00CD7883"/>
    <w:rsid w:val="00CE3701"/>
    <w:rsid w:val="00CE4A77"/>
    <w:rsid w:val="00CE51A9"/>
    <w:rsid w:val="00CE5432"/>
    <w:rsid w:val="00CF0352"/>
    <w:rsid w:val="00CF0633"/>
    <w:rsid w:val="00CF1C4F"/>
    <w:rsid w:val="00CF256E"/>
    <w:rsid w:val="00CF5332"/>
    <w:rsid w:val="00CF6489"/>
    <w:rsid w:val="00D00135"/>
    <w:rsid w:val="00D004EC"/>
    <w:rsid w:val="00D1149F"/>
    <w:rsid w:val="00D1424D"/>
    <w:rsid w:val="00D16361"/>
    <w:rsid w:val="00D2029F"/>
    <w:rsid w:val="00D23582"/>
    <w:rsid w:val="00D246C4"/>
    <w:rsid w:val="00D24934"/>
    <w:rsid w:val="00D24D58"/>
    <w:rsid w:val="00D311AA"/>
    <w:rsid w:val="00D3177C"/>
    <w:rsid w:val="00D341DD"/>
    <w:rsid w:val="00D37451"/>
    <w:rsid w:val="00D37621"/>
    <w:rsid w:val="00D37AC0"/>
    <w:rsid w:val="00D402DC"/>
    <w:rsid w:val="00D44B2A"/>
    <w:rsid w:val="00D47FC4"/>
    <w:rsid w:val="00D515A9"/>
    <w:rsid w:val="00D52BB4"/>
    <w:rsid w:val="00D53760"/>
    <w:rsid w:val="00D62610"/>
    <w:rsid w:val="00D64EB0"/>
    <w:rsid w:val="00D711A2"/>
    <w:rsid w:val="00D719F0"/>
    <w:rsid w:val="00D73C38"/>
    <w:rsid w:val="00D73D57"/>
    <w:rsid w:val="00D74CD8"/>
    <w:rsid w:val="00D75B98"/>
    <w:rsid w:val="00D75BCB"/>
    <w:rsid w:val="00D762EB"/>
    <w:rsid w:val="00D86488"/>
    <w:rsid w:val="00D86C70"/>
    <w:rsid w:val="00D90801"/>
    <w:rsid w:val="00D90B5D"/>
    <w:rsid w:val="00D9583D"/>
    <w:rsid w:val="00DA19C6"/>
    <w:rsid w:val="00DA337C"/>
    <w:rsid w:val="00DA3632"/>
    <w:rsid w:val="00DA59F1"/>
    <w:rsid w:val="00DA5F18"/>
    <w:rsid w:val="00DA6ACA"/>
    <w:rsid w:val="00DB34E9"/>
    <w:rsid w:val="00DB417F"/>
    <w:rsid w:val="00DB5883"/>
    <w:rsid w:val="00DB5DDA"/>
    <w:rsid w:val="00DC2E6F"/>
    <w:rsid w:val="00DC4B62"/>
    <w:rsid w:val="00DC6043"/>
    <w:rsid w:val="00DD0ACB"/>
    <w:rsid w:val="00DD26B3"/>
    <w:rsid w:val="00DD4357"/>
    <w:rsid w:val="00DE028D"/>
    <w:rsid w:val="00DE0C2B"/>
    <w:rsid w:val="00DE4045"/>
    <w:rsid w:val="00DE66B2"/>
    <w:rsid w:val="00DE7362"/>
    <w:rsid w:val="00DE73F6"/>
    <w:rsid w:val="00DF12E5"/>
    <w:rsid w:val="00E003F3"/>
    <w:rsid w:val="00E00C89"/>
    <w:rsid w:val="00E020C3"/>
    <w:rsid w:val="00E02444"/>
    <w:rsid w:val="00E04C47"/>
    <w:rsid w:val="00E05B6E"/>
    <w:rsid w:val="00E05BF2"/>
    <w:rsid w:val="00E109EA"/>
    <w:rsid w:val="00E131F8"/>
    <w:rsid w:val="00E139A0"/>
    <w:rsid w:val="00E16E65"/>
    <w:rsid w:val="00E17CB4"/>
    <w:rsid w:val="00E20201"/>
    <w:rsid w:val="00E2273B"/>
    <w:rsid w:val="00E262FD"/>
    <w:rsid w:val="00E3021D"/>
    <w:rsid w:val="00E31A22"/>
    <w:rsid w:val="00E33379"/>
    <w:rsid w:val="00E34509"/>
    <w:rsid w:val="00E4426A"/>
    <w:rsid w:val="00E45008"/>
    <w:rsid w:val="00E4630D"/>
    <w:rsid w:val="00E46901"/>
    <w:rsid w:val="00E5334B"/>
    <w:rsid w:val="00E6746C"/>
    <w:rsid w:val="00E70A7D"/>
    <w:rsid w:val="00E7304F"/>
    <w:rsid w:val="00E81118"/>
    <w:rsid w:val="00E81E44"/>
    <w:rsid w:val="00E846B6"/>
    <w:rsid w:val="00E8487A"/>
    <w:rsid w:val="00E86B5D"/>
    <w:rsid w:val="00E86DAD"/>
    <w:rsid w:val="00E95010"/>
    <w:rsid w:val="00E9512C"/>
    <w:rsid w:val="00E960F6"/>
    <w:rsid w:val="00E97395"/>
    <w:rsid w:val="00EA2C28"/>
    <w:rsid w:val="00EA79BF"/>
    <w:rsid w:val="00EB00C0"/>
    <w:rsid w:val="00EB613E"/>
    <w:rsid w:val="00EB6DA8"/>
    <w:rsid w:val="00EC2D8C"/>
    <w:rsid w:val="00EC3342"/>
    <w:rsid w:val="00EC37A7"/>
    <w:rsid w:val="00EC3A4D"/>
    <w:rsid w:val="00EC3C33"/>
    <w:rsid w:val="00EC515B"/>
    <w:rsid w:val="00ED22CB"/>
    <w:rsid w:val="00ED3C98"/>
    <w:rsid w:val="00ED3CE0"/>
    <w:rsid w:val="00ED6A75"/>
    <w:rsid w:val="00EE221B"/>
    <w:rsid w:val="00EE575A"/>
    <w:rsid w:val="00EE650C"/>
    <w:rsid w:val="00EE77BA"/>
    <w:rsid w:val="00EF25B6"/>
    <w:rsid w:val="00EF74E9"/>
    <w:rsid w:val="00F001E3"/>
    <w:rsid w:val="00F0224F"/>
    <w:rsid w:val="00F0392B"/>
    <w:rsid w:val="00F050F2"/>
    <w:rsid w:val="00F10EDB"/>
    <w:rsid w:val="00F167DA"/>
    <w:rsid w:val="00F22062"/>
    <w:rsid w:val="00F2539A"/>
    <w:rsid w:val="00F27D73"/>
    <w:rsid w:val="00F30494"/>
    <w:rsid w:val="00F344B4"/>
    <w:rsid w:val="00F40CD9"/>
    <w:rsid w:val="00F42741"/>
    <w:rsid w:val="00F4353A"/>
    <w:rsid w:val="00F44E95"/>
    <w:rsid w:val="00F45406"/>
    <w:rsid w:val="00F46371"/>
    <w:rsid w:val="00F47FF7"/>
    <w:rsid w:val="00F510F6"/>
    <w:rsid w:val="00F512B8"/>
    <w:rsid w:val="00F51660"/>
    <w:rsid w:val="00F51E50"/>
    <w:rsid w:val="00F5343E"/>
    <w:rsid w:val="00F55C00"/>
    <w:rsid w:val="00F61100"/>
    <w:rsid w:val="00F616A0"/>
    <w:rsid w:val="00F61F57"/>
    <w:rsid w:val="00F62F79"/>
    <w:rsid w:val="00F63A27"/>
    <w:rsid w:val="00F6470B"/>
    <w:rsid w:val="00F7129B"/>
    <w:rsid w:val="00F71665"/>
    <w:rsid w:val="00F74FFE"/>
    <w:rsid w:val="00F926D9"/>
    <w:rsid w:val="00F93796"/>
    <w:rsid w:val="00F9471A"/>
    <w:rsid w:val="00F94A00"/>
    <w:rsid w:val="00F95341"/>
    <w:rsid w:val="00F96017"/>
    <w:rsid w:val="00F97540"/>
    <w:rsid w:val="00F977D7"/>
    <w:rsid w:val="00FA2483"/>
    <w:rsid w:val="00FA6F60"/>
    <w:rsid w:val="00FB1DB3"/>
    <w:rsid w:val="00FB270D"/>
    <w:rsid w:val="00FB7512"/>
    <w:rsid w:val="00FC1307"/>
    <w:rsid w:val="00FC54EC"/>
    <w:rsid w:val="00FD1A6B"/>
    <w:rsid w:val="00FD5A1A"/>
    <w:rsid w:val="00FE03BF"/>
    <w:rsid w:val="00FE073E"/>
    <w:rsid w:val="00FE07EE"/>
    <w:rsid w:val="00FE2AEF"/>
    <w:rsid w:val="00FE4098"/>
    <w:rsid w:val="00FE50E7"/>
    <w:rsid w:val="00FE5AA3"/>
    <w:rsid w:val="00FE623E"/>
    <w:rsid w:val="00FE683A"/>
    <w:rsid w:val="00FE763D"/>
    <w:rsid w:val="00FF1AF0"/>
    <w:rsid w:val="00FF32E1"/>
    <w:rsid w:val="00FF5C37"/>
    <w:rsid w:val="00FF72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E936A"/>
  <w15:docId w15:val="{177A6965-25A3-4936-A863-458F31D6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350C1"/>
    <w:rPr>
      <w:color w:val="808080"/>
    </w:rPr>
  </w:style>
  <w:style w:type="paragraph" w:styleId="Revisie">
    <w:name w:val="Revision"/>
    <w:hidden/>
    <w:uiPriority w:val="99"/>
    <w:semiHidden/>
    <w:rsid w:val="007919F3"/>
    <w:rPr>
      <w:rFonts w:ascii="Univers" w:hAnsi="Univers"/>
      <w:sz w:val="22"/>
      <w:szCs w:val="24"/>
    </w:rPr>
  </w:style>
  <w:style w:type="paragraph" w:styleId="Lijstalinea">
    <w:name w:val="List Paragraph"/>
    <w:basedOn w:val="Standaard"/>
    <w:uiPriority w:val="34"/>
    <w:qFormat/>
    <w:rsid w:val="00E33379"/>
    <w:pPr>
      <w:ind w:left="720"/>
      <w:contextualSpacing/>
    </w:pPr>
  </w:style>
  <w:style w:type="paragraph" w:styleId="Voetnoottekst">
    <w:name w:val="footnote text"/>
    <w:basedOn w:val="Standaard"/>
    <w:link w:val="VoetnoottekstChar"/>
    <w:uiPriority w:val="99"/>
    <w:unhideWhenUsed/>
    <w:rsid w:val="00FE5AA3"/>
    <w:rPr>
      <w:sz w:val="20"/>
      <w:szCs w:val="20"/>
    </w:rPr>
  </w:style>
  <w:style w:type="character" w:customStyle="1" w:styleId="VoetnoottekstChar">
    <w:name w:val="Voetnoottekst Char"/>
    <w:basedOn w:val="Standaardalinea-lettertype"/>
    <w:link w:val="Voetnoottekst"/>
    <w:uiPriority w:val="99"/>
    <w:rsid w:val="00FE5AA3"/>
    <w:rPr>
      <w:rFonts w:ascii="Univers" w:hAnsi="Univers"/>
    </w:rPr>
  </w:style>
  <w:style w:type="character" w:styleId="Voetnootmarkering">
    <w:name w:val="footnote reference"/>
    <w:basedOn w:val="Standaardalinea-lettertype"/>
    <w:uiPriority w:val="99"/>
    <w:semiHidden/>
    <w:unhideWhenUsed/>
    <w:rsid w:val="00FE5AA3"/>
    <w:rPr>
      <w:vertAlign w:val="superscript"/>
    </w:rPr>
  </w:style>
  <w:style w:type="character" w:styleId="Verwijzingopmerking">
    <w:name w:val="annotation reference"/>
    <w:basedOn w:val="Standaardalinea-lettertype"/>
    <w:uiPriority w:val="99"/>
    <w:semiHidden/>
    <w:unhideWhenUsed/>
    <w:rsid w:val="00CD1EFE"/>
    <w:rPr>
      <w:sz w:val="16"/>
      <w:szCs w:val="16"/>
    </w:rPr>
  </w:style>
  <w:style w:type="paragraph" w:styleId="Tekstopmerking">
    <w:name w:val="annotation text"/>
    <w:basedOn w:val="Standaard"/>
    <w:link w:val="TekstopmerkingChar"/>
    <w:uiPriority w:val="99"/>
    <w:unhideWhenUsed/>
    <w:rsid w:val="00CD1EFE"/>
    <w:rPr>
      <w:sz w:val="20"/>
      <w:szCs w:val="20"/>
    </w:rPr>
  </w:style>
  <w:style w:type="character" w:customStyle="1" w:styleId="TekstopmerkingChar">
    <w:name w:val="Tekst opmerking Char"/>
    <w:basedOn w:val="Standaardalinea-lettertype"/>
    <w:link w:val="Tekstopmerking"/>
    <w:uiPriority w:val="99"/>
    <w:rsid w:val="00CD1EFE"/>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CD1EFE"/>
    <w:rPr>
      <w:b/>
      <w:bCs/>
    </w:rPr>
  </w:style>
  <w:style w:type="character" w:customStyle="1" w:styleId="OnderwerpvanopmerkingChar">
    <w:name w:val="Onderwerp van opmerking Char"/>
    <w:basedOn w:val="TekstopmerkingChar"/>
    <w:link w:val="Onderwerpvanopmerking"/>
    <w:uiPriority w:val="99"/>
    <w:semiHidden/>
    <w:rsid w:val="00CD1EFE"/>
    <w:rPr>
      <w:rFonts w:ascii="Univers" w:hAnsi="Univers"/>
      <w:b/>
      <w:bCs/>
    </w:rPr>
  </w:style>
  <w:style w:type="character" w:styleId="Hyperlink">
    <w:name w:val="Hyperlink"/>
    <w:basedOn w:val="Standaardalinea-lettertype"/>
    <w:uiPriority w:val="99"/>
    <w:unhideWhenUsed/>
    <w:rsid w:val="002E0060"/>
    <w:rPr>
      <w:color w:val="0000FF"/>
      <w:u w:val="single"/>
    </w:rPr>
  </w:style>
  <w:style w:type="character" w:styleId="Onopgelostemelding">
    <w:name w:val="Unresolved Mention"/>
    <w:basedOn w:val="Standaardalinea-lettertype"/>
    <w:uiPriority w:val="99"/>
    <w:rsid w:val="00E05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sb.nu/rendement-particuliere-verhuurders-onder-dr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D964720B-C252-4204-9CF2-D6078163FE43}"/>
      </w:docPartPr>
      <w:docPartBody>
        <w:p w:rsidR="000A0045" w:rsidRDefault="000A0045">
          <w:r w:rsidRPr="003A3B4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altName w:val="Cambria"/>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45"/>
    <w:rsid w:val="000A0045"/>
    <w:rsid w:val="00581832"/>
    <w:rsid w:val="0090035A"/>
    <w:rsid w:val="00A31381"/>
    <w:rsid w:val="00F85B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A00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1243</ap:Words>
  <ap:Characters>7191</ap:Characters>
  <ap:DocSecurity>4</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2024-02-07T18:55:00.0000000Z</lastPrinted>
  <dcterms:created xsi:type="dcterms:W3CDTF">2024-02-15T16:11:00.0000000Z</dcterms:created>
  <dcterms:modified xsi:type="dcterms:W3CDTF">2024-02-15T16:11:00.0000000Z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W04.24.00011/I</vt:lpwstr>
  </property>
  <property fmtid="{D5CDD505-2E9C-101B-9397-08002B2CF9AE}" pid="5" name="zaaktype">
    <vt:lpwstr>WET</vt:lpwstr>
  </property>
  <property fmtid="{D5CDD505-2E9C-101B-9397-08002B2CF9AE}" pid="6" name="ContentTypeId">
    <vt:lpwstr>0x010100FA5A77795FEADA4EA512273036134446002CCCDAB42064EF43BFBBE77263FEFB47</vt:lpwstr>
  </property>
  <property fmtid="{D5CDD505-2E9C-101B-9397-08002B2CF9AE}" pid="7" name="Bestemming">
    <vt:lpwstr>2;#Corsa|a7721b99-8166-4953-a37e-7c8574fb4b8b</vt:lpwstr>
  </property>
  <property fmtid="{D5CDD505-2E9C-101B-9397-08002B2CF9AE}" pid="8" name="_dlc_DocIdItemGuid">
    <vt:lpwstr>e94636f5-0c56-4dad-a491-7dabf50a19bc</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