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2562E" w:rsidTr="00541AA6" w14:paraId="2922FD25" w14:textId="77777777">
        <w:sdt>
          <w:sdtPr>
            <w:tag w:val="bmZaakNummerAdvies"/>
            <w:id w:val="-1407922571"/>
            <w:lock w:val="sdtLocked"/>
            <w:placeholder>
              <w:docPart w:val="DefaultPlaceholder_-1854013440"/>
            </w:placeholder>
          </w:sdtPr>
          <w:sdtEndPr/>
          <w:sdtContent>
            <w:tc>
              <w:tcPr>
                <w:tcW w:w="4251" w:type="dxa"/>
              </w:tcPr>
              <w:p w:rsidR="00C2562E" w:rsidRDefault="002056B5" w14:paraId="19D9BA17" w14:textId="1BB609DC">
                <w:r>
                  <w:t>No. W12.23.00313/III</w:t>
                </w:r>
              </w:p>
            </w:tc>
          </w:sdtContent>
        </w:sdt>
        <w:sdt>
          <w:sdtPr>
            <w:tag w:val="bmDatumAdvies"/>
            <w:id w:val="2145932591"/>
            <w:lock w:val="sdtLocked"/>
            <w:placeholder>
              <w:docPart w:val="DefaultPlaceholder_-1854013440"/>
            </w:placeholder>
          </w:sdtPr>
          <w:sdtEndPr/>
          <w:sdtContent>
            <w:tc>
              <w:tcPr>
                <w:tcW w:w="4252" w:type="dxa"/>
              </w:tcPr>
              <w:p w:rsidR="00C2562E" w:rsidRDefault="002056B5" w14:paraId="50C4CE16" w14:textId="7EBB7793">
                <w:r>
                  <w:t>'s-Gravenhage, 14 december 2023</w:t>
                </w:r>
              </w:p>
            </w:tc>
          </w:sdtContent>
        </w:sdt>
      </w:tr>
    </w:tbl>
    <w:p w:rsidR="00986A02" w:rsidRDefault="00986A02" w14:paraId="353617BA" w14:textId="77777777"/>
    <w:p w:rsidR="00966957" w:rsidRDefault="00966957" w14:paraId="37C41D54" w14:textId="77777777"/>
    <w:p w:rsidR="00531EF0" w:rsidRDefault="00B31EEC" w14:paraId="2FF4BCC0" w14:textId="0D6BA543">
      <w:sdt>
        <w:sdtPr>
          <w:tag w:val="bmAanhef"/>
          <w:id w:val="2086803846"/>
          <w:lock w:val="sdtLocked"/>
          <w:placeholder>
            <w:docPart w:val="DefaultPlaceholder_-1854013440"/>
          </w:placeholder>
        </w:sdtPr>
        <w:sdtEndPr/>
        <w:sdtContent>
          <w:r w:rsidR="002056B5">
            <w:rPr>
              <w:color w:val="000000"/>
            </w:rPr>
            <w:t>Bij Kabinetsmissive van 6 oktober 2023, no.2023002332, heeft Uwe Majesteit, op voordracht van de Minister van Sociale Zaken en Werkgelegenheid, bij de Afdeling advisering van de Raad van State ter overweging aanhangig gemaakt het ontwerpbesluit tot wijziging van de Wet inkomensvoorziening oudere werklozen in verband met het verlengen van de werkingsduur van die wet, met memorie van toelichting.</w:t>
          </w:r>
        </w:sdtContent>
      </w:sdt>
    </w:p>
    <w:p w:rsidR="00531EF0" w:rsidRDefault="00531EF0" w14:paraId="2FF4BCC1" w14:textId="77777777"/>
    <w:sdt>
      <w:sdtPr>
        <w:tag w:val="bmVrijeTekst1"/>
        <w:id w:val="-610742822"/>
        <w:lock w:val="sdtLocked"/>
        <w:placeholder>
          <w:docPart w:val="DefaultPlaceholder_-1854013440"/>
        </w:placeholder>
      </w:sdtPr>
      <w:sdtEndPr/>
      <w:sdtContent>
        <w:p w:rsidR="00531EF0" w:rsidRDefault="00E11ACB" w14:paraId="2FF4BCC2" w14:textId="3B19BF48">
          <w:r>
            <w:t>Het wetsvoorstel voorziet in een</w:t>
          </w:r>
          <w:r w:rsidR="00A6242D">
            <w:t xml:space="preserve"> derde</w:t>
          </w:r>
          <w:r>
            <w:t xml:space="preserve"> verlenging van de Wet </w:t>
          </w:r>
          <w:r w:rsidR="000F0BB9">
            <w:t>i</w:t>
          </w:r>
          <w:r>
            <w:t>nkomensvoorziening oudere werklozen</w:t>
          </w:r>
          <w:r w:rsidR="00A6242D">
            <w:t xml:space="preserve"> </w:t>
          </w:r>
          <w:r>
            <w:t xml:space="preserve">met vier jaar. </w:t>
          </w:r>
          <w:r w:rsidR="007E67E3">
            <w:t xml:space="preserve">Deze verlenging wordt passend geacht om de terugval in inkomen </w:t>
          </w:r>
          <w:r w:rsidR="007E6077">
            <w:t xml:space="preserve">na afloop van de WW- of WGA-uitkering voor deze groep oudere werklozen te blijven dempen. </w:t>
          </w:r>
        </w:p>
        <w:p w:rsidR="00BA033B" w:rsidRDefault="00BA033B" w14:paraId="4DD3FB81" w14:textId="77777777"/>
        <w:p w:rsidR="007E6077" w:rsidRDefault="007E6077" w14:paraId="40CBC0B7" w14:textId="49C36DD7">
          <w:r>
            <w:t>De Afdeling advisering van de Raad van State</w:t>
          </w:r>
          <w:r w:rsidR="00510090">
            <w:t xml:space="preserve"> </w:t>
          </w:r>
          <w:r w:rsidR="00BB7E8C">
            <w:t xml:space="preserve">merkt </w:t>
          </w:r>
          <w:r w:rsidR="00167B91">
            <w:t xml:space="preserve">in het licht van de </w:t>
          </w:r>
          <w:r w:rsidR="0035410C">
            <w:t>sterk toenemende</w:t>
          </w:r>
          <w:r w:rsidR="00167B91">
            <w:t xml:space="preserve"> </w:t>
          </w:r>
          <w:r w:rsidR="00D922D5">
            <w:t xml:space="preserve">arbeidsparticipatie van gepensioneerden </w:t>
          </w:r>
          <w:r w:rsidR="00167B91">
            <w:t xml:space="preserve">op dat </w:t>
          </w:r>
          <w:r w:rsidR="001136C7">
            <w:t xml:space="preserve">de toelichting niet ingaat op het </w:t>
          </w:r>
          <w:r w:rsidR="00C37561">
            <w:t xml:space="preserve">risico op </w:t>
          </w:r>
          <w:r w:rsidR="00F25ED7">
            <w:t xml:space="preserve">beperking van de kansen </w:t>
          </w:r>
          <w:r w:rsidR="00BA033B">
            <w:t xml:space="preserve">van </w:t>
          </w:r>
          <w:r w:rsidR="00712C20">
            <w:t xml:space="preserve">de </w:t>
          </w:r>
          <w:r w:rsidR="00B51497">
            <w:t xml:space="preserve">iets jongere leeftijdsgroep </w:t>
          </w:r>
          <w:r w:rsidR="00C37561">
            <w:t>op de arbeidsmarkt</w:t>
          </w:r>
          <w:r w:rsidR="00167B91">
            <w:t xml:space="preserve"> </w:t>
          </w:r>
          <w:r w:rsidR="00210E1C">
            <w:t>indien</w:t>
          </w:r>
          <w:r w:rsidR="002E67F8">
            <w:t xml:space="preserve"> </w:t>
          </w:r>
          <w:r w:rsidR="00FB20E3">
            <w:t xml:space="preserve">de toepasselijke </w:t>
          </w:r>
          <w:r w:rsidR="008D698C">
            <w:t xml:space="preserve">(arbeidsrechtelijke) </w:t>
          </w:r>
          <w:r w:rsidR="00FB20E3">
            <w:t xml:space="preserve">regelgeving niet </w:t>
          </w:r>
          <w:r w:rsidR="00F25ED7">
            <w:t>beter in balans</w:t>
          </w:r>
          <w:r w:rsidR="00D700AE">
            <w:t xml:space="preserve"> </w:t>
          </w:r>
          <w:r w:rsidR="008D698C">
            <w:t>wordt ge</w:t>
          </w:r>
          <w:r w:rsidR="00F25ED7">
            <w:t>bracht</w:t>
          </w:r>
          <w:r w:rsidR="00210E1C">
            <w:t xml:space="preserve"> voor de verschillende leeftijdsgroepen</w:t>
          </w:r>
          <w:r w:rsidR="00FB20E3">
            <w:t xml:space="preserve">. </w:t>
          </w:r>
          <w:r w:rsidR="00E70307">
            <w:t>In verband hiermee is aanpassing van de toelichting wenselijk.</w:t>
          </w:r>
        </w:p>
        <w:p w:rsidR="008D596D" w:rsidRDefault="008D596D" w14:paraId="1EE56899" w14:textId="77777777"/>
        <w:p w:rsidR="00335779" w:rsidRDefault="00AB2943" w14:paraId="178A7195" w14:textId="1C675A6E">
          <w:r>
            <w:t>1.</w:t>
          </w:r>
          <w:r>
            <w:tab/>
          </w:r>
          <w:r>
            <w:rPr>
              <w:u w:val="single"/>
            </w:rPr>
            <w:t>Inleiding</w:t>
          </w:r>
        </w:p>
        <w:p w:rsidRPr="00AB2943" w:rsidR="00AB2943" w:rsidRDefault="00AB2943" w14:paraId="5999DEBC" w14:textId="77777777"/>
        <w:p w:rsidR="00123629" w:rsidRDefault="00637BFA" w14:paraId="1CBA2D12" w14:textId="486A1948">
          <w:r>
            <w:t xml:space="preserve">Het wetsvoorstel regelt </w:t>
          </w:r>
          <w:r w:rsidR="00F41DC4">
            <w:t xml:space="preserve">dat de werkingsduur van de Wet inkomensvoorziening oudere werklozen (hierna: IOW) </w:t>
          </w:r>
          <w:r w:rsidR="00185C46">
            <w:t>nogmaals</w:t>
          </w:r>
          <w:r w:rsidR="00F41DC4">
            <w:t xml:space="preserve"> met vier jaar wordt verlengd. </w:t>
          </w:r>
          <w:r w:rsidR="009B335E">
            <w:t xml:space="preserve">De IOW voorziet in een inkomensvoorziening </w:t>
          </w:r>
          <w:r w:rsidR="00123629">
            <w:t>voor werknemers die op of na de leeftijd van 60 jaar en 4 maande</w:t>
          </w:r>
          <w:r w:rsidR="008D44BC">
            <w:t>n werkloos of gedeeltelijk arbeidsongeschikt worden</w:t>
          </w:r>
          <w:r w:rsidR="00D66CE8">
            <w:t xml:space="preserve">. </w:t>
          </w:r>
          <w:r w:rsidR="008F7378">
            <w:t xml:space="preserve">Het is een </w:t>
          </w:r>
          <w:r w:rsidR="00756880">
            <w:t>ink</w:t>
          </w:r>
          <w:r w:rsidR="00A83634">
            <w:t>omensondersteuning op bijstandsniveau</w:t>
          </w:r>
          <w:r w:rsidR="00047A10">
            <w:t xml:space="preserve"> (</w:t>
          </w:r>
          <w:r w:rsidR="00A83634">
            <w:t>waarbij geen partner- of vermogenstoets plaatsvindt</w:t>
          </w:r>
          <w:r w:rsidR="00047A10">
            <w:t>)</w:t>
          </w:r>
          <w:r w:rsidR="006A7186">
            <w:t xml:space="preserve"> </w:t>
          </w:r>
          <w:r w:rsidR="00D14696">
            <w:t>na</w:t>
          </w:r>
          <w:r w:rsidR="004615D8">
            <w:t xml:space="preserve"> afloop van</w:t>
          </w:r>
          <w:r w:rsidR="00D14696">
            <w:t xml:space="preserve"> de WW- of </w:t>
          </w:r>
          <w:r w:rsidR="00B1116C">
            <w:t xml:space="preserve">loongerelateerde </w:t>
          </w:r>
          <w:r w:rsidR="00D14696">
            <w:t>WGA-uitkering</w:t>
          </w:r>
          <w:r w:rsidR="00D66CE8">
            <w:t xml:space="preserve"> tot </w:t>
          </w:r>
          <w:r w:rsidR="004615D8">
            <w:t xml:space="preserve">aan </w:t>
          </w:r>
          <w:r w:rsidR="00D66CE8">
            <w:t>de AOW-</w:t>
          </w:r>
          <w:r w:rsidR="00A359D8">
            <w:t xml:space="preserve">gerechtigde </w:t>
          </w:r>
          <w:r w:rsidR="00D66CE8">
            <w:t>leeftijd.</w:t>
          </w:r>
        </w:p>
        <w:p w:rsidR="008B15A2" w:rsidRDefault="008B15A2" w14:paraId="30D6B2EA" w14:textId="77777777"/>
        <w:p w:rsidR="008805E5" w:rsidP="00FD7CBE" w:rsidRDefault="00FD7CBE" w14:paraId="7349C503" w14:textId="37F5D35D">
          <w:r>
            <w:t>De IOW is als tijdelijke regeling ingevoerd op 1 december 2009. Naar aanleiding van de indertijd verkorte WW-uitkeringsduur rechtvaardigde de toenmalige achtergestelde arbeidsmarktpositie van oudere werklozen de tijdelijke regeling.</w:t>
          </w:r>
          <w:r w:rsidR="00DA28F2">
            <w:rPr>
              <w:rStyle w:val="Voetnootmarkering"/>
            </w:rPr>
            <w:footnoteReference w:id="2"/>
          </w:r>
          <w:r>
            <w:t xml:space="preserve"> Dezelfde motivering werd gebruikt voor de </w:t>
          </w:r>
          <w:r w:rsidR="004531A2">
            <w:t xml:space="preserve">eerste </w:t>
          </w:r>
          <w:r>
            <w:t>verlenging van de IOW in 2015.</w:t>
          </w:r>
          <w:r w:rsidR="00BE4FC0">
            <w:rPr>
              <w:rStyle w:val="Voetnootmarkering"/>
            </w:rPr>
            <w:footnoteReference w:id="3"/>
          </w:r>
        </w:p>
        <w:p w:rsidR="000C5C96" w:rsidP="00FD7CBE" w:rsidRDefault="000C5C96" w14:paraId="0C7EB500" w14:textId="77777777"/>
        <w:p w:rsidR="00D118B4" w:rsidP="00D118B4" w:rsidRDefault="00D118B4" w14:paraId="753967EA" w14:textId="258FE0B4">
          <w:r>
            <w:t xml:space="preserve">Bij </w:t>
          </w:r>
          <w:r w:rsidR="000C5C96">
            <w:t xml:space="preserve">de tweede verlenging </w:t>
          </w:r>
          <w:r w:rsidR="0053031D">
            <w:t>van</w:t>
          </w:r>
          <w:r>
            <w:t xml:space="preserve"> de IOW </w:t>
          </w:r>
          <w:r w:rsidR="000C5C96">
            <w:t xml:space="preserve">2019 </w:t>
          </w:r>
          <w:r w:rsidR="00302686">
            <w:t xml:space="preserve">adviseerde </w:t>
          </w:r>
          <w:r>
            <w:t xml:space="preserve">de Afdeling </w:t>
          </w:r>
          <w:r w:rsidR="00302686">
            <w:t xml:space="preserve">de noodzaak ervan nader te motiveren, omdat </w:t>
          </w:r>
          <w:r>
            <w:t>niet opnieuw sprake was van een verkorting van de WW-uitkering</w:t>
          </w:r>
          <w:r w:rsidR="00302686">
            <w:t>sduur</w:t>
          </w:r>
          <w:r>
            <w:t>, terwijl de arbeidsmarktpositie van oudere werknemers was verbeterd en naar verwachting verder zou verbeteren.</w:t>
          </w:r>
          <w:r>
            <w:rPr>
              <w:rStyle w:val="Voetnootmarkering"/>
            </w:rPr>
            <w:footnoteReference w:id="4"/>
          </w:r>
          <w:r>
            <w:t xml:space="preserve"> </w:t>
          </w:r>
          <w:r w:rsidR="00F74080">
            <w:t xml:space="preserve">Daarop </w:t>
          </w:r>
          <w:r w:rsidR="00700373">
            <w:lastRenderedPageBreak/>
            <w:t>wees</w:t>
          </w:r>
          <w:r w:rsidR="00F74080">
            <w:t xml:space="preserve"> de regering</w:t>
          </w:r>
          <w:r w:rsidR="00D20102">
            <w:t xml:space="preserve"> </w:t>
          </w:r>
          <w:r>
            <w:t>op de relatief lage kans van zestigplussers</w:t>
          </w:r>
          <w:r w:rsidR="001F25A3">
            <w:t xml:space="preserve"> om een baan te vinden</w:t>
          </w:r>
          <w:r w:rsidR="00526A0A">
            <w:t>,</w:t>
          </w:r>
          <w:r w:rsidR="00CF410C">
            <w:t xml:space="preserve"> </w:t>
          </w:r>
          <w:r w:rsidR="001F25A3">
            <w:t>en achtte zij</w:t>
          </w:r>
          <w:r w:rsidR="00CF410C">
            <w:t xml:space="preserve"> </w:t>
          </w:r>
          <w:r w:rsidR="00526A0A">
            <w:t xml:space="preserve">het </w:t>
          </w:r>
          <w:r>
            <w:t>verlengen van het IOW-vangnet wenselijker dan het creëren van een extra prikkel tot duurzame inzetbaarheid.</w:t>
          </w:r>
        </w:p>
        <w:p w:rsidR="00D118B4" w:rsidP="00FD7CBE" w:rsidRDefault="00D118B4" w14:paraId="3B3D376E" w14:textId="77777777"/>
        <w:p w:rsidR="008805E5" w:rsidP="0049587F" w:rsidRDefault="007C074B" w14:paraId="519CD92D" w14:textId="6959BA14">
          <w:r>
            <w:t xml:space="preserve">Het huidige </w:t>
          </w:r>
          <w:r w:rsidR="008B15A2">
            <w:t>voorstel b</w:t>
          </w:r>
          <w:r>
            <w:t xml:space="preserve">rengt mee </w:t>
          </w:r>
          <w:r w:rsidR="004615D8">
            <w:t xml:space="preserve">dat </w:t>
          </w:r>
          <w:r w:rsidR="007E4403">
            <w:t>WW- of WGA-rechten die ontstaan tot 1</w:t>
          </w:r>
          <w:r w:rsidR="00A72C95">
            <w:t> </w:t>
          </w:r>
          <w:r w:rsidR="007E4403">
            <w:t>januari 2028</w:t>
          </w:r>
          <w:r w:rsidR="00247868">
            <w:t xml:space="preserve"> (nu: </w:t>
          </w:r>
          <w:r w:rsidR="00B30766">
            <w:t xml:space="preserve">tot </w:t>
          </w:r>
          <w:r w:rsidR="00247868">
            <w:t>1 januari 2024)</w:t>
          </w:r>
          <w:r w:rsidR="007E4403">
            <w:t xml:space="preserve"> recht geven op een IOW-uitkering.</w:t>
          </w:r>
          <w:r w:rsidR="00965F9D">
            <w:t xml:space="preserve"> </w:t>
          </w:r>
          <w:r w:rsidR="00CE569E">
            <w:t xml:space="preserve">Omdat de WW- of WGA-uitkering maximaal 24 maanden duurt, zal de instroom in de IOW </w:t>
          </w:r>
          <w:r w:rsidR="00985713">
            <w:t>vanaf 2030 (in plaats van 2026)</w:t>
          </w:r>
          <w:r w:rsidR="006F4CB1">
            <w:t xml:space="preserve"> eindigen</w:t>
          </w:r>
          <w:r w:rsidR="007826C6">
            <w:t>.</w:t>
          </w:r>
          <w:r w:rsidR="007826C6">
            <w:rPr>
              <w:rStyle w:val="Voetnootmarkering"/>
            </w:rPr>
            <w:footnoteReference w:id="5"/>
          </w:r>
        </w:p>
        <w:p w:rsidR="008805E5" w:rsidP="0049587F" w:rsidRDefault="008805E5" w14:paraId="0BCE0169" w14:textId="77777777"/>
        <w:p w:rsidR="008805E5" w:rsidP="0049587F" w:rsidRDefault="008805E5" w14:paraId="18329DAF" w14:textId="07F378A1">
          <w:r>
            <w:t>2.</w:t>
          </w:r>
          <w:r>
            <w:tab/>
          </w:r>
          <w:r w:rsidRPr="008805E5">
            <w:rPr>
              <w:u w:val="single"/>
            </w:rPr>
            <w:t>Motivering verlenging</w:t>
          </w:r>
          <w:r>
            <w:t xml:space="preserve"> </w:t>
          </w:r>
        </w:p>
        <w:p w:rsidRPr="008805E5" w:rsidR="008805E5" w:rsidP="0049587F" w:rsidRDefault="008805E5" w14:paraId="1E1C4217" w14:textId="77777777"/>
        <w:p w:rsidR="0049587F" w:rsidP="0049587F" w:rsidRDefault="00F433A0" w14:paraId="57A67859" w14:textId="41B351C0">
          <w:r>
            <w:t>Uit de toelichting volgt dat d</w:t>
          </w:r>
          <w:r w:rsidR="007E4403">
            <w:t xml:space="preserve">e reden voor deze verlenging is gelegen </w:t>
          </w:r>
          <w:r w:rsidR="00BE01BD">
            <w:t xml:space="preserve">in de achterblijvende </w:t>
          </w:r>
          <w:r w:rsidR="00F80A94">
            <w:t xml:space="preserve">arbeidsparticipatie en </w:t>
          </w:r>
          <w:r w:rsidR="003A7DBE">
            <w:t xml:space="preserve">kansen om een </w:t>
          </w:r>
          <w:r w:rsidR="00F80A94">
            <w:t>baan</w:t>
          </w:r>
          <w:r w:rsidR="003A7DBE">
            <w:t xml:space="preserve"> te </w:t>
          </w:r>
          <w:r w:rsidR="00F80A94">
            <w:t>vind</w:t>
          </w:r>
          <w:r w:rsidR="003A7DBE">
            <w:t xml:space="preserve">en </w:t>
          </w:r>
          <w:r w:rsidR="00F80A94">
            <w:t>vanaf de leeftijd van 60 jaar.</w:t>
          </w:r>
          <w:r w:rsidR="007E4403">
            <w:t xml:space="preserve"> </w:t>
          </w:r>
          <w:r>
            <w:t>Zes</w:t>
          </w:r>
          <w:r w:rsidR="0074223B">
            <w:t xml:space="preserve">tigplussers </w:t>
          </w:r>
          <w:r>
            <w:t xml:space="preserve">zijn ook </w:t>
          </w:r>
          <w:r w:rsidR="0074223B">
            <w:t>oververtegenwoordigd in de groep langdurig werklozen.</w:t>
          </w:r>
          <w:r w:rsidR="009A4B28">
            <w:t xml:space="preserve"> </w:t>
          </w:r>
          <w:r w:rsidR="002F1C70">
            <w:t>I</w:t>
          </w:r>
          <w:r w:rsidR="00DE44E6">
            <w:t>n</w:t>
          </w:r>
          <w:r w:rsidR="000E459F">
            <w:t xml:space="preserve"> de </w:t>
          </w:r>
          <w:r w:rsidR="002635DF">
            <w:t>Seniorenkansenvisie, die in november 2022 met de Tweede Kamer is gedeeld,</w:t>
          </w:r>
          <w:r w:rsidR="00C36507">
            <w:rPr>
              <w:rStyle w:val="Voetnootmarkering"/>
            </w:rPr>
            <w:footnoteReference w:id="6"/>
          </w:r>
          <w:r w:rsidR="002635DF">
            <w:t xml:space="preserve"> </w:t>
          </w:r>
          <w:r w:rsidR="003D13BE">
            <w:t xml:space="preserve">zijn maatregelen voorgenomen om dit aan te pakken, maar deze zijn </w:t>
          </w:r>
          <w:r w:rsidR="004E6C90">
            <w:t xml:space="preserve">vooral gericht op </w:t>
          </w:r>
          <w:r w:rsidR="00C352FF">
            <w:t>de lange</w:t>
          </w:r>
          <w:r w:rsidR="000E459F">
            <w:t>(re) termijn</w:t>
          </w:r>
          <w:r w:rsidR="003D13BE">
            <w:t xml:space="preserve">. Daarom </w:t>
          </w:r>
          <w:r w:rsidR="00440E67">
            <w:t xml:space="preserve">acht </w:t>
          </w:r>
          <w:r w:rsidR="00F42393">
            <w:t xml:space="preserve">de regering het wenselijk </w:t>
          </w:r>
          <w:r w:rsidR="000E68A1">
            <w:t xml:space="preserve">om voor </w:t>
          </w:r>
          <w:r w:rsidR="001E5677">
            <w:t>nog eens vier jaar de terug</w:t>
          </w:r>
          <w:r w:rsidR="009E7FCB">
            <w:t>val in inkomen voor deze groep te blijven dempen.</w:t>
          </w:r>
          <w:r w:rsidR="004E6C90">
            <w:rPr>
              <w:rStyle w:val="Voetnootmarkering"/>
            </w:rPr>
            <w:footnoteReference w:id="7"/>
          </w:r>
        </w:p>
        <w:p w:rsidR="00327400" w:rsidP="007E741E" w:rsidRDefault="00327400" w14:paraId="1F012F31" w14:textId="77777777"/>
        <w:p w:rsidR="003546E9" w:rsidP="00213B75" w:rsidRDefault="008D596D" w14:paraId="0F15B507" w14:textId="62A9D2C8">
          <w:r>
            <w:t xml:space="preserve">De Afdeling </w:t>
          </w:r>
          <w:r w:rsidR="008B510C">
            <w:t>constateert</w:t>
          </w:r>
          <w:r>
            <w:t xml:space="preserve"> dat</w:t>
          </w:r>
          <w:r w:rsidR="001B78B4">
            <w:t xml:space="preserve"> </w:t>
          </w:r>
          <w:r w:rsidR="003245BB">
            <w:t xml:space="preserve">het personeelstekort op </w:t>
          </w:r>
          <w:r w:rsidR="001B78B4">
            <w:t xml:space="preserve">de arbeidsmarkt ten opzichte van de vorige verlenging </w:t>
          </w:r>
          <w:r w:rsidR="00F773EF">
            <w:t xml:space="preserve">van de IOW </w:t>
          </w:r>
          <w:r w:rsidR="00855CCB">
            <w:t xml:space="preserve">verder </w:t>
          </w:r>
          <w:r w:rsidR="001B78B4">
            <w:t xml:space="preserve">is </w:t>
          </w:r>
          <w:r w:rsidR="00554BEB">
            <w:t>toegenomen</w:t>
          </w:r>
          <w:r w:rsidR="001B78B4">
            <w:t>.</w:t>
          </w:r>
          <w:r w:rsidR="00700B08">
            <w:rPr>
              <w:rStyle w:val="Voetnootmarkering"/>
            </w:rPr>
            <w:footnoteReference w:id="8"/>
          </w:r>
          <w:r w:rsidR="001B78B4">
            <w:t xml:space="preserve"> </w:t>
          </w:r>
          <w:r w:rsidR="00A65C7F">
            <w:t>D</w:t>
          </w:r>
          <w:r w:rsidR="00700B08">
            <w:t>e</w:t>
          </w:r>
          <w:r w:rsidR="00FE7E7C">
            <w:t xml:space="preserve"> netto-arbeidsparticipatie van 55- tot 65-jarigen</w:t>
          </w:r>
          <w:r w:rsidR="00700B08">
            <w:t xml:space="preserve"> is</w:t>
          </w:r>
          <w:r w:rsidR="00FE7E7C">
            <w:t xml:space="preserve"> </w:t>
          </w:r>
          <w:r w:rsidR="00554BEB">
            <w:t xml:space="preserve">gegroeid </w:t>
          </w:r>
          <w:r w:rsidR="00213B75">
            <w:t>tot 73,1 procent in 2022.</w:t>
          </w:r>
          <w:r w:rsidR="00065AA3">
            <w:rPr>
              <w:rStyle w:val="Voetnootmarkering"/>
            </w:rPr>
            <w:footnoteReference w:id="9"/>
          </w:r>
          <w:r w:rsidR="00213B75">
            <w:t xml:space="preserve"> </w:t>
          </w:r>
          <w:r w:rsidR="003E3A26">
            <w:t xml:space="preserve">Ondertussen </w:t>
          </w:r>
          <w:r w:rsidR="00A65C7F">
            <w:t xml:space="preserve">is de </w:t>
          </w:r>
          <w:r w:rsidR="00B43481">
            <w:t xml:space="preserve">instroom in de IOW gedaald van </w:t>
          </w:r>
          <w:r w:rsidR="00387B21">
            <w:t>7</w:t>
          </w:r>
          <w:r w:rsidR="00086933">
            <w:t>.</w:t>
          </w:r>
          <w:r w:rsidR="00387B21">
            <w:t>200 in 2019</w:t>
          </w:r>
          <w:r w:rsidR="003A5506">
            <w:t xml:space="preserve"> naar</w:t>
          </w:r>
          <w:r w:rsidR="003546E9">
            <w:t xml:space="preserve"> 4</w:t>
          </w:r>
          <w:r w:rsidR="00086933">
            <w:t>.</w:t>
          </w:r>
          <w:r w:rsidR="003546E9">
            <w:t xml:space="preserve">400 </w:t>
          </w:r>
          <w:r w:rsidR="00E7427A">
            <w:t>in 20</w:t>
          </w:r>
          <w:r w:rsidR="003546E9">
            <w:t>22.</w:t>
          </w:r>
          <w:r w:rsidR="008A2E97">
            <w:rPr>
              <w:rStyle w:val="Voetnootmarkering"/>
            </w:rPr>
            <w:footnoteReference w:id="10"/>
          </w:r>
          <w:r w:rsidR="00A65C7F">
            <w:t xml:space="preserve"> </w:t>
          </w:r>
          <w:r w:rsidR="00AB61A8">
            <w:t>Werklozen</w:t>
          </w:r>
          <w:r w:rsidR="00886723">
            <w:t xml:space="preserve"> in de leeftijd van zestig jaar tot de AOW-gerechtigde leeftijd </w:t>
          </w:r>
          <w:r w:rsidR="004B055B">
            <w:t xml:space="preserve">blijken </w:t>
          </w:r>
          <w:r w:rsidR="00891E56">
            <w:t>echter nog altijd moeilijk</w:t>
          </w:r>
          <w:r w:rsidR="00020336">
            <w:t>er</w:t>
          </w:r>
          <w:r w:rsidR="002C125C">
            <w:t xml:space="preserve"> aan werk</w:t>
          </w:r>
          <w:r w:rsidR="004B055B">
            <w:t xml:space="preserve"> </w:t>
          </w:r>
          <w:r w:rsidRPr="00C622F7" w:rsidR="004B055B">
            <w:t xml:space="preserve">te </w:t>
          </w:r>
          <w:r w:rsidRPr="007D4DFF" w:rsidR="004B055B">
            <w:t>komen</w:t>
          </w:r>
          <w:r w:rsidRPr="00C622F7" w:rsidR="002C125C">
            <w:t>.</w:t>
          </w:r>
          <w:r w:rsidR="002C125C">
            <w:t xml:space="preserve"> </w:t>
          </w:r>
          <w:r w:rsidR="00EA7EBB">
            <w:t xml:space="preserve">Zo is de </w:t>
          </w:r>
          <w:r w:rsidR="00C57E9B">
            <w:t>uitstroom uit de WW-uitkering</w:t>
          </w:r>
          <w:r w:rsidR="00443463">
            <w:t xml:space="preserve"> naar werk onder zestigplussers beduidend lager dan onder 55- tot 60-jarigen.</w:t>
          </w:r>
          <w:r w:rsidR="00443463">
            <w:rPr>
              <w:rStyle w:val="Voetnootmarkering"/>
            </w:rPr>
            <w:footnoteReference w:id="11"/>
          </w:r>
          <w:r w:rsidR="00861079">
            <w:t xml:space="preserve"> </w:t>
          </w:r>
          <w:r w:rsidR="007664E1">
            <w:t xml:space="preserve">Uit de evaluatie van de IOW </w:t>
          </w:r>
          <w:r w:rsidR="000B6318">
            <w:t>in</w:t>
          </w:r>
          <w:r w:rsidR="007664E1">
            <w:t xml:space="preserve"> 2020 </w:t>
          </w:r>
          <w:r w:rsidR="004B055B">
            <w:t>volgt</w:t>
          </w:r>
          <w:r w:rsidR="00EA7EBB">
            <w:t xml:space="preserve"> </w:t>
          </w:r>
          <w:r w:rsidR="00623A66">
            <w:t>ook</w:t>
          </w:r>
          <w:r w:rsidR="00EA7EBB">
            <w:t xml:space="preserve"> d</w:t>
          </w:r>
          <w:r w:rsidR="000B6318">
            <w:t xml:space="preserve">at de IOW </w:t>
          </w:r>
          <w:r w:rsidR="00C31CD4">
            <w:t>voor velen een eindstation is.</w:t>
          </w:r>
          <w:r w:rsidR="00EB66DE">
            <w:rPr>
              <w:rStyle w:val="Voetnootmarkering"/>
            </w:rPr>
            <w:footnoteReference w:id="12"/>
          </w:r>
          <w:r w:rsidR="00CD4308">
            <w:t xml:space="preserve"> In zoverre </w:t>
          </w:r>
          <w:r w:rsidR="00B803BF">
            <w:t>kan</w:t>
          </w:r>
          <w:r w:rsidR="005620B2">
            <w:t xml:space="preserve"> de Afdeling </w:t>
          </w:r>
          <w:r w:rsidR="0095163D">
            <w:t>een</w:t>
          </w:r>
          <w:r w:rsidR="00B803BF">
            <w:t xml:space="preserve"> nieuwe verlenging </w:t>
          </w:r>
          <w:r w:rsidR="0095163D">
            <w:t>van de IOW begrijpen.</w:t>
          </w:r>
          <w:r w:rsidR="005620B2">
            <w:t xml:space="preserve"> </w:t>
          </w:r>
        </w:p>
        <w:p w:rsidR="003546E9" w:rsidP="00213B75" w:rsidRDefault="003546E9" w14:paraId="37BE78DF" w14:textId="77777777"/>
        <w:p w:rsidR="00B23927" w:rsidP="00213B75" w:rsidRDefault="0095163D" w14:paraId="43A1B3AC" w14:textId="0E41C65F">
          <w:r>
            <w:lastRenderedPageBreak/>
            <w:t>Tegelijkertijd valt</w:t>
          </w:r>
          <w:r w:rsidR="005620B2">
            <w:t xml:space="preserve"> </w:t>
          </w:r>
          <w:r w:rsidR="00733C0E">
            <w:t xml:space="preserve">op dat </w:t>
          </w:r>
          <w:r w:rsidR="00BA3B6B">
            <w:t>de arbeidsparticipatie van 65-plussers</w:t>
          </w:r>
          <w:r w:rsidR="00705F17">
            <w:t xml:space="preserve"> </w:t>
          </w:r>
          <w:r w:rsidR="0000510D">
            <w:t>recent</w:t>
          </w:r>
          <w:r w:rsidR="00554BEB">
            <w:t>elijk</w:t>
          </w:r>
          <w:r w:rsidR="00C252F5">
            <w:t xml:space="preserve"> sterk is gestegen.</w:t>
          </w:r>
          <w:r w:rsidR="008A1EA2">
            <w:rPr>
              <w:rStyle w:val="Voetnootmarkering"/>
            </w:rPr>
            <w:footnoteReference w:id="13"/>
          </w:r>
          <w:r w:rsidR="00A97438">
            <w:t xml:space="preserve"> </w:t>
          </w:r>
          <w:r w:rsidR="0083537E">
            <w:t>Wat bij deze – niet onopgemerkt gebleven</w:t>
          </w:r>
          <w:r w:rsidR="0083537E">
            <w:rPr>
              <w:rStyle w:val="Voetnootmarkering"/>
            </w:rPr>
            <w:footnoteReference w:id="14"/>
          </w:r>
          <w:r w:rsidR="0083537E">
            <w:t xml:space="preserve"> – </w:t>
          </w:r>
          <w:r w:rsidR="00A97438">
            <w:t>toename</w:t>
          </w:r>
          <w:r w:rsidR="0083537E">
            <w:t xml:space="preserve"> zal meespelen, </w:t>
          </w:r>
          <w:r w:rsidR="00E554ED">
            <w:t xml:space="preserve">is dat </w:t>
          </w:r>
          <w:r w:rsidR="00ED751C">
            <w:t>een gepe</w:t>
          </w:r>
          <w:r w:rsidR="00A31E46">
            <w:t xml:space="preserve">nsioneerde werknemer relatief goedkoop </w:t>
          </w:r>
          <w:r w:rsidR="008258D9">
            <w:t xml:space="preserve">is </w:t>
          </w:r>
          <w:r w:rsidR="00DE36E4">
            <w:t xml:space="preserve">en </w:t>
          </w:r>
          <w:r w:rsidR="00BA69CA">
            <w:t xml:space="preserve">zijn rechtspositie </w:t>
          </w:r>
          <w:r w:rsidR="00DE36E4">
            <w:t xml:space="preserve">flexibel. </w:t>
          </w:r>
          <w:r w:rsidR="0091712A">
            <w:t>Zo hoeft de werkgever</w:t>
          </w:r>
          <w:r w:rsidR="00DE36E4">
            <w:t xml:space="preserve"> geen </w:t>
          </w:r>
          <w:r w:rsidR="00574923">
            <w:t>premies werknemersverzekeringen</w:t>
          </w:r>
          <w:r w:rsidR="00DE36E4">
            <w:t xml:space="preserve"> af te dragen en geldt een </w:t>
          </w:r>
          <w:r w:rsidR="0091712A">
            <w:t>verlicht</w:t>
          </w:r>
          <w:r w:rsidR="00DE36E4">
            <w:t xml:space="preserve"> arbeidsrechtelijke regime</w:t>
          </w:r>
          <w:r w:rsidR="007423CE">
            <w:t>, waarbij de werknemer</w:t>
          </w:r>
          <w:r w:rsidR="00E554ED">
            <w:t xml:space="preserve"> slechts</w:t>
          </w:r>
          <w:r w:rsidR="00141ADC">
            <w:t xml:space="preserve"> </w:t>
          </w:r>
          <w:r w:rsidR="00E554ED">
            <w:t xml:space="preserve">recht heeft op </w:t>
          </w:r>
          <w:r w:rsidR="00DE36E4">
            <w:t>zes weken loondoorbetaling bij ziekte</w:t>
          </w:r>
          <w:r w:rsidR="00265535">
            <w:t xml:space="preserve">, </w:t>
          </w:r>
          <w:r w:rsidR="00F408FF">
            <w:t>geen recht heeft op een transitievergoeding bij ontslag</w:t>
          </w:r>
          <w:r w:rsidR="00265535">
            <w:t xml:space="preserve"> en </w:t>
          </w:r>
          <w:r w:rsidR="00C3611C">
            <w:t>zes opvolgende tijdelijke contracten</w:t>
          </w:r>
          <w:r w:rsidR="008F6956">
            <w:t xml:space="preserve"> aangeboden mag krijgen</w:t>
          </w:r>
          <w:r w:rsidR="00F408FF">
            <w:t>.</w:t>
          </w:r>
          <w:r w:rsidR="00ED7578">
            <w:t xml:space="preserve"> </w:t>
          </w:r>
          <w:r w:rsidR="0091712A">
            <w:t>D</w:t>
          </w:r>
          <w:r w:rsidR="000925A0">
            <w:t xml:space="preserve">eze factoren maken </w:t>
          </w:r>
          <w:r w:rsidR="0091712A">
            <w:t xml:space="preserve">een gepensioneerde werknemer </w:t>
          </w:r>
          <w:r w:rsidR="00AF0760">
            <w:t xml:space="preserve">voor een werkgever </w:t>
          </w:r>
          <w:r w:rsidR="00884DF4">
            <w:t xml:space="preserve">aantrekkelijker dan een iets jongere </w:t>
          </w:r>
          <w:r w:rsidR="00ED7578">
            <w:t xml:space="preserve">werknemer </w:t>
          </w:r>
          <w:r w:rsidR="00BA4176">
            <w:t>die</w:t>
          </w:r>
          <w:r w:rsidR="0091712A">
            <w:t xml:space="preserve"> de AOW-leeftijd</w:t>
          </w:r>
          <w:r w:rsidR="00BA4176">
            <w:t xml:space="preserve"> nog niet heeft bereikt.</w:t>
          </w:r>
        </w:p>
        <w:p w:rsidR="00884DF4" w:rsidP="00213B75" w:rsidRDefault="00884DF4" w14:paraId="520094EF" w14:textId="77777777"/>
        <w:p w:rsidR="0091712A" w:rsidP="00213B75" w:rsidRDefault="00AF7646" w14:paraId="588E47DB" w14:textId="088DFCCD">
          <w:r>
            <w:t xml:space="preserve">De </w:t>
          </w:r>
          <w:r w:rsidR="00610901">
            <w:t>Afdeling</w:t>
          </w:r>
          <w:r>
            <w:t xml:space="preserve"> merkt</w:t>
          </w:r>
          <w:r w:rsidR="00610901">
            <w:t xml:space="preserve"> op</w:t>
          </w:r>
          <w:r w:rsidR="00076800">
            <w:t xml:space="preserve"> dat de toelichting niet ingaat op het risico</w:t>
          </w:r>
          <w:r w:rsidR="00610901">
            <w:t xml:space="preserve"> dat</w:t>
          </w:r>
          <w:r w:rsidR="00C97E06">
            <w:t xml:space="preserve">, gelet op </w:t>
          </w:r>
          <w:r w:rsidR="00610901">
            <w:t>de toenemende vergrijzing en blijvende arbeidsmarkttekorten</w:t>
          </w:r>
          <w:r w:rsidR="00C97E06">
            <w:t>,</w:t>
          </w:r>
          <w:r w:rsidR="00FB2E92">
            <w:rPr>
              <w:rStyle w:val="Voetnootmarkering"/>
            </w:rPr>
            <w:footnoteReference w:id="15"/>
          </w:r>
          <w:r w:rsidR="00C97E06">
            <w:t xml:space="preserve"> </w:t>
          </w:r>
          <w:r w:rsidR="00076800">
            <w:t>ge</w:t>
          </w:r>
          <w:r w:rsidR="00610901">
            <w:t xml:space="preserve">pensioneerden de </w:t>
          </w:r>
          <w:r w:rsidR="004C682B">
            <w:t xml:space="preserve">iets jongere </w:t>
          </w:r>
          <w:r w:rsidR="00D74745">
            <w:t>leeftijdsgroep (</w:t>
          </w:r>
          <w:r w:rsidR="000D134A">
            <w:t xml:space="preserve">vanaf 60 jaar) zullen </w:t>
          </w:r>
          <w:r w:rsidR="00D35694">
            <w:t xml:space="preserve">beperken in hun kansen </w:t>
          </w:r>
          <w:r w:rsidR="000D134A">
            <w:t>op de arbeidsmark</w:t>
          </w:r>
          <w:r w:rsidR="00C97E06">
            <w:t>t</w:t>
          </w:r>
          <w:r w:rsidR="00364981">
            <w:t xml:space="preserve">. </w:t>
          </w:r>
          <w:r w:rsidR="00791ABF">
            <w:t xml:space="preserve">Dit </w:t>
          </w:r>
          <w:r w:rsidR="00BD4F3E">
            <w:t>kan worden tegengegaan d</w:t>
          </w:r>
          <w:r w:rsidR="00791ABF">
            <w:t xml:space="preserve">oor </w:t>
          </w:r>
          <w:r w:rsidR="008B114A">
            <w:t>arbeids</w:t>
          </w:r>
          <w:r w:rsidR="00EF3DAA">
            <w:t xml:space="preserve">rechtelijke regels </w:t>
          </w:r>
          <w:r w:rsidR="00364981">
            <w:t xml:space="preserve">en </w:t>
          </w:r>
          <w:r w:rsidR="00824391">
            <w:t xml:space="preserve">regelgeving </w:t>
          </w:r>
          <w:r w:rsidR="00364981">
            <w:t xml:space="preserve">inzake belastingen, sociale verzekeringen en pensioenen </w:t>
          </w:r>
          <w:r w:rsidR="00D35694">
            <w:t xml:space="preserve">beter in balans </w:t>
          </w:r>
          <w:r w:rsidR="001A6250">
            <w:t>te brengen</w:t>
          </w:r>
          <w:r w:rsidR="00CD108C">
            <w:t xml:space="preserve"> v</w:t>
          </w:r>
          <w:r w:rsidR="00F7560C">
            <w:t>oo</w:t>
          </w:r>
          <w:r w:rsidR="00364981">
            <w:t xml:space="preserve">r werknemers in </w:t>
          </w:r>
          <w:r w:rsidR="00597665">
            <w:t xml:space="preserve">de </w:t>
          </w:r>
          <w:r w:rsidR="00364981">
            <w:t xml:space="preserve">verschillende leeftijdsgroepen. </w:t>
          </w:r>
          <w:r w:rsidR="00824391">
            <w:t xml:space="preserve">Zolang </w:t>
          </w:r>
          <w:r w:rsidR="001C04D3">
            <w:t xml:space="preserve">dit niet gebeurt, </w:t>
          </w:r>
          <w:r w:rsidR="00CD108C">
            <w:t>kunnen dergelijke</w:t>
          </w:r>
          <w:r w:rsidR="00824391">
            <w:t xml:space="preserve"> waterbedeffecten </w:t>
          </w:r>
          <w:r w:rsidR="00CD108C">
            <w:t>zich voordoen</w:t>
          </w:r>
          <w:r w:rsidR="00184511">
            <w:t xml:space="preserve"> en </w:t>
          </w:r>
          <w:r w:rsidR="00395FC7">
            <w:t>is de kans aanwezig dat over vier jaar</w:t>
          </w:r>
          <w:r w:rsidR="0096120F">
            <w:t xml:space="preserve"> </w:t>
          </w:r>
          <w:r w:rsidR="005620B2">
            <w:t>weer zal moeten worden voorgesteld</w:t>
          </w:r>
          <w:r w:rsidR="0096120F">
            <w:t xml:space="preserve"> de IOW te verlengen.</w:t>
          </w:r>
        </w:p>
        <w:p w:rsidR="0096120F" w:rsidP="00213B75" w:rsidRDefault="0096120F" w14:paraId="77A50D56" w14:textId="77777777"/>
        <w:p w:rsidR="000503BC" w:rsidP="00213B75" w:rsidRDefault="0096120F" w14:paraId="5990C8FB" w14:textId="787A2CCD">
          <w:r>
            <w:t>De Afdeling adviseert in de toelichting nader in te gaan op het voorgaande.</w:t>
          </w:r>
        </w:p>
      </w:sdtContent>
    </w:sdt>
    <w:p w:rsidR="00AF0AF4" w:rsidP="00213B75" w:rsidRDefault="00AF0AF4" w14:paraId="7738B0CB" w14:textId="42318E77"/>
    <w:p w:rsidR="00D1536D" w:rsidP="00213B75" w:rsidRDefault="00D1536D" w14:paraId="02333663" w14:textId="77777777"/>
    <w:sdt>
      <w:sdtPr>
        <w:tag w:val="bmDictum"/>
        <w:id w:val="-1880469283"/>
        <w:lock w:val="sdtLocked"/>
        <w:placeholder>
          <w:docPart w:val="3191CB6AE7C844E0A17044659174ED1C"/>
        </w:placeholder>
      </w:sdtPr>
      <w:sdtEndPr/>
      <w:sdtContent>
        <w:p w:rsidR="00AE0FE6" w:rsidP="00213B75" w:rsidRDefault="008F033F" w14:paraId="5C016C97" w14:textId="77777777">
          <w:r>
            <w:t xml:space="preserve">De Afdeling advisering van de Raad van State heeft een aantal opmerkingen bij het voorstel en adviseert daarmee rekening te houden voordat het voorstel bij de Tweede Kamer der Staten-Generaal wordt ingediend. </w:t>
          </w:r>
          <w:r>
            <w:br/>
          </w:r>
        </w:p>
        <w:p w:rsidR="00464978" w:rsidP="00213B75" w:rsidRDefault="008F033F" w14:paraId="3153EAB6" w14:textId="480AA8FA">
          <w:r>
            <w:br/>
            <w:t xml:space="preserve">De </w:t>
          </w:r>
          <w:proofErr w:type="spellStart"/>
          <w:r>
            <w:t>vice-president</w:t>
          </w:r>
          <w:proofErr w:type="spellEnd"/>
          <w:r>
            <w:t xml:space="preserve"> van de Raad van State,</w:t>
          </w:r>
        </w:p>
      </w:sdtContent>
    </w:sdt>
    <w:p w:rsidR="004B5715" w:rsidP="00213B75" w:rsidRDefault="004B5715" w14:paraId="358F5D8B" w14:textId="7F73A11A"/>
    <w:sectPr w:rsidR="004B5715" w:rsidSect="007D4DFF">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128D" w14:textId="77777777" w:rsidR="00F27FD2" w:rsidRDefault="00F27FD2">
      <w:r>
        <w:separator/>
      </w:r>
    </w:p>
  </w:endnote>
  <w:endnote w:type="continuationSeparator" w:id="0">
    <w:p w14:paraId="6449C8BE" w14:textId="77777777" w:rsidR="00F27FD2" w:rsidRDefault="00F27FD2">
      <w:r>
        <w:continuationSeparator/>
      </w:r>
    </w:p>
  </w:endnote>
  <w:endnote w:type="continuationNotice" w:id="1">
    <w:p w14:paraId="0B1DB483" w14:textId="77777777" w:rsidR="00F27FD2" w:rsidRDefault="00F27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53C8" w14:textId="77777777" w:rsidR="004B5715" w:rsidRDefault="004B57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02225" w14:paraId="2FF4BCCA" w14:textId="77777777" w:rsidTr="00D90098">
      <w:tc>
        <w:tcPr>
          <w:tcW w:w="4815" w:type="dxa"/>
        </w:tcPr>
        <w:p w14:paraId="2FF4BCC8" w14:textId="77777777" w:rsidR="00531EF0" w:rsidRDefault="00531EF0" w:rsidP="00D90098">
          <w:pPr>
            <w:pStyle w:val="Voettekst"/>
          </w:pPr>
        </w:p>
      </w:tc>
      <w:tc>
        <w:tcPr>
          <w:tcW w:w="4247" w:type="dxa"/>
        </w:tcPr>
        <w:p w14:paraId="2FF4BCC9" w14:textId="77777777" w:rsidR="00531EF0" w:rsidRDefault="00531EF0" w:rsidP="00D90098">
          <w:pPr>
            <w:pStyle w:val="Voettekst"/>
            <w:jc w:val="right"/>
          </w:pPr>
        </w:p>
      </w:tc>
    </w:tr>
  </w:tbl>
  <w:p w14:paraId="2FF4BCCB" w14:textId="77777777" w:rsidR="00531EF0" w:rsidRDefault="00531E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2811" w14:textId="09EDF490" w:rsidR="00264DD2" w:rsidRPr="00EB657C" w:rsidRDefault="00EB657C">
    <w:pPr>
      <w:pStyle w:val="Voettekst"/>
      <w:rPr>
        <w:rFonts w:ascii="Bembo" w:hAnsi="Bembo"/>
        <w:sz w:val="32"/>
      </w:rPr>
    </w:pPr>
    <w:r w:rsidRPr="00EB657C">
      <w:rPr>
        <w:rFonts w:ascii="Bembo" w:hAnsi="Bembo"/>
        <w:sz w:val="32"/>
      </w:rPr>
      <w:t>AAN DE KONING</w:t>
    </w:r>
  </w:p>
  <w:p w14:paraId="12FD4404" w14:textId="77777777" w:rsidR="009E3149" w:rsidRDefault="009E31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5B61" w14:textId="77777777" w:rsidR="00F27FD2" w:rsidRDefault="00F27FD2">
      <w:r>
        <w:separator/>
      </w:r>
    </w:p>
  </w:footnote>
  <w:footnote w:type="continuationSeparator" w:id="0">
    <w:p w14:paraId="11C12640" w14:textId="77777777" w:rsidR="00F27FD2" w:rsidRDefault="00F27FD2">
      <w:r>
        <w:continuationSeparator/>
      </w:r>
    </w:p>
  </w:footnote>
  <w:footnote w:type="continuationNotice" w:id="1">
    <w:p w14:paraId="23CD366F" w14:textId="77777777" w:rsidR="00F27FD2" w:rsidRDefault="00F27FD2"/>
  </w:footnote>
  <w:footnote w:id="2">
    <w:p w14:paraId="0D5E9641" w14:textId="2FAD8150" w:rsidR="00DA28F2" w:rsidRDefault="00DA28F2" w:rsidP="00DA28F2">
      <w:pPr>
        <w:pStyle w:val="Voetnoottekst"/>
      </w:pPr>
      <w:r>
        <w:rPr>
          <w:rStyle w:val="Voetnootmarkering"/>
        </w:rPr>
        <w:footnoteRef/>
      </w:r>
      <w:r>
        <w:t xml:space="preserve"> </w:t>
      </w:r>
      <w:r w:rsidR="003B52EC">
        <w:t xml:space="preserve">Zie </w:t>
      </w:r>
      <w:r>
        <w:t xml:space="preserve">Kamerstukken II 2006/07, 30819, nr. 3, p. </w:t>
      </w:r>
      <w:r w:rsidR="00792A8A">
        <w:t>1-</w:t>
      </w:r>
      <w:r>
        <w:t xml:space="preserve">2. </w:t>
      </w:r>
      <w:r w:rsidR="00D674D9">
        <w:t>De v</w:t>
      </w:r>
      <w:r>
        <w:t xml:space="preserve">erkorting van de maximale WW-uitkeringsduur </w:t>
      </w:r>
      <w:r w:rsidR="00D674D9">
        <w:t xml:space="preserve">kwam namelijk </w:t>
      </w:r>
      <w:r w:rsidR="008A2C08">
        <w:t>volledig t</w:t>
      </w:r>
      <w:r>
        <w:t>ot effect</w:t>
      </w:r>
      <w:r w:rsidR="008A2C08">
        <w:t xml:space="preserve"> </w:t>
      </w:r>
      <w:r>
        <w:t>bij oudere werknemers.</w:t>
      </w:r>
    </w:p>
  </w:footnote>
  <w:footnote w:id="3">
    <w:p w14:paraId="63BAE338" w14:textId="68DF098D" w:rsidR="00BE4FC0" w:rsidRDefault="00BE4FC0">
      <w:pPr>
        <w:pStyle w:val="Voetnoottekst"/>
      </w:pPr>
      <w:r>
        <w:rPr>
          <w:rStyle w:val="Voetnootmarkering"/>
        </w:rPr>
        <w:footnoteRef/>
      </w:r>
      <w:r>
        <w:t xml:space="preserve"> </w:t>
      </w:r>
      <w:r w:rsidRPr="00BE4FC0">
        <w:t>Kamerstukken II 2013/14, 33818, nr. 3, p. 62–64</w:t>
      </w:r>
      <w:r>
        <w:t>.</w:t>
      </w:r>
    </w:p>
  </w:footnote>
  <w:footnote w:id="4">
    <w:p w14:paraId="36546116" w14:textId="77777777" w:rsidR="00D118B4" w:rsidRDefault="00D118B4" w:rsidP="00D118B4">
      <w:pPr>
        <w:pStyle w:val="Voetnoottekst"/>
      </w:pPr>
      <w:r>
        <w:rPr>
          <w:rStyle w:val="Voetnootmarkering"/>
        </w:rPr>
        <w:footnoteRef/>
      </w:r>
      <w:r>
        <w:t xml:space="preserve"> Kamerstukken II 2022/23, 35294, nr. 4.</w:t>
      </w:r>
    </w:p>
  </w:footnote>
  <w:footnote w:id="5">
    <w:p w14:paraId="5616F036" w14:textId="62B3F8FE" w:rsidR="007826C6" w:rsidRDefault="007826C6">
      <w:pPr>
        <w:pStyle w:val="Voetnoottekst"/>
      </w:pPr>
      <w:r>
        <w:rPr>
          <w:rStyle w:val="Voetnootmarkering"/>
        </w:rPr>
        <w:footnoteRef/>
      </w:r>
      <w:r>
        <w:t xml:space="preserve"> Memorie van toelichting, paragraaf </w:t>
      </w:r>
      <w:r w:rsidR="00062400">
        <w:t xml:space="preserve">1. </w:t>
      </w:r>
    </w:p>
  </w:footnote>
  <w:footnote w:id="6">
    <w:p w14:paraId="1753FD15" w14:textId="1BB84A4C" w:rsidR="00C36507" w:rsidRDefault="00C36507">
      <w:pPr>
        <w:pStyle w:val="Voetnoottekst"/>
      </w:pPr>
      <w:r>
        <w:rPr>
          <w:rStyle w:val="Voetnootmarkering"/>
        </w:rPr>
        <w:footnoteRef/>
      </w:r>
      <w:r>
        <w:t xml:space="preserve"> </w:t>
      </w:r>
      <w:r w:rsidR="009A46D4">
        <w:t xml:space="preserve">Kamerstukken II 2022/23, </w:t>
      </w:r>
      <w:r w:rsidR="00EB4FF6">
        <w:t>29544, nr. 1159.</w:t>
      </w:r>
    </w:p>
  </w:footnote>
  <w:footnote w:id="7">
    <w:p w14:paraId="6FC372BB" w14:textId="77777777" w:rsidR="004E6C90" w:rsidRDefault="004E6C90" w:rsidP="004E6C90">
      <w:pPr>
        <w:pStyle w:val="Voetnoottekst"/>
      </w:pPr>
      <w:r>
        <w:rPr>
          <w:rStyle w:val="Voetnootmarkering"/>
        </w:rPr>
        <w:footnoteRef/>
      </w:r>
      <w:r>
        <w:t xml:space="preserve"> Memorie van toelichting, paragraaf 1.</w:t>
      </w:r>
    </w:p>
  </w:footnote>
  <w:footnote w:id="8">
    <w:p w14:paraId="409152EF" w14:textId="1BA9440F" w:rsidR="00700B08" w:rsidRDefault="00700B08">
      <w:pPr>
        <w:pStyle w:val="Voetnoottekst"/>
      </w:pPr>
      <w:r>
        <w:rPr>
          <w:rStyle w:val="Voetnootmarkering"/>
        </w:rPr>
        <w:footnoteRef/>
      </w:r>
      <w:r>
        <w:t xml:space="preserve"> </w:t>
      </w:r>
      <w:r w:rsidRPr="00700B08">
        <w:t xml:space="preserve">Terwijl in 2019 de verhouding nog lag rond de 67 vacatures per 100 werklozen, is </w:t>
      </w:r>
      <w:r w:rsidR="000B72FA">
        <w:t>deze</w:t>
      </w:r>
      <w:r w:rsidRPr="00700B08">
        <w:t xml:space="preserve"> in 2023 gestegen tot rond de 120 vacatures per 100 werklozen. </w:t>
      </w:r>
      <w:r w:rsidR="00026256">
        <w:t xml:space="preserve">Zie CBS, ‘Spanning op de arbeidsmarkt’, cbs.nl. </w:t>
      </w:r>
    </w:p>
  </w:footnote>
  <w:footnote w:id="9">
    <w:p w14:paraId="7A0B7867" w14:textId="669C5AE0" w:rsidR="00065AA3" w:rsidRDefault="00065AA3">
      <w:pPr>
        <w:pStyle w:val="Voetnoottekst"/>
      </w:pPr>
      <w:r>
        <w:rPr>
          <w:rStyle w:val="Voetnootmarkering"/>
        </w:rPr>
        <w:footnoteRef/>
      </w:r>
      <w:r>
        <w:t xml:space="preserve"> </w:t>
      </w:r>
      <w:r w:rsidR="005E034A">
        <w:t xml:space="preserve">CBS, </w:t>
      </w:r>
      <w:r w:rsidR="005E034A" w:rsidRPr="005E034A">
        <w:rPr>
          <w:i/>
          <w:iCs/>
        </w:rPr>
        <w:t>De arbeidsmarkt in cijfers 2022</w:t>
      </w:r>
      <w:r w:rsidR="005E034A">
        <w:t xml:space="preserve">, </w:t>
      </w:r>
      <w:r w:rsidR="00015815">
        <w:t xml:space="preserve">2023, </w:t>
      </w:r>
      <w:r w:rsidR="005E034A">
        <w:t>p. 55.</w:t>
      </w:r>
    </w:p>
  </w:footnote>
  <w:footnote w:id="10">
    <w:p w14:paraId="78694EAF" w14:textId="12325F58" w:rsidR="008A2E97" w:rsidRDefault="008A2E97">
      <w:pPr>
        <w:pStyle w:val="Voetnoottekst"/>
      </w:pPr>
      <w:r>
        <w:rPr>
          <w:rStyle w:val="Voetnootmarkering"/>
        </w:rPr>
        <w:footnoteRef/>
      </w:r>
      <w:r>
        <w:t xml:space="preserve"> </w:t>
      </w:r>
      <w:r w:rsidR="00AA63BE">
        <w:t>Oorzaken zijn d</w:t>
      </w:r>
      <w:r w:rsidR="00793DF7">
        <w:t xml:space="preserve">e </w:t>
      </w:r>
      <w:r w:rsidR="006452A1">
        <w:t>afname van het WW-bestand in 2021 en 2022</w:t>
      </w:r>
      <w:r w:rsidR="00793DF7">
        <w:t xml:space="preserve"> en </w:t>
      </w:r>
      <w:r w:rsidR="00AA63BE">
        <w:t>de daling van het</w:t>
      </w:r>
      <w:r w:rsidR="006452A1">
        <w:t xml:space="preserve"> percentage personen uit de doelgroep </w:t>
      </w:r>
      <w:r w:rsidR="00725815">
        <w:t xml:space="preserve">dat een IOW-uitkering aanvraagt. Zie UWV, </w:t>
      </w:r>
      <w:r w:rsidR="00725815" w:rsidRPr="00725815">
        <w:rPr>
          <w:i/>
          <w:iCs/>
        </w:rPr>
        <w:t>Januarinota 2023</w:t>
      </w:r>
      <w:r w:rsidR="00725815">
        <w:t>,</w:t>
      </w:r>
      <w:r w:rsidR="00015815">
        <w:t xml:space="preserve"> 2023</w:t>
      </w:r>
      <w:r w:rsidR="00C0519D">
        <w:t>,</w:t>
      </w:r>
      <w:r w:rsidR="00725815">
        <w:t xml:space="preserve"> p. 20.</w:t>
      </w:r>
    </w:p>
  </w:footnote>
  <w:footnote w:id="11">
    <w:p w14:paraId="63ED1BBF" w14:textId="2BB87A04" w:rsidR="00443463" w:rsidRDefault="00443463">
      <w:pPr>
        <w:pStyle w:val="Voetnoottekst"/>
      </w:pPr>
      <w:r>
        <w:rPr>
          <w:rStyle w:val="Voetnootmarkering"/>
        </w:rPr>
        <w:footnoteRef/>
      </w:r>
      <w:r>
        <w:t xml:space="preserve"> </w:t>
      </w:r>
      <w:r w:rsidR="00382422">
        <w:t xml:space="preserve">UWV, </w:t>
      </w:r>
      <w:r w:rsidR="000F2751">
        <w:t>‘Steeds meer 55-plussers aan het werk’, 14 maart 2023, p. 2-3. Het verschil betreft 45</w:t>
      </w:r>
      <w:r w:rsidR="00AC72D3">
        <w:t xml:space="preserve"> procent</w:t>
      </w:r>
      <w:r w:rsidR="000F2751">
        <w:t xml:space="preserve"> om 72</w:t>
      </w:r>
      <w:r w:rsidR="00AC72D3">
        <w:t xml:space="preserve"> procent</w:t>
      </w:r>
      <w:r w:rsidR="000F2751">
        <w:t xml:space="preserve"> </w:t>
      </w:r>
      <w:r w:rsidR="00861079">
        <w:t xml:space="preserve">in de eerste helft van 2022. Zie ook </w:t>
      </w:r>
      <w:r w:rsidR="00D85CFD" w:rsidRPr="00D85CFD">
        <w:t xml:space="preserve">UWV, </w:t>
      </w:r>
      <w:r w:rsidR="00D85CFD" w:rsidRPr="000B72FA">
        <w:rPr>
          <w:i/>
          <w:iCs/>
        </w:rPr>
        <w:t>Duiding arbeidsmarktontwikkelingen</w:t>
      </w:r>
      <w:r w:rsidR="00D85CFD" w:rsidRPr="00D85CFD">
        <w:t>, november 2022, p. 7-8.</w:t>
      </w:r>
    </w:p>
  </w:footnote>
  <w:footnote w:id="12">
    <w:p w14:paraId="4B35E6AA" w14:textId="0ECA2B9E" w:rsidR="0035299F" w:rsidRPr="0035299F" w:rsidRDefault="00EB66DE" w:rsidP="0035299F">
      <w:pPr>
        <w:pStyle w:val="Voetnoottekst"/>
        <w:rPr>
          <w:i/>
          <w:iCs/>
        </w:rPr>
      </w:pPr>
      <w:r>
        <w:rPr>
          <w:rStyle w:val="Voetnootmarkering"/>
        </w:rPr>
        <w:footnoteRef/>
      </w:r>
      <w:r>
        <w:t xml:space="preserve"> </w:t>
      </w:r>
      <w:r w:rsidR="00D5707F">
        <w:t>SEO</w:t>
      </w:r>
      <w:r w:rsidR="00DB1477">
        <w:t xml:space="preserve"> Economisch Onderzoek, </w:t>
      </w:r>
      <w:r w:rsidR="0035299F" w:rsidRPr="0035299F">
        <w:rPr>
          <w:i/>
          <w:iCs/>
        </w:rPr>
        <w:t xml:space="preserve">Effecten van maatregelen WW en IOW in de </w:t>
      </w:r>
    </w:p>
    <w:p w14:paraId="721CFAD9" w14:textId="14BF11C2" w:rsidR="00EB66DE" w:rsidRDefault="0035299F" w:rsidP="0035299F">
      <w:pPr>
        <w:pStyle w:val="Voetnoottekst"/>
      </w:pPr>
      <w:r w:rsidRPr="0035299F">
        <w:rPr>
          <w:i/>
          <w:iCs/>
        </w:rPr>
        <w:t xml:space="preserve">Wet werk en zekerheid. Deelrapport Evaluatie </w:t>
      </w:r>
      <w:proofErr w:type="spellStart"/>
      <w:r w:rsidRPr="0035299F">
        <w:rPr>
          <w:i/>
          <w:iCs/>
        </w:rPr>
        <w:t>Wwz</w:t>
      </w:r>
      <w:proofErr w:type="spellEnd"/>
      <w:r>
        <w:t xml:space="preserve"> (in opdracht van het ministerie van SZW), juni 2020, bijlage bij </w:t>
      </w:r>
      <w:r w:rsidR="00B41490" w:rsidRPr="00B41490">
        <w:t>Kamerstukken II 2019/20, 34351, nr. 33</w:t>
      </w:r>
      <w:r>
        <w:t xml:space="preserve">, p. </w:t>
      </w:r>
      <w:r w:rsidR="004B6766">
        <w:t>67.</w:t>
      </w:r>
    </w:p>
  </w:footnote>
  <w:footnote w:id="13">
    <w:p w14:paraId="28C9FD41" w14:textId="2B25CFE5" w:rsidR="008A1EA2" w:rsidRDefault="008A1EA2">
      <w:pPr>
        <w:pStyle w:val="Voetnoottekst"/>
      </w:pPr>
      <w:r>
        <w:rPr>
          <w:rStyle w:val="Voetnootmarkering"/>
        </w:rPr>
        <w:footnoteRef/>
      </w:r>
      <w:r>
        <w:t xml:space="preserve"> </w:t>
      </w:r>
      <w:r w:rsidRPr="008A1EA2">
        <w:t>Sinds 201</w:t>
      </w:r>
      <w:r w:rsidR="0071002E">
        <w:t>8</w:t>
      </w:r>
      <w:r w:rsidRPr="008A1EA2">
        <w:t xml:space="preserve"> is de netto-arbeidsparticipatie van 65- tot 75-jarigen </w:t>
      </w:r>
      <w:r w:rsidR="00761332">
        <w:t xml:space="preserve">met </w:t>
      </w:r>
      <w:r w:rsidR="0087240A">
        <w:t xml:space="preserve">4,3 procentpunt toegenomen </w:t>
      </w:r>
      <w:r w:rsidRPr="008A1EA2">
        <w:t xml:space="preserve">naar 16,2 procent in 2022; een stijging van </w:t>
      </w:r>
      <w:r w:rsidR="007A7208">
        <w:t>3</w:t>
      </w:r>
      <w:r w:rsidR="00761332">
        <w:t>6</w:t>
      </w:r>
      <w:r w:rsidR="007A7208">
        <w:t xml:space="preserve"> procent</w:t>
      </w:r>
      <w:r>
        <w:t xml:space="preserve"> (CBS Statline, ‘Arbeidsmarktdeelname, kerncijfers’).</w:t>
      </w:r>
    </w:p>
  </w:footnote>
  <w:footnote w:id="14">
    <w:p w14:paraId="3DCA3318" w14:textId="27682B7A" w:rsidR="0083537E" w:rsidRPr="009D0B0F" w:rsidRDefault="0083537E" w:rsidP="0083537E">
      <w:pPr>
        <w:pStyle w:val="Voetnoottekst"/>
        <w:tabs>
          <w:tab w:val="left" w:pos="6544"/>
        </w:tabs>
      </w:pPr>
      <w:r>
        <w:rPr>
          <w:rStyle w:val="Voetnootmarkering"/>
        </w:rPr>
        <w:footnoteRef/>
      </w:r>
      <w:r>
        <w:t xml:space="preserve"> Zie bijvoorbeeld E. Dingemans e.a., ‘Aanzienlijk onbenut arbeidspotentieel onder gepensioneerden’, </w:t>
      </w:r>
      <w:r>
        <w:rPr>
          <w:i/>
          <w:iCs/>
        </w:rPr>
        <w:t>ESB</w:t>
      </w:r>
      <w:r>
        <w:t xml:space="preserve"> 2023, afl. 4826, p. 460-461; UWV, ’65-plussers als oplossing voor personeelstekorten’, </w:t>
      </w:r>
      <w:r w:rsidR="003866F5">
        <w:t>22 februari 2023</w:t>
      </w:r>
      <w:r>
        <w:t xml:space="preserve">; CBS, </w:t>
      </w:r>
      <w:r w:rsidRPr="00A97438">
        <w:rPr>
          <w:i/>
          <w:iCs/>
        </w:rPr>
        <w:t>De arbeidsmarkt in cijfers 2022</w:t>
      </w:r>
      <w:r>
        <w:t xml:space="preserve">, </w:t>
      </w:r>
      <w:r w:rsidR="00EC7044">
        <w:t xml:space="preserve">2023, </w:t>
      </w:r>
      <w:r>
        <w:t xml:space="preserve">p. 55. Zie ook K. Goudswaard &amp; K. </w:t>
      </w:r>
      <w:proofErr w:type="spellStart"/>
      <w:r>
        <w:t>Caminada</w:t>
      </w:r>
      <w:proofErr w:type="spellEnd"/>
      <w:r>
        <w:t xml:space="preserve">, ‘Arbeidsparticipatie ouderen in nationaal en internationaal perspectief’, in: G.J.J. Heerma van </w:t>
      </w:r>
      <w:proofErr w:type="spellStart"/>
      <w:r>
        <w:t>Voss</w:t>
      </w:r>
      <w:proofErr w:type="spellEnd"/>
      <w:r>
        <w:t xml:space="preserve"> &amp; A.G. van </w:t>
      </w:r>
      <w:proofErr w:type="spellStart"/>
      <w:r>
        <w:t>Marwijk</w:t>
      </w:r>
      <w:proofErr w:type="spellEnd"/>
      <w:r>
        <w:t xml:space="preserve"> Koo</w:t>
      </w:r>
      <w:r w:rsidR="00A233A5">
        <w:t>y</w:t>
      </w:r>
      <w:r>
        <w:t xml:space="preserve"> (red</w:t>
      </w:r>
      <w:r w:rsidR="00A233A5">
        <w:t>.</w:t>
      </w:r>
      <w:r>
        <w:t xml:space="preserve">), </w:t>
      </w:r>
      <w:r w:rsidRPr="004C12C1">
        <w:rPr>
          <w:i/>
          <w:iCs/>
        </w:rPr>
        <w:t>De oudere werkende en het sociaal recht</w:t>
      </w:r>
      <w:r>
        <w:t xml:space="preserve">, </w:t>
      </w:r>
      <w:r w:rsidR="00F55D54">
        <w:t xml:space="preserve">Deventer: </w:t>
      </w:r>
      <w:r>
        <w:t xml:space="preserve">Wolters Kluwer 2020, </w:t>
      </w:r>
      <w:r w:rsidR="00F55D54">
        <w:t>p.</w:t>
      </w:r>
      <w:r>
        <w:t xml:space="preserve"> 7-16.</w:t>
      </w:r>
    </w:p>
  </w:footnote>
  <w:footnote w:id="15">
    <w:p w14:paraId="05750CEE" w14:textId="0CCAE763" w:rsidR="00FB2E92" w:rsidRDefault="00FB2E92">
      <w:pPr>
        <w:pStyle w:val="Voetnoottekst"/>
      </w:pPr>
      <w:r>
        <w:rPr>
          <w:rStyle w:val="Voetnootmarkering"/>
        </w:rPr>
        <w:footnoteRef/>
      </w:r>
      <w:r>
        <w:t xml:space="preserve"> Bijvoorbeeld </w:t>
      </w:r>
      <w:r w:rsidR="00B76392">
        <w:t xml:space="preserve">UWV, ‘Meer doen met minder mensen’, </w:t>
      </w:r>
      <w:r w:rsidR="009C78CA">
        <w:t>4 september 2023</w:t>
      </w:r>
      <w:r w:rsidR="00B7639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34E1" w14:textId="77777777" w:rsidR="004B5715" w:rsidRDefault="004B57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BCC6" w14:textId="77777777" w:rsidR="00531EF0" w:rsidRDefault="00325C0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BCCC" w14:textId="77777777" w:rsidR="00531EF0" w:rsidRDefault="00325C0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FF4BCCD" w14:textId="77777777" w:rsidR="00531EF0" w:rsidRDefault="00325C09">
    <w:pPr>
      <w:pStyle w:val="Koptekst"/>
    </w:pPr>
    <w:r>
      <w:rPr>
        <w:noProof/>
      </w:rPr>
      <w:drawing>
        <wp:anchor distT="0" distB="0" distL="114300" distR="114300" simplePos="0" relativeHeight="251658240" behindDoc="1" locked="0" layoutInCell="1" allowOverlap="1" wp14:anchorId="2FF4BCD8" wp14:editId="2FF4BCD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5"/>
    <w:rsid w:val="0000510D"/>
    <w:rsid w:val="00013747"/>
    <w:rsid w:val="00015815"/>
    <w:rsid w:val="00020336"/>
    <w:rsid w:val="00025338"/>
    <w:rsid w:val="00026256"/>
    <w:rsid w:val="000325B9"/>
    <w:rsid w:val="000434BF"/>
    <w:rsid w:val="00044830"/>
    <w:rsid w:val="00047A10"/>
    <w:rsid w:val="000503BC"/>
    <w:rsid w:val="00057D3C"/>
    <w:rsid w:val="00057EE3"/>
    <w:rsid w:val="00062400"/>
    <w:rsid w:val="000624D0"/>
    <w:rsid w:val="000646EC"/>
    <w:rsid w:val="00065AA3"/>
    <w:rsid w:val="00076800"/>
    <w:rsid w:val="00081BD0"/>
    <w:rsid w:val="00086933"/>
    <w:rsid w:val="00090726"/>
    <w:rsid w:val="000925A0"/>
    <w:rsid w:val="00094380"/>
    <w:rsid w:val="000A13F1"/>
    <w:rsid w:val="000B4023"/>
    <w:rsid w:val="000B6318"/>
    <w:rsid w:val="000B6FA9"/>
    <w:rsid w:val="000B72FA"/>
    <w:rsid w:val="000B7F95"/>
    <w:rsid w:val="000C0E26"/>
    <w:rsid w:val="000C546D"/>
    <w:rsid w:val="000C574E"/>
    <w:rsid w:val="000C5C96"/>
    <w:rsid w:val="000D134A"/>
    <w:rsid w:val="000E3155"/>
    <w:rsid w:val="000E37AF"/>
    <w:rsid w:val="000E459F"/>
    <w:rsid w:val="000E68A1"/>
    <w:rsid w:val="000F0BB9"/>
    <w:rsid w:val="000F2751"/>
    <w:rsid w:val="00112960"/>
    <w:rsid w:val="001136C7"/>
    <w:rsid w:val="001161EC"/>
    <w:rsid w:val="0011674D"/>
    <w:rsid w:val="00123629"/>
    <w:rsid w:val="00125993"/>
    <w:rsid w:val="00126D59"/>
    <w:rsid w:val="00141ADC"/>
    <w:rsid w:val="00151FFE"/>
    <w:rsid w:val="00167B91"/>
    <w:rsid w:val="00174374"/>
    <w:rsid w:val="00184511"/>
    <w:rsid w:val="00185C46"/>
    <w:rsid w:val="001A274B"/>
    <w:rsid w:val="001A6250"/>
    <w:rsid w:val="001B4C17"/>
    <w:rsid w:val="001B78B4"/>
    <w:rsid w:val="001C04D3"/>
    <w:rsid w:val="001C33DE"/>
    <w:rsid w:val="001E5677"/>
    <w:rsid w:val="001F25A3"/>
    <w:rsid w:val="00200E29"/>
    <w:rsid w:val="002056B5"/>
    <w:rsid w:val="002068FF"/>
    <w:rsid w:val="00210AFE"/>
    <w:rsid w:val="00210E1C"/>
    <w:rsid w:val="002114B4"/>
    <w:rsid w:val="00213B75"/>
    <w:rsid w:val="00214DB8"/>
    <w:rsid w:val="002174E8"/>
    <w:rsid w:val="002232B0"/>
    <w:rsid w:val="00223725"/>
    <w:rsid w:val="00226E08"/>
    <w:rsid w:val="00232BE2"/>
    <w:rsid w:val="00247868"/>
    <w:rsid w:val="002507D4"/>
    <w:rsid w:val="00251103"/>
    <w:rsid w:val="00252CA5"/>
    <w:rsid w:val="00254628"/>
    <w:rsid w:val="002635DF"/>
    <w:rsid w:val="00264DD2"/>
    <w:rsid w:val="00265535"/>
    <w:rsid w:val="00294A66"/>
    <w:rsid w:val="002A1F78"/>
    <w:rsid w:val="002A58A3"/>
    <w:rsid w:val="002A784C"/>
    <w:rsid w:val="002B22AD"/>
    <w:rsid w:val="002C09F4"/>
    <w:rsid w:val="002C125C"/>
    <w:rsid w:val="002E67F8"/>
    <w:rsid w:val="002E69F9"/>
    <w:rsid w:val="002F137A"/>
    <w:rsid w:val="002F1704"/>
    <w:rsid w:val="002F1C70"/>
    <w:rsid w:val="00302686"/>
    <w:rsid w:val="003063A9"/>
    <w:rsid w:val="00306BCD"/>
    <w:rsid w:val="00310518"/>
    <w:rsid w:val="00322646"/>
    <w:rsid w:val="003241D8"/>
    <w:rsid w:val="003245BB"/>
    <w:rsid w:val="00325C09"/>
    <w:rsid w:val="00327400"/>
    <w:rsid w:val="00332068"/>
    <w:rsid w:val="00335779"/>
    <w:rsid w:val="003455D1"/>
    <w:rsid w:val="0035299F"/>
    <w:rsid w:val="0035410C"/>
    <w:rsid w:val="003546E9"/>
    <w:rsid w:val="00364981"/>
    <w:rsid w:val="00382422"/>
    <w:rsid w:val="003866F5"/>
    <w:rsid w:val="00387B21"/>
    <w:rsid w:val="00392541"/>
    <w:rsid w:val="00395FC7"/>
    <w:rsid w:val="003963E2"/>
    <w:rsid w:val="003A0317"/>
    <w:rsid w:val="003A0A08"/>
    <w:rsid w:val="003A2943"/>
    <w:rsid w:val="003A5506"/>
    <w:rsid w:val="003A7DBE"/>
    <w:rsid w:val="003B0AA9"/>
    <w:rsid w:val="003B519A"/>
    <w:rsid w:val="003B52EC"/>
    <w:rsid w:val="003B6906"/>
    <w:rsid w:val="003D13BE"/>
    <w:rsid w:val="003E3A26"/>
    <w:rsid w:val="0040697C"/>
    <w:rsid w:val="0041180C"/>
    <w:rsid w:val="004266F3"/>
    <w:rsid w:val="00440E67"/>
    <w:rsid w:val="00440E81"/>
    <w:rsid w:val="00443463"/>
    <w:rsid w:val="004531A2"/>
    <w:rsid w:val="00455A02"/>
    <w:rsid w:val="004615D8"/>
    <w:rsid w:val="00464978"/>
    <w:rsid w:val="004751D8"/>
    <w:rsid w:val="004755EE"/>
    <w:rsid w:val="004836D9"/>
    <w:rsid w:val="00486B79"/>
    <w:rsid w:val="00491579"/>
    <w:rsid w:val="0049587F"/>
    <w:rsid w:val="004A6668"/>
    <w:rsid w:val="004B055B"/>
    <w:rsid w:val="004B2019"/>
    <w:rsid w:val="004B5715"/>
    <w:rsid w:val="004B6766"/>
    <w:rsid w:val="004C12C1"/>
    <w:rsid w:val="004C1DBB"/>
    <w:rsid w:val="004C682B"/>
    <w:rsid w:val="004D325F"/>
    <w:rsid w:val="004E6C90"/>
    <w:rsid w:val="004F55A1"/>
    <w:rsid w:val="004F7DF2"/>
    <w:rsid w:val="00502225"/>
    <w:rsid w:val="00510090"/>
    <w:rsid w:val="00526A0A"/>
    <w:rsid w:val="0053031D"/>
    <w:rsid w:val="00531EF0"/>
    <w:rsid w:val="005324D4"/>
    <w:rsid w:val="005325CE"/>
    <w:rsid w:val="00541AA6"/>
    <w:rsid w:val="005502EC"/>
    <w:rsid w:val="00551EA9"/>
    <w:rsid w:val="00554BEB"/>
    <w:rsid w:val="00556A38"/>
    <w:rsid w:val="00556E7A"/>
    <w:rsid w:val="00556EE9"/>
    <w:rsid w:val="005620B2"/>
    <w:rsid w:val="005629FD"/>
    <w:rsid w:val="00562AFC"/>
    <w:rsid w:val="0057071C"/>
    <w:rsid w:val="00574923"/>
    <w:rsid w:val="00574F1A"/>
    <w:rsid w:val="00593F5B"/>
    <w:rsid w:val="005942B3"/>
    <w:rsid w:val="00597665"/>
    <w:rsid w:val="005B1DF7"/>
    <w:rsid w:val="005C0B2C"/>
    <w:rsid w:val="005E034A"/>
    <w:rsid w:val="005F4FFD"/>
    <w:rsid w:val="005F7ABC"/>
    <w:rsid w:val="00603F30"/>
    <w:rsid w:val="00610901"/>
    <w:rsid w:val="00623A66"/>
    <w:rsid w:val="00623C11"/>
    <w:rsid w:val="00631F27"/>
    <w:rsid w:val="00637BFA"/>
    <w:rsid w:val="0064514D"/>
    <w:rsid w:val="006452A1"/>
    <w:rsid w:val="00647348"/>
    <w:rsid w:val="00651705"/>
    <w:rsid w:val="00652C4B"/>
    <w:rsid w:val="00652E4C"/>
    <w:rsid w:val="00661C81"/>
    <w:rsid w:val="006711F8"/>
    <w:rsid w:val="00677209"/>
    <w:rsid w:val="0068459C"/>
    <w:rsid w:val="006921BA"/>
    <w:rsid w:val="006A7186"/>
    <w:rsid w:val="006B04E4"/>
    <w:rsid w:val="006B327F"/>
    <w:rsid w:val="006E308F"/>
    <w:rsid w:val="006E4067"/>
    <w:rsid w:val="006E4929"/>
    <w:rsid w:val="006F00C1"/>
    <w:rsid w:val="006F4CB1"/>
    <w:rsid w:val="00700373"/>
    <w:rsid w:val="00700B08"/>
    <w:rsid w:val="00705F17"/>
    <w:rsid w:val="0071002E"/>
    <w:rsid w:val="00712C20"/>
    <w:rsid w:val="00717637"/>
    <w:rsid w:val="00725815"/>
    <w:rsid w:val="00726AE0"/>
    <w:rsid w:val="00727DF4"/>
    <w:rsid w:val="00733C0E"/>
    <w:rsid w:val="0074223B"/>
    <w:rsid w:val="007423CE"/>
    <w:rsid w:val="00743421"/>
    <w:rsid w:val="007462A3"/>
    <w:rsid w:val="00756880"/>
    <w:rsid w:val="007573DC"/>
    <w:rsid w:val="00761332"/>
    <w:rsid w:val="007641A8"/>
    <w:rsid w:val="007664E1"/>
    <w:rsid w:val="00775235"/>
    <w:rsid w:val="00776479"/>
    <w:rsid w:val="007826C6"/>
    <w:rsid w:val="007870CE"/>
    <w:rsid w:val="00790D26"/>
    <w:rsid w:val="00791ABF"/>
    <w:rsid w:val="00792A8A"/>
    <w:rsid w:val="00793DF7"/>
    <w:rsid w:val="007A7208"/>
    <w:rsid w:val="007A73C0"/>
    <w:rsid w:val="007B07A6"/>
    <w:rsid w:val="007B227F"/>
    <w:rsid w:val="007C074B"/>
    <w:rsid w:val="007C116D"/>
    <w:rsid w:val="007C4098"/>
    <w:rsid w:val="007D4DFF"/>
    <w:rsid w:val="007D6998"/>
    <w:rsid w:val="007E2ADD"/>
    <w:rsid w:val="007E4403"/>
    <w:rsid w:val="007E6077"/>
    <w:rsid w:val="007E67E3"/>
    <w:rsid w:val="007E741E"/>
    <w:rsid w:val="007F5BE1"/>
    <w:rsid w:val="00800B47"/>
    <w:rsid w:val="0080102B"/>
    <w:rsid w:val="0080729F"/>
    <w:rsid w:val="0081020A"/>
    <w:rsid w:val="00824391"/>
    <w:rsid w:val="008258D9"/>
    <w:rsid w:val="0083537E"/>
    <w:rsid w:val="0084041A"/>
    <w:rsid w:val="00841D30"/>
    <w:rsid w:val="00842583"/>
    <w:rsid w:val="00847ACC"/>
    <w:rsid w:val="00855CCB"/>
    <w:rsid w:val="00861079"/>
    <w:rsid w:val="0087240A"/>
    <w:rsid w:val="008805E5"/>
    <w:rsid w:val="00884DF4"/>
    <w:rsid w:val="00886723"/>
    <w:rsid w:val="00890711"/>
    <w:rsid w:val="00891E56"/>
    <w:rsid w:val="00894FC7"/>
    <w:rsid w:val="00897A1B"/>
    <w:rsid w:val="008A1EA2"/>
    <w:rsid w:val="008A1F18"/>
    <w:rsid w:val="008A2C08"/>
    <w:rsid w:val="008A2E97"/>
    <w:rsid w:val="008A768C"/>
    <w:rsid w:val="008B114A"/>
    <w:rsid w:val="008B15A2"/>
    <w:rsid w:val="008B510C"/>
    <w:rsid w:val="008D2524"/>
    <w:rsid w:val="008D44BC"/>
    <w:rsid w:val="008D5767"/>
    <w:rsid w:val="008D596D"/>
    <w:rsid w:val="008D698C"/>
    <w:rsid w:val="008E299A"/>
    <w:rsid w:val="008F033F"/>
    <w:rsid w:val="008F6832"/>
    <w:rsid w:val="008F6956"/>
    <w:rsid w:val="008F6B3C"/>
    <w:rsid w:val="008F7378"/>
    <w:rsid w:val="0091619E"/>
    <w:rsid w:val="0091712A"/>
    <w:rsid w:val="009317A4"/>
    <w:rsid w:val="00931C12"/>
    <w:rsid w:val="0095163D"/>
    <w:rsid w:val="0096120F"/>
    <w:rsid w:val="00965F9D"/>
    <w:rsid w:val="0096694C"/>
    <w:rsid w:val="00966957"/>
    <w:rsid w:val="00974F44"/>
    <w:rsid w:val="00980E2E"/>
    <w:rsid w:val="00985713"/>
    <w:rsid w:val="00986A02"/>
    <w:rsid w:val="00992989"/>
    <w:rsid w:val="00994C85"/>
    <w:rsid w:val="009A46D4"/>
    <w:rsid w:val="009A4B28"/>
    <w:rsid w:val="009B335E"/>
    <w:rsid w:val="009B5F35"/>
    <w:rsid w:val="009B734F"/>
    <w:rsid w:val="009C45D5"/>
    <w:rsid w:val="009C78CA"/>
    <w:rsid w:val="009D0B0F"/>
    <w:rsid w:val="009D2EB5"/>
    <w:rsid w:val="009E3149"/>
    <w:rsid w:val="009E5384"/>
    <w:rsid w:val="009E7FCB"/>
    <w:rsid w:val="009F0EAD"/>
    <w:rsid w:val="00A058E9"/>
    <w:rsid w:val="00A15CE4"/>
    <w:rsid w:val="00A15F2F"/>
    <w:rsid w:val="00A233A5"/>
    <w:rsid w:val="00A253B5"/>
    <w:rsid w:val="00A26171"/>
    <w:rsid w:val="00A30474"/>
    <w:rsid w:val="00A30568"/>
    <w:rsid w:val="00A31E46"/>
    <w:rsid w:val="00A359D8"/>
    <w:rsid w:val="00A373C6"/>
    <w:rsid w:val="00A40A81"/>
    <w:rsid w:val="00A55535"/>
    <w:rsid w:val="00A6242D"/>
    <w:rsid w:val="00A63C51"/>
    <w:rsid w:val="00A65C7F"/>
    <w:rsid w:val="00A7095A"/>
    <w:rsid w:val="00A72C95"/>
    <w:rsid w:val="00A74DAD"/>
    <w:rsid w:val="00A83634"/>
    <w:rsid w:val="00A93B2E"/>
    <w:rsid w:val="00A94423"/>
    <w:rsid w:val="00A97438"/>
    <w:rsid w:val="00AA2EF8"/>
    <w:rsid w:val="00AA63BE"/>
    <w:rsid w:val="00AB2943"/>
    <w:rsid w:val="00AB53E7"/>
    <w:rsid w:val="00AB61A8"/>
    <w:rsid w:val="00AC2BE6"/>
    <w:rsid w:val="00AC3B94"/>
    <w:rsid w:val="00AC72D3"/>
    <w:rsid w:val="00AD11DA"/>
    <w:rsid w:val="00AD43AB"/>
    <w:rsid w:val="00AE0FE6"/>
    <w:rsid w:val="00AF0760"/>
    <w:rsid w:val="00AF0AF4"/>
    <w:rsid w:val="00AF7646"/>
    <w:rsid w:val="00B027BF"/>
    <w:rsid w:val="00B10C40"/>
    <w:rsid w:val="00B1116C"/>
    <w:rsid w:val="00B133D8"/>
    <w:rsid w:val="00B23693"/>
    <w:rsid w:val="00B23927"/>
    <w:rsid w:val="00B27A49"/>
    <w:rsid w:val="00B30766"/>
    <w:rsid w:val="00B31E39"/>
    <w:rsid w:val="00B31EEC"/>
    <w:rsid w:val="00B41490"/>
    <w:rsid w:val="00B43481"/>
    <w:rsid w:val="00B51497"/>
    <w:rsid w:val="00B76392"/>
    <w:rsid w:val="00B76EB6"/>
    <w:rsid w:val="00B803BF"/>
    <w:rsid w:val="00B82118"/>
    <w:rsid w:val="00B924C1"/>
    <w:rsid w:val="00B96F2C"/>
    <w:rsid w:val="00BA033B"/>
    <w:rsid w:val="00BA3B6B"/>
    <w:rsid w:val="00BA4176"/>
    <w:rsid w:val="00BA69CA"/>
    <w:rsid w:val="00BB201D"/>
    <w:rsid w:val="00BB3507"/>
    <w:rsid w:val="00BB5807"/>
    <w:rsid w:val="00BB7E8C"/>
    <w:rsid w:val="00BB7FD9"/>
    <w:rsid w:val="00BD2D5E"/>
    <w:rsid w:val="00BD4F3E"/>
    <w:rsid w:val="00BE01BD"/>
    <w:rsid w:val="00BE4FC0"/>
    <w:rsid w:val="00BE6AD1"/>
    <w:rsid w:val="00BF51BC"/>
    <w:rsid w:val="00BF62E5"/>
    <w:rsid w:val="00C0519D"/>
    <w:rsid w:val="00C20F9E"/>
    <w:rsid w:val="00C23CA1"/>
    <w:rsid w:val="00C252F5"/>
    <w:rsid w:val="00C2562E"/>
    <w:rsid w:val="00C31CD4"/>
    <w:rsid w:val="00C352FF"/>
    <w:rsid w:val="00C3611C"/>
    <w:rsid w:val="00C36507"/>
    <w:rsid w:val="00C37561"/>
    <w:rsid w:val="00C42DE6"/>
    <w:rsid w:val="00C57E9B"/>
    <w:rsid w:val="00C615A3"/>
    <w:rsid w:val="00C622F7"/>
    <w:rsid w:val="00C659B2"/>
    <w:rsid w:val="00C66DE3"/>
    <w:rsid w:val="00C7334E"/>
    <w:rsid w:val="00C80737"/>
    <w:rsid w:val="00C85C85"/>
    <w:rsid w:val="00C93223"/>
    <w:rsid w:val="00C934F0"/>
    <w:rsid w:val="00C97E06"/>
    <w:rsid w:val="00CA437D"/>
    <w:rsid w:val="00CA4B55"/>
    <w:rsid w:val="00CB5E1C"/>
    <w:rsid w:val="00CC0A97"/>
    <w:rsid w:val="00CC12FF"/>
    <w:rsid w:val="00CD108C"/>
    <w:rsid w:val="00CD1E20"/>
    <w:rsid w:val="00CD244C"/>
    <w:rsid w:val="00CD4308"/>
    <w:rsid w:val="00CD5488"/>
    <w:rsid w:val="00CE51A0"/>
    <w:rsid w:val="00CE569E"/>
    <w:rsid w:val="00CE5EF9"/>
    <w:rsid w:val="00CE6E48"/>
    <w:rsid w:val="00CE7EF8"/>
    <w:rsid w:val="00CF410C"/>
    <w:rsid w:val="00CF77DE"/>
    <w:rsid w:val="00D118B4"/>
    <w:rsid w:val="00D12501"/>
    <w:rsid w:val="00D14696"/>
    <w:rsid w:val="00D1536D"/>
    <w:rsid w:val="00D20102"/>
    <w:rsid w:val="00D2022D"/>
    <w:rsid w:val="00D2300B"/>
    <w:rsid w:val="00D35694"/>
    <w:rsid w:val="00D41DA4"/>
    <w:rsid w:val="00D53AF3"/>
    <w:rsid w:val="00D560F2"/>
    <w:rsid w:val="00D5707F"/>
    <w:rsid w:val="00D66CE8"/>
    <w:rsid w:val="00D674D9"/>
    <w:rsid w:val="00D700AE"/>
    <w:rsid w:val="00D701CB"/>
    <w:rsid w:val="00D74745"/>
    <w:rsid w:val="00D851C5"/>
    <w:rsid w:val="00D85CFD"/>
    <w:rsid w:val="00D87FFD"/>
    <w:rsid w:val="00D922D5"/>
    <w:rsid w:val="00DA28F2"/>
    <w:rsid w:val="00DB1477"/>
    <w:rsid w:val="00DC1D5B"/>
    <w:rsid w:val="00DC556F"/>
    <w:rsid w:val="00DD2051"/>
    <w:rsid w:val="00DE36E4"/>
    <w:rsid w:val="00DE44E6"/>
    <w:rsid w:val="00DE568A"/>
    <w:rsid w:val="00DF53CC"/>
    <w:rsid w:val="00E07196"/>
    <w:rsid w:val="00E1035C"/>
    <w:rsid w:val="00E11ACB"/>
    <w:rsid w:val="00E13C9E"/>
    <w:rsid w:val="00E161D2"/>
    <w:rsid w:val="00E43132"/>
    <w:rsid w:val="00E50287"/>
    <w:rsid w:val="00E554ED"/>
    <w:rsid w:val="00E65392"/>
    <w:rsid w:val="00E70307"/>
    <w:rsid w:val="00E72FE1"/>
    <w:rsid w:val="00E7427A"/>
    <w:rsid w:val="00E81C04"/>
    <w:rsid w:val="00E8327A"/>
    <w:rsid w:val="00E9136D"/>
    <w:rsid w:val="00EA0475"/>
    <w:rsid w:val="00EA5A28"/>
    <w:rsid w:val="00EA7EBB"/>
    <w:rsid w:val="00EB21F7"/>
    <w:rsid w:val="00EB4FA9"/>
    <w:rsid w:val="00EB4FF6"/>
    <w:rsid w:val="00EB657C"/>
    <w:rsid w:val="00EB66DE"/>
    <w:rsid w:val="00EC250E"/>
    <w:rsid w:val="00EC3D1E"/>
    <w:rsid w:val="00EC44C1"/>
    <w:rsid w:val="00EC7044"/>
    <w:rsid w:val="00ED06E8"/>
    <w:rsid w:val="00ED2C41"/>
    <w:rsid w:val="00ED751C"/>
    <w:rsid w:val="00ED7578"/>
    <w:rsid w:val="00EE6341"/>
    <w:rsid w:val="00EF3DAA"/>
    <w:rsid w:val="00EF4A67"/>
    <w:rsid w:val="00F0793A"/>
    <w:rsid w:val="00F13479"/>
    <w:rsid w:val="00F25ED7"/>
    <w:rsid w:val="00F26650"/>
    <w:rsid w:val="00F27FD2"/>
    <w:rsid w:val="00F3309E"/>
    <w:rsid w:val="00F35625"/>
    <w:rsid w:val="00F35F4A"/>
    <w:rsid w:val="00F404DF"/>
    <w:rsid w:val="00F408FF"/>
    <w:rsid w:val="00F41DC4"/>
    <w:rsid w:val="00F42393"/>
    <w:rsid w:val="00F42817"/>
    <w:rsid w:val="00F433A0"/>
    <w:rsid w:val="00F55D54"/>
    <w:rsid w:val="00F74080"/>
    <w:rsid w:val="00F7560C"/>
    <w:rsid w:val="00F773EF"/>
    <w:rsid w:val="00F80A94"/>
    <w:rsid w:val="00F919C9"/>
    <w:rsid w:val="00F93DE4"/>
    <w:rsid w:val="00F957B5"/>
    <w:rsid w:val="00FA666A"/>
    <w:rsid w:val="00FB20E3"/>
    <w:rsid w:val="00FB2A6F"/>
    <w:rsid w:val="00FB2E92"/>
    <w:rsid w:val="00FD094D"/>
    <w:rsid w:val="00FD7CBE"/>
    <w:rsid w:val="00FE21B0"/>
    <w:rsid w:val="00FE7E7C"/>
    <w:rsid w:val="00FF2E23"/>
    <w:rsid w:val="00FF7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4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325B9"/>
    <w:rPr>
      <w:color w:val="808080"/>
    </w:rPr>
  </w:style>
  <w:style w:type="paragraph" w:styleId="Revisie">
    <w:name w:val="Revision"/>
    <w:hidden/>
    <w:uiPriority w:val="99"/>
    <w:semiHidden/>
    <w:rsid w:val="00252CA5"/>
    <w:rPr>
      <w:rFonts w:ascii="Univers" w:hAnsi="Univers"/>
      <w:sz w:val="22"/>
      <w:szCs w:val="24"/>
    </w:rPr>
  </w:style>
  <w:style w:type="paragraph" w:styleId="Voetnoottekst">
    <w:name w:val="footnote text"/>
    <w:basedOn w:val="Standaard"/>
    <w:link w:val="VoetnoottekstChar"/>
    <w:uiPriority w:val="99"/>
    <w:semiHidden/>
    <w:unhideWhenUsed/>
    <w:rsid w:val="00CB5E1C"/>
    <w:rPr>
      <w:sz w:val="20"/>
      <w:szCs w:val="20"/>
    </w:rPr>
  </w:style>
  <w:style w:type="character" w:customStyle="1" w:styleId="VoetnoottekstChar">
    <w:name w:val="Voetnoottekst Char"/>
    <w:basedOn w:val="Standaardalinea-lettertype"/>
    <w:link w:val="Voetnoottekst"/>
    <w:uiPriority w:val="99"/>
    <w:semiHidden/>
    <w:rsid w:val="00CB5E1C"/>
    <w:rPr>
      <w:rFonts w:ascii="Univers" w:hAnsi="Univers"/>
    </w:rPr>
  </w:style>
  <w:style w:type="character" w:styleId="Voetnootmarkering">
    <w:name w:val="footnote reference"/>
    <w:basedOn w:val="Standaardalinea-lettertype"/>
    <w:uiPriority w:val="99"/>
    <w:semiHidden/>
    <w:unhideWhenUsed/>
    <w:rsid w:val="00CB5E1C"/>
    <w:rPr>
      <w:vertAlign w:val="superscript"/>
    </w:rPr>
  </w:style>
  <w:style w:type="paragraph" w:styleId="Lijstalinea">
    <w:name w:val="List Paragraph"/>
    <w:basedOn w:val="Standaard"/>
    <w:uiPriority w:val="34"/>
    <w:qFormat/>
    <w:rsid w:val="00AB2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2BEF420-6877-4CEF-B7A6-2AB9BF09BDE3}"/>
      </w:docPartPr>
      <w:docPartBody>
        <w:p w:rsidR="00EF2E44" w:rsidRDefault="006F0778">
          <w:r w:rsidRPr="00A07763">
            <w:rPr>
              <w:rStyle w:val="Tekstvantijdelijkeaanduiding"/>
            </w:rPr>
            <w:t>Klik of tik om tekst in te voeren.</w:t>
          </w:r>
        </w:p>
      </w:docPartBody>
    </w:docPart>
    <w:docPart>
      <w:docPartPr>
        <w:name w:val="3191CB6AE7C844E0A17044659174ED1C"/>
        <w:category>
          <w:name w:val="Algemeen"/>
          <w:gallery w:val="placeholder"/>
        </w:category>
        <w:types>
          <w:type w:val="bbPlcHdr"/>
        </w:types>
        <w:behaviors>
          <w:behavior w:val="content"/>
        </w:behaviors>
        <w:guid w:val="{4D6ED653-D1CD-419C-9BD2-E2999F100C97}"/>
      </w:docPartPr>
      <w:docPartBody>
        <w:p w:rsidR="002207E9" w:rsidRDefault="006F0778">
          <w:pPr>
            <w:pStyle w:val="3191CB6AE7C844E0A17044659174ED1C"/>
          </w:pPr>
          <w:r w:rsidRPr="00A0776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78"/>
    <w:rsid w:val="002207E9"/>
    <w:rsid w:val="004B5592"/>
    <w:rsid w:val="006F0778"/>
    <w:rsid w:val="00997499"/>
    <w:rsid w:val="00EF2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0778"/>
    <w:rPr>
      <w:color w:val="808080"/>
    </w:rPr>
  </w:style>
  <w:style w:type="paragraph" w:customStyle="1" w:styleId="3191CB6AE7C844E0A17044659174ED1C">
    <w:name w:val="3191CB6AE7C844E0A17044659174E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860</ap:Words>
  <ap:Characters>4963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2023-12-13T11:11:00.0000000Z</lastPrinted>
  <dcterms:created xsi:type="dcterms:W3CDTF">2023-12-15T09:43:00.0000000Z</dcterms:created>
  <dcterms:modified xsi:type="dcterms:W3CDTF">2024-02-19T10:09:00.0000000Z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W12.23.00313/III</vt:lpwstr>
  </property>
  <property fmtid="{D5CDD505-2E9C-101B-9397-08002B2CF9AE}" pid="5" name="zaaktype">
    <vt:lpwstr>WET</vt:lpwstr>
  </property>
  <property fmtid="{D5CDD505-2E9C-101B-9397-08002B2CF9AE}" pid="6" name="ContentTypeId">
    <vt:lpwstr>0x010100FA5A77795FEADA4EA51227303613444600A0E21CF8A50E9849B892DEA87972192C</vt:lpwstr>
  </property>
  <property fmtid="{D5CDD505-2E9C-101B-9397-08002B2CF9AE}" pid="7" name="Bestemming">
    <vt:lpwstr>2;#Corsa|a7721b99-8166-4953-a37e-7c8574fb4b8b</vt:lpwstr>
  </property>
  <property fmtid="{D5CDD505-2E9C-101B-9397-08002B2CF9AE}" pid="8" name="_dlc_DocIdItemGuid">
    <vt:lpwstr>99b3999d-4eaa-4b1c-9240-0dbe29c38681</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