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D3F3D" w:rsidTr="00AD3F3D" w14:paraId="06883114" w14:textId="77777777">
        <w:sdt>
          <w:sdtPr>
            <w:tag w:val="bmZaakNummerAdvies"/>
            <w:id w:val="-1909368987"/>
            <w:lock w:val="sdtLocked"/>
            <w:placeholder>
              <w:docPart w:val="DefaultPlaceholder_-1854013440"/>
            </w:placeholder>
          </w:sdtPr>
          <w:sdtEndPr/>
          <w:sdtContent>
            <w:tc>
              <w:tcPr>
                <w:tcW w:w="4251" w:type="dxa"/>
              </w:tcPr>
              <w:p w:rsidR="00AD3F3D" w:rsidRDefault="00AD3F3D" w14:paraId="3DCA2394" w14:textId="72B86893">
                <w:r>
                  <w:t>No. W04.23.00151/I</w:t>
                </w:r>
              </w:p>
            </w:tc>
          </w:sdtContent>
        </w:sdt>
        <w:sdt>
          <w:sdtPr>
            <w:tag w:val="bmDatumAdvies"/>
            <w:id w:val="1270896168"/>
            <w:lock w:val="sdtLocked"/>
            <w:placeholder>
              <w:docPart w:val="DefaultPlaceholder_-1854013440"/>
            </w:placeholder>
          </w:sdtPr>
          <w:sdtEndPr/>
          <w:sdtContent>
            <w:tc>
              <w:tcPr>
                <w:tcW w:w="4252" w:type="dxa"/>
              </w:tcPr>
              <w:p w:rsidR="00AD3F3D" w:rsidRDefault="00AD3F3D" w14:paraId="0EC3BF22" w14:textId="2B4A3065">
                <w:r>
                  <w:t>'s-Gravenhage, 15 november 2023</w:t>
                </w:r>
              </w:p>
            </w:tc>
          </w:sdtContent>
        </w:sdt>
      </w:tr>
    </w:tbl>
    <w:p w:rsidR="00AD3F3D" w:rsidRDefault="00AD3F3D" w14:paraId="272C2062" w14:textId="77777777"/>
    <w:p w:rsidR="00AD3F3D" w:rsidRDefault="00AD3F3D" w14:paraId="3E2737D4" w14:textId="77777777"/>
    <w:p w:rsidR="001539C9" w:rsidRDefault="00E743E8" w14:paraId="1888BA3F" w14:textId="657771BD">
      <w:sdt>
        <w:sdtPr>
          <w:tag w:val="bmAanhef"/>
          <w:id w:val="1540012635"/>
          <w:lock w:val="sdtLocked"/>
          <w:placeholder>
            <w:docPart w:val="DefaultPlaceholder_-1854013440"/>
          </w:placeholder>
        </w:sdtPr>
        <w:sdtEndPr/>
        <w:sdtContent>
          <w:r w:rsidR="00AD3F3D">
            <w:rPr>
              <w:color w:val="000000"/>
            </w:rPr>
            <w:t xml:space="preserve">Bij Kabinetsmissive van 28 juni 2023, no.2023001520, heeft Uwe Majesteit, op voordracht van de Minister voor Volkshuisvesting en Ruimtelijke Ordening, bij de Afdeling advisering van de Raad van State ter overweging aanhangig gemaakt het voorstel van wet houdende wijziging van de Wet goed </w:t>
          </w:r>
          <w:proofErr w:type="spellStart"/>
          <w:r w:rsidR="00AD3F3D">
            <w:rPr>
              <w:color w:val="000000"/>
            </w:rPr>
            <w:t>verhuurderschap</w:t>
          </w:r>
          <w:proofErr w:type="spellEnd"/>
          <w:r w:rsidR="00AD3F3D">
            <w:rPr>
              <w:color w:val="000000"/>
            </w:rPr>
            <w:t>, Boek 7 van het Burgerlijk Wetboek, de Uitvoeringswet huurprijzen woonruimte en van enige andere wetten in verband met de regulering van huurprijzen en de bescherming van rechten van huurders (Wet betaalbare huur), met memorie van toelichting.</w:t>
          </w:r>
        </w:sdtContent>
      </w:sdt>
    </w:p>
    <w:p w:rsidR="001539C9" w:rsidRDefault="001539C9" w14:paraId="1888BA40" w14:textId="77777777"/>
    <w:sdt>
      <w:sdtPr>
        <w:tag w:val="bmVrijeTekst1"/>
        <w:id w:val="494540662"/>
        <w:lock w:val="sdtLocked"/>
        <w:placeholder>
          <w:docPart w:val="46F1F106FD994D4D850C1C624DE699A7"/>
        </w:placeholder>
      </w:sdtPr>
      <w:sdtEndPr/>
      <w:sdtContent>
        <w:p w:rsidR="003023BA" w:rsidRDefault="00D86F36" w14:paraId="4B78D993" w14:textId="26B2322F">
          <w:r w:rsidRPr="00D86F36">
            <w:t xml:space="preserve">Het wetsvoorstel strekt </w:t>
          </w:r>
          <w:r w:rsidR="000D4786">
            <w:t xml:space="preserve">tot regulering van </w:t>
          </w:r>
          <w:r w:rsidR="002143B1">
            <w:t>huren</w:t>
          </w:r>
          <w:r w:rsidR="4D0E4813">
            <w:t xml:space="preserve">, </w:t>
          </w:r>
          <w:r w:rsidR="003124AF">
            <w:t>in het bijzonder</w:t>
          </w:r>
          <w:r w:rsidR="00A85D2A">
            <w:t xml:space="preserve"> </w:t>
          </w:r>
          <w:r w:rsidRPr="00D86F36" w:rsidR="002143B1">
            <w:t xml:space="preserve">in de </w:t>
          </w:r>
          <w:r w:rsidR="002143B1">
            <w:t>op dit moment</w:t>
          </w:r>
          <w:r w:rsidRPr="00D86F36" w:rsidR="002143B1">
            <w:t xml:space="preserve"> vrije huursector. Dat gebeurt door het zogenoemde woningwaarderingss</w:t>
          </w:r>
          <w:r w:rsidR="008A2262">
            <w:t>telsel</w:t>
          </w:r>
          <w:r w:rsidR="002143B1">
            <w:t xml:space="preserve"> (WWS)</w:t>
          </w:r>
          <w:r w:rsidRPr="00D86F36" w:rsidR="002143B1">
            <w:t xml:space="preserve"> uit de sociale huursector ook verplicht toe te passen op de vrije</w:t>
          </w:r>
          <w:r w:rsidR="002143B1">
            <w:t xml:space="preserve"> </w:t>
          </w:r>
          <w:r w:rsidRPr="00D86F36" w:rsidR="002143B1">
            <w:t>huursector</w:t>
          </w:r>
          <w:r w:rsidR="002143B1">
            <w:t xml:space="preserve"> tot </w:t>
          </w:r>
          <w:r w:rsidR="00EA46F2">
            <w:t xml:space="preserve">een </w:t>
          </w:r>
          <w:r w:rsidR="00447953">
            <w:t>huur</w:t>
          </w:r>
          <w:r w:rsidR="00EA46F2">
            <w:t xml:space="preserve">waarde van </w:t>
          </w:r>
          <w:r w:rsidR="00F47CEE">
            <w:t>€</w:t>
          </w:r>
          <w:r w:rsidR="002D6765">
            <w:t> </w:t>
          </w:r>
          <w:r w:rsidR="002143B1">
            <w:t>1</w:t>
          </w:r>
          <w:r w:rsidR="00E33686">
            <w:t>12</w:t>
          </w:r>
          <w:r w:rsidR="00714330">
            <w:t>3</w:t>
          </w:r>
          <w:r w:rsidR="00EA50E5">
            <w:t xml:space="preserve"> (regulering </w:t>
          </w:r>
          <w:proofErr w:type="spellStart"/>
          <w:r w:rsidR="00EA50E5">
            <w:t>middenhuur</w:t>
          </w:r>
          <w:proofErr w:type="spellEnd"/>
          <w:r w:rsidR="00EA50E5">
            <w:t>)</w:t>
          </w:r>
          <w:r w:rsidRPr="00D86F36" w:rsidR="002143B1">
            <w:t>.</w:t>
          </w:r>
          <w:r w:rsidR="002143B1">
            <w:t xml:space="preserve"> </w:t>
          </w:r>
          <w:r w:rsidR="00BF20CB">
            <w:t xml:space="preserve">Daarnaast wordt voorgesteld om </w:t>
          </w:r>
          <w:r w:rsidR="00CC3D60">
            <w:t xml:space="preserve">de </w:t>
          </w:r>
          <w:r w:rsidR="00F54AB7">
            <w:t>rechtspositie</w:t>
          </w:r>
          <w:r w:rsidR="00CC3D60">
            <w:t xml:space="preserve"> van huurders </w:t>
          </w:r>
          <w:r w:rsidR="007E4B60">
            <w:t xml:space="preserve">te </w:t>
          </w:r>
          <w:r w:rsidR="00CC3D60">
            <w:t>verbeter</w:t>
          </w:r>
          <w:r w:rsidR="007E4B60">
            <w:t>en</w:t>
          </w:r>
          <w:r w:rsidR="00CC3D60">
            <w:t xml:space="preserve"> door de maximale huren uit het WWS als dwingende norm op te leggen. </w:t>
          </w:r>
          <w:r w:rsidR="00F628D2">
            <w:t>Dit laatste geldt voor zo</w:t>
          </w:r>
          <w:r w:rsidR="00246379">
            <w:t>w</w:t>
          </w:r>
          <w:r w:rsidR="00F628D2">
            <w:t>el de sociale als de vrije hu</w:t>
          </w:r>
          <w:r w:rsidR="00A82FE1">
            <w:t>u</w:t>
          </w:r>
          <w:r w:rsidR="00F628D2">
            <w:t>rsector.</w:t>
          </w:r>
          <w:r w:rsidR="003C0526">
            <w:t xml:space="preserve"> </w:t>
          </w:r>
        </w:p>
        <w:p w:rsidR="003023BA" w:rsidRDefault="003023BA" w14:paraId="6BEC7333" w14:textId="77777777"/>
        <w:p w:rsidR="00427600" w:rsidRDefault="00AF2D0F" w14:paraId="4EBA4508" w14:textId="77777777">
          <w:r>
            <w:t>H</w:t>
          </w:r>
          <w:r w:rsidRPr="00D86F36" w:rsidR="003C0526">
            <w:t xml:space="preserve">et wetsvoorstel </w:t>
          </w:r>
          <w:r w:rsidR="008D5DC1">
            <w:t xml:space="preserve">steunt op </w:t>
          </w:r>
          <w:r w:rsidR="003C0526">
            <w:t xml:space="preserve">vier pijlers: </w:t>
          </w:r>
        </w:p>
        <w:p w:rsidR="00427600" w:rsidP="00427600" w:rsidRDefault="003C0526" w14:paraId="61DA766D" w14:textId="77777777">
          <w:pPr>
            <w:pStyle w:val="Lijstalinea"/>
            <w:numPr>
              <w:ilvl w:val="0"/>
              <w:numId w:val="24"/>
            </w:numPr>
            <w:ind w:left="284" w:hanging="284"/>
          </w:pPr>
          <w:r>
            <w:t>huurders beschermen</w:t>
          </w:r>
          <w:r w:rsidR="00356E45">
            <w:t xml:space="preserve"> tegen hoge huren</w:t>
          </w:r>
          <w:r>
            <w:t xml:space="preserve">, </w:t>
          </w:r>
        </w:p>
        <w:p w:rsidR="00427600" w:rsidP="00427600" w:rsidRDefault="003C0526" w14:paraId="65AA288D" w14:textId="77777777">
          <w:pPr>
            <w:pStyle w:val="Lijstalinea"/>
            <w:numPr>
              <w:ilvl w:val="0"/>
              <w:numId w:val="24"/>
            </w:numPr>
            <w:ind w:left="284" w:hanging="284"/>
          </w:pPr>
          <w:r>
            <w:t xml:space="preserve">een voldoende omvangrijk </w:t>
          </w:r>
          <w:proofErr w:type="spellStart"/>
          <w:r>
            <w:t>middenhuursegment</w:t>
          </w:r>
          <w:proofErr w:type="spellEnd"/>
          <w:r>
            <w:t xml:space="preserve"> realiseren, </w:t>
          </w:r>
        </w:p>
        <w:p w:rsidR="00427600" w:rsidP="00427600" w:rsidRDefault="003C0526" w14:paraId="74293293" w14:textId="77777777">
          <w:pPr>
            <w:pStyle w:val="Lijstalinea"/>
            <w:numPr>
              <w:ilvl w:val="0"/>
              <w:numId w:val="24"/>
            </w:numPr>
            <w:ind w:left="284" w:hanging="284"/>
          </w:pPr>
          <w:r>
            <w:t xml:space="preserve">de investeringsbereidheid van verhuurders in de vrije huursector op peil houden en </w:t>
          </w:r>
        </w:p>
        <w:p w:rsidR="007B0C83" w:rsidP="00427600" w:rsidRDefault="003C0526" w14:paraId="1348CB27" w14:textId="5A471623">
          <w:pPr>
            <w:pStyle w:val="Lijstalinea"/>
            <w:numPr>
              <w:ilvl w:val="0"/>
              <w:numId w:val="24"/>
            </w:numPr>
            <w:ind w:left="284" w:hanging="284"/>
          </w:pPr>
          <w:r>
            <w:t xml:space="preserve">verduurzaming van huurwoningen stimuleren. </w:t>
          </w:r>
        </w:p>
        <w:p w:rsidR="007E4794" w:rsidRDefault="007E4794" w14:paraId="5B12481A" w14:textId="77777777"/>
        <w:p w:rsidR="008B3D4A" w:rsidRDefault="00E9618B" w14:paraId="117FDB81" w14:textId="1D3C0F41">
          <w:r>
            <w:t xml:space="preserve">De Afdeling advisering van de Raad van State onderkent dat zich </w:t>
          </w:r>
          <w:r w:rsidR="007D5F23">
            <w:t>reële</w:t>
          </w:r>
          <w:r>
            <w:t xml:space="preserve"> </w:t>
          </w:r>
          <w:r w:rsidR="007D5F23">
            <w:t>problemen</w:t>
          </w:r>
          <w:r>
            <w:t xml:space="preserve"> voordoen in de vrije huursector</w:t>
          </w:r>
          <w:r w:rsidR="00F8189F">
            <w:t>, waar lokaal soms sprake is van excessen</w:t>
          </w:r>
          <w:r w:rsidR="004D2463">
            <w:t xml:space="preserve">. </w:t>
          </w:r>
          <w:r w:rsidR="001F0ADA">
            <w:t>Door de krapte op de huurmarkt is overheidsingrijpen voor een betere huurdersbescherming te begrijpen</w:t>
          </w:r>
          <w:r w:rsidR="000020C8">
            <w:t>. Dat</w:t>
          </w:r>
          <w:r w:rsidR="001F0ADA">
            <w:t xml:space="preserve"> wordt onderschreven in verschillende consultatiereacties. </w:t>
          </w:r>
          <w:r w:rsidR="00CF7287">
            <w:t xml:space="preserve">Dit </w:t>
          </w:r>
          <w:r w:rsidR="00792D59">
            <w:t>overheidsingrijpen</w:t>
          </w:r>
          <w:r w:rsidR="00CF7287">
            <w:t xml:space="preserve"> vloeit ook voort uit </w:t>
          </w:r>
          <w:r w:rsidR="00D02EE4">
            <w:t xml:space="preserve">het grondrecht dat </w:t>
          </w:r>
          <w:r w:rsidR="00CF7287">
            <w:t xml:space="preserve">de overheid </w:t>
          </w:r>
          <w:r w:rsidR="00D02EE4">
            <w:t>verplicht</w:t>
          </w:r>
          <w:r w:rsidR="00CF7287">
            <w:t xml:space="preserve"> om voldoende </w:t>
          </w:r>
          <w:r w:rsidR="00E10430">
            <w:t>woongel</w:t>
          </w:r>
          <w:r w:rsidR="000D5853">
            <w:t>e</w:t>
          </w:r>
          <w:r w:rsidR="00E10430">
            <w:t>genheid</w:t>
          </w:r>
          <w:r w:rsidR="00AC4A6F">
            <w:t xml:space="preserve"> te bevorderen</w:t>
          </w:r>
          <w:r w:rsidR="00CF7287">
            <w:t>.</w:t>
          </w:r>
        </w:p>
        <w:p w:rsidR="00700025" w:rsidRDefault="00700025" w14:paraId="56BED499" w14:textId="77777777"/>
        <w:p w:rsidR="00184EB1" w:rsidRDefault="00700025" w14:paraId="04A6E67F" w14:textId="08706AF0">
          <w:r>
            <w:t xml:space="preserve">In dit </w:t>
          </w:r>
          <w:r w:rsidR="00B14F47">
            <w:t>kader</w:t>
          </w:r>
          <w:r>
            <w:t xml:space="preserve"> heeft de </w:t>
          </w:r>
          <w:r w:rsidR="00C664FE">
            <w:t xml:space="preserve">Afdeling </w:t>
          </w:r>
          <w:r>
            <w:t>er begrip voor dat de huurprijzen voor sociale huurwoningen met dit wetsvoorstel dwingend worden voorgeschreven. Zij</w:t>
          </w:r>
          <w:r w:rsidDel="00F8746B" w:rsidR="00C664FE">
            <w:t xml:space="preserve"> </w:t>
          </w:r>
          <w:r w:rsidR="00C664FE">
            <w:t>onderstreept</w:t>
          </w:r>
          <w:r w:rsidR="00607EB3">
            <w:t xml:space="preserve"> </w:t>
          </w:r>
          <w:r>
            <w:t xml:space="preserve">daarnaast </w:t>
          </w:r>
          <w:r w:rsidR="00850792">
            <w:t>de noodzaak</w:t>
          </w:r>
          <w:r w:rsidR="00C64160">
            <w:t xml:space="preserve"> </w:t>
          </w:r>
          <w:r w:rsidR="00AF4604">
            <w:t>om te k</w:t>
          </w:r>
          <w:r w:rsidR="00042184">
            <w:t>omen tot</w:t>
          </w:r>
          <w:r w:rsidR="00C664FE">
            <w:t xml:space="preserve"> e</w:t>
          </w:r>
          <w:r w:rsidRPr="00A128F5" w:rsidR="00B114F0">
            <w:t xml:space="preserve">en volwaardige </w:t>
          </w:r>
          <w:proofErr w:type="spellStart"/>
          <w:r w:rsidRPr="00A128F5" w:rsidR="00B114F0">
            <w:t>middenhuursector</w:t>
          </w:r>
          <w:proofErr w:type="spellEnd"/>
          <w:r w:rsidR="00850792">
            <w:t xml:space="preserve"> </w:t>
          </w:r>
          <w:r w:rsidRPr="00A128F5" w:rsidR="00B114F0">
            <w:t xml:space="preserve">voor het </w:t>
          </w:r>
          <w:r w:rsidR="00F5397C">
            <w:t xml:space="preserve">goed </w:t>
          </w:r>
          <w:r w:rsidRPr="00A128F5" w:rsidR="00B114F0">
            <w:t xml:space="preserve">functioneren van de woningmarkt als geheel. </w:t>
          </w:r>
          <w:r w:rsidR="00702FB8">
            <w:t xml:space="preserve">In de </w:t>
          </w:r>
          <w:r w:rsidR="00E07DF1">
            <w:t xml:space="preserve">huidige </w:t>
          </w:r>
          <w:r w:rsidR="00702FB8">
            <w:t>praktijk</w:t>
          </w:r>
          <w:r w:rsidR="00C9556E">
            <w:t xml:space="preserve"> </w:t>
          </w:r>
          <w:r w:rsidR="00CA43F8">
            <w:t xml:space="preserve">vervult de </w:t>
          </w:r>
          <w:proofErr w:type="spellStart"/>
          <w:r w:rsidR="00CA43F8">
            <w:t>middenhuursector</w:t>
          </w:r>
          <w:proofErr w:type="spellEnd"/>
          <w:r w:rsidR="00CA43F8">
            <w:t xml:space="preserve"> </w:t>
          </w:r>
          <w:r w:rsidR="003C2863">
            <w:t xml:space="preserve">die </w:t>
          </w:r>
          <w:r w:rsidR="00CA43F8">
            <w:t xml:space="preserve">functie </w:t>
          </w:r>
          <w:r w:rsidR="004B1078">
            <w:t xml:space="preserve">niet </w:t>
          </w:r>
          <w:r w:rsidR="00DB364F">
            <w:t xml:space="preserve">goed. </w:t>
          </w:r>
          <w:r w:rsidR="00B114F0">
            <w:t xml:space="preserve">Doorstroming vanuit sociale huurwoningen en koopwoningen is in veel gevallen niet mogelijk door </w:t>
          </w:r>
          <w:r w:rsidR="002D1532">
            <w:t>onvoldoende</w:t>
          </w:r>
          <w:r w:rsidR="00B114F0">
            <w:t xml:space="preserve"> aanbod in de vrije huursector</w:t>
          </w:r>
          <w:r w:rsidR="00AC136E">
            <w:t xml:space="preserve"> in het algemeen en in de </w:t>
          </w:r>
          <w:proofErr w:type="spellStart"/>
          <w:r w:rsidR="00AC136E">
            <w:t>middenhuursector</w:t>
          </w:r>
          <w:proofErr w:type="spellEnd"/>
          <w:r w:rsidR="00AC136E">
            <w:t xml:space="preserve"> in het bijzonder</w:t>
          </w:r>
          <w:r w:rsidR="00B114F0">
            <w:t xml:space="preserve">. </w:t>
          </w:r>
        </w:p>
        <w:p w:rsidR="00A7340D" w:rsidRDefault="00A7340D" w14:paraId="377FDCB8" w14:textId="77777777"/>
        <w:p w:rsidR="00CC6C6A" w:rsidP="00CC6C6A" w:rsidRDefault="00CC6C6A" w14:paraId="74B7402F" w14:textId="678E70D2">
          <w:r>
            <w:t xml:space="preserve">De Afdeling merkt op dat de hoge huren worden veroorzaakt door de schaarste in het aanbod </w:t>
          </w:r>
          <w:r w:rsidR="0083564C">
            <w:t>terwijl de vraag aanhoudend groot is</w:t>
          </w:r>
          <w:r>
            <w:t xml:space="preserve">. De </w:t>
          </w:r>
          <w:r w:rsidR="00FE486D">
            <w:t>regering</w:t>
          </w:r>
          <w:r>
            <w:t xml:space="preserve"> besteedt onvoldoende aandacht aan de dieperliggende oorzaken van de</w:t>
          </w:r>
          <w:r w:rsidR="0091663A">
            <w:t>ze</w:t>
          </w:r>
          <w:r>
            <w:t xml:space="preserve"> </w:t>
          </w:r>
          <w:r w:rsidR="00F915F1">
            <w:t>schaarste, die</w:t>
          </w:r>
          <w:r w:rsidR="00B17DA2">
            <w:t xml:space="preserve"> </w:t>
          </w:r>
          <w:r w:rsidR="00F915F1">
            <w:t>ook verband houden met de andere segmenten van de woningmarkt</w:t>
          </w:r>
          <w:r w:rsidR="0091663A">
            <w:t xml:space="preserve">. </w:t>
          </w:r>
          <w:r>
            <w:t xml:space="preserve">De Afdeling </w:t>
          </w:r>
          <w:r>
            <w:lastRenderedPageBreak/>
            <w:t xml:space="preserve">adviseert </w:t>
          </w:r>
          <w:r w:rsidR="00925012">
            <w:t xml:space="preserve">daarom </w:t>
          </w:r>
          <w:r>
            <w:t>in de toelichting in te gaan op de oorzaken van de schaarste in de vrije huursector en hoe dit wetsvoorstel daarop inwerkt.</w:t>
          </w:r>
        </w:p>
        <w:p w:rsidR="00CC6C6A" w:rsidRDefault="00CC6C6A" w14:paraId="76D03D49" w14:textId="77777777"/>
        <w:p w:rsidR="00A7340D" w:rsidP="00A7340D" w:rsidRDefault="00A7340D" w14:paraId="69B38BE6" w14:textId="330EE867">
          <w:r>
            <w:t xml:space="preserve">De Afdeling wijst </w:t>
          </w:r>
          <w:r w:rsidR="00585293">
            <w:t>daarnaast</w:t>
          </w:r>
          <w:r w:rsidR="008B5860">
            <w:t xml:space="preserve"> </w:t>
          </w:r>
          <w:r>
            <w:t xml:space="preserve">op een aantal te verwachten neveneffecten van de regulering van de </w:t>
          </w:r>
          <w:proofErr w:type="spellStart"/>
          <w:r>
            <w:t>middenhuur</w:t>
          </w:r>
          <w:proofErr w:type="spellEnd"/>
          <w:r>
            <w:t xml:space="preserve">. De beperkte doorstroommogelijkheden leiden tot het reële risico dat het positieve effect voor huurders slechts eenmalig is en er voor nieuwe toetreders op de </w:t>
          </w:r>
          <w:proofErr w:type="spellStart"/>
          <w:r>
            <w:t>middenhuurmarkt</w:t>
          </w:r>
          <w:proofErr w:type="spellEnd"/>
          <w:r>
            <w:t xml:space="preserve"> per saldo weinig verandert. Daarmee worden de problemen die we al kennen uit de sociale huur ook hier geïntroduceerd</w:t>
          </w:r>
          <w:r w:rsidR="00D146FF">
            <w:t>, zoals</w:t>
          </w:r>
          <w:r>
            <w:t xml:space="preserve"> wachtlijsten</w:t>
          </w:r>
          <w:r w:rsidR="00D146FF">
            <w:t xml:space="preserve"> en</w:t>
          </w:r>
          <w:r>
            <w:t xml:space="preserve"> </w:t>
          </w:r>
          <w:proofErr w:type="spellStart"/>
          <w:r>
            <w:t>scheefwonen</w:t>
          </w:r>
          <w:proofErr w:type="spellEnd"/>
          <w:r>
            <w:t>. Ook</w:t>
          </w:r>
          <w:r w:rsidDel="000C6059">
            <w:t xml:space="preserve"> </w:t>
          </w:r>
          <w:r>
            <w:t xml:space="preserve">vermindert de regulering de mobiliteit op de arbeidsmarkt. </w:t>
          </w:r>
          <w:r w:rsidR="00C27CCA">
            <w:t>De toelich</w:t>
          </w:r>
          <w:r w:rsidR="00391597">
            <w:t>ting</w:t>
          </w:r>
          <w:r>
            <w:t xml:space="preserve"> besteedt onvoldoende aandacht aan deze effecten. </w:t>
          </w:r>
        </w:p>
        <w:p w:rsidR="00C16223" w:rsidRDefault="00C16223" w14:paraId="307FC587" w14:textId="77777777"/>
        <w:p w:rsidR="00D238B2" w:rsidRDefault="00403F13" w14:paraId="2C7625F7" w14:textId="7085FD84">
          <w:r>
            <w:t xml:space="preserve">Verder </w:t>
          </w:r>
          <w:r w:rsidR="00621A2A">
            <w:t>maakt</w:t>
          </w:r>
          <w:r w:rsidR="00D71011">
            <w:t xml:space="preserve"> de Afdeling </w:t>
          </w:r>
          <w:r w:rsidR="00621A2A">
            <w:t>op</w:t>
          </w:r>
          <w:r w:rsidR="00C41046">
            <w:t>merkingen over</w:t>
          </w:r>
          <w:r>
            <w:t xml:space="preserve"> de effectiviteit van de </w:t>
          </w:r>
          <w:r w:rsidR="008B5860">
            <w:t xml:space="preserve">voorgestelde </w:t>
          </w:r>
          <w:r>
            <w:t xml:space="preserve">regulering van de </w:t>
          </w:r>
          <w:r w:rsidR="006749FD">
            <w:t>vrije huursector. Deze</w:t>
          </w:r>
          <w:r w:rsidR="00B42E22">
            <w:t xml:space="preserve"> zet de </w:t>
          </w:r>
          <w:r w:rsidR="007702C8">
            <w:t>investeringsbereidheid</w:t>
          </w:r>
          <w:r w:rsidR="00B42E22">
            <w:t xml:space="preserve"> onder druk</w:t>
          </w:r>
          <w:r w:rsidR="005E53EF">
            <w:t>, w</w:t>
          </w:r>
          <w:r w:rsidR="003D09C0">
            <w:t>aardoor</w:t>
          </w:r>
          <w:r w:rsidR="00384AF1">
            <w:t xml:space="preserve"> een deel van de verhuurders de huurwoningen </w:t>
          </w:r>
          <w:r w:rsidR="00EB1AE9">
            <w:t>verkopen</w:t>
          </w:r>
          <w:r w:rsidR="00453F9A">
            <w:t xml:space="preserve"> </w:t>
          </w:r>
          <w:r w:rsidR="00647FEE">
            <w:t xml:space="preserve">(‘uitponden’) </w:t>
          </w:r>
          <w:r w:rsidR="005C125D">
            <w:t>en</w:t>
          </w:r>
          <w:r w:rsidR="00EB1AE9">
            <w:t xml:space="preserve"> </w:t>
          </w:r>
          <w:r w:rsidR="008476B8">
            <w:t>nieuw</w:t>
          </w:r>
          <w:r w:rsidR="00786746">
            <w:t xml:space="preserve">bouwprojecten </w:t>
          </w:r>
          <w:r w:rsidR="0004660B">
            <w:t xml:space="preserve">opnieuw </w:t>
          </w:r>
          <w:r w:rsidR="00614735">
            <w:t xml:space="preserve">worden </w:t>
          </w:r>
          <w:r w:rsidR="0004660B">
            <w:t>bezien</w:t>
          </w:r>
          <w:r w:rsidR="00EB1AE9">
            <w:t>. Beide</w:t>
          </w:r>
          <w:r w:rsidR="007E5CB0">
            <w:t xml:space="preserve"> gevolgen </w:t>
          </w:r>
          <w:r w:rsidR="00647FEE">
            <w:t xml:space="preserve">– uitponden en minder </w:t>
          </w:r>
          <w:r w:rsidR="00F37008">
            <w:t>nieuwbouw</w:t>
          </w:r>
          <w:r w:rsidR="00647FEE">
            <w:t xml:space="preserve"> – </w:t>
          </w:r>
          <w:r w:rsidR="007E5CB0">
            <w:t xml:space="preserve">betekenen dat het aanbod </w:t>
          </w:r>
          <w:r w:rsidR="002D5380">
            <w:t>vermindert in een marktsegment</w:t>
          </w:r>
          <w:r w:rsidR="00483F2D">
            <w:t xml:space="preserve"> waar nu al sprake is van </w:t>
          </w:r>
          <w:r w:rsidR="00C7697A">
            <w:t xml:space="preserve">grote </w:t>
          </w:r>
          <w:r w:rsidR="00483F2D">
            <w:t>schaarste</w:t>
          </w:r>
          <w:r w:rsidR="002D5380">
            <w:t xml:space="preserve">. </w:t>
          </w:r>
          <w:r w:rsidR="005312F3">
            <w:t xml:space="preserve">Dat is uiteindelijk weer nadelig voor </w:t>
          </w:r>
          <w:r w:rsidR="004E1F0C">
            <w:t>mensen die willen huren</w:t>
          </w:r>
          <w:r w:rsidR="00BD7440">
            <w:t xml:space="preserve"> en heeft </w:t>
          </w:r>
          <w:r w:rsidR="00483F2D">
            <w:t xml:space="preserve">bovendien </w:t>
          </w:r>
          <w:r w:rsidR="00BD7440">
            <w:t xml:space="preserve">negatieve gevolgen voor de </w:t>
          </w:r>
          <w:r w:rsidR="00796403">
            <w:t>doorstroming</w:t>
          </w:r>
          <w:r w:rsidR="00BD7440">
            <w:t xml:space="preserve"> </w:t>
          </w:r>
          <w:r w:rsidR="001D68BC">
            <w:t xml:space="preserve">op </w:t>
          </w:r>
          <w:r w:rsidR="00BD7440">
            <w:t>de woningmarkt als geheel</w:t>
          </w:r>
          <w:r w:rsidR="005312F3">
            <w:t xml:space="preserve">. </w:t>
          </w:r>
          <w:r w:rsidR="001D68BC">
            <w:t xml:space="preserve">De regering motiveert </w:t>
          </w:r>
          <w:r w:rsidR="0037148A">
            <w:t>niet overtuigend</w:t>
          </w:r>
          <w:r w:rsidR="000778BD">
            <w:t xml:space="preserve"> </w:t>
          </w:r>
          <w:r w:rsidR="00C36C23">
            <w:t>dat</w:t>
          </w:r>
          <w:r w:rsidR="003D75B4">
            <w:t xml:space="preserve"> </w:t>
          </w:r>
          <w:r w:rsidR="005F43DF">
            <w:t xml:space="preserve">de voorgestelde </w:t>
          </w:r>
          <w:r w:rsidR="00AC6AEC">
            <w:t>regulering</w:t>
          </w:r>
          <w:r w:rsidR="00962BA3">
            <w:t xml:space="preserve"> </w:t>
          </w:r>
          <w:r w:rsidR="006019BD">
            <w:t xml:space="preserve">niettemin </w:t>
          </w:r>
          <w:r w:rsidR="00676805">
            <w:t>effectief zou zijn en dat risico</w:t>
          </w:r>
          <w:r w:rsidR="00057F92">
            <w:t>’</w:t>
          </w:r>
          <w:r w:rsidR="00676805">
            <w:t>s</w:t>
          </w:r>
          <w:r w:rsidR="00057F92">
            <w:t xml:space="preserve"> voldoende zijn </w:t>
          </w:r>
          <w:r w:rsidR="00AA38A5">
            <w:t>ondervangen</w:t>
          </w:r>
          <w:r w:rsidR="00861005">
            <w:t xml:space="preserve">. </w:t>
          </w:r>
          <w:r w:rsidR="00C36C23">
            <w:t>D</w:t>
          </w:r>
          <w:r w:rsidR="002A38E7">
            <w:t xml:space="preserve">eze </w:t>
          </w:r>
          <w:r w:rsidR="001D68BC">
            <w:t>motivering</w:t>
          </w:r>
          <w:r w:rsidR="00F47F1C">
            <w:t xml:space="preserve"> van de geschiktheid en noodzakelijkheid van de maatregel</w:t>
          </w:r>
          <w:r w:rsidR="00120FDF">
            <w:t xml:space="preserve">, </w:t>
          </w:r>
          <w:r w:rsidR="0058274D">
            <w:t xml:space="preserve">is ook nodig </w:t>
          </w:r>
          <w:r w:rsidR="00120FDF">
            <w:t>ter</w:t>
          </w:r>
          <w:r w:rsidDel="00120FDF" w:rsidR="00542703">
            <w:t xml:space="preserve"> </w:t>
          </w:r>
          <w:r w:rsidR="00542703">
            <w:t xml:space="preserve">rechtvaardiging van de </w:t>
          </w:r>
          <w:r w:rsidR="006E1BA8">
            <w:t>inmenging in het eigendomsrecht van</w:t>
          </w:r>
          <w:r w:rsidR="004149F3">
            <w:t xml:space="preserve"> verhuurders en investeerders</w:t>
          </w:r>
          <w:r w:rsidR="00FD410C">
            <w:t xml:space="preserve">. </w:t>
          </w:r>
        </w:p>
        <w:p w:rsidR="00FF0098" w:rsidRDefault="00FF0098" w14:paraId="31367F53" w14:textId="77777777"/>
        <w:p w:rsidR="00235B93" w:rsidRDefault="00FF0098" w14:paraId="7AB8B5D0" w14:textId="6A742473">
          <w:r>
            <w:t xml:space="preserve">In verband hiermee dient het wetsvoorstel nader te worden </w:t>
          </w:r>
          <w:r w:rsidR="00562929">
            <w:t>bezien</w:t>
          </w:r>
          <w:r>
            <w:t>.</w:t>
          </w:r>
        </w:p>
        <w:p w:rsidR="004B4FCF" w:rsidRDefault="004B4FCF" w14:paraId="4B56E845" w14:textId="77777777"/>
        <w:p w:rsidRPr="007B6603" w:rsidR="001A06B7" w:rsidP="007E67AB" w:rsidRDefault="001A06B7" w14:paraId="0752A1C8" w14:textId="1524C575">
          <w:pPr>
            <w:keepNext/>
            <w:rPr>
              <w:u w:val="single"/>
            </w:rPr>
          </w:pPr>
          <w:r>
            <w:t>1</w:t>
          </w:r>
          <w:r w:rsidRPr="00B340AC">
            <w:t>.</w:t>
          </w:r>
          <w:r w:rsidRPr="00B340AC">
            <w:tab/>
          </w:r>
          <w:r w:rsidRPr="004345EF" w:rsidR="009A1C3E">
            <w:rPr>
              <w:u w:val="single"/>
            </w:rPr>
            <w:t>Inleid</w:t>
          </w:r>
          <w:r w:rsidRPr="004345EF" w:rsidR="00C47039">
            <w:rPr>
              <w:u w:val="single"/>
            </w:rPr>
            <w:t>ing</w:t>
          </w:r>
          <w:r w:rsidR="000A432F">
            <w:t xml:space="preserve"> </w:t>
          </w:r>
        </w:p>
        <w:p w:rsidR="001A06B7" w:rsidP="007E67AB" w:rsidRDefault="001A06B7" w14:paraId="08151B6D" w14:textId="77777777">
          <w:pPr>
            <w:keepNext/>
          </w:pPr>
        </w:p>
        <w:p w:rsidR="000A432F" w:rsidP="007E67AB" w:rsidRDefault="000A432F" w14:paraId="272D578A" w14:textId="6DF9CF85">
          <w:pPr>
            <w:keepNext/>
          </w:pPr>
          <w:r>
            <w:t>a.</w:t>
          </w:r>
          <w:r w:rsidR="00730489">
            <w:tab/>
          </w:r>
          <w:r w:rsidRPr="00730489" w:rsidR="00730489">
            <w:rPr>
              <w:i/>
              <w:iCs/>
            </w:rPr>
            <w:t>Inhoud van het wetsvoorstel</w:t>
          </w:r>
        </w:p>
        <w:p w:rsidR="00BC14D6" w:rsidP="001A06B7" w:rsidRDefault="25FD7719" w14:paraId="3FF22B47" w14:textId="60A70FCB">
          <w:r>
            <w:t>De</w:t>
          </w:r>
          <w:r w:rsidR="0039064F">
            <w:t xml:space="preserve"> </w:t>
          </w:r>
          <w:r w:rsidR="00EC40EE">
            <w:t>regering</w:t>
          </w:r>
          <w:r w:rsidR="0039064F">
            <w:t xml:space="preserve"> </w:t>
          </w:r>
          <w:r w:rsidR="00B36E08">
            <w:t>wil</w:t>
          </w:r>
          <w:r w:rsidR="009F4420">
            <w:t xml:space="preserve"> de rechtspositie van huurders </w:t>
          </w:r>
          <w:r w:rsidR="00BC14D6">
            <w:t xml:space="preserve">ten opzichte van verhuurders </w:t>
          </w:r>
          <w:r w:rsidR="009F4420">
            <w:t xml:space="preserve">verbeteren en </w:t>
          </w:r>
          <w:r w:rsidR="00EC40EE">
            <w:t xml:space="preserve">de </w:t>
          </w:r>
          <w:r w:rsidR="00BA79C7">
            <w:t xml:space="preserve">huren </w:t>
          </w:r>
          <w:r w:rsidR="00835238">
            <w:t xml:space="preserve">beter betaalbaar maken </w:t>
          </w:r>
          <w:r w:rsidR="00BA79C7">
            <w:t>voor huishoudens met een middeninkomen</w:t>
          </w:r>
          <w:r w:rsidR="00BC14D6">
            <w:t xml:space="preserve">. Daartoe heeft zij een wetsvoorstel opgesteld met </w:t>
          </w:r>
          <w:r w:rsidR="00D62C0D">
            <w:t xml:space="preserve">twee </w:t>
          </w:r>
          <w:r w:rsidR="009F4420">
            <w:t>hoofd</w:t>
          </w:r>
          <w:r w:rsidR="00D62C0D">
            <w:t>onderdelen.</w:t>
          </w:r>
          <w:r w:rsidR="00602EA4">
            <w:t xml:space="preserve"> </w:t>
          </w:r>
        </w:p>
        <w:p w:rsidR="00BC14D6" w:rsidP="001A06B7" w:rsidRDefault="00BC14D6" w14:paraId="7E51EC1D" w14:textId="77777777"/>
        <w:p w:rsidR="001A06B7" w:rsidP="001A06B7" w:rsidRDefault="00602EA4" w14:paraId="2CC9C6B1" w14:textId="5BC338A7">
          <w:r>
            <w:t>In de eerste plaats word</w:t>
          </w:r>
          <w:r w:rsidR="0037594E">
            <w:t xml:space="preserve">t de huurprijsbescherming </w:t>
          </w:r>
          <w:r w:rsidR="007F327B">
            <w:t>in de sociale huursector</w:t>
          </w:r>
          <w:r w:rsidR="0037594E">
            <w:t xml:space="preserve"> </w:t>
          </w:r>
          <w:r w:rsidR="00A06D8A">
            <w:t xml:space="preserve">op grond van het </w:t>
          </w:r>
          <w:r w:rsidR="00475622">
            <w:t>woningwaarderingsstelsel</w:t>
          </w:r>
          <w:r w:rsidR="00EB0A0B">
            <w:t>,</w:t>
          </w:r>
          <w:r w:rsidR="00A06D8A">
            <w:t xml:space="preserve"> </w:t>
          </w:r>
          <w:r w:rsidR="00475622">
            <w:t xml:space="preserve">ook wel </w:t>
          </w:r>
          <w:r w:rsidR="003D6C81">
            <w:t xml:space="preserve">het </w:t>
          </w:r>
          <w:r w:rsidR="00475622">
            <w:t>WWS of puntenstelsel genoemd</w:t>
          </w:r>
          <w:r w:rsidR="003D6C81">
            <w:t>,</w:t>
          </w:r>
          <w:r w:rsidR="00A06D8A">
            <w:t xml:space="preserve"> </w:t>
          </w:r>
          <w:r w:rsidR="00CD1968">
            <w:t xml:space="preserve">doorgetrokken </w:t>
          </w:r>
          <w:r w:rsidR="00550659">
            <w:t>naar</w:t>
          </w:r>
          <w:r w:rsidR="00475622">
            <w:t xml:space="preserve"> het middensegment. </w:t>
          </w:r>
          <w:r w:rsidR="00644C65">
            <w:t>Hiermee</w:t>
          </w:r>
          <w:r w:rsidR="00936823">
            <w:t xml:space="preserve"> word</w:t>
          </w:r>
          <w:r w:rsidR="003F5546">
            <w:t xml:space="preserve">en de </w:t>
          </w:r>
          <w:r w:rsidR="00C004EC">
            <w:t xml:space="preserve">maximale </w:t>
          </w:r>
          <w:r w:rsidR="003F5546">
            <w:t>h</w:t>
          </w:r>
          <w:r w:rsidR="005110A8">
            <w:t>uren van woningen in een deel van de vrije huursector</w:t>
          </w:r>
          <w:r w:rsidR="006D22CB">
            <w:t xml:space="preserve"> dwingend voorgeschreven. </w:t>
          </w:r>
          <w:r w:rsidR="00662D68">
            <w:t>Overheidsr</w:t>
          </w:r>
          <w:r w:rsidR="006D22CB">
            <w:t xml:space="preserve">egulering van de huurprijzen is nu beperkt tot </w:t>
          </w:r>
          <w:r w:rsidR="00772177">
            <w:t>sociale huurwoningen, die vooral door woningcorporaties worden geëxploiteerd.</w:t>
          </w:r>
          <w:r w:rsidR="00C004EC">
            <w:t xml:space="preserve"> </w:t>
          </w:r>
          <w:r w:rsidR="00C91A51">
            <w:t xml:space="preserve">De maximale </w:t>
          </w:r>
          <w:r w:rsidR="00F87B4D">
            <w:t xml:space="preserve">huren </w:t>
          </w:r>
          <w:r w:rsidR="00C91A51">
            <w:t xml:space="preserve">gelden voor </w:t>
          </w:r>
          <w:r w:rsidR="00F04419">
            <w:t xml:space="preserve">alle woningen die volgens het </w:t>
          </w:r>
          <w:r w:rsidR="00D01133">
            <w:t xml:space="preserve">puntenstelsel </w:t>
          </w:r>
          <w:r w:rsidR="00F04419">
            <w:t>186 of minder</w:t>
          </w:r>
          <w:r w:rsidR="00577B2B">
            <w:t xml:space="preserve"> punten hebben.</w:t>
          </w:r>
          <w:r w:rsidR="00E135C3">
            <w:t xml:space="preserve"> Dit staat gelijk aan een maximale maandhuur van </w:t>
          </w:r>
          <w:r w:rsidR="00BB3E3D">
            <w:t>€ </w:t>
          </w:r>
          <w:r w:rsidR="00E135C3">
            <w:t>1.123.</w:t>
          </w:r>
          <w:r w:rsidR="00E135C3">
            <w:rPr>
              <w:rStyle w:val="Voetnootmarkering"/>
            </w:rPr>
            <w:footnoteReference w:id="2"/>
          </w:r>
          <w:r w:rsidR="00577B2B">
            <w:t xml:space="preserve"> </w:t>
          </w:r>
          <w:r w:rsidR="00A15C43">
            <w:t>Huurw</w:t>
          </w:r>
          <w:r w:rsidR="00577B2B">
            <w:t xml:space="preserve">oningen met meer dan </w:t>
          </w:r>
          <w:r w:rsidR="00D37BF5">
            <w:t>186 punten vallen</w:t>
          </w:r>
          <w:r w:rsidR="00577D4C">
            <w:t xml:space="preserve"> buiten de huurprijs</w:t>
          </w:r>
          <w:r w:rsidR="00F17B78">
            <w:t>bescherming</w:t>
          </w:r>
          <w:r w:rsidR="00D37BF5">
            <w:t>.</w:t>
          </w:r>
        </w:p>
        <w:p w:rsidR="00413CA8" w:rsidP="001A06B7" w:rsidRDefault="00413CA8" w14:paraId="7458761F" w14:textId="77777777"/>
        <w:p w:rsidR="002E0ADD" w:rsidP="001A06B7" w:rsidRDefault="00413CA8" w14:paraId="3692BCC1" w14:textId="0AE44EDC">
          <w:r>
            <w:t xml:space="preserve">In de tweede plaats </w:t>
          </w:r>
          <w:r w:rsidR="00AC76CB">
            <w:t xml:space="preserve">regelt het wetsvoorstel dat </w:t>
          </w:r>
          <w:r>
            <w:t xml:space="preserve">de huurprijsbescherming op basis van het puntenstelsel in zowel het </w:t>
          </w:r>
          <w:r w:rsidR="00951689">
            <w:t>(</w:t>
          </w:r>
          <w:r>
            <w:t>bestaande</w:t>
          </w:r>
          <w:r w:rsidR="00951689">
            <w:t>)</w:t>
          </w:r>
          <w:r>
            <w:t xml:space="preserve"> </w:t>
          </w:r>
          <w:r w:rsidR="00203D35">
            <w:t>sociale</w:t>
          </w:r>
          <w:r>
            <w:t xml:space="preserve"> als het </w:t>
          </w:r>
          <w:r w:rsidR="00951689">
            <w:t>(</w:t>
          </w:r>
          <w:r>
            <w:t>nieuwe</w:t>
          </w:r>
          <w:r w:rsidR="00951689">
            <w:t>)</w:t>
          </w:r>
          <w:r>
            <w:t xml:space="preserve"> middensegment dwingend</w:t>
          </w:r>
          <w:r w:rsidR="00951689">
            <w:t xml:space="preserve"> wordt. </w:t>
          </w:r>
          <w:r w:rsidR="0086175E">
            <w:t>D</w:t>
          </w:r>
          <w:r w:rsidR="00757934">
            <w:t>it gebeurt</w:t>
          </w:r>
          <w:r w:rsidR="00157647">
            <w:t xml:space="preserve"> door de </w:t>
          </w:r>
          <w:r w:rsidR="00757934">
            <w:t>regulering</w:t>
          </w:r>
          <w:r w:rsidR="00157647">
            <w:t xml:space="preserve"> </w:t>
          </w:r>
          <w:r w:rsidR="000518EE">
            <w:t>van de huurprijzen</w:t>
          </w:r>
          <w:r w:rsidR="00EC26BE">
            <w:t xml:space="preserve"> </w:t>
          </w:r>
          <w:r w:rsidR="00157647">
            <w:t xml:space="preserve">voor te schrijven als een </w:t>
          </w:r>
          <w:r w:rsidR="00757934">
            <w:t>verbodsbepaling</w:t>
          </w:r>
          <w:r w:rsidR="00EC26BE">
            <w:t>,</w:t>
          </w:r>
          <w:r w:rsidR="00572EE8">
            <w:t xml:space="preserve"> en door de gemeenten </w:t>
          </w:r>
          <w:r w:rsidR="0086175E">
            <w:t>een toezichthoudende en handhavende taak te geven.</w:t>
          </w:r>
          <w:r w:rsidR="00757934">
            <w:t xml:space="preserve"> </w:t>
          </w:r>
          <w:r w:rsidR="0016682D">
            <w:t>In dat kader kunnen zij</w:t>
          </w:r>
          <w:r w:rsidR="00D71D7F">
            <w:t xml:space="preserve"> sancties opleggen, zoals in</w:t>
          </w:r>
          <w:r w:rsidR="00207FC0">
            <w:t>trekking van de verhuur</w:t>
          </w:r>
          <w:r w:rsidR="00A405EA">
            <w:t xml:space="preserve">vergunning, </w:t>
          </w:r>
          <w:r w:rsidR="00083512">
            <w:t xml:space="preserve">oplegging van een last onder dwangsom of bestuursdwang, </w:t>
          </w:r>
          <w:r w:rsidR="00F9291D">
            <w:t xml:space="preserve">of het </w:t>
          </w:r>
          <w:r w:rsidR="00F86D67">
            <w:t xml:space="preserve">opleggen van een </w:t>
          </w:r>
          <w:r w:rsidR="006557A6">
            <w:t>bestuurlijke boete</w:t>
          </w:r>
          <w:r w:rsidDel="006557A6" w:rsidR="00D726DD">
            <w:t xml:space="preserve"> </w:t>
          </w:r>
          <w:r w:rsidR="00AA03C8">
            <w:t>tot maximaal</w:t>
          </w:r>
          <w:r w:rsidR="008901C0">
            <w:t xml:space="preserve"> </w:t>
          </w:r>
          <w:r w:rsidR="00605506">
            <w:t>€ </w:t>
          </w:r>
          <w:r w:rsidR="008901C0">
            <w:t xml:space="preserve">22.500 (of </w:t>
          </w:r>
          <w:r w:rsidR="00604AE3">
            <w:t>€ </w:t>
          </w:r>
          <w:r w:rsidR="008901C0">
            <w:t>90.000 bij recidive)</w:t>
          </w:r>
          <w:r w:rsidR="00D726DD">
            <w:t>.</w:t>
          </w:r>
          <w:r w:rsidR="00893015">
            <w:rPr>
              <w:rStyle w:val="Voetnootmarkering"/>
            </w:rPr>
            <w:footnoteReference w:id="3"/>
          </w:r>
          <w:r w:rsidR="00D726DD">
            <w:t xml:space="preserve"> </w:t>
          </w:r>
          <w:r w:rsidR="00757934">
            <w:t xml:space="preserve">Ook </w:t>
          </w:r>
          <w:r w:rsidR="00D726DD">
            <w:t xml:space="preserve">wordt </w:t>
          </w:r>
          <w:r w:rsidR="00757934">
            <w:t>de taak van de Huurcommissie uitgebreid</w:t>
          </w:r>
          <w:r w:rsidR="004A6B87">
            <w:t xml:space="preserve">, waardoor huurders </w:t>
          </w:r>
          <w:r w:rsidR="007041FA">
            <w:t xml:space="preserve">daar </w:t>
          </w:r>
          <w:r w:rsidR="004A6B87">
            <w:t xml:space="preserve">vaker </w:t>
          </w:r>
          <w:r w:rsidR="007041FA">
            <w:t>terecht kunnen</w:t>
          </w:r>
          <w:r w:rsidR="00B546BE">
            <w:t xml:space="preserve"> </w:t>
          </w:r>
          <w:r w:rsidR="00C4319B">
            <w:t>bij</w:t>
          </w:r>
          <w:r w:rsidR="00B546BE">
            <w:t xml:space="preserve"> </w:t>
          </w:r>
          <w:r w:rsidR="00F06065">
            <w:t>geschillen</w:t>
          </w:r>
          <w:r w:rsidR="003C09CB">
            <w:t>.</w:t>
          </w:r>
        </w:p>
        <w:p w:rsidR="00915F56" w:rsidP="001A06B7" w:rsidRDefault="00915F56" w14:paraId="4587C46C" w14:textId="77777777"/>
        <w:p w:rsidRPr="00A75856" w:rsidR="00637D51" w:rsidP="00637D51" w:rsidRDefault="0091535C" w14:paraId="5396C6E7" w14:textId="65728F67">
          <w:r w:rsidRPr="00A75856">
            <w:t xml:space="preserve">Uitgangspunt </w:t>
          </w:r>
          <w:r w:rsidR="00AD3515">
            <w:t>van</w:t>
          </w:r>
          <w:r w:rsidR="002A78C2">
            <w:t xml:space="preserve"> </w:t>
          </w:r>
          <w:r w:rsidRPr="00A75856">
            <w:t xml:space="preserve">het wetsvoorstel </w:t>
          </w:r>
          <w:r w:rsidRPr="00A75856" w:rsidR="00593E57">
            <w:t xml:space="preserve">is </w:t>
          </w:r>
          <w:r w:rsidR="001A119F">
            <w:t xml:space="preserve">een </w:t>
          </w:r>
          <w:r w:rsidRPr="00A75856" w:rsidR="00637D51">
            <w:t xml:space="preserve">balans </w:t>
          </w:r>
          <w:r w:rsidR="005E6966">
            <w:t xml:space="preserve">te </w:t>
          </w:r>
          <w:r w:rsidR="003D2A61">
            <w:t>vinden</w:t>
          </w:r>
          <w:r w:rsidRPr="00A75856" w:rsidR="00637D51">
            <w:t xml:space="preserve"> tussen het verbeteren van woonlasten voor huurders enerzijds en het </w:t>
          </w:r>
          <w:r w:rsidR="005E6966">
            <w:t>waar</w:t>
          </w:r>
          <w:r w:rsidRPr="00A75856" w:rsidR="00637D51">
            <w:t xml:space="preserve">borgen dat het aanbod aan </w:t>
          </w:r>
          <w:proofErr w:type="spellStart"/>
          <w:r w:rsidRPr="00A75856" w:rsidR="00637D51">
            <w:t>middenhuur</w:t>
          </w:r>
          <w:proofErr w:type="spellEnd"/>
          <w:r w:rsidRPr="00A75856" w:rsidR="00637D51">
            <w:t xml:space="preserve"> op peil blijft anderzijds. Om deze balans te vinden</w:t>
          </w:r>
          <w:r w:rsidR="00756EE6">
            <w:t>,</w:t>
          </w:r>
          <w:r w:rsidRPr="00A75856" w:rsidR="00637D51">
            <w:t xml:space="preserve"> zijn </w:t>
          </w:r>
          <w:r w:rsidR="00133FE3">
            <w:t xml:space="preserve">volgens </w:t>
          </w:r>
          <w:r w:rsidR="00A333DE">
            <w:t xml:space="preserve">de </w:t>
          </w:r>
          <w:r w:rsidR="00133FE3">
            <w:t xml:space="preserve">toelichting </w:t>
          </w:r>
          <w:r w:rsidRPr="00A75856" w:rsidR="00637D51">
            <w:t>de volgende pijlers bij de verdere vormgeving gehanteerd:</w:t>
          </w:r>
          <w:r w:rsidR="005251AA">
            <w:rPr>
              <w:rStyle w:val="Voetnootmarkering"/>
            </w:rPr>
            <w:footnoteReference w:id="4"/>
          </w:r>
          <w:r w:rsidRPr="00A75856" w:rsidR="00637D51">
            <w:t xml:space="preserve"> </w:t>
          </w:r>
        </w:p>
        <w:p w:rsidR="003C0D15" w:rsidP="007E67AB" w:rsidRDefault="003C0D15" w14:paraId="72B520BF" w14:textId="77777777"/>
        <w:p w:rsidRPr="00A75856" w:rsidR="00637D51" w:rsidP="003C0D15" w:rsidRDefault="007437AB" w14:paraId="5A597557" w14:textId="4170ABA9">
          <w:pPr>
            <w:pStyle w:val="Lijstalinea"/>
            <w:numPr>
              <w:ilvl w:val="0"/>
              <w:numId w:val="8"/>
            </w:numPr>
          </w:pPr>
          <w:r>
            <w:t xml:space="preserve">Redelijke huurprijs. </w:t>
          </w:r>
          <w:r w:rsidRPr="00A75856" w:rsidR="00637D51">
            <w:t xml:space="preserve">Als eerste pijler staat de bescherming van de huurder voorop. Regulering moet ervoor zorgen dat huurwoningen betaalbaar worden en voor een redelijke huurprijs worden verhuurd. Deze huurprijs moet passen bij de kwaliteit van de woning. </w:t>
          </w:r>
        </w:p>
        <w:p w:rsidRPr="00A75856" w:rsidR="00637D51" w:rsidP="003C0D15" w:rsidRDefault="000F431C" w14:paraId="34F77A40" w14:textId="42C7082E">
          <w:pPr>
            <w:pStyle w:val="Lijstalinea"/>
            <w:numPr>
              <w:ilvl w:val="0"/>
              <w:numId w:val="8"/>
            </w:numPr>
          </w:pPr>
          <w:r>
            <w:t xml:space="preserve">Voldoende betaalbare huurwoningen. </w:t>
          </w:r>
          <w:r w:rsidRPr="00A75856" w:rsidR="00637D51">
            <w:t xml:space="preserve">Voor de huurder is het ook belangrijk dat er voldoende betaalbare woningen beschikbaar zijn. De omvang van het middensegment moet in verhouding staan tot de behoefte van de doelgroep. Daarom is gekeken welke verschuivingen er tussen de huursegmenten ontstaan door de regulering van het middensegment, en of er een voldoende groot middensegment overblijft. </w:t>
          </w:r>
        </w:p>
        <w:p w:rsidRPr="00A75856" w:rsidR="00637D51" w:rsidP="003C0D15" w:rsidRDefault="000F431C" w14:paraId="1519B574" w14:textId="35ECEF6D">
          <w:pPr>
            <w:pStyle w:val="Lijstalinea"/>
            <w:numPr>
              <w:ilvl w:val="0"/>
              <w:numId w:val="8"/>
            </w:numPr>
          </w:pPr>
          <w:r>
            <w:t xml:space="preserve">Investeringsbereidheid. </w:t>
          </w:r>
          <w:r w:rsidRPr="00A75856" w:rsidR="00637D51">
            <w:t xml:space="preserve">Om te zorgen dat er voldoende betaalbare woningen beschikbaar blijven, moet de investeringsbereidheid van verhuurders op peil blijven. Bovendien moet het aanbod aan </w:t>
          </w:r>
          <w:proofErr w:type="spellStart"/>
          <w:r w:rsidRPr="00A75856" w:rsidR="00637D51">
            <w:t>middenhuur</w:t>
          </w:r>
          <w:proofErr w:type="spellEnd"/>
          <w:r w:rsidRPr="00A75856" w:rsidR="00637D51">
            <w:t xml:space="preserve"> verder worden vergroot via de nieuwbouwproductie. Hier moet voldoende ruimte voor blijven voor investeerders om te investeren in de bouw van nieuwe woningen. Dit betekent ook dat er een vrij huursegment met marktconforme huren moet blijven bestaan, zodat een investeerder een evenwichtige mix van woningen op de markt kan brengen. </w:t>
          </w:r>
        </w:p>
        <w:p w:rsidRPr="00A75856" w:rsidR="00637D51" w:rsidP="003C0D15" w:rsidRDefault="000F431C" w14:paraId="1652F291" w14:textId="7E2A731E">
          <w:pPr>
            <w:pStyle w:val="Lijstalinea"/>
            <w:numPr>
              <w:ilvl w:val="0"/>
              <w:numId w:val="8"/>
            </w:numPr>
          </w:pPr>
          <w:r>
            <w:t xml:space="preserve">Verduurzaming. </w:t>
          </w:r>
          <w:r w:rsidRPr="00A75856" w:rsidR="00637D51">
            <w:t xml:space="preserve">Door </w:t>
          </w:r>
          <w:r w:rsidR="00073630">
            <w:t>aanpassing</w:t>
          </w:r>
          <w:r w:rsidRPr="00A75856" w:rsidR="00637D51">
            <w:t xml:space="preserve"> van het WWS moet de verduurzaming van huurwoningen worden gestimuleerd, omdat hier nog een grote opgave ligt en huurders ook profiteren van een duurzame woning.</w:t>
          </w:r>
        </w:p>
        <w:p w:rsidR="006C2889" w:rsidP="006C2889" w:rsidRDefault="006C2889" w14:paraId="616EEE9F" w14:textId="77777777"/>
        <w:p w:rsidRPr="00A75856" w:rsidR="006C2889" w:rsidP="006C2889" w:rsidRDefault="006C2889" w14:paraId="5F21C443" w14:textId="5995614F">
          <w:r>
            <w:t>D</w:t>
          </w:r>
          <w:r w:rsidRPr="006C2889">
            <w:t>e minister heeft op 9 november</w:t>
          </w:r>
          <w:r w:rsidR="006422C7">
            <w:t xml:space="preserve"> 2023</w:t>
          </w:r>
          <w:r w:rsidRPr="006C2889">
            <w:t xml:space="preserve">, voorafgaand aan de advisering door de Afdeling, aangekondigd </w:t>
          </w:r>
          <w:r w:rsidR="009434D0">
            <w:t>het</w:t>
          </w:r>
          <w:r w:rsidR="00BE6602">
            <w:t xml:space="preserve"> bij dit </w:t>
          </w:r>
          <w:r w:rsidR="009434D0">
            <w:t xml:space="preserve">wetsvoorstel behorende besluit aan te willen </w:t>
          </w:r>
          <w:r w:rsidR="009434D0">
            <w:lastRenderedPageBreak/>
            <w:t>passen</w:t>
          </w:r>
          <w:r w:rsidR="007C1981">
            <w:t xml:space="preserve"> </w:t>
          </w:r>
          <w:r w:rsidR="003B2451">
            <w:t>dat</w:t>
          </w:r>
          <w:r w:rsidR="007C1981">
            <w:t xml:space="preserve"> op enkele punten afwijkt van </w:t>
          </w:r>
          <w:r w:rsidR="006F7855">
            <w:t>de toelichting bij dit wetsvoorstel.</w:t>
          </w:r>
          <w:r w:rsidR="00355D9F">
            <w:rPr>
              <w:rStyle w:val="Voetnootmarkering"/>
            </w:rPr>
            <w:footnoteReference w:id="5"/>
          </w:r>
          <w:r w:rsidRPr="006C2889">
            <w:t xml:space="preserve"> </w:t>
          </w:r>
          <w:r w:rsidR="00B72419">
            <w:t xml:space="preserve">De reikwijdte </w:t>
          </w:r>
          <w:r w:rsidR="00FB3765">
            <w:t>en implicaties hiervan zijn nog niet duidelijk</w:t>
          </w:r>
          <w:r w:rsidR="002B2007">
            <w:t xml:space="preserve">. </w:t>
          </w:r>
          <w:r w:rsidR="00A976D4">
            <w:t xml:space="preserve">De Afdeling gaat er vanuit dat indien dit leidt tot ingrijpende wijzigingen in het wetsvoorstel, dit opnieuw aan haar wordt voorgelegd voor advies. </w:t>
          </w:r>
          <w:r w:rsidRPr="006C2889">
            <w:t xml:space="preserve">De Afdeling gaat in dit advies uit van het wetsvoorstel </w:t>
          </w:r>
          <w:r w:rsidR="0051235D">
            <w:t xml:space="preserve">en de toelichting </w:t>
          </w:r>
          <w:r w:rsidRPr="006C2889">
            <w:t>zoals di</w:t>
          </w:r>
          <w:r w:rsidR="0090215F">
            <w:t>e</w:t>
          </w:r>
          <w:r w:rsidRPr="006C2889">
            <w:t xml:space="preserve"> bij haar aanhangig </w:t>
          </w:r>
          <w:r w:rsidR="0090215F">
            <w:t>zi</w:t>
          </w:r>
          <w:r w:rsidR="00D124A8">
            <w:t>jn</w:t>
          </w:r>
          <w:r w:rsidRPr="006C2889">
            <w:t xml:space="preserve"> gemaakt.</w:t>
          </w:r>
          <w:r w:rsidR="00C43483">
            <w:t xml:space="preserve"> </w:t>
          </w:r>
        </w:p>
        <w:p w:rsidR="00EA6241" w:rsidRDefault="00EA6241" w14:paraId="7032A591" w14:textId="77777777"/>
        <w:p w:rsidR="0086104D" w:rsidDel="006F6B1A" w:rsidP="00A369C2" w:rsidRDefault="005A5063" w14:paraId="45627E88" w14:textId="533C9354">
          <w:r w:rsidRPr="00820FED">
            <w:t>b</w:t>
          </w:r>
          <w:r w:rsidR="00820FED">
            <w:rPr>
              <w:i/>
              <w:iCs/>
            </w:rPr>
            <w:t>.</w:t>
          </w:r>
          <w:r w:rsidR="00820FED">
            <w:rPr>
              <w:i/>
              <w:iCs/>
            </w:rPr>
            <w:tab/>
          </w:r>
          <w:r w:rsidRPr="006C4179" w:rsidDel="006F6B1A" w:rsidR="00257037">
            <w:rPr>
              <w:i/>
              <w:iCs/>
            </w:rPr>
            <w:t>L</w:t>
          </w:r>
          <w:r w:rsidRPr="006C4179" w:rsidDel="006F6B1A" w:rsidR="00D94281">
            <w:rPr>
              <w:i/>
              <w:iCs/>
            </w:rPr>
            <w:t>eeswijzer</w:t>
          </w:r>
        </w:p>
        <w:p w:rsidR="00F743C8" w:rsidP="00606805" w:rsidRDefault="00D164E5" w14:paraId="2F02E1CC" w14:textId="192D488C">
          <w:r>
            <w:t xml:space="preserve">Het wetsvoorstel </w:t>
          </w:r>
          <w:r w:rsidR="00AD0588">
            <w:t xml:space="preserve">heeft betrekking op de </w:t>
          </w:r>
          <w:r w:rsidR="00843AC6">
            <w:t xml:space="preserve">vrije </w:t>
          </w:r>
          <w:r w:rsidR="00AD0588">
            <w:t xml:space="preserve">huursector, maar deze functioneert binnen de bredere woningmarkt. </w:t>
          </w:r>
          <w:r w:rsidR="0004665F">
            <w:t xml:space="preserve">Gezien de onderlinge verwevenheid tussen de </w:t>
          </w:r>
          <w:r w:rsidR="003E220B">
            <w:t>woning</w:t>
          </w:r>
          <w:r w:rsidR="0004665F">
            <w:t xml:space="preserve">marktsegmenten </w:t>
          </w:r>
          <w:r w:rsidR="00F143C6">
            <w:t xml:space="preserve">is </w:t>
          </w:r>
          <w:r w:rsidR="007B1DA1">
            <w:t xml:space="preserve">het </w:t>
          </w:r>
          <w:r w:rsidR="003269A5">
            <w:t>voor de beoordeling van de geschiktheid en effectiviteit van het voorstel v</w:t>
          </w:r>
          <w:r w:rsidR="007B1DA1">
            <w:t xml:space="preserve">an belang eerst </w:t>
          </w:r>
          <w:r w:rsidR="001E4C66">
            <w:t xml:space="preserve">de </w:t>
          </w:r>
          <w:r w:rsidR="00966C97">
            <w:t xml:space="preserve">achtergrond te </w:t>
          </w:r>
          <w:r w:rsidR="007B1DA1">
            <w:t>schets</w:t>
          </w:r>
          <w:r w:rsidR="00966C97">
            <w:t>en</w:t>
          </w:r>
          <w:r w:rsidR="007B1DA1">
            <w:t xml:space="preserve"> in </w:t>
          </w:r>
          <w:r w:rsidR="000E1044">
            <w:t>punt 2</w:t>
          </w:r>
          <w:r w:rsidR="007B1DA1">
            <w:t xml:space="preserve"> van </w:t>
          </w:r>
          <w:r w:rsidR="00736D4D">
            <w:t>dit</w:t>
          </w:r>
          <w:r w:rsidR="007B1DA1">
            <w:t xml:space="preserve"> </w:t>
          </w:r>
          <w:r w:rsidR="00CD0915">
            <w:t xml:space="preserve">advies. </w:t>
          </w:r>
          <w:r w:rsidR="00621F94">
            <w:t>Vervolgens</w:t>
          </w:r>
          <w:r w:rsidR="00251423">
            <w:t xml:space="preserve"> </w:t>
          </w:r>
          <w:r w:rsidR="00FA2ACF">
            <w:t xml:space="preserve">bespreekt </w:t>
          </w:r>
          <w:r w:rsidR="00EC4329">
            <w:t xml:space="preserve">de Afdeling </w:t>
          </w:r>
          <w:r w:rsidR="00FA2ACF">
            <w:t xml:space="preserve">het wetsvoorstel aan de hand van de </w:t>
          </w:r>
          <w:r w:rsidR="007F7EFA">
            <w:t>hierboven beschreven</w:t>
          </w:r>
          <w:r w:rsidR="00FA2ACF">
            <w:t xml:space="preserve"> pijlers. </w:t>
          </w:r>
        </w:p>
        <w:p w:rsidR="00F743C8" w:rsidP="00606805" w:rsidRDefault="00F743C8" w14:paraId="02F148C5" w14:textId="77777777"/>
        <w:p w:rsidR="00606805" w:rsidP="00606805" w:rsidRDefault="0041488F" w14:paraId="7958A0F9" w14:textId="23C97745">
          <w:r>
            <w:t>De eerste pijler</w:t>
          </w:r>
          <w:r w:rsidR="00F736AC">
            <w:t xml:space="preserve"> (redelijke huurprijs) wordt besproken in punt 3, </w:t>
          </w:r>
          <w:r>
            <w:t>de tweede pijler</w:t>
          </w:r>
          <w:r w:rsidR="000343E2">
            <w:t xml:space="preserve"> (voldoende</w:t>
          </w:r>
          <w:r w:rsidR="00FA2ACF">
            <w:t xml:space="preserve"> betaalbare huurwoningen</w:t>
          </w:r>
          <w:r w:rsidR="000343E2">
            <w:t xml:space="preserve">) in punt </w:t>
          </w:r>
          <w:r w:rsidR="006D3D66">
            <w:t>4</w:t>
          </w:r>
          <w:r w:rsidR="00FA2ACF">
            <w:t xml:space="preserve"> </w:t>
          </w:r>
          <w:r w:rsidR="00A13356">
            <w:t xml:space="preserve">en </w:t>
          </w:r>
          <w:r>
            <w:t>de derde pijler</w:t>
          </w:r>
          <w:r w:rsidR="00C82268">
            <w:t xml:space="preserve"> (</w:t>
          </w:r>
          <w:r w:rsidR="00FA2ACF">
            <w:t>investeringsbereidheid van verhuurders en investeerders</w:t>
          </w:r>
          <w:r w:rsidR="00606805">
            <w:t>)</w:t>
          </w:r>
          <w:r w:rsidR="00FA2ACF">
            <w:t xml:space="preserve"> in </w:t>
          </w:r>
          <w:r w:rsidR="009B2DD8">
            <w:t xml:space="preserve">punt </w:t>
          </w:r>
          <w:r w:rsidR="006D3D66">
            <w:t>5</w:t>
          </w:r>
          <w:r w:rsidR="009B2DD8">
            <w:t>.</w:t>
          </w:r>
          <w:r w:rsidR="00EE3DAF">
            <w:t xml:space="preserve"> </w:t>
          </w:r>
          <w:r w:rsidR="00606805">
            <w:t>De vierde pijler, verduurzaming van huurwoningen, zal worden geregeld in een apart besluit.</w:t>
          </w:r>
          <w:r w:rsidR="00606805">
            <w:rPr>
              <w:rStyle w:val="Voetnootmarkering"/>
            </w:rPr>
            <w:footnoteReference w:id="6"/>
          </w:r>
          <w:r w:rsidR="00606805">
            <w:t xml:space="preserve"> Nu het wetsvoorstel daarover geen voorschriften bevat, blijft </w:t>
          </w:r>
          <w:r w:rsidR="00AF3A34">
            <w:t>deze</w:t>
          </w:r>
          <w:r w:rsidR="00606805">
            <w:t xml:space="preserve"> pijler </w:t>
          </w:r>
          <w:r w:rsidR="00AF3A34">
            <w:t>hier buiten beschouwing</w:t>
          </w:r>
          <w:r w:rsidR="00606805">
            <w:t xml:space="preserve">. </w:t>
          </w:r>
          <w:r w:rsidR="009766D8">
            <w:t xml:space="preserve">In punt 6 gaat de </w:t>
          </w:r>
          <w:r w:rsidR="000A0759">
            <w:t>Afdeling</w:t>
          </w:r>
          <w:r w:rsidR="009766D8">
            <w:t xml:space="preserve"> in op de verhouding van het </w:t>
          </w:r>
          <w:r w:rsidR="000A0759">
            <w:t>wetsvoorstel</w:t>
          </w:r>
          <w:r w:rsidR="009766D8">
            <w:t xml:space="preserve"> tot hoger recht, in het bijzonder het recht op eigendom</w:t>
          </w:r>
          <w:r w:rsidR="0089710F">
            <w:t xml:space="preserve"> en</w:t>
          </w:r>
          <w:r w:rsidR="002522FA">
            <w:t xml:space="preserve"> </w:t>
          </w:r>
          <w:r w:rsidR="009766D8">
            <w:t>de verhouding tot het Unierecht</w:t>
          </w:r>
          <w:r w:rsidR="000A0759">
            <w:t>.</w:t>
          </w:r>
          <w:r w:rsidR="00C1079A">
            <w:t xml:space="preserve"> Punt 7 bevat een afrondende conclusie. </w:t>
          </w:r>
        </w:p>
        <w:p w:rsidR="004345EF" w:rsidRDefault="004345EF" w14:paraId="759505A5" w14:textId="4644627F"/>
        <w:p w:rsidR="00885920" w:rsidP="00EA6241" w:rsidRDefault="005E2A22" w14:paraId="24A734B4" w14:textId="62130513">
          <w:r>
            <w:t>2</w:t>
          </w:r>
          <w:r w:rsidR="006F6B1A">
            <w:t>.</w:t>
          </w:r>
          <w:r w:rsidR="006F6B1A">
            <w:tab/>
          </w:r>
          <w:r w:rsidRPr="002975B9" w:rsidR="002E64FB">
            <w:rPr>
              <w:u w:val="single"/>
            </w:rPr>
            <w:t>Achtergrond</w:t>
          </w:r>
        </w:p>
        <w:p w:rsidR="00CC4686" w:rsidP="00CA01F1" w:rsidRDefault="00CC4686" w14:paraId="556A1C6C" w14:textId="77777777">
          <w:pPr>
            <w:keepNext/>
            <w:keepLines/>
          </w:pPr>
        </w:p>
        <w:p w:rsidR="000C2B89" w:rsidP="000C2B89" w:rsidRDefault="000C2B89" w14:paraId="652AE393" w14:textId="1AE1F979">
          <w:r>
            <w:t xml:space="preserve">De overheid </w:t>
          </w:r>
          <w:r w:rsidR="00A76BCC">
            <w:t>heeft</w:t>
          </w:r>
          <w:r>
            <w:t xml:space="preserve"> een actieve rol </w:t>
          </w:r>
          <w:r w:rsidR="00A76BCC">
            <w:t>ten aanzien van</w:t>
          </w:r>
          <w:r>
            <w:t xml:space="preserve"> de woningmarkt</w:t>
          </w:r>
          <w:r w:rsidR="00300B5F">
            <w:t>. Deze rol</w:t>
          </w:r>
          <w:r>
            <w:t xml:space="preserve"> vloeit ook voort uit de grond</w:t>
          </w:r>
          <w:r w:rsidR="00C67347">
            <w:t>recht</w:t>
          </w:r>
          <w:r w:rsidR="00B4017A">
            <w:t>elijke</w:t>
          </w:r>
          <w:r>
            <w:t xml:space="preserve"> zorgplicht om te voorzien in voldoende woongelegenheid en uit de sociale grondrechten die in verdragen zijn opgenomen.</w:t>
          </w:r>
          <w:r>
            <w:rPr>
              <w:rStyle w:val="Voetnootmarkering"/>
            </w:rPr>
            <w:footnoteReference w:id="7"/>
          </w:r>
          <w:r>
            <w:t xml:space="preserve"> </w:t>
          </w:r>
          <w:r w:rsidR="007B76DF">
            <w:t>Tot de</w:t>
          </w:r>
          <w:r w:rsidR="00AD2574">
            <w:t xml:space="preserve"> afgelopen jaren </w:t>
          </w:r>
          <w:r w:rsidR="007B76DF">
            <w:t>heeft de overheid</w:t>
          </w:r>
          <w:r w:rsidR="00AD2574">
            <w:t xml:space="preserve"> </w:t>
          </w:r>
          <w:r w:rsidR="00404B6C">
            <w:t xml:space="preserve">zich </w:t>
          </w:r>
          <w:r>
            <w:t xml:space="preserve">in het bijzonder </w:t>
          </w:r>
          <w:r w:rsidR="007B76DF">
            <w:t>gericht op</w:t>
          </w:r>
          <w:r>
            <w:t xml:space="preserve"> </w:t>
          </w:r>
          <w:r w:rsidR="00A71A05">
            <w:t xml:space="preserve">de </w:t>
          </w:r>
          <w:r>
            <w:t>sociale huur</w:t>
          </w:r>
          <w:r w:rsidR="00D74432">
            <w:t>sector</w:t>
          </w:r>
          <w:r>
            <w:t xml:space="preserve"> en </w:t>
          </w:r>
          <w:r w:rsidR="0003424A">
            <w:t>het eigenwoningbezit (</w:t>
          </w:r>
          <w:r>
            <w:t>koop</w:t>
          </w:r>
          <w:r w:rsidR="0003424A">
            <w:t>sector)</w:t>
          </w:r>
          <w:r>
            <w:t>. Dit wetsvoorstel richt zich op het derde segment</w:t>
          </w:r>
          <w:r w:rsidR="005D6313">
            <w:t>,</w:t>
          </w:r>
          <w:r>
            <w:t xml:space="preserve"> de vrije huursector, waar regulering tot op heden beperkt is gebleven. </w:t>
          </w:r>
        </w:p>
        <w:p w:rsidR="000C2B89" w:rsidP="000C2B89" w:rsidRDefault="000C2B89" w14:paraId="443D3C50" w14:textId="77777777"/>
        <w:p w:rsidR="0022081F" w:rsidP="0022081F" w:rsidRDefault="00D13304" w14:paraId="4163462D" w14:textId="0EB696C7">
          <w:r>
            <w:t xml:space="preserve">Zoals de Afdeling </w:t>
          </w:r>
          <w:r w:rsidR="00547D70">
            <w:t>eerder</w:t>
          </w:r>
          <w:r>
            <w:t xml:space="preserve"> heeft </w:t>
          </w:r>
          <w:r w:rsidR="006A2396">
            <w:t>opgemerkt</w:t>
          </w:r>
          <w:r>
            <w:t>,</w:t>
          </w:r>
          <w:r w:rsidR="0025080C">
            <w:rPr>
              <w:rStyle w:val="Voetnootmarkering"/>
            </w:rPr>
            <w:footnoteReference w:id="8"/>
          </w:r>
          <w:r>
            <w:t xml:space="preserve"> zijn de problemen op de Nederlandse woningmarkt</w:t>
          </w:r>
          <w:r w:rsidR="00251A70">
            <w:t xml:space="preserve"> </w:t>
          </w:r>
          <w:r>
            <w:t>complex</w:t>
          </w:r>
          <w:r w:rsidR="00551E1F">
            <w:t xml:space="preserve"> en</w:t>
          </w:r>
          <w:r>
            <w:t xml:space="preserve"> onderling verweven. Om</w:t>
          </w:r>
          <w:r w:rsidR="0042512B">
            <w:t xml:space="preserve"> een </w:t>
          </w:r>
          <w:r>
            <w:t xml:space="preserve">interventie zinvol te laten </w:t>
          </w:r>
          <w:r>
            <w:lastRenderedPageBreak/>
            <w:t xml:space="preserve">zijn, is een analyse van deze problemen </w:t>
          </w:r>
          <w:r w:rsidR="005D0CC2">
            <w:t>in hun onderlinge samenhang</w:t>
          </w:r>
          <w:r w:rsidR="009E4A45">
            <w:t xml:space="preserve"> noodzakelijk</w:t>
          </w:r>
          <w:r>
            <w:t>. Hierbij moet worden bezien wat de aard is van het probleem dat moet worden aangepakt, welke oorzaken daaraan ten grondslag liggen en welke (neven)effecten van voorgenomen</w:t>
          </w:r>
          <w:r w:rsidR="00C47A85">
            <w:t xml:space="preserve"> </w:t>
          </w:r>
          <w:r>
            <w:t>wetgeving en beleid te verwachten zijn, op korte en lange termijn.</w:t>
          </w:r>
        </w:p>
        <w:p w:rsidR="0022081F" w:rsidP="0022081F" w:rsidRDefault="0022081F" w14:paraId="5DB3FA7F" w14:textId="77777777"/>
        <w:p w:rsidR="000978A1" w:rsidRDefault="00923174" w14:paraId="290A1287" w14:textId="79FBD1CF">
          <w:r>
            <w:t xml:space="preserve">De Afdeling </w:t>
          </w:r>
          <w:r w:rsidR="0031322A">
            <w:t>merkt op dat</w:t>
          </w:r>
          <w:r>
            <w:t xml:space="preserve"> het </w:t>
          </w:r>
          <w:r w:rsidR="004C1194">
            <w:t>voor de beoordeling van de effectiviteit, geschiktheid en noodzakelijkheid van het voorstel</w:t>
          </w:r>
          <w:r>
            <w:t xml:space="preserve"> </w:t>
          </w:r>
          <w:r w:rsidR="00FF194F">
            <w:t xml:space="preserve">van belang </w:t>
          </w:r>
          <w:r w:rsidR="0031322A">
            <w:t xml:space="preserve">is </w:t>
          </w:r>
          <w:r>
            <w:t xml:space="preserve">om </w:t>
          </w:r>
          <w:r w:rsidR="001C71C6">
            <w:t>de</w:t>
          </w:r>
          <w:r w:rsidR="00FF194F">
            <w:t xml:space="preserve"> </w:t>
          </w:r>
          <w:r w:rsidR="00C43483">
            <w:t xml:space="preserve">achtergrond </w:t>
          </w:r>
          <w:r w:rsidR="00C47215">
            <w:t xml:space="preserve">te schetsen </w:t>
          </w:r>
          <w:r w:rsidR="00FF194F">
            <w:t xml:space="preserve">waar dit </w:t>
          </w:r>
          <w:r w:rsidR="00CC454C">
            <w:t xml:space="preserve">voorstel </w:t>
          </w:r>
          <w:r w:rsidR="00FF194F">
            <w:t>op ingrijpt</w:t>
          </w:r>
          <w:r w:rsidR="005A6EB8">
            <w:t xml:space="preserve">. </w:t>
          </w:r>
          <w:r w:rsidR="00DF5601">
            <w:t xml:space="preserve">Zij beperkt zich </w:t>
          </w:r>
          <w:r w:rsidR="00A14343">
            <w:t>hier</w:t>
          </w:r>
          <w:r w:rsidR="35333748">
            <w:t>bij</w:t>
          </w:r>
          <w:r w:rsidR="00DF5601">
            <w:t xml:space="preserve"> tot </w:t>
          </w:r>
          <w:r w:rsidR="00C15F4A">
            <w:t>enkele</w:t>
          </w:r>
          <w:r w:rsidR="00DF5601">
            <w:t xml:space="preserve"> hoofdlijnen </w:t>
          </w:r>
          <w:r w:rsidR="001E3FD3">
            <w:t xml:space="preserve">die </w:t>
          </w:r>
          <w:r w:rsidR="00D61D84">
            <w:t>relevant</w:t>
          </w:r>
          <w:r w:rsidR="001E3FD3">
            <w:t xml:space="preserve"> zijn voor </w:t>
          </w:r>
          <w:r w:rsidR="00D61D84">
            <w:t>de beoordeling van het wetsvoorstel.</w:t>
          </w:r>
        </w:p>
        <w:p w:rsidR="00347D23" w:rsidRDefault="00347D23" w14:paraId="73CB2B4E" w14:textId="77777777"/>
        <w:p w:rsidRPr="0047777E" w:rsidR="00641623" w:rsidP="00AB4908" w:rsidRDefault="009D5638" w14:paraId="69E26865" w14:textId="78F0A686">
          <w:pPr>
            <w:rPr>
              <w:i/>
              <w:iCs/>
            </w:rPr>
          </w:pPr>
          <w:r>
            <w:t>a</w:t>
          </w:r>
          <w:r w:rsidR="00663BE3">
            <w:t>.</w:t>
          </w:r>
          <w:r w:rsidR="00663BE3">
            <w:tab/>
          </w:r>
          <w:r w:rsidRPr="009D5638" w:rsidR="0047582F">
            <w:rPr>
              <w:i/>
              <w:iCs/>
            </w:rPr>
            <w:t>Woningvoorraad</w:t>
          </w:r>
        </w:p>
        <w:p w:rsidR="0047582F" w:rsidRDefault="00A40B94" w14:paraId="08253D07" w14:textId="1D0DD502">
          <w:r>
            <w:t xml:space="preserve">De </w:t>
          </w:r>
          <w:r w:rsidR="00942274">
            <w:t>woningvoorraad</w:t>
          </w:r>
          <w:r w:rsidR="00347D23">
            <w:t xml:space="preserve"> </w:t>
          </w:r>
          <w:r w:rsidR="009C782E">
            <w:t>in</w:t>
          </w:r>
          <w:r w:rsidR="00347D23">
            <w:t xml:space="preserve"> Nederland</w:t>
          </w:r>
          <w:r w:rsidR="0047582F">
            <w:t xml:space="preserve"> </w:t>
          </w:r>
          <w:r w:rsidR="00942274">
            <w:t xml:space="preserve">bestaat voor </w:t>
          </w:r>
          <w:r w:rsidR="00E710B2">
            <w:t xml:space="preserve">zestig procent </w:t>
          </w:r>
          <w:r w:rsidR="00942274">
            <w:t xml:space="preserve">uit koopwoningen en voor </w:t>
          </w:r>
          <w:r w:rsidR="006A29A4">
            <w:t xml:space="preserve">tweeëndertig procent </w:t>
          </w:r>
          <w:r w:rsidR="00942274">
            <w:t>uit social</w:t>
          </w:r>
          <w:r w:rsidR="009B26AE">
            <w:t>e</w:t>
          </w:r>
          <w:r w:rsidR="00942274">
            <w:t xml:space="preserve"> huurwoningen</w:t>
          </w:r>
          <w:r w:rsidR="009B26AE">
            <w:t>.</w:t>
          </w:r>
          <w:r w:rsidR="00E71951">
            <w:t xml:space="preserve"> </w:t>
          </w:r>
          <w:r w:rsidR="009B26AE">
            <w:t>A</w:t>
          </w:r>
          <w:r w:rsidR="00E71951">
            <w:t xml:space="preserve">cht procent </w:t>
          </w:r>
          <w:r w:rsidR="00331F13">
            <w:t>betreft</w:t>
          </w:r>
          <w:r w:rsidR="005307A1">
            <w:t xml:space="preserve"> huurwoning</w:t>
          </w:r>
          <w:r w:rsidR="00331F13">
            <w:t>en</w:t>
          </w:r>
          <w:r w:rsidR="005307A1">
            <w:t xml:space="preserve"> in het vrije segment. Internationaal gezien beschikt Nederland over een grote </w:t>
          </w:r>
          <w:r w:rsidR="00D451B0">
            <w:t>sociale huursector</w:t>
          </w:r>
          <w:r w:rsidR="0028116D">
            <w:t xml:space="preserve"> </w:t>
          </w:r>
          <w:r w:rsidR="00235BAB">
            <w:t>en een kleine vrije huursector</w:t>
          </w:r>
          <w:r w:rsidR="0028116D">
            <w:t>.</w:t>
          </w:r>
          <w:r w:rsidR="00434140">
            <w:rPr>
              <w:rStyle w:val="Voetnootmarkering"/>
            </w:rPr>
            <w:footnoteReference w:id="9"/>
          </w:r>
        </w:p>
        <w:p w:rsidR="0028116D" w:rsidRDefault="0028116D" w14:paraId="1467508F" w14:textId="77777777"/>
        <w:p w:rsidR="0001079F" w:rsidP="001F7A9A" w:rsidRDefault="0028116D" w14:paraId="25DEF2AF" w14:textId="72A8385C">
          <w:pPr>
            <w:keepNext/>
            <w:keepLines/>
          </w:pPr>
          <w:r w:rsidRPr="004E3172">
            <w:rPr>
              <w:b/>
              <w:bCs/>
              <w:sz w:val="18"/>
              <w:szCs w:val="20"/>
            </w:rPr>
            <w:t>Figuur</w:t>
          </w:r>
          <w:r w:rsidRPr="004E3172" w:rsidR="00C241E2">
            <w:rPr>
              <w:b/>
              <w:bCs/>
              <w:sz w:val="18"/>
              <w:szCs w:val="20"/>
            </w:rPr>
            <w:t xml:space="preserve"> 1.</w:t>
          </w:r>
          <w:r w:rsidRPr="004E3172">
            <w:rPr>
              <w:b/>
              <w:bCs/>
              <w:sz w:val="18"/>
              <w:szCs w:val="20"/>
            </w:rPr>
            <w:t xml:space="preserve"> </w:t>
          </w:r>
          <w:r w:rsidRPr="004E3172" w:rsidR="00AB4908">
            <w:rPr>
              <w:b/>
              <w:bCs/>
              <w:sz w:val="18"/>
              <w:szCs w:val="20"/>
            </w:rPr>
            <w:t>Woningvoorraad</w:t>
          </w:r>
          <w:r w:rsidR="00331F13">
            <w:rPr>
              <w:rStyle w:val="Voetnootmarkering"/>
            </w:rPr>
            <w:footnoteReference w:id="10"/>
          </w:r>
        </w:p>
        <w:p w:rsidR="0001079F" w:rsidRDefault="009201D5" w14:paraId="200FA535" w14:textId="7D1EB2C7">
          <w:r>
            <w:rPr>
              <w:noProof/>
            </w:rPr>
            <w:drawing>
              <wp:inline distT="0" distB="0" distL="0" distR="0" wp14:anchorId="2DAFAD23" wp14:editId="3870E8F1">
                <wp:extent cx="3060700" cy="162560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3174887" cy="1686247"/>
                        </a:xfrm>
                        <a:prstGeom prst="rect">
                          <a:avLst/>
                        </a:prstGeom>
                      </pic:spPr>
                    </pic:pic>
                  </a:graphicData>
                </a:graphic>
              </wp:inline>
            </w:drawing>
          </w:r>
        </w:p>
        <w:p w:rsidR="00AB4908" w:rsidRDefault="00AB4908" w14:paraId="111E61C5" w14:textId="77777777"/>
        <w:p w:rsidR="007C1F30" w:rsidRDefault="00DD4F71" w14:paraId="7C083534" w14:textId="26987528">
          <w:r>
            <w:t xml:space="preserve">Deze verdeling tussen de segmenten is niet altijd zo geweest en is </w:t>
          </w:r>
          <w:r w:rsidR="00F31B08">
            <w:t xml:space="preserve">mede </w:t>
          </w:r>
          <w:r>
            <w:t xml:space="preserve">het resultaat van </w:t>
          </w:r>
          <w:r w:rsidR="009F4ABD">
            <w:t>de</w:t>
          </w:r>
          <w:r w:rsidR="001376AC">
            <w:t xml:space="preserve"> </w:t>
          </w:r>
          <w:r w:rsidR="00F31B08">
            <w:t>overheids</w:t>
          </w:r>
          <w:r w:rsidR="001376AC">
            <w:t xml:space="preserve">stimulans </w:t>
          </w:r>
          <w:r w:rsidR="0082355C">
            <w:t>van</w:t>
          </w:r>
          <w:r w:rsidR="001376AC">
            <w:t xml:space="preserve"> het eigenwoningbezit</w:t>
          </w:r>
          <w:r w:rsidR="0041152A">
            <w:t>,</w:t>
          </w:r>
          <w:r w:rsidR="00BA2F50">
            <w:t xml:space="preserve"> </w:t>
          </w:r>
          <w:r w:rsidR="00196660">
            <w:t xml:space="preserve">onder meer </w:t>
          </w:r>
          <w:r w:rsidR="0041152A">
            <w:t xml:space="preserve">via </w:t>
          </w:r>
          <w:r w:rsidR="00BA2F50">
            <w:t>de hypotheekrente</w:t>
          </w:r>
          <w:r w:rsidR="009430B6">
            <w:t xml:space="preserve">aftrek. De sociale sector is </w:t>
          </w:r>
          <w:r w:rsidR="00B92A89">
            <w:t>hoofdzakelijk</w:t>
          </w:r>
          <w:r w:rsidR="009430B6">
            <w:t xml:space="preserve"> </w:t>
          </w:r>
          <w:r w:rsidR="004E287D">
            <w:t xml:space="preserve">bestemd </w:t>
          </w:r>
          <w:r w:rsidR="009430B6">
            <w:t>voor</w:t>
          </w:r>
          <w:r w:rsidR="00B92A89">
            <w:t xml:space="preserve"> </w:t>
          </w:r>
          <w:r w:rsidR="009430B6">
            <w:t xml:space="preserve">huishoudens </w:t>
          </w:r>
          <w:r w:rsidR="00B92A89">
            <w:t xml:space="preserve">met lagere inkomens, </w:t>
          </w:r>
          <w:r w:rsidR="009430B6">
            <w:t xml:space="preserve">en wordt </w:t>
          </w:r>
          <w:r w:rsidR="00E763C4">
            <w:t xml:space="preserve">van overheidswege </w:t>
          </w:r>
          <w:r w:rsidR="009430B6">
            <w:t xml:space="preserve">gefaciliteerd door </w:t>
          </w:r>
          <w:r w:rsidR="002E5F3B">
            <w:lastRenderedPageBreak/>
            <w:t xml:space="preserve">huurtoeslagen en </w:t>
          </w:r>
          <w:r w:rsidR="002F7023">
            <w:t xml:space="preserve">niet-marktconforme </w:t>
          </w:r>
          <w:r w:rsidR="002E5F3B">
            <w:t xml:space="preserve">huren. Voor </w:t>
          </w:r>
          <w:r w:rsidR="006D5568">
            <w:t>woning</w:t>
          </w:r>
          <w:r w:rsidR="002E5F3B">
            <w:t xml:space="preserve">corporaties gelden </w:t>
          </w:r>
          <w:r w:rsidR="006A549D">
            <w:t>daarnaast</w:t>
          </w:r>
          <w:r w:rsidR="002E5F3B">
            <w:t xml:space="preserve"> voordelen zoals de geborgde leningen</w:t>
          </w:r>
          <w:r w:rsidR="00580D8B">
            <w:t xml:space="preserve"> (alleen voor </w:t>
          </w:r>
          <w:r w:rsidR="0049794B">
            <w:t>sociale huur)</w:t>
          </w:r>
          <w:r w:rsidR="00776F26">
            <w:t xml:space="preserve">, waardoor zij </w:t>
          </w:r>
          <w:r w:rsidR="003C12E2">
            <w:t xml:space="preserve">minder risico lopen en </w:t>
          </w:r>
          <w:r w:rsidR="00776F26">
            <w:t xml:space="preserve">tegen een </w:t>
          </w:r>
          <w:r w:rsidR="005C656E">
            <w:t>relatief lage</w:t>
          </w:r>
          <w:r w:rsidR="00776F26">
            <w:t xml:space="preserve"> rente</w:t>
          </w:r>
          <w:r w:rsidR="00520914">
            <w:t xml:space="preserve"> </w:t>
          </w:r>
          <w:r w:rsidR="00776F26">
            <w:t>vermogen kunne</w:t>
          </w:r>
          <w:r w:rsidR="00BB626A">
            <w:t>n</w:t>
          </w:r>
          <w:r w:rsidR="00776F26">
            <w:t xml:space="preserve"> aantrekken.</w:t>
          </w:r>
          <w:r w:rsidR="005F12B6">
            <w:t xml:space="preserve"> </w:t>
          </w:r>
          <w:r w:rsidR="0085440E">
            <w:t xml:space="preserve">Deze steun is bedoeld </w:t>
          </w:r>
          <w:r w:rsidR="002E4751">
            <w:t>om</w:t>
          </w:r>
          <w:r w:rsidR="0085440E">
            <w:t xml:space="preserve"> kwetsbare groepen op de woningmarkt, zoals urgent</w:t>
          </w:r>
          <w:r w:rsidR="00C31EF8">
            <w:t xml:space="preserve"> woningzoekenden en statushouder</w:t>
          </w:r>
          <w:r w:rsidR="002E4751">
            <w:t>s</w:t>
          </w:r>
          <w:r w:rsidR="00C31EF8">
            <w:t xml:space="preserve">, te helpen met </w:t>
          </w:r>
          <w:r w:rsidR="002E4751">
            <w:t>hun</w:t>
          </w:r>
          <w:r w:rsidR="00C31EF8">
            <w:t xml:space="preserve"> huisvesting. Woningcorporaties hebben</w:t>
          </w:r>
          <w:r w:rsidR="00C059C6">
            <w:t xml:space="preserve">, in tegenstelling tot </w:t>
          </w:r>
          <w:r w:rsidR="000B5047">
            <w:t xml:space="preserve">commerciële </w:t>
          </w:r>
          <w:r w:rsidR="00C059C6">
            <w:t>partijen,</w:t>
          </w:r>
          <w:r w:rsidR="00C31EF8">
            <w:t xml:space="preserve"> in dit verband een aantal plichten</w:t>
          </w:r>
          <w:r w:rsidR="0073725B">
            <w:t xml:space="preserve"> die</w:t>
          </w:r>
          <w:r w:rsidR="00C059C6">
            <w:t xml:space="preserve"> onder meer gericht</w:t>
          </w:r>
          <w:r w:rsidR="0073725B">
            <w:t xml:space="preserve"> zijn</w:t>
          </w:r>
          <w:r w:rsidR="00C059C6">
            <w:t xml:space="preserve"> op het behoud van </w:t>
          </w:r>
          <w:r w:rsidR="00C31EF8">
            <w:t xml:space="preserve">een deel van hun </w:t>
          </w:r>
          <w:r w:rsidR="00C059C6">
            <w:t>woningen voor de doelgroep.</w:t>
          </w:r>
        </w:p>
        <w:p w:rsidR="005F12B6" w:rsidRDefault="005F12B6" w14:paraId="3EE9BFB0" w14:textId="77777777"/>
        <w:p w:rsidR="00E34F30" w:rsidP="00072E42" w:rsidRDefault="009D5638" w14:paraId="61C18214" w14:textId="0739F371">
          <w:pPr>
            <w:keepNext/>
            <w:rPr>
              <w:u w:val="single"/>
            </w:rPr>
          </w:pPr>
          <w:r>
            <w:t>b</w:t>
          </w:r>
          <w:r w:rsidR="001D69D6">
            <w:t>.</w:t>
          </w:r>
          <w:r w:rsidR="001D69D6">
            <w:tab/>
          </w:r>
          <w:r w:rsidRPr="009D5638" w:rsidR="00C677E4">
            <w:rPr>
              <w:i/>
              <w:iCs/>
            </w:rPr>
            <w:t>Vrije huurs</w:t>
          </w:r>
          <w:r w:rsidRPr="009D5638" w:rsidR="007A6ED6">
            <w:rPr>
              <w:i/>
              <w:iCs/>
            </w:rPr>
            <w:t>ector</w:t>
          </w:r>
        </w:p>
        <w:p w:rsidR="00FD34C0" w:rsidRDefault="007A6ED6" w14:paraId="6FD808F7" w14:textId="348838E0">
          <w:r>
            <w:t xml:space="preserve">De vrije huursector </w:t>
          </w:r>
          <w:r w:rsidR="003D01B1">
            <w:t>beslaat</w:t>
          </w:r>
          <w:r>
            <w:t xml:space="preserve"> </w:t>
          </w:r>
          <w:r w:rsidR="00B57867">
            <w:t xml:space="preserve">met 648.000 woningen </w:t>
          </w:r>
          <w:r w:rsidR="00FD34C0">
            <w:t xml:space="preserve">weliswaar </w:t>
          </w:r>
          <w:r w:rsidR="00B7404B">
            <w:t xml:space="preserve">nog steeds </w:t>
          </w:r>
          <w:r w:rsidR="00FD34C0">
            <w:t xml:space="preserve">een klein </w:t>
          </w:r>
          <w:r w:rsidR="00E62E49">
            <w:t>percentage</w:t>
          </w:r>
          <w:r w:rsidR="00FD34C0">
            <w:t xml:space="preserve"> </w:t>
          </w:r>
          <w:r w:rsidR="003D01B1">
            <w:t>van</w:t>
          </w:r>
          <w:r w:rsidR="00FD34C0">
            <w:t xml:space="preserve"> de </w:t>
          </w:r>
          <w:r w:rsidR="00B7404B">
            <w:t xml:space="preserve">totale </w:t>
          </w:r>
          <w:r w:rsidR="00FD34C0">
            <w:t xml:space="preserve">woningvoorraad, maar is de laatste jaren wel </w:t>
          </w:r>
          <w:r w:rsidR="0089378C">
            <w:t xml:space="preserve">sterk </w:t>
          </w:r>
          <w:r w:rsidR="00FD34C0">
            <w:t xml:space="preserve">gegroeid. </w:t>
          </w:r>
          <w:r w:rsidR="00F62B41">
            <w:t>Dit komt v</w:t>
          </w:r>
          <w:r w:rsidR="00FD34C0">
            <w:t xml:space="preserve">ooral </w:t>
          </w:r>
          <w:r w:rsidR="00082817">
            <w:t xml:space="preserve">door </w:t>
          </w:r>
          <w:r w:rsidR="00F62B41">
            <w:t>een groeiend aanbod van</w:t>
          </w:r>
          <w:r w:rsidR="00082817">
            <w:t xml:space="preserve"> duurdere huurwoningen.</w:t>
          </w:r>
        </w:p>
        <w:p w:rsidR="000D63C7" w:rsidRDefault="000D63C7" w14:paraId="3C368303" w14:textId="77777777"/>
        <w:p w:rsidRPr="00E20BB5" w:rsidR="000D63C7" w:rsidP="00A43A63" w:rsidRDefault="00523CD2" w14:paraId="60B5948A" w14:textId="6DF404F4">
          <w:pPr>
            <w:keepNext/>
            <w:keepLines/>
          </w:pPr>
          <w:r w:rsidRPr="004E3172">
            <w:rPr>
              <w:b/>
              <w:bCs/>
              <w:sz w:val="18"/>
              <w:szCs w:val="20"/>
            </w:rPr>
            <w:t xml:space="preserve">Figuur 2. </w:t>
          </w:r>
          <w:r w:rsidRPr="004E3172" w:rsidR="00E20BB5">
            <w:rPr>
              <w:b/>
              <w:bCs/>
              <w:sz w:val="18"/>
              <w:szCs w:val="20"/>
            </w:rPr>
            <w:t>Omvang vrije huursector 2015-2021</w:t>
          </w:r>
          <w:r w:rsidR="00E20BB5">
            <w:rPr>
              <w:rStyle w:val="Voetnootmarkering"/>
              <w:b/>
              <w:bCs/>
              <w:sz w:val="20"/>
              <w:szCs w:val="22"/>
            </w:rPr>
            <w:footnoteReference w:id="11"/>
          </w:r>
        </w:p>
        <w:tbl>
          <w:tblPr>
            <w:tblStyle w:val="Tabelraster"/>
            <w:tblW w:w="8493" w:type="dxa"/>
            <w:tblLook w:val="04A0" w:firstRow="1" w:lastRow="0" w:firstColumn="1" w:lastColumn="0" w:noHBand="0" w:noVBand="1"/>
          </w:tblPr>
          <w:tblGrid>
            <w:gridCol w:w="2303"/>
            <w:gridCol w:w="1547"/>
            <w:gridCol w:w="1548"/>
            <w:gridCol w:w="1547"/>
            <w:gridCol w:w="1548"/>
          </w:tblGrid>
          <w:tr w:rsidRPr="00E710B2" w:rsidR="00DD0DAB" w:rsidTr="00DD0DAB" w14:paraId="7A2D0B3C" w14:textId="6C990462">
            <w:tc>
              <w:tcPr>
                <w:tcW w:w="2303" w:type="dxa"/>
              </w:tcPr>
              <w:p w:rsidRPr="00E710B2" w:rsidR="00DD0DAB" w:rsidRDefault="00DD0DAB" w14:paraId="6FEDE96F" w14:textId="77777777">
                <w:pPr>
                  <w:rPr>
                    <w:sz w:val="18"/>
                    <w:szCs w:val="18"/>
                  </w:rPr>
                </w:pPr>
              </w:p>
            </w:tc>
            <w:tc>
              <w:tcPr>
                <w:tcW w:w="1547" w:type="dxa"/>
              </w:tcPr>
              <w:p w:rsidRPr="00E710B2" w:rsidR="00DD0DAB" w:rsidP="0097200A" w:rsidRDefault="00DD0DAB" w14:paraId="15214A87" w14:textId="08E38869">
                <w:pPr>
                  <w:jc w:val="center"/>
                  <w:rPr>
                    <w:sz w:val="18"/>
                    <w:szCs w:val="18"/>
                  </w:rPr>
                </w:pPr>
                <w:r w:rsidRPr="00E710B2">
                  <w:rPr>
                    <w:sz w:val="18"/>
                    <w:szCs w:val="18"/>
                  </w:rPr>
                  <w:t>2015</w:t>
                </w:r>
              </w:p>
            </w:tc>
            <w:tc>
              <w:tcPr>
                <w:tcW w:w="1548" w:type="dxa"/>
              </w:tcPr>
              <w:p w:rsidRPr="00E710B2" w:rsidR="00DD0DAB" w:rsidP="0097200A" w:rsidRDefault="00DD0DAB" w14:paraId="3934D29E" w14:textId="403CC685">
                <w:pPr>
                  <w:jc w:val="center"/>
                  <w:rPr>
                    <w:sz w:val="18"/>
                    <w:szCs w:val="18"/>
                  </w:rPr>
                </w:pPr>
                <w:r w:rsidRPr="00E710B2">
                  <w:rPr>
                    <w:sz w:val="18"/>
                    <w:szCs w:val="18"/>
                  </w:rPr>
                  <w:t>2018</w:t>
                </w:r>
              </w:p>
            </w:tc>
            <w:tc>
              <w:tcPr>
                <w:tcW w:w="1547" w:type="dxa"/>
              </w:tcPr>
              <w:p w:rsidRPr="00E710B2" w:rsidR="00DD0DAB" w:rsidP="0097200A" w:rsidRDefault="00DD0DAB" w14:paraId="3A80CC5E" w14:textId="76CA54A7">
                <w:pPr>
                  <w:jc w:val="center"/>
                  <w:rPr>
                    <w:sz w:val="18"/>
                    <w:szCs w:val="18"/>
                  </w:rPr>
                </w:pPr>
                <w:r w:rsidRPr="00E710B2">
                  <w:rPr>
                    <w:sz w:val="18"/>
                    <w:szCs w:val="18"/>
                  </w:rPr>
                  <w:t>2021</w:t>
                </w:r>
              </w:p>
            </w:tc>
            <w:tc>
              <w:tcPr>
                <w:tcW w:w="1548" w:type="dxa"/>
              </w:tcPr>
              <w:p w:rsidRPr="00E710B2" w:rsidR="00DD0DAB" w:rsidP="0097200A" w:rsidRDefault="006A0FAF" w14:paraId="454A072E" w14:textId="515631D6">
                <w:pPr>
                  <w:jc w:val="center"/>
                  <w:rPr>
                    <w:sz w:val="18"/>
                    <w:szCs w:val="18"/>
                  </w:rPr>
                </w:pPr>
                <w:r w:rsidRPr="00E710B2">
                  <w:rPr>
                    <w:sz w:val="18"/>
                    <w:szCs w:val="18"/>
                  </w:rPr>
                  <w:t>2015-21</w:t>
                </w:r>
              </w:p>
            </w:tc>
          </w:tr>
          <w:tr w:rsidRPr="00E710B2" w:rsidR="00DD0DAB" w:rsidTr="00DD0DAB" w14:paraId="1CD53D2A" w14:textId="49C99B0F">
            <w:tc>
              <w:tcPr>
                <w:tcW w:w="2303" w:type="dxa"/>
              </w:tcPr>
              <w:p w:rsidRPr="00E710B2" w:rsidR="00DD0DAB" w:rsidRDefault="00DD0DAB" w14:paraId="2D14FBE0" w14:textId="5B602A1E">
                <w:pPr>
                  <w:rPr>
                    <w:sz w:val="18"/>
                    <w:szCs w:val="18"/>
                  </w:rPr>
                </w:pPr>
                <w:r w:rsidRPr="00E710B2">
                  <w:rPr>
                    <w:sz w:val="18"/>
                    <w:szCs w:val="18"/>
                  </w:rPr>
                  <w:t>Huur tot 1.000 €</w:t>
                </w:r>
              </w:p>
            </w:tc>
            <w:tc>
              <w:tcPr>
                <w:tcW w:w="1547" w:type="dxa"/>
              </w:tcPr>
              <w:p w:rsidRPr="00E710B2" w:rsidR="00DD0DAB" w:rsidP="0097200A" w:rsidRDefault="00DD0DAB" w14:paraId="190F9C9D" w14:textId="473FC586">
                <w:pPr>
                  <w:jc w:val="center"/>
                  <w:rPr>
                    <w:sz w:val="18"/>
                    <w:szCs w:val="18"/>
                  </w:rPr>
                </w:pPr>
                <w:r w:rsidRPr="00E710B2">
                  <w:rPr>
                    <w:sz w:val="18"/>
                    <w:szCs w:val="18"/>
                  </w:rPr>
                  <w:t>307.000</w:t>
                </w:r>
              </w:p>
            </w:tc>
            <w:tc>
              <w:tcPr>
                <w:tcW w:w="1548" w:type="dxa"/>
              </w:tcPr>
              <w:p w:rsidRPr="00E710B2" w:rsidR="00DD0DAB" w:rsidP="0097200A" w:rsidRDefault="00DD0DAB" w14:paraId="06F7FD85" w14:textId="777D7D1A">
                <w:pPr>
                  <w:jc w:val="center"/>
                  <w:rPr>
                    <w:sz w:val="18"/>
                    <w:szCs w:val="18"/>
                  </w:rPr>
                </w:pPr>
                <w:r w:rsidRPr="00E710B2">
                  <w:rPr>
                    <w:sz w:val="18"/>
                    <w:szCs w:val="18"/>
                  </w:rPr>
                  <w:t>350.000</w:t>
                </w:r>
              </w:p>
            </w:tc>
            <w:tc>
              <w:tcPr>
                <w:tcW w:w="1547" w:type="dxa"/>
              </w:tcPr>
              <w:p w:rsidRPr="00E710B2" w:rsidR="00DD0DAB" w:rsidP="0097200A" w:rsidRDefault="00DD0DAB" w14:paraId="72C5798E" w14:textId="1CA82E58">
                <w:pPr>
                  <w:jc w:val="center"/>
                  <w:rPr>
                    <w:sz w:val="18"/>
                    <w:szCs w:val="18"/>
                  </w:rPr>
                </w:pPr>
                <w:r w:rsidRPr="00E710B2">
                  <w:rPr>
                    <w:sz w:val="18"/>
                    <w:szCs w:val="18"/>
                  </w:rPr>
                  <w:t>392.000</w:t>
                </w:r>
              </w:p>
            </w:tc>
            <w:tc>
              <w:tcPr>
                <w:tcW w:w="1548" w:type="dxa"/>
              </w:tcPr>
              <w:p w:rsidRPr="00E710B2" w:rsidR="00DD0DAB" w:rsidP="0097200A" w:rsidRDefault="006A0FAF" w14:paraId="564E5D1F" w14:textId="6FFD805D">
                <w:pPr>
                  <w:jc w:val="center"/>
                  <w:rPr>
                    <w:sz w:val="18"/>
                    <w:szCs w:val="18"/>
                  </w:rPr>
                </w:pPr>
                <w:r w:rsidRPr="00E710B2">
                  <w:rPr>
                    <w:sz w:val="18"/>
                    <w:szCs w:val="18"/>
                  </w:rPr>
                  <w:t>+</w:t>
                </w:r>
                <w:r w:rsidRPr="00E710B2" w:rsidR="00600FF7">
                  <w:rPr>
                    <w:sz w:val="18"/>
                    <w:szCs w:val="18"/>
                  </w:rPr>
                  <w:t>28%</w:t>
                </w:r>
              </w:p>
            </w:tc>
          </w:tr>
          <w:tr w:rsidRPr="00E710B2" w:rsidR="00DD0DAB" w:rsidTr="00DD0DAB" w14:paraId="2CB4E28C" w14:textId="48C266D5">
            <w:tc>
              <w:tcPr>
                <w:tcW w:w="2303" w:type="dxa"/>
              </w:tcPr>
              <w:p w:rsidRPr="00E710B2" w:rsidR="00DD0DAB" w:rsidRDefault="00DD0DAB" w14:paraId="3B984269" w14:textId="0A229139">
                <w:pPr>
                  <w:rPr>
                    <w:sz w:val="18"/>
                    <w:szCs w:val="18"/>
                  </w:rPr>
                </w:pPr>
                <w:r w:rsidRPr="00E710B2">
                  <w:rPr>
                    <w:sz w:val="18"/>
                    <w:szCs w:val="18"/>
                  </w:rPr>
                  <w:t>Huur boven 1.000 €</w:t>
                </w:r>
              </w:p>
            </w:tc>
            <w:tc>
              <w:tcPr>
                <w:tcW w:w="1547" w:type="dxa"/>
              </w:tcPr>
              <w:p w:rsidRPr="00E710B2" w:rsidR="00DD0DAB" w:rsidP="0097200A" w:rsidRDefault="00DD0DAB" w14:paraId="5B387AED" w14:textId="0BDF97CA">
                <w:pPr>
                  <w:jc w:val="center"/>
                  <w:rPr>
                    <w:sz w:val="18"/>
                    <w:szCs w:val="18"/>
                  </w:rPr>
                </w:pPr>
                <w:r w:rsidRPr="00E710B2">
                  <w:rPr>
                    <w:sz w:val="18"/>
                    <w:szCs w:val="18"/>
                  </w:rPr>
                  <w:t>109.000</w:t>
                </w:r>
              </w:p>
            </w:tc>
            <w:tc>
              <w:tcPr>
                <w:tcW w:w="1548" w:type="dxa"/>
              </w:tcPr>
              <w:p w:rsidRPr="00E710B2" w:rsidR="00DD0DAB" w:rsidP="0097200A" w:rsidRDefault="00DD0DAB" w14:paraId="20D0CC90" w14:textId="1B848D26">
                <w:pPr>
                  <w:jc w:val="center"/>
                  <w:rPr>
                    <w:sz w:val="18"/>
                    <w:szCs w:val="18"/>
                  </w:rPr>
                </w:pPr>
                <w:r w:rsidRPr="00E710B2">
                  <w:rPr>
                    <w:sz w:val="18"/>
                    <w:szCs w:val="18"/>
                  </w:rPr>
                  <w:t>154.000</w:t>
                </w:r>
              </w:p>
            </w:tc>
            <w:tc>
              <w:tcPr>
                <w:tcW w:w="1547" w:type="dxa"/>
              </w:tcPr>
              <w:p w:rsidRPr="00E710B2" w:rsidR="00DD0DAB" w:rsidP="0097200A" w:rsidRDefault="00DD0DAB" w14:paraId="05446A76" w14:textId="52B1126E">
                <w:pPr>
                  <w:jc w:val="center"/>
                  <w:rPr>
                    <w:sz w:val="18"/>
                    <w:szCs w:val="18"/>
                  </w:rPr>
                </w:pPr>
                <w:r w:rsidRPr="00E710B2">
                  <w:rPr>
                    <w:sz w:val="18"/>
                    <w:szCs w:val="18"/>
                  </w:rPr>
                  <w:t>256.000</w:t>
                </w:r>
              </w:p>
            </w:tc>
            <w:tc>
              <w:tcPr>
                <w:tcW w:w="1548" w:type="dxa"/>
              </w:tcPr>
              <w:p w:rsidRPr="00E710B2" w:rsidR="00DD0DAB" w:rsidP="0097200A" w:rsidRDefault="00280AE3" w14:paraId="64EFDF21" w14:textId="24E3C9F1">
                <w:pPr>
                  <w:jc w:val="center"/>
                  <w:rPr>
                    <w:sz w:val="18"/>
                    <w:szCs w:val="18"/>
                  </w:rPr>
                </w:pPr>
                <w:r w:rsidRPr="00E710B2">
                  <w:rPr>
                    <w:sz w:val="18"/>
                    <w:szCs w:val="18"/>
                  </w:rPr>
                  <w:t>+</w:t>
                </w:r>
                <w:r w:rsidRPr="00E710B2" w:rsidR="001471C1">
                  <w:rPr>
                    <w:sz w:val="18"/>
                    <w:szCs w:val="18"/>
                  </w:rPr>
                  <w:t>135%</w:t>
                </w:r>
              </w:p>
            </w:tc>
          </w:tr>
          <w:tr w:rsidRPr="00E710B2" w:rsidR="00DD0DAB" w:rsidTr="00DD0DAB" w14:paraId="205EDB00" w14:textId="6F6DEBEE">
            <w:tc>
              <w:tcPr>
                <w:tcW w:w="2303" w:type="dxa"/>
              </w:tcPr>
              <w:p w:rsidRPr="00E710B2" w:rsidR="00DD0DAB" w:rsidRDefault="00DD0DAB" w14:paraId="707E2027" w14:textId="74615477">
                <w:pPr>
                  <w:rPr>
                    <w:sz w:val="18"/>
                    <w:szCs w:val="18"/>
                  </w:rPr>
                </w:pPr>
                <w:r w:rsidRPr="00E710B2">
                  <w:rPr>
                    <w:sz w:val="18"/>
                    <w:szCs w:val="18"/>
                  </w:rPr>
                  <w:t>Totaal vrije huursector</w:t>
                </w:r>
              </w:p>
            </w:tc>
            <w:tc>
              <w:tcPr>
                <w:tcW w:w="1547" w:type="dxa"/>
              </w:tcPr>
              <w:p w:rsidRPr="00E710B2" w:rsidR="00DD0DAB" w:rsidP="0097200A" w:rsidRDefault="00DD0DAB" w14:paraId="31A479B8" w14:textId="20014E53">
                <w:pPr>
                  <w:jc w:val="center"/>
                  <w:rPr>
                    <w:sz w:val="18"/>
                    <w:szCs w:val="18"/>
                  </w:rPr>
                </w:pPr>
                <w:r w:rsidRPr="00E710B2">
                  <w:rPr>
                    <w:sz w:val="18"/>
                    <w:szCs w:val="18"/>
                  </w:rPr>
                  <w:t>415.000</w:t>
                </w:r>
              </w:p>
            </w:tc>
            <w:tc>
              <w:tcPr>
                <w:tcW w:w="1548" w:type="dxa"/>
              </w:tcPr>
              <w:p w:rsidRPr="00E710B2" w:rsidR="00DD0DAB" w:rsidP="0097200A" w:rsidRDefault="00DD0DAB" w14:paraId="0DDE63EF" w14:textId="2E657042">
                <w:pPr>
                  <w:jc w:val="center"/>
                  <w:rPr>
                    <w:sz w:val="18"/>
                    <w:szCs w:val="18"/>
                  </w:rPr>
                </w:pPr>
                <w:r w:rsidRPr="00E710B2">
                  <w:rPr>
                    <w:sz w:val="18"/>
                    <w:szCs w:val="18"/>
                  </w:rPr>
                  <w:t>503.000</w:t>
                </w:r>
              </w:p>
            </w:tc>
            <w:tc>
              <w:tcPr>
                <w:tcW w:w="1547" w:type="dxa"/>
              </w:tcPr>
              <w:p w:rsidRPr="00E710B2" w:rsidR="00DD0DAB" w:rsidP="0097200A" w:rsidRDefault="00DD0DAB" w14:paraId="27AC845E" w14:textId="6EF42542">
                <w:pPr>
                  <w:jc w:val="center"/>
                  <w:rPr>
                    <w:sz w:val="18"/>
                    <w:szCs w:val="18"/>
                  </w:rPr>
                </w:pPr>
                <w:r w:rsidRPr="00E710B2">
                  <w:rPr>
                    <w:sz w:val="18"/>
                    <w:szCs w:val="18"/>
                  </w:rPr>
                  <w:t>648.000</w:t>
                </w:r>
              </w:p>
            </w:tc>
            <w:tc>
              <w:tcPr>
                <w:tcW w:w="1548" w:type="dxa"/>
              </w:tcPr>
              <w:p w:rsidRPr="00E710B2" w:rsidR="00DD0DAB" w:rsidP="0097200A" w:rsidRDefault="003B60FB" w14:paraId="67010B16" w14:textId="2CCEC74E">
                <w:pPr>
                  <w:jc w:val="center"/>
                  <w:rPr>
                    <w:sz w:val="18"/>
                    <w:szCs w:val="18"/>
                  </w:rPr>
                </w:pPr>
                <w:r w:rsidRPr="00E710B2">
                  <w:rPr>
                    <w:sz w:val="18"/>
                    <w:szCs w:val="18"/>
                  </w:rPr>
                  <w:t>+ 56%</w:t>
                </w:r>
              </w:p>
            </w:tc>
          </w:tr>
          <w:tr w:rsidRPr="00E710B2" w:rsidR="009D04FD" w:rsidTr="00DD0DAB" w14:paraId="7E1C4025" w14:textId="77777777">
            <w:tc>
              <w:tcPr>
                <w:tcW w:w="2303" w:type="dxa"/>
              </w:tcPr>
              <w:p w:rsidRPr="00E710B2" w:rsidR="009D04FD" w:rsidRDefault="0008192D" w14:paraId="7BDED394" w14:textId="0DC04FA1">
                <w:pPr>
                  <w:rPr>
                    <w:sz w:val="18"/>
                    <w:szCs w:val="18"/>
                  </w:rPr>
                </w:pPr>
                <w:r w:rsidRPr="00E710B2">
                  <w:rPr>
                    <w:sz w:val="18"/>
                    <w:szCs w:val="18"/>
                  </w:rPr>
                  <w:t xml:space="preserve">Aandeel </w:t>
                </w:r>
                <w:r w:rsidR="000248B4">
                  <w:rPr>
                    <w:sz w:val="18"/>
                    <w:szCs w:val="18"/>
                  </w:rPr>
                  <w:t xml:space="preserve">vrije huursector </w:t>
                </w:r>
                <w:r w:rsidRPr="00E710B2" w:rsidR="0009432B">
                  <w:rPr>
                    <w:sz w:val="18"/>
                    <w:szCs w:val="18"/>
                  </w:rPr>
                  <w:t>in totale woningvoorraad</w:t>
                </w:r>
              </w:p>
            </w:tc>
            <w:tc>
              <w:tcPr>
                <w:tcW w:w="1547" w:type="dxa"/>
              </w:tcPr>
              <w:p w:rsidRPr="00E710B2" w:rsidR="009D04FD" w:rsidP="0097200A" w:rsidRDefault="0009432B" w14:paraId="2E67BECA" w14:textId="2E616E41">
                <w:pPr>
                  <w:jc w:val="center"/>
                  <w:rPr>
                    <w:sz w:val="18"/>
                    <w:szCs w:val="18"/>
                  </w:rPr>
                </w:pPr>
                <w:r w:rsidRPr="00E710B2">
                  <w:rPr>
                    <w:sz w:val="18"/>
                    <w:szCs w:val="18"/>
                  </w:rPr>
                  <w:t>6%</w:t>
                </w:r>
              </w:p>
            </w:tc>
            <w:tc>
              <w:tcPr>
                <w:tcW w:w="1548" w:type="dxa"/>
              </w:tcPr>
              <w:p w:rsidRPr="00E710B2" w:rsidR="009D04FD" w:rsidP="0097200A" w:rsidRDefault="0009432B" w14:paraId="5D0F261F" w14:textId="48E8C686">
                <w:pPr>
                  <w:jc w:val="center"/>
                  <w:rPr>
                    <w:sz w:val="18"/>
                    <w:szCs w:val="18"/>
                  </w:rPr>
                </w:pPr>
                <w:r w:rsidRPr="00E710B2">
                  <w:rPr>
                    <w:sz w:val="18"/>
                    <w:szCs w:val="18"/>
                  </w:rPr>
                  <w:t>7%</w:t>
                </w:r>
              </w:p>
            </w:tc>
            <w:tc>
              <w:tcPr>
                <w:tcW w:w="1547" w:type="dxa"/>
              </w:tcPr>
              <w:p w:rsidRPr="00E710B2" w:rsidR="009D04FD" w:rsidP="0097200A" w:rsidRDefault="009D04FD" w14:paraId="29364BD4" w14:textId="36F9A4B3">
                <w:pPr>
                  <w:jc w:val="center"/>
                  <w:rPr>
                    <w:sz w:val="18"/>
                    <w:szCs w:val="18"/>
                  </w:rPr>
                </w:pPr>
                <w:r w:rsidRPr="00E710B2">
                  <w:rPr>
                    <w:sz w:val="18"/>
                    <w:szCs w:val="18"/>
                  </w:rPr>
                  <w:t>8%</w:t>
                </w:r>
              </w:p>
            </w:tc>
            <w:tc>
              <w:tcPr>
                <w:tcW w:w="1548" w:type="dxa"/>
              </w:tcPr>
              <w:p w:rsidRPr="00E710B2" w:rsidR="009D04FD" w:rsidP="0097200A" w:rsidRDefault="009D04FD" w14:paraId="2307D251" w14:textId="77777777">
                <w:pPr>
                  <w:jc w:val="center"/>
                  <w:rPr>
                    <w:sz w:val="18"/>
                    <w:szCs w:val="18"/>
                  </w:rPr>
                </w:pPr>
              </w:p>
            </w:tc>
          </w:tr>
        </w:tbl>
        <w:p w:rsidR="000D63C7" w:rsidRDefault="000D63C7" w14:paraId="6001E610" w14:textId="77777777"/>
        <w:p w:rsidR="006C10AC" w:rsidRDefault="00970EA2" w14:paraId="3551DA3E" w14:textId="39A518EE">
          <w:r>
            <w:t>De</w:t>
          </w:r>
          <w:r w:rsidR="008306FD">
            <w:t>ze</w:t>
          </w:r>
          <w:r>
            <w:t xml:space="preserve"> toename wordt vooral verklaard door de</w:t>
          </w:r>
          <w:r w:rsidR="003405C4">
            <w:t xml:space="preserve"> opkoop van woningen door </w:t>
          </w:r>
          <w:r w:rsidR="00077B03">
            <w:t xml:space="preserve">particuliere </w:t>
          </w:r>
          <w:r w:rsidR="003405C4">
            <w:t>investeerders die deze vervolgens verhuren (</w:t>
          </w:r>
          <w:r w:rsidR="005E0879">
            <w:t>ook wel</w:t>
          </w:r>
          <w:r w:rsidR="003405C4">
            <w:t xml:space="preserve"> ‘</w:t>
          </w:r>
          <w:proofErr w:type="spellStart"/>
          <w:r w:rsidR="003405C4">
            <w:t>buy</w:t>
          </w:r>
          <w:proofErr w:type="spellEnd"/>
          <w:r w:rsidR="003405C4">
            <w:t xml:space="preserve"> </w:t>
          </w:r>
          <w:proofErr w:type="spellStart"/>
          <w:r w:rsidR="003405C4">
            <w:t>to</w:t>
          </w:r>
          <w:proofErr w:type="spellEnd"/>
          <w:r w:rsidR="003405C4">
            <w:t xml:space="preserve"> let’)</w:t>
          </w:r>
          <w:r w:rsidR="00E16073">
            <w:t xml:space="preserve"> en door</w:t>
          </w:r>
          <w:r w:rsidR="006656A9">
            <w:t xml:space="preserve"> woningeigenaren die </w:t>
          </w:r>
          <w:r w:rsidR="007B42C5">
            <w:t xml:space="preserve">verhuizen en de woning die ze achterlaten verhuren (‘keep </w:t>
          </w:r>
          <w:proofErr w:type="spellStart"/>
          <w:r w:rsidR="007B42C5">
            <w:t>to</w:t>
          </w:r>
          <w:proofErr w:type="spellEnd"/>
          <w:r w:rsidR="007B42C5">
            <w:t xml:space="preserve"> let’)</w:t>
          </w:r>
          <w:r w:rsidR="003405C4">
            <w:t>.</w:t>
          </w:r>
          <w:r w:rsidR="008C7A25">
            <w:t xml:space="preserve"> </w:t>
          </w:r>
          <w:r w:rsidR="00DD6991">
            <w:t xml:space="preserve">Naast de lage rente hebben hierbij de fiscale regels </w:t>
          </w:r>
          <w:r w:rsidR="00735B73">
            <w:t xml:space="preserve">van de laatste jaren </w:t>
          </w:r>
          <w:r w:rsidR="00DD6991">
            <w:t>een rol gespeeld</w:t>
          </w:r>
          <w:r w:rsidR="00B466EC">
            <w:t>.</w:t>
          </w:r>
          <w:r w:rsidR="002B1928">
            <w:rPr>
              <w:rStyle w:val="Voetnootmarkering"/>
            </w:rPr>
            <w:footnoteReference w:id="12"/>
          </w:r>
          <w:r w:rsidR="004635CA">
            <w:t xml:space="preserve"> </w:t>
          </w:r>
          <w:r w:rsidR="00493333">
            <w:t>Vanwege</w:t>
          </w:r>
          <w:r w:rsidR="004635CA">
            <w:t xml:space="preserve"> de lage spaarrente en hoge belastingheffing daarover </w:t>
          </w:r>
          <w:r w:rsidR="009571B2">
            <w:t>aan de ene kant en de relatief h</w:t>
          </w:r>
          <w:r w:rsidR="004635CA">
            <w:t>oge rendementen op vastgoed</w:t>
          </w:r>
          <w:r w:rsidR="009571B2">
            <w:t xml:space="preserve"> in </w:t>
          </w:r>
          <w:r w:rsidR="00A4493A">
            <w:t xml:space="preserve">combinatie met een </w:t>
          </w:r>
          <w:r w:rsidR="004635CA">
            <w:t>lage belastingheffing</w:t>
          </w:r>
          <w:r w:rsidR="00A4493A">
            <w:t xml:space="preserve"> </w:t>
          </w:r>
          <w:r w:rsidR="00B419FD">
            <w:t xml:space="preserve">daarover </w:t>
          </w:r>
          <w:r w:rsidR="00A4493A">
            <w:t>aan de andere kant</w:t>
          </w:r>
          <w:r w:rsidR="004635CA">
            <w:t xml:space="preserve">, </w:t>
          </w:r>
          <w:r w:rsidR="000D66A9">
            <w:t xml:space="preserve">was het beleggen in </w:t>
          </w:r>
          <w:r w:rsidR="004635CA">
            <w:t xml:space="preserve">vastgoed </w:t>
          </w:r>
          <w:r w:rsidR="000D66A9">
            <w:t>aantrekkelijk</w:t>
          </w:r>
          <w:r w:rsidR="00BD2FE4">
            <w:t xml:space="preserve"> voor particuliere</w:t>
          </w:r>
          <w:r w:rsidR="009126CD">
            <w:t xml:space="preserve"> beleggers</w:t>
          </w:r>
          <w:r w:rsidR="004635CA">
            <w:t xml:space="preserve">. </w:t>
          </w:r>
          <w:r w:rsidR="00CE247F">
            <w:t xml:space="preserve">Daarnaast is de </w:t>
          </w:r>
          <w:r w:rsidR="00D21BB5">
            <w:t xml:space="preserve">groei te verklaren door nieuwbouw door (vooral) institutionele </w:t>
          </w:r>
          <w:r w:rsidR="0087080C">
            <w:t>beleggers</w:t>
          </w:r>
          <w:r w:rsidR="00D21BB5">
            <w:t>.</w:t>
          </w:r>
          <w:r w:rsidR="000A4372">
            <w:rPr>
              <w:rStyle w:val="Voetnootmarkering"/>
            </w:rPr>
            <w:footnoteReference w:id="13"/>
          </w:r>
          <w:r w:rsidR="00D21BB5">
            <w:t xml:space="preserve"> </w:t>
          </w:r>
          <w:r w:rsidR="000C16E4">
            <w:t>D</w:t>
          </w:r>
          <w:r w:rsidR="00E80BF2">
            <w:t>eze groei</w:t>
          </w:r>
          <w:r w:rsidR="000C16E4">
            <w:t xml:space="preserve"> deed zich vooral voor in de grote steden. </w:t>
          </w:r>
        </w:p>
        <w:p w:rsidR="006C10AC" w:rsidRDefault="006C10AC" w14:paraId="5AEB3313" w14:textId="77777777"/>
        <w:p w:rsidR="00082817" w:rsidRDefault="003F5A69" w14:paraId="6CCAB914" w14:textId="5704DF23">
          <w:r>
            <w:t xml:space="preserve">Inmiddels zijn diverse maatregelen genomen die </w:t>
          </w:r>
          <w:r w:rsidR="00355365">
            <w:t xml:space="preserve">dergelijke investeringen minder aantrekkelijk maken, zoals een verhoogde </w:t>
          </w:r>
          <w:r w:rsidR="005D3BEC">
            <w:t xml:space="preserve">overdrachtsbelasting voor investeerders </w:t>
          </w:r>
          <w:r w:rsidR="00107CC5">
            <w:t>(van 2% naar 10,4%)</w:t>
          </w:r>
          <w:r w:rsidR="004960D3">
            <w:t>,</w:t>
          </w:r>
          <w:r w:rsidR="00F40265">
            <w:t xml:space="preserve"> </w:t>
          </w:r>
          <w:r w:rsidR="005D3BEC">
            <w:t xml:space="preserve">de </w:t>
          </w:r>
          <w:r w:rsidR="003F51A9">
            <w:t xml:space="preserve">opkoopbescherming </w:t>
          </w:r>
          <w:r w:rsidR="004F3312">
            <w:t>en</w:t>
          </w:r>
          <w:r w:rsidR="003F51A9">
            <w:t xml:space="preserve"> </w:t>
          </w:r>
          <w:r w:rsidR="004960D3">
            <w:t>de</w:t>
          </w:r>
          <w:r w:rsidR="00B71ED9">
            <w:t xml:space="preserve"> </w:t>
          </w:r>
          <w:r w:rsidR="005D3BEC">
            <w:t xml:space="preserve">zelfbewoningsplicht die in een aantal </w:t>
          </w:r>
          <w:r w:rsidR="003F51A9">
            <w:t>gemeenten</w:t>
          </w:r>
          <w:r w:rsidR="005D3BEC">
            <w:t xml:space="preserve"> </w:t>
          </w:r>
          <w:r w:rsidR="00304752">
            <w:t xml:space="preserve">is </w:t>
          </w:r>
          <w:r w:rsidR="005D3BEC">
            <w:t>afgekondigd.</w:t>
          </w:r>
          <w:r w:rsidR="003237DF">
            <w:t xml:space="preserve"> In gebieden waar een </w:t>
          </w:r>
          <w:r w:rsidR="006E22CD">
            <w:t>dergelijke</w:t>
          </w:r>
          <w:r w:rsidR="003237DF">
            <w:t xml:space="preserve"> </w:t>
          </w:r>
          <w:r w:rsidRPr="003237DF" w:rsidR="003237DF">
            <w:t>opkoopbescherming</w:t>
          </w:r>
          <w:r w:rsidR="003237DF">
            <w:t xml:space="preserve"> is ingesteld</w:t>
          </w:r>
          <w:r w:rsidR="007C3BA2">
            <w:t>,</w:t>
          </w:r>
          <w:r w:rsidR="003237DF">
            <w:t xml:space="preserve"> kwamen meer woningen beschikbaar </w:t>
          </w:r>
          <w:r w:rsidR="006E22CD">
            <w:t>v</w:t>
          </w:r>
          <w:r w:rsidR="003237DF">
            <w:t xml:space="preserve">oor </w:t>
          </w:r>
          <w:r w:rsidR="003E586A">
            <w:t xml:space="preserve">‘reguliere’ woningzoekenden </w:t>
          </w:r>
          <w:r w:rsidR="004D7426">
            <w:t>(‘koopstarters’</w:t>
          </w:r>
          <w:r w:rsidR="00B732EC">
            <w:t xml:space="preserve"> met een middeninkomen</w:t>
          </w:r>
          <w:r w:rsidR="004D7426">
            <w:t xml:space="preserve">) </w:t>
          </w:r>
          <w:r w:rsidR="003E586A">
            <w:t xml:space="preserve">en nam het </w:t>
          </w:r>
          <w:r w:rsidR="003E586A">
            <w:lastRenderedPageBreak/>
            <w:t xml:space="preserve">aandeel </w:t>
          </w:r>
          <w:r w:rsidR="00752B9F">
            <w:t>vrije sectorwoningen af.</w:t>
          </w:r>
          <w:r w:rsidR="006E22CD">
            <w:rPr>
              <w:rStyle w:val="Voetnootmarkering"/>
            </w:rPr>
            <w:footnoteReference w:id="14"/>
          </w:r>
          <w:r w:rsidR="004D7426">
            <w:t xml:space="preserve"> </w:t>
          </w:r>
          <w:r w:rsidR="002235BF">
            <w:t>Uit onderzoek blijkt</w:t>
          </w:r>
          <w:r w:rsidR="00B732EC">
            <w:t xml:space="preserve"> tevens dat </w:t>
          </w:r>
          <w:r w:rsidR="00240544">
            <w:t xml:space="preserve">de maatregel </w:t>
          </w:r>
          <w:r w:rsidR="000E0511">
            <w:t xml:space="preserve">de </w:t>
          </w:r>
          <w:r w:rsidR="00017053">
            <w:t xml:space="preserve">mogelijkheden </w:t>
          </w:r>
          <w:r w:rsidR="000E0511">
            <w:t xml:space="preserve">voor andere woningzoekenden (in het bijzonder </w:t>
          </w:r>
          <w:r w:rsidR="00017053">
            <w:t>arbeidsmigranten met een laag inkomen</w:t>
          </w:r>
          <w:r w:rsidR="000E0511">
            <w:t>) juist beperkte.</w:t>
          </w:r>
          <w:r w:rsidR="00791E2D">
            <w:t xml:space="preserve"> </w:t>
          </w:r>
        </w:p>
        <w:p w:rsidR="00082817" w:rsidRDefault="00082817" w14:paraId="11BF1810" w14:textId="476B84A2"/>
        <w:p w:rsidR="00084491" w:rsidRDefault="0021116D" w14:paraId="634B4A7F" w14:textId="1E2509B0">
          <w:r>
            <w:t xml:space="preserve">Bij </w:t>
          </w:r>
          <w:r w:rsidR="001B3277">
            <w:t>h</w:t>
          </w:r>
          <w:r w:rsidR="00445F9E">
            <w:t xml:space="preserve">et type </w:t>
          </w:r>
          <w:r w:rsidR="00520570">
            <w:t>ver</w:t>
          </w:r>
          <w:r w:rsidR="00445F9E">
            <w:t xml:space="preserve">huurders in de vrije sector </w:t>
          </w:r>
          <w:r w:rsidR="001B3277">
            <w:t xml:space="preserve">wordt onderscheid gemaakt tussen </w:t>
          </w:r>
          <w:r w:rsidR="004366AD">
            <w:t>woning</w:t>
          </w:r>
          <w:r w:rsidR="001B3277">
            <w:t>corporaties en private verhuurders</w:t>
          </w:r>
          <w:r w:rsidR="0060573B">
            <w:t xml:space="preserve">. </w:t>
          </w:r>
          <w:r w:rsidR="009661F6">
            <w:t xml:space="preserve">Onder de private verhuurders vallen </w:t>
          </w:r>
          <w:r w:rsidR="0060573B">
            <w:t xml:space="preserve">institutionele beleggers (zoals </w:t>
          </w:r>
          <w:r w:rsidR="00D66D9E">
            <w:t>pensioenfondsen</w:t>
          </w:r>
          <w:r w:rsidR="00467969">
            <w:t xml:space="preserve"> en verzekeraars</w:t>
          </w:r>
          <w:r w:rsidR="0060573B">
            <w:t xml:space="preserve">) </w:t>
          </w:r>
          <w:r w:rsidR="00D66D9E">
            <w:t>met een vastgoedportefeuille van duizenden huurwoningen</w:t>
          </w:r>
          <w:r w:rsidR="004366AD">
            <w:t>,</w:t>
          </w:r>
          <w:r w:rsidR="00D66D9E">
            <w:t xml:space="preserve"> </w:t>
          </w:r>
          <w:r w:rsidR="009661F6">
            <w:t>maar ook</w:t>
          </w:r>
          <w:r w:rsidR="00D66D9E">
            <w:t xml:space="preserve"> particulieren die een of enkele woningen verhuren.</w:t>
          </w:r>
          <w:r w:rsidR="009E5C42">
            <w:rPr>
              <w:rStyle w:val="Voetnootmarkering"/>
            </w:rPr>
            <w:footnoteReference w:id="15"/>
          </w:r>
          <w:r w:rsidR="0029057F">
            <w:t xml:space="preserve"> </w:t>
          </w:r>
          <w:r w:rsidR="001A3BD1">
            <w:t>W</w:t>
          </w:r>
          <w:r w:rsidR="00C23D38">
            <w:t xml:space="preserve">oningcorporaties verhuren </w:t>
          </w:r>
          <w:r w:rsidR="00D04E44">
            <w:t xml:space="preserve">ook een substantieel deel van de </w:t>
          </w:r>
          <w:r w:rsidR="005701B3">
            <w:t>woningen</w:t>
          </w:r>
          <w:r w:rsidR="00C23D38">
            <w:t xml:space="preserve"> in de vrije sector</w:t>
          </w:r>
          <w:r w:rsidR="005701B3">
            <w:t>.</w:t>
          </w:r>
          <w:r w:rsidR="00883FEC">
            <w:rPr>
              <w:rStyle w:val="Voetnootmarkering"/>
            </w:rPr>
            <w:footnoteReference w:id="16"/>
          </w:r>
          <w:r w:rsidR="00DB2FC1">
            <w:t xml:space="preserve"> De recente groei van de vrije sector is geheel toe te schrijven aan private verhuurders.</w:t>
          </w:r>
        </w:p>
        <w:p w:rsidR="00252827" w:rsidRDefault="00252827" w14:paraId="3BCAB2BE" w14:textId="77777777"/>
        <w:p w:rsidRPr="00084491" w:rsidR="00D66D9E" w:rsidP="00E41F75" w:rsidRDefault="004D45A0" w14:paraId="5A31F6E9" w14:textId="0296C874">
          <w:pPr>
            <w:keepNext/>
            <w:keepLines/>
            <w:rPr>
              <w:b/>
              <w:bCs/>
              <w:sz w:val="20"/>
              <w:szCs w:val="22"/>
            </w:rPr>
          </w:pPr>
          <w:r w:rsidRPr="00557898">
            <w:rPr>
              <w:b/>
              <w:sz w:val="18"/>
              <w:szCs w:val="18"/>
            </w:rPr>
            <w:t>Figuur 3</w:t>
          </w:r>
          <w:r w:rsidRPr="00557898" w:rsidR="00084491">
            <w:rPr>
              <w:b/>
              <w:sz w:val="18"/>
              <w:szCs w:val="18"/>
            </w:rPr>
            <w:t xml:space="preserve">. </w:t>
          </w:r>
          <w:r w:rsidRPr="00557898" w:rsidR="003E0D48">
            <w:rPr>
              <w:b/>
              <w:sz w:val="18"/>
              <w:szCs w:val="18"/>
            </w:rPr>
            <w:t>Aantal woningen in de v</w:t>
          </w:r>
          <w:r w:rsidRPr="00557898" w:rsidR="00084491">
            <w:rPr>
              <w:b/>
              <w:sz w:val="18"/>
              <w:szCs w:val="18"/>
            </w:rPr>
            <w:t>rije huursector naar type verhuurder</w:t>
          </w:r>
          <w:r w:rsidR="00DE7934">
            <w:rPr>
              <w:rStyle w:val="Voetnootmarkering"/>
              <w:b/>
              <w:bCs/>
              <w:sz w:val="20"/>
              <w:szCs w:val="22"/>
            </w:rPr>
            <w:footnoteReference w:id="17"/>
          </w:r>
        </w:p>
        <w:tbl>
          <w:tblPr>
            <w:tblStyle w:val="Tabelraster"/>
            <w:tblW w:w="0" w:type="auto"/>
            <w:tblLook w:val="04A0" w:firstRow="1" w:lastRow="0" w:firstColumn="1" w:lastColumn="0" w:noHBand="0" w:noVBand="1"/>
          </w:tblPr>
          <w:tblGrid>
            <w:gridCol w:w="1950"/>
            <w:gridCol w:w="1847"/>
            <w:gridCol w:w="1847"/>
            <w:gridCol w:w="1848"/>
          </w:tblGrid>
          <w:tr w:rsidRPr="00845E45" w:rsidR="001D547F" w:rsidTr="001507E0" w14:paraId="6606F8CA" w14:textId="77777777">
            <w:tc>
              <w:tcPr>
                <w:tcW w:w="1950" w:type="dxa"/>
              </w:tcPr>
              <w:p w:rsidRPr="00845E45" w:rsidR="001D547F" w:rsidP="00AD7842" w:rsidRDefault="001D547F" w14:paraId="43898C5C" w14:textId="77777777">
                <w:pPr>
                  <w:keepNext/>
                  <w:keepLines/>
                  <w:rPr>
                    <w:sz w:val="18"/>
                    <w:szCs w:val="20"/>
                  </w:rPr>
                </w:pPr>
              </w:p>
            </w:tc>
            <w:tc>
              <w:tcPr>
                <w:tcW w:w="1847" w:type="dxa"/>
              </w:tcPr>
              <w:p w:rsidRPr="00845E45" w:rsidR="001D547F" w:rsidP="00AD7842" w:rsidRDefault="004D45A0" w14:paraId="5F818B9D" w14:textId="32AC7459">
                <w:pPr>
                  <w:keepNext/>
                  <w:keepLines/>
                  <w:jc w:val="center"/>
                  <w:rPr>
                    <w:sz w:val="18"/>
                    <w:szCs w:val="20"/>
                  </w:rPr>
                </w:pPr>
                <w:r w:rsidRPr="00845E45">
                  <w:rPr>
                    <w:sz w:val="18"/>
                    <w:szCs w:val="20"/>
                  </w:rPr>
                  <w:t>2015</w:t>
                </w:r>
              </w:p>
            </w:tc>
            <w:tc>
              <w:tcPr>
                <w:tcW w:w="1847" w:type="dxa"/>
              </w:tcPr>
              <w:p w:rsidRPr="00845E45" w:rsidR="001D547F" w:rsidP="00AD7842" w:rsidRDefault="004D45A0" w14:paraId="0EDA7E5D" w14:textId="25078ACF">
                <w:pPr>
                  <w:keepNext/>
                  <w:keepLines/>
                  <w:jc w:val="center"/>
                  <w:rPr>
                    <w:sz w:val="18"/>
                    <w:szCs w:val="20"/>
                  </w:rPr>
                </w:pPr>
                <w:r w:rsidRPr="00845E45">
                  <w:rPr>
                    <w:sz w:val="18"/>
                    <w:szCs w:val="20"/>
                  </w:rPr>
                  <w:t>2018</w:t>
                </w:r>
              </w:p>
            </w:tc>
            <w:tc>
              <w:tcPr>
                <w:tcW w:w="1848" w:type="dxa"/>
              </w:tcPr>
              <w:p w:rsidRPr="00845E45" w:rsidR="001D547F" w:rsidP="00AD7842" w:rsidRDefault="004D45A0" w14:paraId="6F2E8090" w14:textId="4B8AA89A">
                <w:pPr>
                  <w:keepNext/>
                  <w:keepLines/>
                  <w:jc w:val="center"/>
                  <w:rPr>
                    <w:sz w:val="18"/>
                    <w:szCs w:val="20"/>
                  </w:rPr>
                </w:pPr>
                <w:r w:rsidRPr="00845E45">
                  <w:rPr>
                    <w:sz w:val="18"/>
                    <w:szCs w:val="20"/>
                  </w:rPr>
                  <w:t>2021</w:t>
                </w:r>
              </w:p>
            </w:tc>
          </w:tr>
          <w:tr w:rsidRPr="00845E45" w:rsidR="001D547F" w:rsidTr="001507E0" w14:paraId="66B23423" w14:textId="77777777">
            <w:tc>
              <w:tcPr>
                <w:tcW w:w="1950" w:type="dxa"/>
              </w:tcPr>
              <w:p w:rsidRPr="00845E45" w:rsidR="001D547F" w:rsidP="00AD7842" w:rsidRDefault="001D547F" w14:paraId="34834D8D" w14:textId="02C09BF6">
                <w:pPr>
                  <w:keepNext/>
                  <w:keepLines/>
                  <w:rPr>
                    <w:sz w:val="18"/>
                    <w:szCs w:val="20"/>
                  </w:rPr>
                </w:pPr>
                <w:r w:rsidRPr="00845E45">
                  <w:rPr>
                    <w:sz w:val="18"/>
                    <w:szCs w:val="20"/>
                  </w:rPr>
                  <w:t>Priva</w:t>
                </w:r>
                <w:r w:rsidRPr="00845E45" w:rsidR="003E0D48">
                  <w:rPr>
                    <w:sz w:val="18"/>
                    <w:szCs w:val="20"/>
                  </w:rPr>
                  <w:t>te verhuurders</w:t>
                </w:r>
              </w:p>
            </w:tc>
            <w:tc>
              <w:tcPr>
                <w:tcW w:w="1847" w:type="dxa"/>
              </w:tcPr>
              <w:p w:rsidRPr="00845E45" w:rsidR="001D547F" w:rsidP="00AD7842" w:rsidRDefault="009E23EA" w14:paraId="62C75E69" w14:textId="19E88FB1">
                <w:pPr>
                  <w:keepNext/>
                  <w:keepLines/>
                  <w:jc w:val="center"/>
                  <w:rPr>
                    <w:sz w:val="18"/>
                    <w:szCs w:val="20"/>
                  </w:rPr>
                </w:pPr>
                <w:r w:rsidRPr="00845E45">
                  <w:rPr>
                    <w:sz w:val="18"/>
                    <w:szCs w:val="20"/>
                  </w:rPr>
                  <w:t>2</w:t>
                </w:r>
                <w:r w:rsidR="006266ED">
                  <w:rPr>
                    <w:sz w:val="18"/>
                    <w:szCs w:val="20"/>
                  </w:rPr>
                  <w:t>6</w:t>
                </w:r>
                <w:r w:rsidRPr="00845E45">
                  <w:rPr>
                    <w:sz w:val="18"/>
                    <w:szCs w:val="20"/>
                  </w:rPr>
                  <w:t>0.000</w:t>
                </w:r>
              </w:p>
            </w:tc>
            <w:tc>
              <w:tcPr>
                <w:tcW w:w="1847" w:type="dxa"/>
              </w:tcPr>
              <w:p w:rsidRPr="00845E45" w:rsidR="001D547F" w:rsidP="00AD7842" w:rsidRDefault="00F3641E" w14:paraId="2C42F0D7" w14:textId="7D05C48C">
                <w:pPr>
                  <w:keepNext/>
                  <w:keepLines/>
                  <w:jc w:val="center"/>
                  <w:rPr>
                    <w:sz w:val="18"/>
                    <w:szCs w:val="20"/>
                  </w:rPr>
                </w:pPr>
                <w:r w:rsidRPr="00845E45">
                  <w:rPr>
                    <w:sz w:val="18"/>
                    <w:szCs w:val="20"/>
                  </w:rPr>
                  <w:t>35</w:t>
                </w:r>
                <w:r w:rsidR="000605ED">
                  <w:rPr>
                    <w:sz w:val="18"/>
                    <w:szCs w:val="20"/>
                  </w:rPr>
                  <w:t>4</w:t>
                </w:r>
                <w:r w:rsidRPr="00845E45">
                  <w:rPr>
                    <w:sz w:val="18"/>
                    <w:szCs w:val="20"/>
                  </w:rPr>
                  <w:t>.000</w:t>
                </w:r>
              </w:p>
            </w:tc>
            <w:tc>
              <w:tcPr>
                <w:tcW w:w="1848" w:type="dxa"/>
              </w:tcPr>
              <w:p w:rsidRPr="00845E45" w:rsidR="001D547F" w:rsidP="00AD7842" w:rsidRDefault="004D45A0" w14:paraId="1F1E410C" w14:textId="49A27910">
                <w:pPr>
                  <w:keepNext/>
                  <w:keepLines/>
                  <w:jc w:val="center"/>
                  <w:rPr>
                    <w:sz w:val="18"/>
                    <w:szCs w:val="20"/>
                  </w:rPr>
                </w:pPr>
                <w:r w:rsidRPr="00845E45">
                  <w:rPr>
                    <w:sz w:val="18"/>
                    <w:szCs w:val="20"/>
                  </w:rPr>
                  <w:t>509.000</w:t>
                </w:r>
              </w:p>
            </w:tc>
          </w:tr>
          <w:tr w:rsidRPr="00845E45" w:rsidR="001D547F" w:rsidTr="001507E0" w14:paraId="447D972B" w14:textId="77777777">
            <w:tc>
              <w:tcPr>
                <w:tcW w:w="1950" w:type="dxa"/>
              </w:tcPr>
              <w:p w:rsidRPr="00845E45" w:rsidR="001D547F" w:rsidP="00AD7842" w:rsidRDefault="00362BF6" w14:paraId="5D870731" w14:textId="208A63C6">
                <w:pPr>
                  <w:keepNext/>
                  <w:keepLines/>
                  <w:rPr>
                    <w:sz w:val="18"/>
                    <w:szCs w:val="20"/>
                  </w:rPr>
                </w:pPr>
                <w:r>
                  <w:rPr>
                    <w:sz w:val="18"/>
                    <w:szCs w:val="20"/>
                  </w:rPr>
                  <w:t>Woningc</w:t>
                </w:r>
                <w:r w:rsidRPr="00845E45" w:rsidR="001D547F">
                  <w:rPr>
                    <w:sz w:val="18"/>
                    <w:szCs w:val="20"/>
                  </w:rPr>
                  <w:t>orporaties</w:t>
                </w:r>
              </w:p>
            </w:tc>
            <w:tc>
              <w:tcPr>
                <w:tcW w:w="1847" w:type="dxa"/>
              </w:tcPr>
              <w:p w:rsidRPr="00845E45" w:rsidR="001D547F" w:rsidP="00AD7842" w:rsidRDefault="00A1076D" w14:paraId="2BBE8D46" w14:textId="19D444E6">
                <w:pPr>
                  <w:keepNext/>
                  <w:keepLines/>
                  <w:jc w:val="center"/>
                  <w:rPr>
                    <w:sz w:val="18"/>
                    <w:szCs w:val="20"/>
                  </w:rPr>
                </w:pPr>
                <w:r w:rsidRPr="00845E45">
                  <w:rPr>
                    <w:sz w:val="18"/>
                    <w:szCs w:val="20"/>
                  </w:rPr>
                  <w:t>156.000</w:t>
                </w:r>
              </w:p>
            </w:tc>
            <w:tc>
              <w:tcPr>
                <w:tcW w:w="1847" w:type="dxa"/>
              </w:tcPr>
              <w:p w:rsidRPr="00845E45" w:rsidR="001D547F" w:rsidP="00AD7842" w:rsidRDefault="003C5DCB" w14:paraId="202BD2E5" w14:textId="46F992FE">
                <w:pPr>
                  <w:keepNext/>
                  <w:keepLines/>
                  <w:jc w:val="center"/>
                  <w:rPr>
                    <w:sz w:val="18"/>
                    <w:szCs w:val="20"/>
                  </w:rPr>
                </w:pPr>
                <w:r w:rsidRPr="00845E45">
                  <w:rPr>
                    <w:sz w:val="18"/>
                    <w:szCs w:val="20"/>
                  </w:rPr>
                  <w:t>149.000</w:t>
                </w:r>
              </w:p>
            </w:tc>
            <w:tc>
              <w:tcPr>
                <w:tcW w:w="1848" w:type="dxa"/>
              </w:tcPr>
              <w:p w:rsidRPr="00845E45" w:rsidR="001D547F" w:rsidP="00AD7842" w:rsidRDefault="003C5DCB" w14:paraId="4C466AD7" w14:textId="00EC3FAA">
                <w:pPr>
                  <w:keepNext/>
                  <w:keepLines/>
                  <w:jc w:val="center"/>
                  <w:rPr>
                    <w:sz w:val="18"/>
                    <w:szCs w:val="20"/>
                  </w:rPr>
                </w:pPr>
                <w:r w:rsidRPr="00845E45">
                  <w:rPr>
                    <w:sz w:val="18"/>
                    <w:szCs w:val="20"/>
                  </w:rPr>
                  <w:t>139.000</w:t>
                </w:r>
              </w:p>
            </w:tc>
          </w:tr>
        </w:tbl>
        <w:p w:rsidR="00B23889" w:rsidRDefault="00B23889" w14:paraId="06061E80" w14:textId="77777777"/>
        <w:p w:rsidR="00641623" w:rsidRDefault="009D5638" w14:paraId="64C43C4D" w14:textId="67A4B7B4">
          <w:pPr>
            <w:rPr>
              <w:i/>
            </w:rPr>
          </w:pPr>
          <w:r>
            <w:t>c</w:t>
          </w:r>
          <w:r w:rsidR="00AC1CCD">
            <w:t>.</w:t>
          </w:r>
          <w:r w:rsidR="00AC1CCD">
            <w:tab/>
          </w:r>
          <w:r w:rsidRPr="009D5638" w:rsidDel="00BD5FEE" w:rsidR="0089760C">
            <w:rPr>
              <w:i/>
              <w:iCs/>
            </w:rPr>
            <w:t>Vraag en aanbod</w:t>
          </w:r>
        </w:p>
        <w:p w:rsidR="00AC1CCD" w:rsidRDefault="006A1802" w14:paraId="4D2DB206" w14:textId="143DBE2B">
          <w:r>
            <w:t xml:space="preserve">Op de Nederlandse woningmarkt is sprake van een structurele disbalans. </w:t>
          </w:r>
          <w:r w:rsidR="00A425AC">
            <w:t xml:space="preserve">Dit is </w:t>
          </w:r>
          <w:r w:rsidR="0008585C">
            <w:t xml:space="preserve">ten eerste </w:t>
          </w:r>
          <w:r w:rsidR="00A425AC">
            <w:t xml:space="preserve">te zien in de hiervoor geschetste verhouding tussen de </w:t>
          </w:r>
          <w:r w:rsidR="0008585C">
            <w:t xml:space="preserve">drie marktsegmenten, waarbij de vrije </w:t>
          </w:r>
          <w:r w:rsidR="00C12968">
            <w:t>huur</w:t>
          </w:r>
          <w:r w:rsidR="0008585C">
            <w:t xml:space="preserve">sector een zeer bescheiden positie heeft. </w:t>
          </w:r>
          <w:r w:rsidR="0005619A">
            <w:t xml:space="preserve">Dit komt door de </w:t>
          </w:r>
          <w:r w:rsidR="004C0F0F">
            <w:t>overheidsstimulering</w:t>
          </w:r>
          <w:r w:rsidR="0005619A">
            <w:t xml:space="preserve"> </w:t>
          </w:r>
          <w:r w:rsidRPr="009D7DAF" w:rsidR="009D7DAF">
            <w:t xml:space="preserve">van sociale huur en </w:t>
          </w:r>
          <w:r w:rsidRPr="009D7DAF" w:rsidR="00C63748">
            <w:t>koop</w:t>
          </w:r>
          <w:r w:rsidR="00C63748">
            <w:t>woningen</w:t>
          </w:r>
          <w:r w:rsidR="0097546F">
            <w:t>.</w:t>
          </w:r>
          <w:r w:rsidR="0097546F">
            <w:rPr>
              <w:rStyle w:val="Voetnootmarkering"/>
            </w:rPr>
            <w:footnoteReference w:id="18"/>
          </w:r>
          <w:r w:rsidRPr="009D7DAF" w:rsidR="009D7DAF">
            <w:t xml:space="preserve"> </w:t>
          </w:r>
          <w:r w:rsidR="0005619A">
            <w:t>H</w:t>
          </w:r>
          <w:r w:rsidR="0008585C">
            <w:t xml:space="preserve">et aanbod aan </w:t>
          </w:r>
          <w:r w:rsidR="00EC49EC">
            <w:t>vrije sector</w:t>
          </w:r>
          <w:r w:rsidR="0008585C">
            <w:t xml:space="preserve">huurwoningen </w:t>
          </w:r>
          <w:r w:rsidR="004E7840">
            <w:t xml:space="preserve">is </w:t>
          </w:r>
          <w:r w:rsidR="00271E89">
            <w:t xml:space="preserve">daardoor ook </w:t>
          </w:r>
          <w:r w:rsidR="009F64F6">
            <w:t>beperkt</w:t>
          </w:r>
          <w:r w:rsidR="0008585C">
            <w:t xml:space="preserve"> </w:t>
          </w:r>
          <w:r w:rsidR="00793A1B">
            <w:t xml:space="preserve">ten </w:t>
          </w:r>
          <w:r w:rsidR="009F64F6">
            <w:t>opzicht</w:t>
          </w:r>
          <w:r w:rsidR="00C72076">
            <w:t>e</w:t>
          </w:r>
          <w:r w:rsidR="00793A1B">
            <w:t xml:space="preserve"> van de</w:t>
          </w:r>
          <w:r w:rsidR="0008585C">
            <w:t xml:space="preserve"> vraag </w:t>
          </w:r>
          <w:r w:rsidR="00125F22">
            <w:t>er</w:t>
          </w:r>
          <w:r w:rsidR="00793A1B">
            <w:t xml:space="preserve">naar. </w:t>
          </w:r>
          <w:r w:rsidR="00125F22">
            <w:t>D</w:t>
          </w:r>
          <w:r w:rsidR="009E7E91">
            <w:t>eze disbalans tussen vraag en aanbod</w:t>
          </w:r>
          <w:r w:rsidR="00125F22">
            <w:t xml:space="preserve"> wordt versterkt doordat v</w:t>
          </w:r>
          <w:r w:rsidR="008A5C24">
            <w:t>eel groepen</w:t>
          </w:r>
          <w:r w:rsidDel="00492FCA" w:rsidR="008A5C24">
            <w:t xml:space="preserve"> </w:t>
          </w:r>
          <w:r w:rsidR="008A5C24">
            <w:t xml:space="preserve">niet terecht </w:t>
          </w:r>
          <w:r w:rsidR="00125F22">
            <w:t xml:space="preserve">kunnen </w:t>
          </w:r>
          <w:r w:rsidR="008A5C24">
            <w:t xml:space="preserve">in de andere twee segmenten. </w:t>
          </w:r>
          <w:r w:rsidR="00FA4567">
            <w:t xml:space="preserve">De vraag naar </w:t>
          </w:r>
          <w:r w:rsidR="00F96F99">
            <w:t xml:space="preserve">huurwoningen in de vrije </w:t>
          </w:r>
          <w:r w:rsidR="00402337">
            <w:t>huur</w:t>
          </w:r>
          <w:r w:rsidR="00F96F99">
            <w:t>sector</w:t>
          </w:r>
          <w:r w:rsidR="00474BA7">
            <w:t xml:space="preserve"> is niet alleen noodgedwongen. Tal van groepen – </w:t>
          </w:r>
          <w:r w:rsidR="008413FB">
            <w:t xml:space="preserve">ouderen, </w:t>
          </w:r>
          <w:r w:rsidR="00474BA7">
            <w:t>jong</w:t>
          </w:r>
          <w:r w:rsidR="00293C5B">
            <w:t xml:space="preserve">volwassenen die nog flexibel willen zijn in de keuze waar ze willen </w:t>
          </w:r>
          <w:r w:rsidR="00F96F99">
            <w:t>(samen)</w:t>
          </w:r>
          <w:r w:rsidR="00293C5B">
            <w:t>wonen en werken, arbeidsmigranten, expats en andere tijdelijk</w:t>
          </w:r>
          <w:r w:rsidR="00F96F99">
            <w:t>e</w:t>
          </w:r>
          <w:r w:rsidR="00293C5B">
            <w:t xml:space="preserve"> werknemers uit het buitenland</w:t>
          </w:r>
          <w:r w:rsidR="00B27D6F">
            <w:t xml:space="preserve"> </w:t>
          </w:r>
          <w:r w:rsidR="009F64F6">
            <w:t xml:space="preserve">– </w:t>
          </w:r>
          <w:r w:rsidR="00492FCA">
            <w:t>hebben behoeft</w:t>
          </w:r>
          <w:r w:rsidR="00195697">
            <w:t>e</w:t>
          </w:r>
          <w:r w:rsidR="00492FCA">
            <w:t xml:space="preserve"> aan</w:t>
          </w:r>
          <w:r w:rsidR="009F64F6">
            <w:t xml:space="preserve"> een huurwoning.</w:t>
          </w:r>
          <w:r w:rsidR="001D15BB">
            <w:t xml:space="preserve"> </w:t>
          </w:r>
          <w:r w:rsidR="00B053C6">
            <w:t xml:space="preserve">Op dit moment is de vraag in de grote steden </w:t>
          </w:r>
          <w:r w:rsidR="007F6633">
            <w:t xml:space="preserve">dusdanig groot ten </w:t>
          </w:r>
          <w:r w:rsidR="00436141">
            <w:t>opzichte</w:t>
          </w:r>
          <w:r w:rsidR="007F6633">
            <w:t xml:space="preserve"> van het aanbod, dat </w:t>
          </w:r>
          <w:r w:rsidR="00BE2201">
            <w:t>de gevraagde huurprijs</w:t>
          </w:r>
          <w:r w:rsidR="007F6633">
            <w:t xml:space="preserve"> </w:t>
          </w:r>
          <w:r w:rsidR="006A0FE0">
            <w:t xml:space="preserve">soms </w:t>
          </w:r>
          <w:r w:rsidR="00492CE8">
            <w:t>wordt overboden</w:t>
          </w:r>
          <w:r w:rsidR="00436141">
            <w:t>.</w:t>
          </w:r>
          <w:r w:rsidR="00436141">
            <w:rPr>
              <w:rStyle w:val="Voetnootmarkering"/>
            </w:rPr>
            <w:footnoteReference w:id="19"/>
          </w:r>
          <w:r w:rsidR="00073951">
            <w:t xml:space="preserve"> </w:t>
          </w:r>
        </w:p>
        <w:p w:rsidR="009F64F6" w:rsidRDefault="009F64F6" w14:paraId="1691318C" w14:textId="77777777"/>
        <w:p w:rsidR="000D23F6" w:rsidRDefault="000E7453" w14:paraId="2F230F4E" w14:textId="7D32BF30">
          <w:r>
            <w:lastRenderedPageBreak/>
            <w:t xml:space="preserve">Deze hoge huren in delen van Nederland </w:t>
          </w:r>
          <w:r w:rsidR="00841392">
            <w:t>kunnen</w:t>
          </w:r>
          <w:r>
            <w:t xml:space="preserve"> niet losgezien worden van de </w:t>
          </w:r>
          <w:r w:rsidR="00244B36">
            <w:t>waardestijgingen</w:t>
          </w:r>
          <w:r w:rsidR="005A24E5">
            <w:t xml:space="preserve"> van het onderliggende vastgoed</w:t>
          </w:r>
          <w:r w:rsidR="00244B36">
            <w:t xml:space="preserve"> als gevolg v</w:t>
          </w:r>
          <w:r w:rsidR="009602E1">
            <w:t>a</w:t>
          </w:r>
          <w:r w:rsidR="00244B36">
            <w:t>n</w:t>
          </w:r>
          <w:r>
            <w:t xml:space="preserve"> </w:t>
          </w:r>
          <w:r w:rsidR="00190BDF">
            <w:t>prijs</w:t>
          </w:r>
          <w:r w:rsidR="00D24BA1">
            <w:t xml:space="preserve">stijgingen op de </w:t>
          </w:r>
          <w:r w:rsidR="003E7F98">
            <w:t>koopwoningmarkt</w:t>
          </w:r>
          <w:r w:rsidR="00B44155">
            <w:t xml:space="preserve">. De huizenprijzen </w:t>
          </w:r>
          <w:r w:rsidR="00264771">
            <w:t>stijgen</w:t>
          </w:r>
          <w:r w:rsidR="009916CB">
            <w:t xml:space="preserve"> al jaren fors</w:t>
          </w:r>
          <w:r w:rsidR="00B66420">
            <w:t>.</w:t>
          </w:r>
          <w:r w:rsidR="009916CB">
            <w:t xml:space="preserve"> </w:t>
          </w:r>
          <w:r w:rsidR="000D23F6">
            <w:t>Oorzaken</w:t>
          </w:r>
          <w:r w:rsidR="00524B68">
            <w:t xml:space="preserve"> moeten zowel in de </w:t>
          </w:r>
          <w:r w:rsidR="00D41594">
            <w:t>vraag</w:t>
          </w:r>
          <w:r w:rsidR="00524B68">
            <w:t xml:space="preserve">- als de </w:t>
          </w:r>
          <w:r w:rsidR="00D41594">
            <w:t>aanbod</w:t>
          </w:r>
          <w:r w:rsidR="000D23F6">
            <w:t>kant</w:t>
          </w:r>
          <w:r w:rsidR="00524B68">
            <w:t xml:space="preserve"> </w:t>
          </w:r>
          <w:r w:rsidR="000D23F6">
            <w:t>worden</w:t>
          </w:r>
          <w:r w:rsidR="00524B68">
            <w:t xml:space="preserve"> gezocht. </w:t>
          </w:r>
        </w:p>
        <w:p w:rsidR="000D23F6" w:rsidRDefault="000D23F6" w14:paraId="3C2C273D" w14:textId="77777777"/>
        <w:p w:rsidR="00180C37" w:rsidP="00180C37" w:rsidRDefault="00180C37" w14:paraId="57F0AC02" w14:textId="1E387C15">
          <w:r>
            <w:t xml:space="preserve">De prijsstijgingen in de koopsector zijn </w:t>
          </w:r>
          <w:r w:rsidR="004B16A5">
            <w:t xml:space="preserve">in de eerste plaats </w:t>
          </w:r>
          <w:r>
            <w:t>het gevolg van de ruime bestedingsmogelijkheden van kopers.</w:t>
          </w:r>
          <w:r>
            <w:rPr>
              <w:rStyle w:val="Voetnootmarkering"/>
            </w:rPr>
            <w:footnoteReference w:id="20"/>
          </w:r>
          <w:r>
            <w:t xml:space="preserve"> Te denken valt aan de (tot eind 2021) historisch lage hypotheekrente, de fiscale voordelen voor huizenbezitters en de (ook internationaal gezien) ruime leenmogelijkheden.</w:t>
          </w:r>
          <w:r>
            <w:rPr>
              <w:rStyle w:val="Voetnootmarkering"/>
            </w:rPr>
            <w:footnoteReference w:id="21"/>
          </w:r>
          <w:r>
            <w:t xml:space="preserve"> Het feit dat in bepaalde gebieden ook private beleggers meeboden op vrijkomende woningen, zette extra druk op de huizenprijzen.</w:t>
          </w:r>
          <w:r>
            <w:rPr>
              <w:rStyle w:val="Voetnootmarkering"/>
            </w:rPr>
            <w:footnoteReference w:id="22"/>
          </w:r>
          <w:r>
            <w:t xml:space="preserve"> De mate waarin beleggers actief zijn, is de laatste jaren overigens al sterk afgenomen.</w:t>
          </w:r>
          <w:r>
            <w:rPr>
              <w:rStyle w:val="Voetnootmarkering"/>
            </w:rPr>
            <w:footnoteReference w:id="23"/>
          </w:r>
          <w:r>
            <w:t xml:space="preserve"> </w:t>
          </w:r>
        </w:p>
        <w:p w:rsidR="00180C37" w:rsidP="00180C37" w:rsidRDefault="00180C37" w14:paraId="7D46CAC3" w14:textId="77777777"/>
        <w:p w:rsidR="00D41594" w:rsidP="00D41594" w:rsidRDefault="00885F1E" w14:paraId="6092BD27" w14:textId="7E87A654">
          <w:r>
            <w:t>Aan de</w:t>
          </w:r>
          <w:r w:rsidR="00D41594">
            <w:t xml:space="preserve"> vraagkant</w:t>
          </w:r>
          <w:r>
            <w:t xml:space="preserve"> speelt verder dat d</w:t>
          </w:r>
          <w:r w:rsidR="00D41594">
            <w:t xml:space="preserve">e behoefte aan woonruimte de laatste jaren </w:t>
          </w:r>
          <w:r>
            <w:t xml:space="preserve">is </w:t>
          </w:r>
          <w:r w:rsidR="00D41594">
            <w:t>gegroeid door de bevolkingsgroei en door de nog sterkere toename in het aantal huishoudens.</w:t>
          </w:r>
          <w:r w:rsidR="00D41594">
            <w:rPr>
              <w:rStyle w:val="Voetnootmarkering"/>
            </w:rPr>
            <w:footnoteReference w:id="24"/>
          </w:r>
          <w:r w:rsidR="00D41594">
            <w:t xml:space="preserve"> Het CBS wijst er op dat er enerzijds relatief veel woningzoekers bij kwamen (de groep tussen 25-34 jaar) en anderzijds ouderen langer in hun woning bleven wonen. Zo ontstond een ‘</w:t>
          </w:r>
          <w:r w:rsidRPr="004755D3" w:rsidR="00D41594">
            <w:t>demografische bottleneck</w:t>
          </w:r>
          <w:r w:rsidR="00D41594">
            <w:t xml:space="preserve">’ van </w:t>
          </w:r>
          <w:r w:rsidRPr="004755D3" w:rsidR="00D41594">
            <w:t>verhoogde vraag</w:t>
          </w:r>
          <w:r w:rsidR="00D41594">
            <w:t xml:space="preserve"> en</w:t>
          </w:r>
          <w:r w:rsidRPr="004755D3" w:rsidR="00D41594">
            <w:t xml:space="preserve"> verminderd aanbod.</w:t>
          </w:r>
          <w:r w:rsidR="00D41594">
            <w:rPr>
              <w:rStyle w:val="Voetnootmarkering"/>
            </w:rPr>
            <w:footnoteReference w:id="25"/>
          </w:r>
          <w:r w:rsidR="00D41594">
            <w:t xml:space="preserve"> Daarnaast </w:t>
          </w:r>
          <w:r w:rsidR="00E70531">
            <w:t xml:space="preserve">nam </w:t>
          </w:r>
          <w:r w:rsidRPr="006778B7" w:rsidR="00D41594">
            <w:t>in de jaren 2014-2020 de immigratie sterk toe</w:t>
          </w:r>
          <w:r w:rsidR="00D41594">
            <w:t>.</w:t>
          </w:r>
          <w:r w:rsidR="00D41594">
            <w:rPr>
              <w:rStyle w:val="Voetnootmarkering"/>
            </w:rPr>
            <w:footnoteReference w:id="26"/>
          </w:r>
        </w:p>
        <w:p w:rsidR="00D41594" w:rsidP="00D41594" w:rsidRDefault="00D41594" w14:paraId="4C36881A" w14:textId="77777777"/>
        <w:p w:rsidR="007726E5" w:rsidRDefault="006F5FAC" w14:paraId="14C0C8D0" w14:textId="416EA203">
          <w:r>
            <w:t xml:space="preserve">De oorzaken van de hoge prijzen van koopwoningen moeten ook worden gezocht </w:t>
          </w:r>
          <w:r w:rsidR="73B7E4D4">
            <w:t>aa</w:t>
          </w:r>
          <w:r>
            <w:t xml:space="preserve">n de aanbodkant. </w:t>
          </w:r>
          <w:r w:rsidR="000D33A3">
            <w:t>H</w:t>
          </w:r>
          <w:r w:rsidR="002D0188">
            <w:t>et aanbod</w:t>
          </w:r>
          <w:r w:rsidR="00E21AFA">
            <w:t xml:space="preserve"> </w:t>
          </w:r>
          <w:r w:rsidR="000D33A3">
            <w:t>is</w:t>
          </w:r>
          <w:r w:rsidR="00E21AFA">
            <w:t xml:space="preserve"> </w:t>
          </w:r>
          <w:r w:rsidR="00624CD7">
            <w:t>(</w:t>
          </w:r>
          <w:r w:rsidR="00CF218C">
            <w:t xml:space="preserve">vooral door </w:t>
          </w:r>
          <w:r w:rsidR="000D23F6">
            <w:t>te weinig</w:t>
          </w:r>
          <w:r w:rsidR="00CF218C">
            <w:t xml:space="preserve"> </w:t>
          </w:r>
          <w:r w:rsidR="00624CD7">
            <w:t xml:space="preserve">nieuwbouw) </w:t>
          </w:r>
          <w:r w:rsidR="00E21AFA">
            <w:t>achter</w:t>
          </w:r>
          <w:r w:rsidR="00FA26F7">
            <w:t>gebleven</w:t>
          </w:r>
          <w:r w:rsidR="00CF218C">
            <w:t xml:space="preserve"> </w:t>
          </w:r>
          <w:r w:rsidR="00E1375D">
            <w:t>door</w:t>
          </w:r>
          <w:r w:rsidR="0024162C">
            <w:t xml:space="preserve"> onder meer </w:t>
          </w:r>
          <w:r w:rsidR="002235BD">
            <w:t>(</w:t>
          </w:r>
          <w:r w:rsidR="00923D8F">
            <w:t>de naweeën van) de crisis van 2008</w:t>
          </w:r>
          <w:r w:rsidR="0099272E">
            <w:t>-2013</w:t>
          </w:r>
          <w:r w:rsidR="006F5ABB">
            <w:t xml:space="preserve"> </w:t>
          </w:r>
          <w:r w:rsidR="00B01E9D">
            <w:t xml:space="preserve">toen </w:t>
          </w:r>
          <w:r w:rsidR="006F5ABB">
            <w:t>de bouwproductie</w:t>
          </w:r>
          <w:r w:rsidR="00AB6571">
            <w:t xml:space="preserve"> sterk </w:t>
          </w:r>
          <w:r w:rsidR="001617F7">
            <w:t>daalde</w:t>
          </w:r>
          <w:r w:rsidR="00923D8F">
            <w:t xml:space="preserve">, </w:t>
          </w:r>
          <w:r w:rsidR="0024162C">
            <w:t xml:space="preserve">de beperkte ontwikkeling van </w:t>
          </w:r>
          <w:r w:rsidR="00923D8F">
            <w:t xml:space="preserve">nieuwe </w:t>
          </w:r>
          <w:r w:rsidR="0024162C">
            <w:t xml:space="preserve">woningbouwlocaties, </w:t>
          </w:r>
          <w:r w:rsidR="0005361B">
            <w:t>strengere bouw</w:t>
          </w:r>
          <w:r w:rsidR="007C0843">
            <w:t>normen</w:t>
          </w:r>
          <w:r w:rsidDel="00A8386E" w:rsidR="00BB0165">
            <w:t xml:space="preserve"> </w:t>
          </w:r>
          <w:r w:rsidR="002A59D5">
            <w:t xml:space="preserve">en </w:t>
          </w:r>
          <w:r w:rsidR="00F15722">
            <w:t>de</w:t>
          </w:r>
          <w:r w:rsidR="006C7ABA">
            <w:t xml:space="preserve"> </w:t>
          </w:r>
          <w:r w:rsidR="00BB0165">
            <w:t xml:space="preserve">beperkte </w:t>
          </w:r>
          <w:r w:rsidR="0071452A">
            <w:t xml:space="preserve">investeringsruimte </w:t>
          </w:r>
          <w:r w:rsidR="00C361DD">
            <w:t>voor woning</w:t>
          </w:r>
          <w:r w:rsidR="0071452A">
            <w:t xml:space="preserve">corporaties door </w:t>
          </w:r>
          <w:r w:rsidR="00FA4BAD">
            <w:t xml:space="preserve">de </w:t>
          </w:r>
          <w:r w:rsidR="00312ECB">
            <w:t xml:space="preserve">(inmiddels afgeschafte) </w:t>
          </w:r>
          <w:r w:rsidR="0071452A">
            <w:t>verhuurderheffing.</w:t>
          </w:r>
          <w:r w:rsidR="00AA4D4F">
            <w:rPr>
              <w:rStyle w:val="Voetnootmarkering"/>
            </w:rPr>
            <w:footnoteReference w:id="27"/>
          </w:r>
          <w:r w:rsidR="008B0747">
            <w:t xml:space="preserve"> </w:t>
          </w:r>
          <w:r w:rsidR="00256EBF">
            <w:lastRenderedPageBreak/>
            <w:t xml:space="preserve">Tevens speelt </w:t>
          </w:r>
          <w:r w:rsidR="001578AB">
            <w:t xml:space="preserve">de </w:t>
          </w:r>
          <w:r w:rsidR="004D47C8">
            <w:t>onvolmaakte</w:t>
          </w:r>
          <w:r w:rsidR="002476F7">
            <w:t xml:space="preserve"> werking van de</w:t>
          </w:r>
          <w:r w:rsidR="004D47C8">
            <w:t xml:space="preserve"> grondmarkt</w:t>
          </w:r>
          <w:r w:rsidR="0058252E">
            <w:t xml:space="preserve"> een rol</w:t>
          </w:r>
          <w:r w:rsidR="00492C07">
            <w:t>,</w:t>
          </w:r>
          <w:r w:rsidR="004D47C8">
            <w:t xml:space="preserve"> </w:t>
          </w:r>
          <w:r w:rsidR="00492C07">
            <w:t xml:space="preserve">en het gegeven dat </w:t>
          </w:r>
          <w:r w:rsidR="00E627AA">
            <w:t>overheden</w:t>
          </w:r>
          <w:r w:rsidR="00492C07">
            <w:t xml:space="preserve"> op dit moment weinig grond in eigendom </w:t>
          </w:r>
          <w:r w:rsidR="00E627AA">
            <w:t>hebben</w:t>
          </w:r>
          <w:r w:rsidR="00104B19">
            <w:t>.</w:t>
          </w:r>
          <w:r w:rsidR="00492C07">
            <w:rPr>
              <w:rStyle w:val="Voetnootmarkering"/>
            </w:rPr>
            <w:footnoteReference w:id="28"/>
          </w:r>
          <w:r w:rsidR="00104B19">
            <w:t xml:space="preserve"> </w:t>
          </w:r>
        </w:p>
        <w:p w:rsidR="00B608EC" w:rsidRDefault="00B608EC" w14:paraId="196F0AC2" w14:textId="77777777"/>
        <w:p w:rsidR="00043E35" w:rsidRDefault="001773C2" w14:paraId="670B60AE" w14:textId="5FDF0ADF">
          <w:r>
            <w:t>Ook in d</w:t>
          </w:r>
          <w:r w:rsidRPr="00ED5560" w:rsidR="00ED5560">
            <w:t xml:space="preserve">e sociale huursector is </w:t>
          </w:r>
          <w:r>
            <w:t>sprake van spanning tussen aanbod en vraag</w:t>
          </w:r>
          <w:r w:rsidR="000A1CED">
            <w:t>. O</w:t>
          </w:r>
          <w:r>
            <w:t xml:space="preserve">ndanks </w:t>
          </w:r>
          <w:r w:rsidR="6E0FCD68">
            <w:t>het gegeven</w:t>
          </w:r>
          <w:r>
            <w:t xml:space="preserve"> dat</w:t>
          </w:r>
          <w:r w:rsidR="00E1744A">
            <w:t xml:space="preserve"> Nederland een relatief grote social</w:t>
          </w:r>
          <w:r w:rsidR="0021229B">
            <w:t>e</w:t>
          </w:r>
          <w:r w:rsidR="00E1744A">
            <w:t xml:space="preserve"> sec</w:t>
          </w:r>
          <w:r w:rsidR="0021229B">
            <w:t>t</w:t>
          </w:r>
          <w:r w:rsidR="00E1744A">
            <w:t>or kent</w:t>
          </w:r>
          <w:r w:rsidR="00C441F3">
            <w:t>,</w:t>
          </w:r>
          <w:r w:rsidR="00D569C0">
            <w:t xml:space="preserve"> kan niet</w:t>
          </w:r>
          <w:r w:rsidRPr="00ED5560" w:rsidR="00ED5560">
            <w:t xml:space="preserve"> aan de vraag worden voldaan, met lange wachtlijsten tot gevolg. Dit laat zich in ieder geval deels verklaren door </w:t>
          </w:r>
          <w:r w:rsidRPr="00ED5560" w:rsidR="22DBC565">
            <w:t xml:space="preserve">een </w:t>
          </w:r>
          <w:r w:rsidRPr="00ED5560" w:rsidR="00ED5560">
            <w:t xml:space="preserve">gebrekkige uitstroom: mensen in een sociale huurwoning blijven daar relatief lang in wonen, mede vanwege </w:t>
          </w:r>
          <w:r w:rsidR="001A6196">
            <w:t xml:space="preserve">het </w:t>
          </w:r>
          <w:r w:rsidR="00877E83">
            <w:t xml:space="preserve">vaak </w:t>
          </w:r>
          <w:r w:rsidR="001A6196">
            <w:t>grote prijsverschil</w:t>
          </w:r>
          <w:r w:rsidR="00877E83">
            <w:t xml:space="preserve"> met</w:t>
          </w:r>
          <w:r w:rsidRPr="00ED5560" w:rsidR="00ED5560">
            <w:t xml:space="preserve"> de andere twee marktsegmenten</w:t>
          </w:r>
          <w:r w:rsidR="00463358">
            <w:t>.</w:t>
          </w:r>
          <w:r w:rsidRPr="00ED5560" w:rsidR="00ED5560">
            <w:t xml:space="preserve"> </w:t>
          </w:r>
          <w:r w:rsidR="00463358">
            <w:t>K</w:t>
          </w:r>
          <w:r w:rsidRPr="00ED5560" w:rsidR="00ED5560">
            <w:t xml:space="preserve">oopwoningen zijn </w:t>
          </w:r>
          <w:r w:rsidRPr="00ED5560" w:rsidR="544C08C2">
            <w:t xml:space="preserve">veelal </w:t>
          </w:r>
          <w:r w:rsidRPr="00ED5560" w:rsidR="00ED5560">
            <w:t xml:space="preserve">te duur en ook </w:t>
          </w:r>
          <w:r w:rsidR="00463358">
            <w:t>de huren</w:t>
          </w:r>
          <w:r w:rsidRPr="00ED5560" w:rsidR="00463358">
            <w:t xml:space="preserve"> </w:t>
          </w:r>
          <w:r w:rsidRPr="00ED5560" w:rsidR="00ED5560">
            <w:t xml:space="preserve">in de vrije sector zijn </w:t>
          </w:r>
          <w:r w:rsidRPr="00ED5560" w:rsidR="734C4957">
            <w:t xml:space="preserve">voor deze doelgroep </w:t>
          </w:r>
          <w:r w:rsidRPr="00ED5560" w:rsidR="00ED5560">
            <w:t xml:space="preserve">niet altijd betaalbaar. Gevolg is dat deze groep </w:t>
          </w:r>
          <w:r w:rsidR="0095624D">
            <w:t>in</w:t>
          </w:r>
          <w:r w:rsidRPr="00ED5560" w:rsidDel="002022F8" w:rsidR="00ED5560">
            <w:t xml:space="preserve"> </w:t>
          </w:r>
          <w:r w:rsidRPr="00ED5560" w:rsidR="00ED5560">
            <w:t xml:space="preserve">sociale huurwoningen </w:t>
          </w:r>
          <w:r w:rsidR="0095624D">
            <w:t>blijft wonen</w:t>
          </w:r>
          <w:r w:rsidR="002022F8">
            <w:t>,</w:t>
          </w:r>
          <w:r w:rsidRPr="00ED5560" w:rsidR="00ED5560">
            <w:t xml:space="preserve"> ook als </w:t>
          </w:r>
          <w:r w:rsidR="00F44DD3">
            <w:t>het</w:t>
          </w:r>
          <w:r w:rsidRPr="00ED5560" w:rsidR="00ED5560">
            <w:t xml:space="preserve"> inkomen </w:t>
          </w:r>
          <w:r w:rsidR="00F44DD3">
            <w:t>stijgt</w:t>
          </w:r>
          <w:r w:rsidR="002C5BE6">
            <w:t>.</w:t>
          </w:r>
          <w:r w:rsidR="002C5BE6">
            <w:rPr>
              <w:rStyle w:val="Voetnootmarkering"/>
            </w:rPr>
            <w:footnoteReference w:id="29"/>
          </w:r>
        </w:p>
        <w:p w:rsidR="0016499D" w:rsidRDefault="00ED5560" w14:paraId="79609FFE" w14:textId="5DC84058">
          <w:r w:rsidRPr="00ED5560">
            <w:t xml:space="preserve"> </w:t>
          </w:r>
        </w:p>
        <w:p w:rsidR="0016499D" w:rsidP="0016499D" w:rsidRDefault="0016499D" w14:paraId="42AF9FC8" w14:textId="65DCD138">
          <w:r>
            <w:t xml:space="preserve">De komende jaren zal er behoefte zijn aan meer nieuwbouw van huurwoningen, niet alleen </w:t>
          </w:r>
          <w:r w:rsidR="00930DA4">
            <w:t xml:space="preserve">in het sociale en </w:t>
          </w:r>
          <w:proofErr w:type="spellStart"/>
          <w:r>
            <w:t>middenhuur</w:t>
          </w:r>
          <w:r w:rsidR="00930DA4">
            <w:t>segment</w:t>
          </w:r>
          <w:proofErr w:type="spellEnd"/>
          <w:r>
            <w:t xml:space="preserve"> maar ook </w:t>
          </w:r>
          <w:r w:rsidR="007254B6">
            <w:t>in</w:t>
          </w:r>
          <w:r>
            <w:t xml:space="preserve"> het hogere segment voor oudere</w:t>
          </w:r>
          <w:r w:rsidR="00361EC5">
            <w:t>n</w:t>
          </w:r>
          <w:r>
            <w:t>.</w:t>
          </w:r>
          <w:r>
            <w:rPr>
              <w:rStyle w:val="Voetnootmarkering"/>
            </w:rPr>
            <w:footnoteReference w:id="30"/>
          </w:r>
          <w:r w:rsidDel="00697393">
            <w:t xml:space="preserve"> </w:t>
          </w:r>
          <w:r w:rsidR="00697393">
            <w:t xml:space="preserve">Zij </w:t>
          </w:r>
          <w:r>
            <w:t>wonen nu hoofdzakelijk in relatief grote koopwoningen</w:t>
          </w:r>
          <w:r w:rsidR="0064199A">
            <w:t>.</w:t>
          </w:r>
          <w:r>
            <w:t xml:space="preserve"> Uit recent onderzoek blijkt dat vooral onder ouderen die een eigen woning bezitten een ‘intrinsieke’ behoefte bestaat aan huurwoningen. </w:t>
          </w:r>
          <w:r w:rsidR="00345ABF">
            <w:t xml:space="preserve">Wanneer in deze behoefte kan worden voorzien, </w:t>
          </w:r>
          <w:r>
            <w:t xml:space="preserve">zou ook de doorstroming op de woningmarkt op gang </w:t>
          </w:r>
          <w:r w:rsidR="55CA1E3A">
            <w:t xml:space="preserve">kunnen </w:t>
          </w:r>
          <w:r>
            <w:t>komen.</w:t>
          </w:r>
          <w:r>
            <w:rPr>
              <w:rStyle w:val="Voetnootmarkering"/>
            </w:rPr>
            <w:footnoteReference w:id="31"/>
          </w:r>
          <w:r>
            <w:t xml:space="preserve"> </w:t>
          </w:r>
          <w:r w:rsidR="6FF37903">
            <w:t>N</w:t>
          </w:r>
          <w:r w:rsidR="09C78D51">
            <w:t xml:space="preserve">aast de beperkte </w:t>
          </w:r>
          <w:r w:rsidR="0046092D">
            <w:t xml:space="preserve">beschikbaarheid, </w:t>
          </w:r>
          <w:r w:rsidR="1FDB07E9">
            <w:t xml:space="preserve">zijn er ook financiële belemmeringen </w:t>
          </w:r>
          <w:r w:rsidR="006D1C19">
            <w:t>om</w:t>
          </w:r>
          <w:r w:rsidR="00D351FB">
            <w:t xml:space="preserve"> in</w:t>
          </w:r>
          <w:r w:rsidR="1FDB07E9">
            <w:t xml:space="preserve"> deze </w:t>
          </w:r>
          <w:r w:rsidR="00D351FB">
            <w:t>behoefte</w:t>
          </w:r>
          <w:r w:rsidR="006D1C19">
            <w:t xml:space="preserve"> te voorzien</w:t>
          </w:r>
          <w:r w:rsidR="1FDB07E9">
            <w:t xml:space="preserve">, </w:t>
          </w:r>
          <w:r w:rsidR="05EBA782">
            <w:t xml:space="preserve">als gevolg van </w:t>
          </w:r>
          <w:r>
            <w:t>overheidsprikkels ten gunste van koop en ten koste van huur.</w:t>
          </w:r>
          <w:r>
            <w:rPr>
              <w:rStyle w:val="Voetnootmarkering"/>
            </w:rPr>
            <w:footnoteReference w:id="32"/>
          </w:r>
        </w:p>
        <w:p w:rsidRPr="00143D41" w:rsidR="001D1ACE" w:rsidP="00B71D08" w:rsidRDefault="001D1ACE" w14:paraId="510EA281" w14:textId="77777777"/>
        <w:p w:rsidR="000C1E36" w:rsidP="00B71D08" w:rsidRDefault="0025059E" w14:paraId="562F140F" w14:textId="42B69FC1">
          <w:pPr>
            <w:rPr>
              <w:u w:val="single"/>
            </w:rPr>
          </w:pPr>
          <w:r>
            <w:t>3</w:t>
          </w:r>
          <w:r w:rsidR="000C1E36">
            <w:t>.</w:t>
          </w:r>
          <w:r w:rsidR="000C1E36">
            <w:tab/>
          </w:r>
          <w:r w:rsidR="0095523B">
            <w:rPr>
              <w:u w:val="single"/>
            </w:rPr>
            <w:t>Redelijke huurprijs</w:t>
          </w:r>
          <w:r w:rsidR="00CB4F38">
            <w:rPr>
              <w:u w:val="single"/>
            </w:rPr>
            <w:t xml:space="preserve"> (eerste pijler)</w:t>
          </w:r>
        </w:p>
        <w:p w:rsidR="00A6662F" w:rsidP="00B71D08" w:rsidRDefault="00A6662F" w14:paraId="3056D199" w14:textId="77777777"/>
        <w:p w:rsidR="004D38FE" w:rsidRDefault="00563D18" w14:paraId="2C27A701" w14:textId="36F42634">
          <w:r>
            <w:t xml:space="preserve">De regering beoogt met dit wetsvoorstel een </w:t>
          </w:r>
          <w:r w:rsidRPr="00DE2CA0" w:rsidR="00DE2CA0">
            <w:t>versterking van de rechts</w:t>
          </w:r>
          <w:r w:rsidR="001E50B8">
            <w:t>positie</w:t>
          </w:r>
          <w:r w:rsidRPr="00DE2CA0" w:rsidR="00DE2CA0">
            <w:t xml:space="preserve"> van de huurder. </w:t>
          </w:r>
          <w:r>
            <w:t xml:space="preserve">Het </w:t>
          </w:r>
          <w:r w:rsidR="004D38FE">
            <w:t xml:space="preserve">voorstel bevat daartoe twee </w:t>
          </w:r>
          <w:r w:rsidR="00642369">
            <w:t xml:space="preserve">met elkaar samenhangende </w:t>
          </w:r>
          <w:r w:rsidR="004D38FE">
            <w:t>maatregelen:</w:t>
          </w:r>
          <w:r w:rsidR="005A57AF">
            <w:rPr>
              <w:rStyle w:val="Voetnootmarkering"/>
            </w:rPr>
            <w:footnoteReference w:id="33"/>
          </w:r>
        </w:p>
        <w:p w:rsidR="00C338D4" w:rsidP="004D38FE" w:rsidRDefault="00DE2CA0" w14:paraId="4ECE3098" w14:textId="244AD0BE">
          <w:pPr>
            <w:pStyle w:val="Lijstalinea"/>
            <w:numPr>
              <w:ilvl w:val="0"/>
              <w:numId w:val="21"/>
            </w:numPr>
          </w:pPr>
          <w:r w:rsidRPr="00DE2CA0">
            <w:t>de bestaande huurprijs</w:t>
          </w:r>
          <w:r w:rsidR="00B01D76">
            <w:t>regulering</w:t>
          </w:r>
          <w:r w:rsidRPr="00DE2CA0">
            <w:t xml:space="preserve"> op basis van het woningwaarderingsstelsel (WWS) voor </w:t>
          </w:r>
          <w:r w:rsidR="004D38FE">
            <w:t xml:space="preserve">de sociale </w:t>
          </w:r>
          <w:r w:rsidR="00DE451C">
            <w:t>sector</w:t>
          </w:r>
          <w:r w:rsidRPr="00DE2CA0">
            <w:t xml:space="preserve">, wordt uitgebreid naar </w:t>
          </w:r>
          <w:r w:rsidR="00AD31F6">
            <w:t xml:space="preserve">een groot deel van de vrije </w:t>
          </w:r>
          <w:r w:rsidR="00B01D76">
            <w:t>huur</w:t>
          </w:r>
          <w:r w:rsidR="00AD31F6">
            <w:t>sector</w:t>
          </w:r>
          <w:r w:rsidR="00383BA9">
            <w:t>;</w:t>
          </w:r>
        </w:p>
        <w:p w:rsidR="0094208E" w:rsidP="004D38FE" w:rsidRDefault="00DE2CA0" w14:paraId="6B9E09C7" w14:textId="3E441A17">
          <w:pPr>
            <w:pStyle w:val="Lijstalinea"/>
            <w:numPr>
              <w:ilvl w:val="0"/>
              <w:numId w:val="21"/>
            </w:numPr>
          </w:pPr>
          <w:r w:rsidRPr="00DE2CA0">
            <w:t>de huurprijsbescherming op basis van het WWS wordt dwingend</w:t>
          </w:r>
          <w:r w:rsidR="006B56FA">
            <w:t xml:space="preserve"> </w:t>
          </w:r>
          <w:r w:rsidR="00AD31F6">
            <w:t>geregeld</w:t>
          </w:r>
          <w:r w:rsidRPr="00DE2CA0">
            <w:t>.</w:t>
          </w:r>
          <w:r w:rsidR="00AD31F6">
            <w:t xml:space="preserve"> Gemeenten krijgen de mogelijkheid handhavend op te treden.</w:t>
          </w:r>
        </w:p>
        <w:p w:rsidR="0094208E" w:rsidRDefault="0094208E" w14:paraId="480F6697" w14:textId="77777777"/>
        <w:p w:rsidR="00E723DC" w:rsidP="00E723DC" w:rsidRDefault="00606106" w14:paraId="6B6FD16F" w14:textId="4CACFE8A">
          <w:r w:rsidRPr="00DB05C4">
            <w:lastRenderedPageBreak/>
            <w:t xml:space="preserve">De regering </w:t>
          </w:r>
          <w:r w:rsidR="003075B5">
            <w:t>stelt dat</w:t>
          </w:r>
          <w:r w:rsidRPr="00DB05C4">
            <w:t xml:space="preserve"> met h</w:t>
          </w:r>
          <w:r w:rsidRPr="00DB05C4" w:rsidR="00E723DC">
            <w:t xml:space="preserve">et wetsvoorstel de betaalbaarheid </w:t>
          </w:r>
          <w:r w:rsidR="00A82C7A">
            <w:t xml:space="preserve">wordt </w:t>
          </w:r>
          <w:r w:rsidRPr="00DB05C4" w:rsidR="00E723DC">
            <w:t>verbeter</w:t>
          </w:r>
          <w:r w:rsidR="00A82C7A">
            <w:t>d</w:t>
          </w:r>
          <w:r w:rsidRPr="00DB05C4" w:rsidR="00E723DC">
            <w:t xml:space="preserve"> voor meer dan 300.000 huurders. </w:t>
          </w:r>
          <w:bookmarkStart w:name="_Hlk127450092" w:id="0"/>
          <w:r w:rsidRPr="00DB05C4" w:rsidR="00E723DC">
            <w:t xml:space="preserve">Door de voorgestelde regulering van de </w:t>
          </w:r>
          <w:proofErr w:type="spellStart"/>
          <w:r w:rsidRPr="00DB05C4" w:rsidR="00E723DC">
            <w:t>middenhuur</w:t>
          </w:r>
          <w:proofErr w:type="spellEnd"/>
          <w:r w:rsidRPr="00DB05C4" w:rsidR="00E723DC">
            <w:t xml:space="preserve"> gaan bij een bewonerswissel circa 157.000 woningen in prijs naar beneden, met gemiddeld ongeveer </w:t>
          </w:r>
          <w:r w:rsidR="007F7078">
            <w:t>€ </w:t>
          </w:r>
          <w:r w:rsidRPr="00DB05C4" w:rsidR="00E723DC">
            <w:t xml:space="preserve">240 per maand. In gebieden met veel schaarste, zoals de </w:t>
          </w:r>
          <w:r w:rsidR="00A82C7A">
            <w:t>grote steden</w:t>
          </w:r>
          <w:r w:rsidRPr="00DB05C4" w:rsidR="00E723DC">
            <w:t>, is de gemiddelde huurverlaging</w:t>
          </w:r>
          <w:r w:rsidRPr="00DB05C4" w:rsidDel="00415411" w:rsidR="00E723DC">
            <w:t xml:space="preserve"> </w:t>
          </w:r>
          <w:r w:rsidRPr="00DB05C4" w:rsidR="00E723DC">
            <w:t>groter.</w:t>
          </w:r>
          <w:bookmarkEnd w:id="0"/>
        </w:p>
        <w:p w:rsidRPr="00DB05C4" w:rsidR="00763CFE" w:rsidP="00E723DC" w:rsidRDefault="00763CFE" w14:paraId="5DD6AF0C" w14:textId="77777777"/>
        <w:p w:rsidR="00E723DC" w:rsidP="00E723DC" w:rsidRDefault="00E723DC" w14:paraId="3BC27946" w14:textId="23ADD637">
          <w:r w:rsidRPr="00AA4897">
            <w:t>Het dwingend maken van het WWS moet leiden tot een huurverlaging bij circa 163.000 woningen</w:t>
          </w:r>
          <w:r w:rsidRPr="00BD3B02">
            <w:rPr>
              <w:rStyle w:val="Voetnootmarkering"/>
              <w:rFonts w:ascii="Verdana" w:hAnsi="Verdana"/>
              <w:sz w:val="18"/>
              <w:szCs w:val="18"/>
            </w:rPr>
            <w:footnoteReference w:id="34"/>
          </w:r>
          <w:r w:rsidRPr="00BD3B02">
            <w:rPr>
              <w:rFonts w:ascii="Verdana" w:hAnsi="Verdana"/>
              <w:sz w:val="18"/>
              <w:szCs w:val="18"/>
            </w:rPr>
            <w:t xml:space="preserve"> </w:t>
          </w:r>
          <w:r w:rsidRPr="00AA4897">
            <w:t xml:space="preserve">met een gemiddeld bedrag van </w:t>
          </w:r>
          <w:r w:rsidR="007F7078">
            <w:t>€</w:t>
          </w:r>
          <w:r w:rsidR="00303E76">
            <w:t> </w:t>
          </w:r>
          <w:r w:rsidRPr="00AA4897">
            <w:t xml:space="preserve">145 per maand per woning. Dit is allereerst het gevolg van het feit dat de maximale huurprijzen de dwingende norm worden. Daarnaast wordt de positie van huurders verder versterkt, doordat </w:t>
          </w:r>
          <w:r w:rsidR="00451301">
            <w:t>huurders</w:t>
          </w:r>
          <w:r w:rsidRPr="00AA4897">
            <w:t xml:space="preserve"> meer mogelijkheden krijgen om ook op een later moment naar de Huurcommissie te stappen</w:t>
          </w:r>
          <w:r w:rsidR="00451301">
            <w:t xml:space="preserve">. </w:t>
          </w:r>
          <w:r w:rsidR="0034463E">
            <w:t>Ook</w:t>
          </w:r>
          <w:r w:rsidR="005A7596">
            <w:t xml:space="preserve"> </w:t>
          </w:r>
          <w:r w:rsidR="00451301">
            <w:t>moet</w:t>
          </w:r>
          <w:r w:rsidRPr="00AA4897">
            <w:t xml:space="preserve"> de verhuurder transparant communiceren over de huurprijs en de WWS-puntentelling van de woning. </w:t>
          </w:r>
          <w:r w:rsidR="00451301">
            <w:t>Verder</w:t>
          </w:r>
          <w:r w:rsidR="00126D86">
            <w:t xml:space="preserve"> kunnen</w:t>
          </w:r>
          <w:r w:rsidRPr="00AA4897">
            <w:t xml:space="preserve"> gemeenten bestuursrechtelijk handhaven </w:t>
          </w:r>
          <w:r w:rsidR="00126D86">
            <w:t xml:space="preserve">en aldus </w:t>
          </w:r>
          <w:r w:rsidRPr="00AA4897">
            <w:t xml:space="preserve">bewerkstelligen dat </w:t>
          </w:r>
          <w:r w:rsidR="00126D86">
            <w:t>ver</w:t>
          </w:r>
          <w:r w:rsidRPr="00AA4897">
            <w:t xml:space="preserve">huurders </w:t>
          </w:r>
          <w:r w:rsidR="00126D86">
            <w:t>het WWS</w:t>
          </w:r>
          <w:r w:rsidRPr="00AA4897">
            <w:t xml:space="preserve"> respecteren. </w:t>
          </w:r>
        </w:p>
        <w:p w:rsidR="00E723DC" w:rsidRDefault="00E723DC" w14:paraId="4402735D" w14:textId="77777777"/>
        <w:p w:rsidR="00491AD6" w:rsidRDefault="00491AD6" w14:paraId="4E75BB14" w14:textId="47FAF768">
          <w:r>
            <w:t xml:space="preserve">De </w:t>
          </w:r>
          <w:r w:rsidR="00E46D9B">
            <w:t>A</w:t>
          </w:r>
          <w:r>
            <w:t xml:space="preserve">fdeling maakt </w:t>
          </w:r>
          <w:r w:rsidR="009F2FD4">
            <w:t>opmerkingen</w:t>
          </w:r>
          <w:r>
            <w:t xml:space="preserve"> over de </w:t>
          </w:r>
          <w:r w:rsidR="00DA3C78">
            <w:t xml:space="preserve">verwachte </w:t>
          </w:r>
          <w:r w:rsidR="009F2FD4">
            <w:t>effectiviteit</w:t>
          </w:r>
          <w:r w:rsidR="00DA3C78">
            <w:t xml:space="preserve"> en </w:t>
          </w:r>
          <w:r w:rsidR="00E46D9B">
            <w:t xml:space="preserve">de </w:t>
          </w:r>
          <w:r w:rsidR="00DA3C78">
            <w:t xml:space="preserve">onduidelijkheid over de </w:t>
          </w:r>
          <w:r w:rsidR="005A7596">
            <w:t>duur van</w:t>
          </w:r>
          <w:r w:rsidR="00DA3C78">
            <w:t xml:space="preserve"> de regulering van de </w:t>
          </w:r>
          <w:proofErr w:type="spellStart"/>
          <w:r w:rsidR="00DA3C78">
            <w:t>middenhuur</w:t>
          </w:r>
          <w:proofErr w:type="spellEnd"/>
          <w:r w:rsidR="00DA3C78">
            <w:t>.</w:t>
          </w:r>
        </w:p>
        <w:p w:rsidR="00DA3C78" w:rsidRDefault="00DA3C78" w14:paraId="5E1318EA" w14:textId="77777777"/>
        <w:p w:rsidR="00DA3C78" w:rsidRDefault="00FC283E" w14:paraId="07475714" w14:textId="401FF87E">
          <w:r>
            <w:t>a</w:t>
          </w:r>
          <w:r w:rsidR="00164EB6">
            <w:t>.</w:t>
          </w:r>
          <w:r w:rsidR="00164EB6">
            <w:tab/>
          </w:r>
          <w:r w:rsidRPr="009F2FD4" w:rsidR="00DA3C78">
            <w:rPr>
              <w:i/>
              <w:iCs/>
            </w:rPr>
            <w:t>Effectiviteit</w:t>
          </w:r>
        </w:p>
        <w:p w:rsidR="00DD527E" w:rsidP="009F2FD4" w:rsidRDefault="00DD527E" w14:paraId="43F603A8" w14:textId="77777777"/>
        <w:p w:rsidRPr="00F46B62" w:rsidR="00DD527E" w:rsidP="009F2FD4" w:rsidRDefault="00DD527E" w14:paraId="22E36CB8" w14:textId="77777777">
          <w:pPr>
            <w:rPr>
              <w:i/>
              <w:iCs/>
            </w:rPr>
          </w:pPr>
          <w:r w:rsidRPr="00F46B62">
            <w:rPr>
              <w:i/>
              <w:iCs/>
            </w:rPr>
            <w:t>Dwingend WWS</w:t>
          </w:r>
        </w:p>
        <w:p w:rsidR="009F2FD4" w:rsidP="009F2FD4" w:rsidRDefault="009F2FD4" w14:paraId="2D294715" w14:textId="4EB089C3">
          <w:r>
            <w:t xml:space="preserve">De Afdeling heeft begrip voor de wens van de regering om de huren voor middeninkomens betaalbaar te maken. Zoals uiteengezet in de toelichting, is de betaalbaarheid de laatste jaren afgenomen doordat huren meer stegen dan inkomens. </w:t>
          </w:r>
          <w:r w:rsidR="00B560ED">
            <w:t>B</w:t>
          </w:r>
          <w:r w:rsidR="008066E4">
            <w:t>ij</w:t>
          </w:r>
          <w:r>
            <w:t xml:space="preserve"> ongeveer 40 procent van de </w:t>
          </w:r>
          <w:proofErr w:type="spellStart"/>
          <w:r>
            <w:t>middenhuurwoningen</w:t>
          </w:r>
          <w:proofErr w:type="spellEnd"/>
          <w:r>
            <w:t xml:space="preserve"> </w:t>
          </w:r>
          <w:r w:rsidR="00B560ED">
            <w:t>ligt de</w:t>
          </w:r>
          <w:r>
            <w:t xml:space="preserve"> huurprijs boven het WWS.</w:t>
          </w:r>
          <w:r>
            <w:rPr>
              <w:rStyle w:val="Voetnootmarkering"/>
            </w:rPr>
            <w:footnoteReference w:id="35"/>
          </w:r>
        </w:p>
        <w:p w:rsidR="009F2FD4" w:rsidP="009F2FD4" w:rsidRDefault="009F2FD4" w14:paraId="2398B09F" w14:textId="77777777"/>
        <w:p w:rsidR="009F2FD4" w:rsidP="009F2FD4" w:rsidRDefault="009F2FD4" w14:paraId="33BC7BE2" w14:textId="2ED91623">
          <w:r>
            <w:t>Voor zover het gaat om sociale huurwoningen die ook</w:t>
          </w:r>
          <w:r w:rsidR="00D6086A">
            <w:t xml:space="preserve"> nu,</w:t>
          </w:r>
          <w:r>
            <w:t xml:space="preserve"> onder het huidige regime</w:t>
          </w:r>
          <w:r w:rsidR="00D6086A">
            <w:t>,</w:t>
          </w:r>
          <w:r>
            <w:t xml:space="preserve"> te duur worden verhuurd, ligt </w:t>
          </w:r>
          <w:r w:rsidR="00E47830">
            <w:t xml:space="preserve">een </w:t>
          </w:r>
          <w:r>
            <w:t xml:space="preserve">dwingend </w:t>
          </w:r>
          <w:r w:rsidR="00E47830">
            <w:t>WWS</w:t>
          </w:r>
          <w:r>
            <w:t xml:space="preserve"> voor de hand. Ook nu zouden deze eigenlijk voor een ‘sociale’ huurprijs moeten worden verhuurd. Het wetsvoorstel maakt het mogelijk dat dit ook daadwerkelijk gebeurt: uiterlijk een jaar na inwerkingtreding zullen deze terugvallen in het sociale segment.</w:t>
          </w:r>
        </w:p>
        <w:p w:rsidR="009F2FD4" w:rsidP="009F2FD4" w:rsidRDefault="009F2FD4" w14:paraId="60E968D0" w14:textId="77777777"/>
        <w:p w:rsidRPr="00F46B62" w:rsidR="00DD527E" w:rsidRDefault="00DD527E" w14:paraId="52EAF94C" w14:textId="324EF139">
          <w:pPr>
            <w:rPr>
              <w:i/>
              <w:iCs/>
            </w:rPr>
          </w:pPr>
          <w:r w:rsidRPr="00F46B62">
            <w:rPr>
              <w:i/>
              <w:iCs/>
            </w:rPr>
            <w:t xml:space="preserve">Regulering </w:t>
          </w:r>
          <w:proofErr w:type="spellStart"/>
          <w:r w:rsidRPr="00F46B62">
            <w:rPr>
              <w:i/>
              <w:iCs/>
            </w:rPr>
            <w:t>middenhuur</w:t>
          </w:r>
          <w:proofErr w:type="spellEnd"/>
        </w:p>
        <w:p w:rsidR="00B25A17" w:rsidP="00B25A17" w:rsidRDefault="00B25A17" w14:paraId="0184B672" w14:textId="16649A5B">
          <w:r>
            <w:t xml:space="preserve">De regering verwacht dat de huren fors omlaag zullen gaan met gemiddeld </w:t>
          </w:r>
          <w:r w:rsidR="001C1CE6">
            <w:t>€ </w:t>
          </w:r>
          <w:r>
            <w:t>240</w:t>
          </w:r>
          <w:r w:rsidR="00B13B27">
            <w:t>.</w:t>
          </w:r>
          <w:r w:rsidR="0012343C">
            <w:t xml:space="preserve"> </w:t>
          </w:r>
          <w:r w:rsidR="00B13B27">
            <w:t>I</w:t>
          </w:r>
          <w:r>
            <w:t xml:space="preserve">n de grote steden kan dit aanmerkelijk meer zijn. Deze verlaging wordt doorgevoerd voor nieuwe huurcontracten en dat betekent dat het effect zichtbaar wordt bij een bewonerswissel. </w:t>
          </w:r>
          <w:r w:rsidR="00851EF4">
            <w:t>De veronderstelling hierbij is dat d</w:t>
          </w:r>
          <w:r w:rsidR="00662B6C">
            <w:t>e vrijgekomen woning w</w:t>
          </w:r>
          <w:r w:rsidR="003D1D20">
            <w:t>e</w:t>
          </w:r>
          <w:r w:rsidR="00662B6C">
            <w:t xml:space="preserve">l </w:t>
          </w:r>
          <w:r w:rsidR="00DF6694">
            <w:t>beschikbaar blij</w:t>
          </w:r>
          <w:r w:rsidR="00851EF4">
            <w:t>ft</w:t>
          </w:r>
          <w:r w:rsidR="003D1D20">
            <w:t xml:space="preserve"> als </w:t>
          </w:r>
          <w:r w:rsidR="00DF6694">
            <w:t>huurwoning</w:t>
          </w:r>
          <w:r w:rsidR="003D1D20">
            <w:t xml:space="preserve"> (zie </w:t>
          </w:r>
          <w:r w:rsidR="000B2F48">
            <w:t>punt</w:t>
          </w:r>
          <w:r w:rsidR="00300DC9">
            <w:t>en</w:t>
          </w:r>
          <w:r w:rsidR="00D21C41">
            <w:t xml:space="preserve"> </w:t>
          </w:r>
          <w:r w:rsidR="00B96832">
            <w:t>4</w:t>
          </w:r>
          <w:r w:rsidR="00D21C41">
            <w:t xml:space="preserve"> en </w:t>
          </w:r>
          <w:r w:rsidR="00B96832">
            <w:t>5</w:t>
          </w:r>
          <w:r w:rsidR="00D21C41">
            <w:t>)</w:t>
          </w:r>
          <w:r w:rsidR="00DF6694">
            <w:t xml:space="preserve">. </w:t>
          </w:r>
        </w:p>
        <w:p w:rsidR="00B25A17" w:rsidRDefault="00B25A17" w14:paraId="00A1E37F" w14:textId="77777777"/>
        <w:p w:rsidR="00DA3C78" w:rsidRDefault="008170F9" w14:paraId="490B2849" w14:textId="68B453BD">
          <w:r>
            <w:t>D</w:t>
          </w:r>
          <w:r w:rsidR="00B25A17">
            <w:t xml:space="preserve">e Afdeling </w:t>
          </w:r>
          <w:r>
            <w:t xml:space="preserve">merkt </w:t>
          </w:r>
          <w:r w:rsidR="00B25A17">
            <w:t xml:space="preserve">op dat </w:t>
          </w:r>
          <w:r w:rsidR="002E192F">
            <w:t>de hoge huren</w:t>
          </w:r>
          <w:r w:rsidR="00F25A59">
            <w:t xml:space="preserve"> in vooral de grote steden</w:t>
          </w:r>
          <w:r w:rsidR="003F1D9F">
            <w:t xml:space="preserve"> </w:t>
          </w:r>
          <w:r w:rsidR="008D02E7">
            <w:t xml:space="preserve">worden veroorzaakt door </w:t>
          </w:r>
          <w:r w:rsidR="002E192F">
            <w:t>de schaarst</w:t>
          </w:r>
          <w:r w:rsidR="00CC28AE">
            <w:t>e</w:t>
          </w:r>
          <w:r w:rsidR="00F25A59">
            <w:t xml:space="preserve"> in deze gebieden</w:t>
          </w:r>
          <w:r w:rsidR="002E192F">
            <w:t>.</w:t>
          </w:r>
          <w:r w:rsidR="00CC28AE">
            <w:t xml:space="preserve"> Deze schaarste is weer het gevolg van een samenstel aan factoren die </w:t>
          </w:r>
          <w:r w:rsidR="00BF7735">
            <w:t xml:space="preserve">ook betrekking hebben op de andere </w:t>
          </w:r>
          <w:r w:rsidR="00BF7735">
            <w:lastRenderedPageBreak/>
            <w:t>segmenten van de woningmarkt</w:t>
          </w:r>
          <w:r w:rsidR="00D05A7F">
            <w:t xml:space="preserve">. </w:t>
          </w:r>
          <w:r w:rsidR="002C23B1">
            <w:t>Inzicht in dit samenspel i</w:t>
          </w:r>
          <w:r w:rsidR="0012343C">
            <w:t>s</w:t>
          </w:r>
          <w:r w:rsidR="002C23B1">
            <w:t xml:space="preserve"> nodig om de effectiviteit van het voorstel te </w:t>
          </w:r>
          <w:r w:rsidR="00882B05">
            <w:t xml:space="preserve">onderbouwen. </w:t>
          </w:r>
          <w:r w:rsidR="00D05A7F">
            <w:t xml:space="preserve">De toelichting </w:t>
          </w:r>
          <w:r w:rsidR="000A3C5A">
            <w:t>besteedt onvoldoende aandacht aan dit samenstel en de dieperliggende oorzaken van de schaarste en hoge huurprijzen</w:t>
          </w:r>
          <w:r w:rsidR="009A0D5F">
            <w:t xml:space="preserve"> (zoals geschetst in </w:t>
          </w:r>
          <w:r w:rsidR="001F28A6">
            <w:t xml:space="preserve">punt </w:t>
          </w:r>
          <w:r w:rsidR="00185FBC">
            <w:t>2</w:t>
          </w:r>
          <w:r w:rsidR="001F28A6">
            <w:t xml:space="preserve"> van dit advies</w:t>
          </w:r>
          <w:r w:rsidR="009A0D5F">
            <w:t>)</w:t>
          </w:r>
          <w:r w:rsidR="00FE12C3">
            <w:t>.</w:t>
          </w:r>
          <w:r w:rsidR="004A6C40">
            <w:rPr>
              <w:rStyle w:val="Voetnootmarkering"/>
            </w:rPr>
            <w:footnoteReference w:id="36"/>
          </w:r>
          <w:r w:rsidR="00CC0FC7">
            <w:t xml:space="preserve"> </w:t>
          </w:r>
        </w:p>
        <w:p w:rsidR="009128DF" w:rsidRDefault="009128DF" w14:paraId="27D59848" w14:textId="77777777"/>
        <w:p w:rsidR="00B850A3" w:rsidRDefault="00C00342" w14:paraId="01BA4F36" w14:textId="45971488">
          <w:r>
            <w:t>De Afd</w:t>
          </w:r>
          <w:r w:rsidR="00F67DF8">
            <w:t xml:space="preserve">eling adviseert in de toelichting in te gaan op de oorzaken van de schaarste </w:t>
          </w:r>
          <w:r w:rsidR="007C7A4B">
            <w:t>in de vrije huursector</w:t>
          </w:r>
          <w:r w:rsidR="00F67DF8">
            <w:t xml:space="preserve"> en hoe dit wetsvoorstel daarop in</w:t>
          </w:r>
          <w:r w:rsidR="00971B08">
            <w:t>werkt.</w:t>
          </w:r>
        </w:p>
        <w:p w:rsidR="00167D5E" w:rsidRDefault="00167D5E" w14:paraId="5E63DFC7" w14:textId="77777777"/>
        <w:p w:rsidRPr="00E24776" w:rsidR="00167D5E" w:rsidRDefault="00E24776" w14:paraId="6B6553EC" w14:textId="4BED41F5">
          <w:pPr>
            <w:rPr>
              <w:i/>
              <w:iCs/>
            </w:rPr>
          </w:pPr>
          <w:r w:rsidRPr="00E24776">
            <w:rPr>
              <w:i/>
              <w:iCs/>
            </w:rPr>
            <w:t>Doorstroming</w:t>
          </w:r>
        </w:p>
        <w:p w:rsidR="00E24776" w:rsidP="00E24776" w:rsidRDefault="00E24776" w14:paraId="7D6178F4" w14:textId="1BD53093">
          <w:r>
            <w:t xml:space="preserve">Zoals geschetst in </w:t>
          </w:r>
          <w:r w:rsidR="00E846BF">
            <w:t>punt 2</w:t>
          </w:r>
          <w:r>
            <w:t>, vervult de vrije huursector een belangrijke rol in de doorstroming</w:t>
          </w:r>
          <w:r w:rsidR="0012343C">
            <w:t>,</w:t>
          </w:r>
          <w:r>
            <w:t xml:space="preserve"> maar </w:t>
          </w:r>
          <w:r w:rsidR="0012343C">
            <w:t xml:space="preserve">op dit moment </w:t>
          </w:r>
          <w:r>
            <w:t>komt deze rol niet goed tot zijn recht door onvoldoende aanbod aan betaalbare huurwoningen. Daardoor kunnen huurders uit de sociale sector en woningbezitters (bijv</w:t>
          </w:r>
          <w:r w:rsidR="003639E9">
            <w:t>oorbeeld</w:t>
          </w:r>
          <w:r>
            <w:t xml:space="preserve"> senioren) die willen huren daar maar in beperkte mate terecht.</w:t>
          </w:r>
        </w:p>
        <w:p w:rsidR="00E24776" w:rsidP="00E24776" w:rsidRDefault="00E24776" w14:paraId="1F6A35E2" w14:textId="77777777"/>
        <w:p w:rsidR="00E24776" w:rsidP="00E24776" w:rsidRDefault="00E24776" w14:paraId="48A1E1B6" w14:textId="7766517B">
          <w:r>
            <w:t xml:space="preserve">Het te reguleren middensegment krijgt </w:t>
          </w:r>
          <w:r w:rsidR="0012343C">
            <w:t xml:space="preserve">met dit voorstel </w:t>
          </w:r>
          <w:r>
            <w:t xml:space="preserve">in veel opzichten het karakter van de sociale sector: wettelijke regulering van de huurprijzen en handhaving indien verhuurders zich hier niet aan houden. Daarmee ontstaat het risico dat ook effecten optreden die we nu kennen van de sociale huur. Deze effecten zullen vooral optreden in gebieden waar de nieuwe huren ver onder de markthuur komen te liggen. Daar is ook nu al sprake van schaarste en neemt de vraag (nog) verder toe met als gevolg wachtlijsten. Het financiële voordeel van deze kunstmatig lage huren vergroot verder het risico op zogeheten </w:t>
          </w:r>
          <w:proofErr w:type="spellStart"/>
          <w:r>
            <w:t>lock</w:t>
          </w:r>
          <w:proofErr w:type="spellEnd"/>
          <w:r>
            <w:t>-in effecten in de zin dat mensen lang blijven wonen</w:t>
          </w:r>
          <w:r w:rsidR="0012343C">
            <w:t>,</w:t>
          </w:r>
          <w:r>
            <w:t xml:space="preserve"> ook als hun woonwensen veranderen en ze inmiddels meer verdienen (‘</w:t>
          </w:r>
          <w:proofErr w:type="spellStart"/>
          <w:r>
            <w:t>scheefwonen</w:t>
          </w:r>
          <w:proofErr w:type="spellEnd"/>
          <w:r>
            <w:t>’).</w:t>
          </w:r>
          <w:r>
            <w:rPr>
              <w:rStyle w:val="Voetnootmarkering"/>
            </w:rPr>
            <w:footnoteReference w:id="37"/>
          </w:r>
          <w:r>
            <w:t xml:space="preserve"> Daarmee wordt de doorstroming op de woningmarkt verder beperkt. </w:t>
          </w:r>
        </w:p>
        <w:p w:rsidR="00E24776" w:rsidP="00E24776" w:rsidRDefault="00E24776" w14:paraId="055CEF51" w14:textId="77777777"/>
        <w:p w:rsidR="00E24776" w:rsidP="00E24776" w:rsidRDefault="00E24776" w14:paraId="00A5C249" w14:textId="30B762DE">
          <w:r>
            <w:t xml:space="preserve">Regulering van het middensegment zou dan voor een beperkte groep eenmalig een voordeel kunnen betekenen, maar </w:t>
          </w:r>
          <w:r w:rsidR="0012343C">
            <w:t xml:space="preserve">weinig </w:t>
          </w:r>
          <w:r>
            <w:t xml:space="preserve">verbeteren voor nieuwe starters en andere nieuwkomers. Zij zullen zijn aangewezen op een nog kleiner vrij segment van naar schatting 125.000 huurwoningen, wat neerkomt op </w:t>
          </w:r>
          <w:r w:rsidR="005178FE">
            <w:t>4</w:t>
          </w:r>
          <w:r>
            <w:t xml:space="preserve"> procent van de totale huurvoorraad en circa 1,6 procent van de totale woningvoorraad (koop en huur).</w:t>
          </w:r>
          <w:r>
            <w:rPr>
              <w:rStyle w:val="Voetnootmarkering"/>
            </w:rPr>
            <w:footnoteReference w:id="38"/>
          </w:r>
          <w:r>
            <w:t xml:space="preserve"> De druk zal in dit overgebleven vrije segment verder toenemen, met hogere huren als gevolg.</w:t>
          </w:r>
        </w:p>
        <w:p w:rsidR="00231AFF" w:rsidP="00E24776" w:rsidRDefault="00231AFF" w14:paraId="306969B8" w14:textId="77777777"/>
        <w:p w:rsidR="00231AFF" w:rsidP="00231AFF" w:rsidRDefault="00231AFF" w14:paraId="3B1D6DAF" w14:textId="632BC72C">
          <w:r>
            <w:t>De Afdeling adviseert de e</w:t>
          </w:r>
          <w:r w:rsidR="006439C4">
            <w:t xml:space="preserve">ffecten op </w:t>
          </w:r>
          <w:r w:rsidR="00DA1D7B">
            <w:t xml:space="preserve">de </w:t>
          </w:r>
          <w:r w:rsidR="006439C4">
            <w:t xml:space="preserve">doorstroming </w:t>
          </w:r>
          <w:r>
            <w:t>dragend te motiveren in het licht van het voorgaande.</w:t>
          </w:r>
        </w:p>
        <w:p w:rsidR="00971B08" w:rsidRDefault="00971B08" w14:paraId="5AC7A763" w14:textId="77777777"/>
        <w:p w:rsidR="00503C2D" w:rsidRDefault="00FC283E" w14:paraId="09818C6D" w14:textId="3D372E86">
          <w:pPr>
            <w:rPr>
              <w:i/>
            </w:rPr>
          </w:pPr>
          <w:r>
            <w:t>b</w:t>
          </w:r>
          <w:r w:rsidR="005813E5">
            <w:t xml:space="preserve">. </w:t>
          </w:r>
          <w:r w:rsidR="005813E5">
            <w:tab/>
          </w:r>
          <w:r w:rsidR="005813E5">
            <w:rPr>
              <w:i/>
              <w:iCs/>
            </w:rPr>
            <w:t>Tijdelijkheid</w:t>
          </w:r>
        </w:p>
        <w:p w:rsidR="005761AD" w:rsidP="005761AD" w:rsidRDefault="005761AD" w14:paraId="51C8A9CD" w14:textId="7A154323">
          <w:r>
            <w:t xml:space="preserve">Voor zover het gaat om de regulering van de </w:t>
          </w:r>
          <w:proofErr w:type="spellStart"/>
          <w:r>
            <w:t>middenhuur</w:t>
          </w:r>
          <w:proofErr w:type="spellEnd"/>
          <w:r>
            <w:t xml:space="preserve"> is het voorstel niet duidelijk over de beoogde duur van de maatregelen. Het uitgangspunt is volgens de toelichting dat de regulering van het middensegment tijdelijk wordt ingevoerd, </w:t>
          </w:r>
          <w:r>
            <w:lastRenderedPageBreak/>
            <w:t>‘zolang daar noodzaak toe is’. Daarbij wordt vermeld dat dit onderdeel binnen vijf jaar na inwerkingtreding wordt geëvalueerd en vervolgens elke volgende vijf jaar.</w:t>
          </w:r>
          <w:r>
            <w:rPr>
              <w:rStyle w:val="Voetnootmarkering"/>
            </w:rPr>
            <w:footnoteReference w:id="39"/>
          </w:r>
          <w:r>
            <w:t xml:space="preserve"> Dit tijdelijke karakter komt echter niet terug in het wetsvoorstel zelf. </w:t>
          </w:r>
        </w:p>
        <w:p w:rsidR="00002C61" w:rsidP="005761AD" w:rsidRDefault="00002C61" w14:paraId="5B168D24" w14:textId="77777777"/>
        <w:p w:rsidRPr="005813E5" w:rsidR="005813E5" w:rsidRDefault="005761AD" w14:paraId="0F4A6D77" w14:textId="4A5EDCA5">
          <w:pPr>
            <w:rPr>
              <w:i/>
              <w:iCs/>
            </w:rPr>
          </w:pPr>
          <w:r>
            <w:t xml:space="preserve">De Afdeling adviseert duidelijkheid te scheppen over de al dan niet tijdelijke aard van de regulering van de </w:t>
          </w:r>
          <w:proofErr w:type="spellStart"/>
          <w:r>
            <w:t>middenhuur</w:t>
          </w:r>
          <w:proofErr w:type="spellEnd"/>
          <w:r>
            <w:t xml:space="preserve">. </w:t>
          </w:r>
        </w:p>
        <w:p w:rsidR="006D2D82" w:rsidRDefault="006D2D82" w14:paraId="4B5CA343" w14:textId="77777777"/>
        <w:p w:rsidR="00161411" w:rsidRDefault="0025059E" w14:paraId="3D9F7221" w14:textId="4EB00B7D">
          <w:r>
            <w:t>4</w:t>
          </w:r>
          <w:r w:rsidR="004426DD">
            <w:t>.</w:t>
          </w:r>
          <w:r w:rsidR="004426DD">
            <w:tab/>
          </w:r>
          <w:r w:rsidRPr="00425E04" w:rsidR="00161411">
            <w:rPr>
              <w:u w:val="single"/>
            </w:rPr>
            <w:t>V</w:t>
          </w:r>
          <w:r w:rsidRPr="00425E04" w:rsidR="007839E3">
            <w:rPr>
              <w:u w:val="single"/>
            </w:rPr>
            <w:t xml:space="preserve">oldoende </w:t>
          </w:r>
          <w:r w:rsidR="00A563FA">
            <w:rPr>
              <w:u w:val="single"/>
            </w:rPr>
            <w:t xml:space="preserve">betaalbare </w:t>
          </w:r>
          <w:r w:rsidRPr="00425E04" w:rsidR="007839E3">
            <w:rPr>
              <w:u w:val="single"/>
            </w:rPr>
            <w:t xml:space="preserve">huurwoningen </w:t>
          </w:r>
          <w:r w:rsidRPr="00425E04" w:rsidR="00CB4F38">
            <w:rPr>
              <w:u w:val="single"/>
            </w:rPr>
            <w:t>(</w:t>
          </w:r>
          <w:r w:rsidRPr="00425E04" w:rsidR="00425E04">
            <w:rPr>
              <w:u w:val="single"/>
            </w:rPr>
            <w:t>tweede pijler)</w:t>
          </w:r>
        </w:p>
        <w:p w:rsidR="00161411" w:rsidRDefault="00161411" w14:paraId="781EFFB8" w14:textId="77777777"/>
        <w:p w:rsidRPr="002B6633" w:rsidR="002C2080" w:rsidDel="002C2080" w:rsidP="002C2080" w:rsidRDefault="00B850A3" w14:paraId="02AE333D" w14:textId="2D4607E4">
          <w:pPr>
            <w:keepNext/>
            <w:rPr>
              <w:i/>
              <w:iCs/>
            </w:rPr>
          </w:pPr>
          <w:r w:rsidRPr="00B850A3">
            <w:rPr>
              <w:iCs/>
            </w:rPr>
            <w:t>a.</w:t>
          </w:r>
          <w:r>
            <w:rPr>
              <w:i/>
            </w:rPr>
            <w:tab/>
          </w:r>
          <w:r w:rsidRPr="00457A95" w:rsidDel="002C2080" w:rsidR="002C2080">
            <w:rPr>
              <w:i/>
            </w:rPr>
            <w:t xml:space="preserve">Gevolgen voor </w:t>
          </w:r>
          <w:r w:rsidR="006F4B76">
            <w:rPr>
              <w:i/>
            </w:rPr>
            <w:t xml:space="preserve">de </w:t>
          </w:r>
          <w:r w:rsidR="00F53EE6">
            <w:rPr>
              <w:i/>
            </w:rPr>
            <w:t xml:space="preserve">bestaande </w:t>
          </w:r>
          <w:r w:rsidRPr="00457A95" w:rsidDel="002C2080" w:rsidR="002C2080">
            <w:rPr>
              <w:i/>
            </w:rPr>
            <w:t>huurvoorraad</w:t>
          </w:r>
        </w:p>
        <w:p w:rsidR="002C2080" w:rsidP="002C2080" w:rsidRDefault="002C2080" w14:paraId="6FF05C16" w14:textId="6C303784">
          <w:r>
            <w:t>De regering stelt zich tot doel dat er voldoende betaalbare woningen beschikbaar moeten komen</w:t>
          </w:r>
          <w:r w:rsidR="00101238">
            <w:t xml:space="preserve"> en</w:t>
          </w:r>
          <w:r>
            <w:t xml:space="preserve"> dat het aanbod aan </w:t>
          </w:r>
          <w:proofErr w:type="spellStart"/>
          <w:r w:rsidR="00965ACB">
            <w:t>middenhuurwoningen</w:t>
          </w:r>
          <w:proofErr w:type="spellEnd"/>
          <w:r>
            <w:t xml:space="preserve"> moet worden vergroot. Ze vermeldt in de toelichting de verwachte gevolgen van het wetsvoorstel voor de woningvoorraad huurwoningen</w:t>
          </w:r>
          <w:r w:rsidR="00F21626">
            <w:t xml:space="preserve"> (zie figuur 4)</w:t>
          </w:r>
          <w:r>
            <w:t xml:space="preserve">. </w:t>
          </w:r>
        </w:p>
        <w:p w:rsidR="002C2080" w:rsidP="002C2080" w:rsidRDefault="002C2080" w14:paraId="7309A949" w14:textId="77777777"/>
        <w:p w:rsidR="002C2080" w:rsidP="002C2080" w:rsidRDefault="002C2080" w14:paraId="54B038A6" w14:textId="77777777">
          <w:pPr>
            <w:keepNext/>
            <w:keepLines/>
          </w:pPr>
          <w:r w:rsidRPr="00457A95">
            <w:rPr>
              <w:b/>
              <w:sz w:val="18"/>
              <w:szCs w:val="20"/>
            </w:rPr>
            <w:t>Figuur 4 – Gevolgen wetsvoorstel voor huurvoorraad</w:t>
          </w:r>
          <w:r>
            <w:rPr>
              <w:rStyle w:val="Voetnootmarkering"/>
              <w:b/>
              <w:bCs/>
              <w:sz w:val="20"/>
              <w:szCs w:val="22"/>
            </w:rPr>
            <w:footnoteReference w:id="40"/>
          </w:r>
        </w:p>
        <w:tbl>
          <w:tblPr>
            <w:tblW w:w="8217" w:type="dxa"/>
            <w:tblLayout w:type="fixed"/>
            <w:tblCellMar>
              <w:left w:w="70" w:type="dxa"/>
              <w:right w:w="70" w:type="dxa"/>
            </w:tblCellMar>
            <w:tblLook w:val="04A0" w:firstRow="1" w:lastRow="0" w:firstColumn="1" w:lastColumn="0" w:noHBand="0" w:noVBand="1"/>
          </w:tblPr>
          <w:tblGrid>
            <w:gridCol w:w="1643"/>
            <w:gridCol w:w="1643"/>
            <w:gridCol w:w="1644"/>
            <w:gridCol w:w="1643"/>
            <w:gridCol w:w="1644"/>
          </w:tblGrid>
          <w:tr w:rsidRPr="00590098" w:rsidR="002C2080" w:rsidTr="006D5378" w14:paraId="57083F2E" w14:textId="77777777">
            <w:trPr>
              <w:trHeight w:val="300"/>
            </w:trPr>
            <w:tc>
              <w:tcPr>
                <w:tcW w:w="1643" w:type="dxa"/>
                <w:tcBorders>
                  <w:top w:val="single" w:color="auto" w:sz="4" w:space="0"/>
                  <w:left w:val="single" w:color="auto" w:sz="4" w:space="0"/>
                  <w:bottom w:val="single" w:color="auto" w:sz="4" w:space="0"/>
                  <w:right w:val="single" w:color="auto" w:sz="4" w:space="0"/>
                </w:tcBorders>
                <w:shd w:val="clear" w:color="auto" w:fill="EEECE1" w:themeFill="background2"/>
                <w:noWrap/>
                <w:vAlign w:val="bottom"/>
                <w:hideMark/>
              </w:tcPr>
              <w:p w:rsidRPr="00590098" w:rsidR="002C2080" w:rsidP="006D5378" w:rsidRDefault="002C2080" w14:paraId="077A1E23" w14:textId="77777777">
                <w:pPr>
                  <w:keepNext/>
                  <w:keepLines/>
                  <w:jc w:val="center"/>
                  <w:rPr>
                    <w:rFonts w:ascii="Calibri" w:hAnsi="Calibri" w:cs="Calibri"/>
                    <w:color w:val="000000"/>
                    <w:sz w:val="20"/>
                    <w:szCs w:val="20"/>
                  </w:rPr>
                </w:pPr>
                <w:r w:rsidRPr="00590098">
                  <w:rPr>
                    <w:rFonts w:ascii="Calibri" w:hAnsi="Calibri" w:cs="Calibri"/>
                    <w:color w:val="000000"/>
                    <w:sz w:val="20"/>
                    <w:szCs w:val="20"/>
                  </w:rPr>
                  <w:t> </w:t>
                </w:r>
              </w:p>
            </w:tc>
            <w:tc>
              <w:tcPr>
                <w:tcW w:w="1643"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590098" w:rsidR="002C2080" w:rsidP="006D5378" w:rsidRDefault="002C2080" w14:paraId="72E2D26B" w14:textId="77777777">
                <w:pPr>
                  <w:keepNext/>
                  <w:keepLines/>
                  <w:jc w:val="center"/>
                  <w:rPr>
                    <w:rFonts w:ascii="Calibri" w:hAnsi="Calibri" w:cs="Calibri"/>
                    <w:color w:val="000000"/>
                    <w:sz w:val="20"/>
                    <w:szCs w:val="20"/>
                  </w:rPr>
                </w:pPr>
                <w:r w:rsidRPr="00590098">
                  <w:rPr>
                    <w:rFonts w:ascii="Calibri" w:hAnsi="Calibri" w:cs="Calibri"/>
                    <w:color w:val="000000"/>
                    <w:sz w:val="20"/>
                    <w:szCs w:val="20"/>
                  </w:rPr>
                  <w:t>huidig</w:t>
                </w:r>
              </w:p>
            </w:tc>
            <w:tc>
              <w:tcPr>
                <w:tcW w:w="1644"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590098" w:rsidR="002C2080" w:rsidP="006D5378" w:rsidRDefault="002C2080" w14:paraId="02AF4B6F" w14:textId="77777777">
                <w:pPr>
                  <w:keepNext/>
                  <w:keepLines/>
                  <w:jc w:val="center"/>
                  <w:rPr>
                    <w:rFonts w:ascii="Calibri" w:hAnsi="Calibri" w:cs="Calibri"/>
                    <w:color w:val="000000"/>
                    <w:sz w:val="20"/>
                    <w:szCs w:val="20"/>
                  </w:rPr>
                </w:pPr>
                <w:r w:rsidRPr="00590098">
                  <w:rPr>
                    <w:rFonts w:ascii="Calibri" w:hAnsi="Calibri" w:cs="Calibri"/>
                    <w:color w:val="000000"/>
                    <w:sz w:val="20"/>
                    <w:szCs w:val="20"/>
                  </w:rPr>
                  <w:t>schatting</w:t>
                </w:r>
              </w:p>
            </w:tc>
            <w:tc>
              <w:tcPr>
                <w:tcW w:w="1643"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590098" w:rsidR="002C2080" w:rsidP="006D5378" w:rsidRDefault="002C2080" w14:paraId="19ED9ED8" w14:textId="77777777">
                <w:pPr>
                  <w:keepNext/>
                  <w:keepLines/>
                  <w:jc w:val="center"/>
                  <w:rPr>
                    <w:rFonts w:ascii="Calibri" w:hAnsi="Calibri" w:cs="Calibri"/>
                    <w:color w:val="000000"/>
                    <w:sz w:val="20"/>
                    <w:szCs w:val="20"/>
                  </w:rPr>
                </w:pPr>
                <w:r w:rsidRPr="00590098">
                  <w:rPr>
                    <w:rFonts w:ascii="Calibri" w:hAnsi="Calibri" w:cs="Calibri"/>
                    <w:color w:val="000000"/>
                    <w:sz w:val="20"/>
                    <w:szCs w:val="20"/>
                  </w:rPr>
                  <w:t>verschil</w:t>
                </w:r>
              </w:p>
            </w:tc>
            <w:tc>
              <w:tcPr>
                <w:tcW w:w="1644"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590098" w:rsidR="002C2080" w:rsidP="006D5378" w:rsidRDefault="002C2080" w14:paraId="4BF37CD1" w14:textId="77777777">
                <w:pPr>
                  <w:keepNext/>
                  <w:keepLines/>
                  <w:jc w:val="center"/>
                  <w:rPr>
                    <w:rFonts w:ascii="Calibri" w:hAnsi="Calibri" w:cs="Calibri"/>
                    <w:color w:val="000000"/>
                    <w:sz w:val="20"/>
                    <w:szCs w:val="20"/>
                  </w:rPr>
                </w:pPr>
                <w:r>
                  <w:rPr>
                    <w:rFonts w:ascii="Calibri" w:hAnsi="Calibri" w:cs="Calibri"/>
                    <w:color w:val="000000"/>
                    <w:sz w:val="20"/>
                    <w:szCs w:val="20"/>
                  </w:rPr>
                  <w:t xml:space="preserve">verschil </w:t>
                </w:r>
                <w:r w:rsidRPr="00590098">
                  <w:rPr>
                    <w:rFonts w:ascii="Calibri" w:hAnsi="Calibri" w:cs="Calibri"/>
                    <w:color w:val="000000"/>
                    <w:sz w:val="20"/>
                    <w:szCs w:val="20"/>
                  </w:rPr>
                  <w:t>%</w:t>
                </w:r>
              </w:p>
            </w:tc>
          </w:tr>
          <w:tr w:rsidRPr="00590098" w:rsidR="002C2080" w:rsidTr="006D5378" w14:paraId="1ACA09AE" w14:textId="77777777">
            <w:trPr>
              <w:trHeight w:val="300"/>
            </w:trPr>
            <w:tc>
              <w:tcPr>
                <w:tcW w:w="1643" w:type="dxa"/>
                <w:tcBorders>
                  <w:top w:val="nil"/>
                  <w:left w:val="single" w:color="auto" w:sz="4" w:space="0"/>
                  <w:bottom w:val="single" w:color="auto" w:sz="4" w:space="0"/>
                  <w:right w:val="single" w:color="auto" w:sz="4" w:space="0"/>
                </w:tcBorders>
                <w:shd w:val="clear" w:color="auto" w:fill="auto"/>
                <w:noWrap/>
                <w:vAlign w:val="bottom"/>
                <w:hideMark/>
              </w:tcPr>
              <w:p w:rsidRPr="00590098" w:rsidR="002C2080" w:rsidP="006D5378" w:rsidRDefault="002C2080" w14:paraId="726CBF12" w14:textId="77777777">
                <w:pPr>
                  <w:keepNext/>
                  <w:keepLines/>
                  <w:rPr>
                    <w:rFonts w:ascii="Calibri" w:hAnsi="Calibri" w:cs="Calibri"/>
                    <w:color w:val="000000"/>
                    <w:sz w:val="20"/>
                    <w:szCs w:val="20"/>
                  </w:rPr>
                </w:pPr>
                <w:r w:rsidRPr="00590098">
                  <w:rPr>
                    <w:rFonts w:ascii="Calibri" w:hAnsi="Calibri" w:cs="Calibri"/>
                    <w:color w:val="000000"/>
                    <w:sz w:val="20"/>
                    <w:szCs w:val="20"/>
                  </w:rPr>
                  <w:t>Socia</w:t>
                </w:r>
                <w:r>
                  <w:rPr>
                    <w:rFonts w:ascii="Calibri" w:hAnsi="Calibri" w:cs="Calibri"/>
                    <w:color w:val="000000"/>
                    <w:sz w:val="20"/>
                    <w:szCs w:val="20"/>
                  </w:rPr>
                  <w:t>le huur</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50EAFCF0"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2.440.000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61F67680"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2.548.000</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472CFB3E"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108.000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23AF6533"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4,4%</w:t>
                </w:r>
              </w:p>
            </w:tc>
          </w:tr>
          <w:tr w:rsidRPr="00590098" w:rsidR="002C2080" w:rsidTr="006D5378" w14:paraId="3E1E7ABC" w14:textId="77777777">
            <w:trPr>
              <w:trHeight w:val="300"/>
            </w:trPr>
            <w:tc>
              <w:tcPr>
                <w:tcW w:w="1643" w:type="dxa"/>
                <w:tcBorders>
                  <w:top w:val="nil"/>
                  <w:left w:val="single" w:color="auto" w:sz="4" w:space="0"/>
                  <w:bottom w:val="single" w:color="auto" w:sz="4" w:space="0"/>
                  <w:right w:val="single" w:color="auto" w:sz="4" w:space="0"/>
                </w:tcBorders>
                <w:shd w:val="clear" w:color="auto" w:fill="auto"/>
                <w:noWrap/>
                <w:vAlign w:val="bottom"/>
                <w:hideMark/>
              </w:tcPr>
              <w:p w:rsidRPr="00590098" w:rsidR="002C2080" w:rsidP="006D5378" w:rsidRDefault="002C2080" w14:paraId="53E21BDF" w14:textId="77777777">
                <w:pPr>
                  <w:keepNext/>
                  <w:keepLines/>
                  <w:rPr>
                    <w:rFonts w:ascii="Calibri" w:hAnsi="Calibri" w:cs="Calibri"/>
                    <w:color w:val="000000"/>
                    <w:sz w:val="20"/>
                    <w:szCs w:val="20"/>
                  </w:rPr>
                </w:pPr>
                <w:proofErr w:type="spellStart"/>
                <w:r w:rsidRPr="00590098">
                  <w:rPr>
                    <w:rFonts w:ascii="Calibri" w:hAnsi="Calibri" w:cs="Calibri"/>
                    <w:color w:val="000000"/>
                    <w:sz w:val="20"/>
                    <w:szCs w:val="20"/>
                  </w:rPr>
                  <w:t>Midden</w:t>
                </w:r>
                <w:r>
                  <w:rPr>
                    <w:rFonts w:ascii="Calibri" w:hAnsi="Calibri" w:cs="Calibri"/>
                    <w:color w:val="000000"/>
                    <w:sz w:val="20"/>
                    <w:szCs w:val="20"/>
                  </w:rPr>
                  <w:t>huur</w:t>
                </w:r>
                <w:proofErr w:type="spellEnd"/>
                <w:r>
                  <w:rPr>
                    <w:rFonts w:ascii="Calibri" w:hAnsi="Calibri" w:cs="Calibri"/>
                    <w:color w:val="000000"/>
                    <w:sz w:val="20"/>
                    <w:szCs w:val="20"/>
                  </w:rPr>
                  <w:t xml:space="preserve"> </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245414AD"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392.000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48AA0272"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397.000</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3D2CA1D6"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5.000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74496116"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1,3%</w:t>
                </w:r>
              </w:p>
            </w:tc>
          </w:tr>
          <w:tr w:rsidRPr="00590098" w:rsidR="002C2080" w:rsidTr="006D5378" w14:paraId="7168B621" w14:textId="77777777">
            <w:trPr>
              <w:trHeight w:val="300"/>
            </w:trPr>
            <w:tc>
              <w:tcPr>
                <w:tcW w:w="1643" w:type="dxa"/>
                <w:tcBorders>
                  <w:top w:val="nil"/>
                  <w:left w:val="single" w:color="auto" w:sz="4" w:space="0"/>
                  <w:bottom w:val="single" w:color="auto" w:sz="4" w:space="0"/>
                  <w:right w:val="single" w:color="auto" w:sz="4" w:space="0"/>
                </w:tcBorders>
                <w:shd w:val="clear" w:color="auto" w:fill="auto"/>
                <w:noWrap/>
                <w:vAlign w:val="bottom"/>
                <w:hideMark/>
              </w:tcPr>
              <w:p w:rsidRPr="00590098" w:rsidR="002C2080" w:rsidP="006D5378" w:rsidRDefault="002C2080" w14:paraId="32574DF2" w14:textId="77777777">
                <w:pPr>
                  <w:keepNext/>
                  <w:keepLines/>
                  <w:rPr>
                    <w:rFonts w:ascii="Calibri" w:hAnsi="Calibri" w:cs="Calibri"/>
                    <w:color w:val="000000"/>
                    <w:sz w:val="20"/>
                    <w:szCs w:val="20"/>
                  </w:rPr>
                </w:pPr>
                <w:r w:rsidRPr="00590098">
                  <w:rPr>
                    <w:rFonts w:ascii="Calibri" w:hAnsi="Calibri" w:cs="Calibri"/>
                    <w:color w:val="000000"/>
                    <w:sz w:val="20"/>
                    <w:szCs w:val="20"/>
                  </w:rPr>
                  <w:t>Vrij</w:t>
                </w:r>
                <w:r>
                  <w:rPr>
                    <w:rFonts w:ascii="Calibri" w:hAnsi="Calibri" w:cs="Calibri"/>
                    <w:color w:val="000000"/>
                    <w:sz w:val="20"/>
                    <w:szCs w:val="20"/>
                  </w:rPr>
                  <w:t>e huur</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5A5619F9"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239.000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342F563A"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125.000</w:t>
                </w:r>
              </w:p>
            </w:tc>
            <w:tc>
              <w:tcPr>
                <w:tcW w:w="1643"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170BB0B6"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-114.000</w:t>
                </w:r>
              </w:p>
            </w:tc>
            <w:tc>
              <w:tcPr>
                <w:tcW w:w="1644" w:type="dxa"/>
                <w:tcBorders>
                  <w:top w:val="nil"/>
                  <w:left w:val="nil"/>
                  <w:bottom w:val="single" w:color="auto" w:sz="4" w:space="0"/>
                  <w:right w:val="single" w:color="auto" w:sz="4" w:space="0"/>
                </w:tcBorders>
                <w:shd w:val="clear" w:color="auto" w:fill="auto"/>
                <w:noWrap/>
                <w:vAlign w:val="bottom"/>
                <w:hideMark/>
              </w:tcPr>
              <w:p w:rsidRPr="00590098" w:rsidR="002C2080" w:rsidP="006D5378" w:rsidRDefault="002C2080" w14:paraId="3686EE17" w14:textId="77777777">
                <w:pPr>
                  <w:keepNext/>
                  <w:keepLines/>
                  <w:jc w:val="right"/>
                  <w:rPr>
                    <w:rFonts w:ascii="Calibri" w:hAnsi="Calibri" w:cs="Calibri"/>
                    <w:color w:val="000000"/>
                    <w:sz w:val="20"/>
                    <w:szCs w:val="20"/>
                  </w:rPr>
                </w:pPr>
                <w:r w:rsidRPr="00590098">
                  <w:rPr>
                    <w:rFonts w:ascii="Calibri" w:hAnsi="Calibri" w:cs="Calibri"/>
                    <w:color w:val="000000"/>
                    <w:sz w:val="20"/>
                    <w:szCs w:val="20"/>
                  </w:rPr>
                  <w:t>-47,7%</w:t>
                </w:r>
              </w:p>
            </w:tc>
          </w:tr>
        </w:tbl>
        <w:p w:rsidR="002C2080" w:rsidP="002C2080" w:rsidRDefault="002C2080" w14:paraId="34C70548" w14:textId="77777777"/>
        <w:p w:rsidR="00295365" w:rsidP="00295365" w:rsidRDefault="002C2080" w14:paraId="69FA0BAC" w14:textId="4D13D233">
          <w:r>
            <w:t xml:space="preserve">De maatregelen zorgen ervoor dat het aantal sociale </w:t>
          </w:r>
          <w:r w:rsidR="00C12D7C">
            <w:t>huur</w:t>
          </w:r>
          <w:r>
            <w:t xml:space="preserve">woningen zal toenemen. </w:t>
          </w:r>
          <w:r w:rsidR="00722791">
            <w:t>Binnen de vrije huursector blijft d</w:t>
          </w:r>
          <w:r>
            <w:t xml:space="preserve">e omvang van de </w:t>
          </w:r>
          <w:proofErr w:type="spellStart"/>
          <w:r>
            <w:t>middenhuur</w:t>
          </w:r>
          <w:proofErr w:type="spellEnd"/>
          <w:r>
            <w:t xml:space="preserve"> per saldo ongeveer gelijk</w:t>
          </w:r>
          <w:r w:rsidR="00E16EBD">
            <w:t xml:space="preserve"> en zal </w:t>
          </w:r>
          <w:r w:rsidR="00FB4112">
            <w:t>h</w:t>
          </w:r>
          <w:r w:rsidR="00E16EBD">
            <w:t>e</w:t>
          </w:r>
          <w:r>
            <w:t xml:space="preserve">t aantal duurdere huurwoningen (boven de </w:t>
          </w:r>
          <w:r w:rsidR="00621ED6">
            <w:t>€ </w:t>
          </w:r>
          <w:r>
            <w:t xml:space="preserve">1000) bijna halveren. </w:t>
          </w:r>
          <w:r w:rsidR="00FB4112">
            <w:t xml:space="preserve">De verwachting van de regering is dat door het wetsvoorstel de totale vrije huursector (midden en hoog segment) met ruim 100.000 woningen zal krimpen. </w:t>
          </w:r>
          <w:r w:rsidR="00FE76E7">
            <w:t xml:space="preserve">De </w:t>
          </w:r>
          <w:r w:rsidR="0087351B">
            <w:t xml:space="preserve">in deze </w:t>
          </w:r>
          <w:r w:rsidR="00FB4112">
            <w:t xml:space="preserve">berekening </w:t>
          </w:r>
          <w:r w:rsidR="00FE76E7">
            <w:t xml:space="preserve">gehanteerde grens van </w:t>
          </w:r>
          <w:r w:rsidR="007636E7">
            <w:t>€ </w:t>
          </w:r>
          <w:r w:rsidR="00FE76E7">
            <w:t>1000</w:t>
          </w:r>
          <w:r w:rsidR="0012343C">
            <w:t xml:space="preserve"> </w:t>
          </w:r>
          <w:r w:rsidR="00FE76E7">
            <w:t xml:space="preserve">wijkt overigens af van de </w:t>
          </w:r>
          <w:r w:rsidR="006D3E9B">
            <w:t xml:space="preserve">in het voorstel opgenomen </w:t>
          </w:r>
          <w:r w:rsidR="00BF3B0F">
            <w:t xml:space="preserve">grens van </w:t>
          </w:r>
          <w:r w:rsidR="00CD43B4">
            <w:t>€ </w:t>
          </w:r>
          <w:r w:rsidR="00BF3B0F">
            <w:t xml:space="preserve">1123. </w:t>
          </w:r>
          <w:r w:rsidR="0022517F">
            <w:t>Het i</w:t>
          </w:r>
          <w:r w:rsidR="00BF3B0F">
            <w:t xml:space="preserve">s dus </w:t>
          </w:r>
          <w:r w:rsidR="0022517F">
            <w:t xml:space="preserve">niet helemaal duidelijk </w:t>
          </w:r>
          <w:r w:rsidR="00BF3B0F">
            <w:t xml:space="preserve">hoe bij die grens de </w:t>
          </w:r>
          <w:r w:rsidR="0022517F">
            <w:t xml:space="preserve">precieze </w:t>
          </w:r>
          <w:r w:rsidR="00BF3B0F">
            <w:t>effecten zouden zijn.</w:t>
          </w:r>
          <w:r w:rsidR="001039F8">
            <w:t xml:space="preserve"> </w:t>
          </w:r>
        </w:p>
        <w:p w:rsidR="00D0251D" w:rsidP="002C2080" w:rsidRDefault="00D0251D" w14:paraId="6CB0AE81" w14:textId="77777777"/>
        <w:p w:rsidR="00B16388" w:rsidP="002C2080" w:rsidRDefault="002C2080" w14:paraId="7A683401" w14:textId="359A37CA">
          <w:r>
            <w:t xml:space="preserve">Bij deze </w:t>
          </w:r>
          <w:r w:rsidR="08310E50">
            <w:t>prognose</w:t>
          </w:r>
          <w:r>
            <w:t xml:space="preserve"> maakt </w:t>
          </w:r>
          <w:r w:rsidR="00941006">
            <w:t>de regering</w:t>
          </w:r>
          <w:r>
            <w:t xml:space="preserve"> de </w:t>
          </w:r>
          <w:r w:rsidR="00BA28FE">
            <w:t xml:space="preserve">belangrijke </w:t>
          </w:r>
          <w:r>
            <w:t xml:space="preserve">kanttekening dat </w:t>
          </w:r>
          <w:r w:rsidRPr="00310DEB">
            <w:t xml:space="preserve">geen rekening </w:t>
          </w:r>
          <w:r>
            <w:t xml:space="preserve">is </w:t>
          </w:r>
          <w:r w:rsidRPr="00310DEB">
            <w:t xml:space="preserve">gehouden met het risico dat verhuurders hun bezit verkopen </w:t>
          </w:r>
          <w:r>
            <w:t>als koopwoningen</w:t>
          </w:r>
          <w:r w:rsidR="00EB2790">
            <w:t>.</w:t>
          </w:r>
          <w:r w:rsidR="0024082A">
            <w:t xml:space="preserve"> </w:t>
          </w:r>
          <w:r w:rsidR="00EB2790">
            <w:t xml:space="preserve">Deze </w:t>
          </w:r>
          <w:r w:rsidR="00195024">
            <w:t xml:space="preserve">woningen </w:t>
          </w:r>
          <w:r w:rsidR="00D90865">
            <w:t>kunnen</w:t>
          </w:r>
          <w:r w:rsidR="00EB2790">
            <w:t xml:space="preserve"> dan niet terugvallen in het gereguleerde segment zoals eigenlijk beoogd</w:t>
          </w:r>
          <w:r w:rsidR="0042576E">
            <w:t xml:space="preserve"> en </w:t>
          </w:r>
          <w:r w:rsidRPr="00310DEB">
            <w:t xml:space="preserve">de totale </w:t>
          </w:r>
          <w:r w:rsidR="00F363B6">
            <w:t>huur</w:t>
          </w:r>
          <w:r w:rsidRPr="00310DEB">
            <w:t xml:space="preserve">voorraad </w:t>
          </w:r>
          <w:r w:rsidR="0042576E">
            <w:t>zou</w:t>
          </w:r>
          <w:r w:rsidR="006D7185">
            <w:t xml:space="preserve"> daardoor</w:t>
          </w:r>
          <w:r w:rsidR="0042576E">
            <w:t xml:space="preserve"> (nog) </w:t>
          </w:r>
          <w:r w:rsidRPr="00310DEB">
            <w:t>kleiner word</w:t>
          </w:r>
          <w:r>
            <w:t>en</w:t>
          </w:r>
          <w:r w:rsidR="002851D3">
            <w:t xml:space="preserve"> (zie punt </w:t>
          </w:r>
          <w:r w:rsidR="008C47D0">
            <w:t>5</w:t>
          </w:r>
          <w:r w:rsidR="002851D3">
            <w:t>)</w:t>
          </w:r>
          <w:r w:rsidRPr="00310DEB">
            <w:t>.</w:t>
          </w:r>
          <w:r w:rsidR="001D133B">
            <w:t xml:space="preserve"> </w:t>
          </w:r>
        </w:p>
        <w:p w:rsidR="00B16388" w:rsidP="002C2080" w:rsidRDefault="00B16388" w14:paraId="42A50E79" w14:textId="77777777"/>
        <w:p w:rsidR="00231AFF" w:rsidP="002C2080" w:rsidRDefault="001D133B" w14:paraId="0F9B1115" w14:textId="77777777">
          <w:r w:rsidRPr="001D133B">
            <w:t>Een voldoende grote vrije huursector is van belang voor een goede doorstroming tussen de segmenten op de woningmarkt.</w:t>
          </w:r>
          <w:r w:rsidRPr="001D133B">
            <w:rPr>
              <w:rStyle w:val="Voetnootmarkering"/>
            </w:rPr>
            <w:footnoteReference w:id="41"/>
          </w:r>
          <w:r w:rsidR="005438D5">
            <w:t xml:space="preserve"> </w:t>
          </w:r>
          <w:r w:rsidR="005D09C9">
            <w:t xml:space="preserve">Bovendien stelt de toelichting juist dat </w:t>
          </w:r>
          <w:r w:rsidR="00904178">
            <w:t xml:space="preserve">het </w:t>
          </w:r>
          <w:r w:rsidR="006B4E12">
            <w:t>aanbod aan</w:t>
          </w:r>
          <w:r w:rsidR="00904178">
            <w:t xml:space="preserve"> </w:t>
          </w:r>
          <w:proofErr w:type="spellStart"/>
          <w:r w:rsidR="00904178">
            <w:t>middenhuur</w:t>
          </w:r>
          <w:r w:rsidR="006B4E12">
            <w:t>woningen</w:t>
          </w:r>
          <w:proofErr w:type="spellEnd"/>
          <w:r w:rsidR="006B4E12">
            <w:t xml:space="preserve"> m</w:t>
          </w:r>
          <w:r w:rsidRPr="00C42A85" w:rsidR="006B4E12">
            <w:t xml:space="preserve">oet worden vergroot. </w:t>
          </w:r>
          <w:r w:rsidRPr="00C42A85" w:rsidR="00BB20E7">
            <w:t xml:space="preserve">Uit de toelichting blijkt </w:t>
          </w:r>
          <w:r w:rsidRPr="00C42A85" w:rsidR="007D607D">
            <w:t xml:space="preserve">niet of </w:t>
          </w:r>
          <w:r w:rsidRPr="00C42A85" w:rsidR="00BB6874">
            <w:t xml:space="preserve">met </w:t>
          </w:r>
          <w:r w:rsidRPr="00C42A85" w:rsidR="00DE601C">
            <w:t>deze</w:t>
          </w:r>
          <w:r w:rsidRPr="00C42A85" w:rsidR="00C42A85">
            <w:t>,</w:t>
          </w:r>
          <w:r w:rsidRPr="00C42A85" w:rsidR="00DE601C">
            <w:t xml:space="preserve"> zeer beper</w:t>
          </w:r>
          <w:r w:rsidRPr="00C42A85" w:rsidR="00070653">
            <w:t>kte</w:t>
          </w:r>
          <w:r w:rsidRPr="00C42A85" w:rsidR="00C42A85">
            <w:t>,</w:t>
          </w:r>
          <w:r w:rsidRPr="00C42A85" w:rsidR="00070653">
            <w:t xml:space="preserve"> </w:t>
          </w:r>
          <w:r w:rsidRPr="00C42A85" w:rsidR="00DE601C">
            <w:t>gro</w:t>
          </w:r>
          <w:r w:rsidRPr="00C42A85" w:rsidR="00070653">
            <w:t xml:space="preserve">ei van het </w:t>
          </w:r>
          <w:proofErr w:type="spellStart"/>
          <w:r w:rsidRPr="00C42A85" w:rsidR="007D607D">
            <w:t>middenhuur</w:t>
          </w:r>
          <w:r w:rsidRPr="00C42A85" w:rsidR="00C42A85">
            <w:t>aanbod</w:t>
          </w:r>
          <w:proofErr w:type="spellEnd"/>
          <w:r w:rsidRPr="00C42A85" w:rsidR="007D607D">
            <w:t xml:space="preserve"> en </w:t>
          </w:r>
          <w:r w:rsidR="6BE4BAC1">
            <w:t xml:space="preserve">de voorziene </w:t>
          </w:r>
          <w:r w:rsidRPr="00C42A85" w:rsidR="007D607D">
            <w:t>kri</w:t>
          </w:r>
          <w:r w:rsidRPr="00C42A85" w:rsidR="00BB6874">
            <w:t>m</w:t>
          </w:r>
          <w:r w:rsidRPr="00C42A85" w:rsidR="007D607D">
            <w:t xml:space="preserve">p van de vrije huursector </w:t>
          </w:r>
          <w:r w:rsidR="53D79BB5">
            <w:t xml:space="preserve">als geheel </w:t>
          </w:r>
          <w:r w:rsidRPr="00C42A85" w:rsidR="001E35D1">
            <w:t xml:space="preserve">wordt voldaan </w:t>
          </w:r>
          <w:r w:rsidRPr="00C42A85" w:rsidR="00BB6874">
            <w:t>aan de doelstelling ‘</w:t>
          </w:r>
          <w:r w:rsidRPr="00C42A85" w:rsidR="00295C06">
            <w:t>voorzien in voldoende aanbod betaalbare huur</w:t>
          </w:r>
          <w:r w:rsidRPr="00C42A85" w:rsidR="00BB6874">
            <w:t>’</w:t>
          </w:r>
          <w:r w:rsidRPr="00C42A85" w:rsidR="00295C06">
            <w:t>.</w:t>
          </w:r>
          <w:r w:rsidR="00295C06">
            <w:t xml:space="preserve"> </w:t>
          </w:r>
        </w:p>
        <w:p w:rsidR="008A4284" w:rsidP="002C2080" w:rsidRDefault="008A4284" w14:paraId="19DE04A9" w14:textId="77777777"/>
        <w:p w:rsidR="006F7CF3" w:rsidP="002C2080" w:rsidRDefault="003165B2" w14:paraId="3B132A9D" w14:textId="40F1DDFD">
          <w:r>
            <w:t xml:space="preserve">De Afdeling adviseert in de toelichting </w:t>
          </w:r>
          <w:r w:rsidR="008222A7">
            <w:t>hier</w:t>
          </w:r>
          <w:r>
            <w:t>aan nader aandacht te besteden.</w:t>
          </w:r>
        </w:p>
        <w:p w:rsidR="00161411" w:rsidRDefault="00161411" w14:paraId="217CCB0E" w14:textId="77777777"/>
        <w:p w:rsidRPr="00EF47A6" w:rsidR="00A47FE4" w:rsidRDefault="00A47FE4" w14:paraId="039C25D5" w14:textId="7CCCC5F9">
          <w:pPr>
            <w:rPr>
              <w:i/>
              <w:iCs/>
            </w:rPr>
          </w:pPr>
          <w:r>
            <w:t>b.</w:t>
          </w:r>
          <w:r>
            <w:tab/>
          </w:r>
          <w:r w:rsidRPr="7934D639" w:rsidR="388F8604">
            <w:rPr>
              <w:i/>
              <w:iCs/>
            </w:rPr>
            <w:t>F</w:t>
          </w:r>
          <w:r w:rsidRPr="7934D639" w:rsidR="00EF47A6">
            <w:rPr>
              <w:i/>
              <w:iCs/>
            </w:rPr>
            <w:t>unctie</w:t>
          </w:r>
          <w:r w:rsidRPr="00EF47A6" w:rsidR="00EF47A6">
            <w:rPr>
              <w:i/>
              <w:iCs/>
            </w:rPr>
            <w:t xml:space="preserve"> </w:t>
          </w:r>
          <w:r w:rsidR="00231AFF">
            <w:rPr>
              <w:i/>
              <w:iCs/>
            </w:rPr>
            <w:t xml:space="preserve">van de </w:t>
          </w:r>
          <w:r w:rsidRPr="00EF47A6" w:rsidR="00EF47A6">
            <w:rPr>
              <w:i/>
              <w:iCs/>
            </w:rPr>
            <w:t>vrije huursector</w:t>
          </w:r>
          <w:r w:rsidRPr="7934D639" w:rsidR="7D6A5FBA">
            <w:rPr>
              <w:i/>
              <w:iCs/>
            </w:rPr>
            <w:t xml:space="preserve"> voor flexib</w:t>
          </w:r>
          <w:r w:rsidR="001F3062">
            <w:rPr>
              <w:i/>
              <w:iCs/>
            </w:rPr>
            <w:t>i</w:t>
          </w:r>
          <w:r w:rsidRPr="7934D639" w:rsidR="7D6A5FBA">
            <w:rPr>
              <w:i/>
              <w:iCs/>
            </w:rPr>
            <w:t>liteit op de arbeidsmarkt</w:t>
          </w:r>
        </w:p>
        <w:p w:rsidR="006F4B76" w:rsidRDefault="00565FDE" w14:paraId="11498E1E" w14:textId="65934F88">
          <w:r>
            <w:t xml:space="preserve">Flexibiliteit en mobiliteit op de woningmarkt werken door in de arbeidsmarkt </w:t>
          </w:r>
          <w:r w:rsidR="0C0ECF5D">
            <w:t xml:space="preserve">en </w:t>
          </w:r>
          <w:r>
            <w:t>de economie als geheel</w:t>
          </w:r>
          <w:r w:rsidR="066E153C">
            <w:t xml:space="preserve">. De </w:t>
          </w:r>
          <w:r>
            <w:t>vrije huursector is daarin cruciaal.</w:t>
          </w:r>
          <w:r>
            <w:rPr>
              <w:rStyle w:val="Voetnootmarkering"/>
            </w:rPr>
            <w:footnoteReference w:id="42"/>
          </w:r>
          <w:r>
            <w:t xml:space="preserve"> Huishoudens in de andere twee segmenten zijn minder snel bereid voor werk te verhuizen.</w:t>
          </w:r>
          <w:r>
            <w:rPr>
              <w:rStyle w:val="Voetnootmarkering"/>
            </w:rPr>
            <w:footnoteReference w:id="43"/>
          </w:r>
          <w:r>
            <w:t xml:space="preserve"> Deze twee segmenten worden gekenmerkt door genoemde </w:t>
          </w:r>
          <w:proofErr w:type="spellStart"/>
          <w:r>
            <w:t>lock</w:t>
          </w:r>
          <w:proofErr w:type="spellEnd"/>
          <w:r>
            <w:t>-in effecten. Voor bezitters van een koopwoning speelt mee dat verhuizen hoge transactiekosten met zich brengt</w:t>
          </w:r>
          <w:r w:rsidR="00930115">
            <w:t>,</w:t>
          </w:r>
          <w:r>
            <w:t xml:space="preserve"> voor huurders in de sociale sector staan de lange wachttijden mobiliteit in de weg.</w:t>
          </w:r>
          <w:r>
            <w:rPr>
              <w:rStyle w:val="Voetnootmarkering"/>
            </w:rPr>
            <w:footnoteReference w:id="44"/>
          </w:r>
          <w:r>
            <w:t xml:space="preserve"> Voor de arbeidsmobiliteit en de werking van de arbeidsmarkt is flexibiliteit van groot belang en deze wordt </w:t>
          </w:r>
          <w:r w:rsidR="14AE999A">
            <w:t xml:space="preserve">wat betreft de woonmogelijkheden </w:t>
          </w:r>
          <w:r>
            <w:t>in de huidige situatie vooral gecreëerd door de vrije huursector.</w:t>
          </w:r>
          <w:r>
            <w:rPr>
              <w:rStyle w:val="Voetnootmarkering"/>
            </w:rPr>
            <w:footnoteReference w:id="45"/>
          </w:r>
          <w:r>
            <w:t xml:space="preserve"> Ook de </w:t>
          </w:r>
          <w:r w:rsidR="19222719">
            <w:t xml:space="preserve">toelichting </w:t>
          </w:r>
          <w:r>
            <w:t xml:space="preserve">vermeldt dit belang van de vrije huursector, maar </w:t>
          </w:r>
          <w:r w:rsidR="06F5A264">
            <w:t xml:space="preserve">zij </w:t>
          </w:r>
          <w:r>
            <w:t xml:space="preserve">gaat hier </w:t>
          </w:r>
          <w:r w:rsidR="68633E69">
            <w:t xml:space="preserve">verder </w:t>
          </w:r>
          <w:r>
            <w:t>niet inhoudelijk op in.</w:t>
          </w:r>
          <w:r>
            <w:rPr>
              <w:rStyle w:val="Voetnootmarkering"/>
            </w:rPr>
            <w:footnoteReference w:id="46"/>
          </w:r>
          <w:r w:rsidR="006F4B76">
            <w:t xml:space="preserve"> </w:t>
          </w:r>
          <w:r w:rsidR="12EF60E0">
            <w:t>Ten slotte zijn ook arbeidsmigranten en starters vaak aangewezen op de flexib</w:t>
          </w:r>
          <w:r w:rsidR="006F4B76">
            <w:t>i</w:t>
          </w:r>
          <w:r w:rsidR="12EF60E0">
            <w:t xml:space="preserve">liteit van de vrije huursector. </w:t>
          </w:r>
        </w:p>
        <w:p w:rsidR="006F4B76" w:rsidRDefault="006F4B76" w14:paraId="21E62DA2" w14:textId="77777777"/>
        <w:p w:rsidR="00770CC1" w:rsidRDefault="00565FDE" w14:paraId="08E2BF4B" w14:textId="2858D1D6">
          <w:r>
            <w:t xml:space="preserve">De Afdeling merkt op dat voornoemde </w:t>
          </w:r>
          <w:r w:rsidR="6F5C72BD">
            <w:t xml:space="preserve">rol </w:t>
          </w:r>
          <w:r w:rsidR="00EF47A6">
            <w:t xml:space="preserve">van de vrije huursector </w:t>
          </w:r>
          <w:r w:rsidR="43D74CC4">
            <w:t>om flexib</w:t>
          </w:r>
          <w:r w:rsidR="2325D0E2">
            <w:t>i</w:t>
          </w:r>
          <w:r w:rsidR="43D74CC4">
            <w:t xml:space="preserve">liteit in de economie mogelijk te maken </w:t>
          </w:r>
          <w:r w:rsidR="4BEB73DF">
            <w:t xml:space="preserve">onvoldoende </w:t>
          </w:r>
          <w:r>
            <w:t>aan bod kom</w:t>
          </w:r>
          <w:r w:rsidR="00EF47A6">
            <w:t>t</w:t>
          </w:r>
          <w:r>
            <w:t xml:space="preserve"> in de toelichting. Zij adviseert </w:t>
          </w:r>
          <w:r w:rsidR="00106F58">
            <w:t xml:space="preserve">in de toelichting </w:t>
          </w:r>
          <w:r w:rsidR="00D67688">
            <w:t>hieraan</w:t>
          </w:r>
          <w:r w:rsidR="2F72BA03">
            <w:t xml:space="preserve"> </w:t>
          </w:r>
          <w:r w:rsidR="2A8210F3">
            <w:t xml:space="preserve">nader </w:t>
          </w:r>
          <w:r w:rsidR="00231AFF">
            <w:t>aandacht te besteden</w:t>
          </w:r>
          <w:r w:rsidR="5C7A069C">
            <w:t>.</w:t>
          </w:r>
        </w:p>
        <w:p w:rsidR="00770CC1" w:rsidRDefault="00770CC1" w14:paraId="4B304E65" w14:textId="77777777"/>
        <w:p w:rsidR="00547294" w:rsidP="00547294" w:rsidRDefault="0025059E" w14:paraId="34D6FFCA" w14:textId="70FDCED4">
          <w:r>
            <w:t>5</w:t>
          </w:r>
          <w:r w:rsidRPr="00B1527B" w:rsidR="00547294">
            <w:t xml:space="preserve">. </w:t>
          </w:r>
          <w:r w:rsidRPr="00B1527B" w:rsidR="00547294">
            <w:tab/>
          </w:r>
          <w:r w:rsidRPr="00B1527B" w:rsidR="00547294">
            <w:rPr>
              <w:u w:val="single"/>
            </w:rPr>
            <w:t>Investeringsbereidheid (derde pijler)</w:t>
          </w:r>
        </w:p>
        <w:p w:rsidR="00547294" w:rsidP="00547294" w:rsidRDefault="00547294" w14:paraId="371FC49F" w14:textId="77777777"/>
        <w:p w:rsidRPr="008436B6" w:rsidR="00547294" w:rsidP="00547294" w:rsidRDefault="00547294" w14:paraId="58C6D23D" w14:textId="77777777">
          <w:r w:rsidRPr="008436B6">
            <w:t xml:space="preserve">Huurders en verhuurders hebben elkaar nodig. Zonder huurders is er geen vraag naar huurwoningen en zonder verhuurders (of investeerders) geen aanbod. Woningcorporaties, institutionele beleggers en particuliere beleggers zijn nodig om deze woningen te bouwen, </w:t>
          </w:r>
          <w:r>
            <w:t xml:space="preserve">te </w:t>
          </w:r>
          <w:r w:rsidRPr="008436B6">
            <w:t xml:space="preserve">onderhouden en </w:t>
          </w:r>
          <w:r>
            <w:t xml:space="preserve">te </w:t>
          </w:r>
          <w:r w:rsidRPr="008436B6">
            <w:t>verhuren. Dit wordt ook onderkend in twee van de vier pijlers voor dit wetsvoorstel: het voorstel dient de investeringsbereidheid op peil te houden – onder meer via nieuwbouw – zodat er voldoende betaalbare woningen beschikbaar zijn.</w:t>
          </w:r>
          <w:r w:rsidRPr="008436B6">
            <w:rPr>
              <w:rStyle w:val="Voetnootmarkering"/>
            </w:rPr>
            <w:footnoteReference w:id="47"/>
          </w:r>
          <w:r w:rsidRPr="008436B6">
            <w:t xml:space="preserve"> </w:t>
          </w:r>
        </w:p>
        <w:p w:rsidR="00547294" w:rsidP="00547294" w:rsidRDefault="00547294" w14:paraId="5E7C5D21" w14:textId="77777777"/>
        <w:p w:rsidR="00547294" w:rsidP="00547294" w:rsidRDefault="00547294" w14:paraId="4479408E" w14:textId="6A291DF7">
          <w:r>
            <w:t>In de toelichting wordt onderkend dat h</w:t>
          </w:r>
          <w:r w:rsidRPr="009F1391">
            <w:t xml:space="preserve">et rendement voor verhuurders in twee opzichten </w:t>
          </w:r>
          <w:r>
            <w:t xml:space="preserve">zal </w:t>
          </w:r>
          <w:r w:rsidRPr="009F1391">
            <w:t>afnemen</w:t>
          </w:r>
          <w:r>
            <w:t>.</w:t>
          </w:r>
          <w:r w:rsidR="00F45922">
            <w:rPr>
              <w:rStyle w:val="Voetnootmarkering"/>
            </w:rPr>
            <w:footnoteReference w:id="48"/>
          </w:r>
          <w:r w:rsidRPr="009F1391">
            <w:t xml:space="preserve"> </w:t>
          </w:r>
          <w:r>
            <w:t>Z</w:t>
          </w:r>
          <w:r w:rsidRPr="009F1391">
            <w:t xml:space="preserve">ij ontvangen minder huur en hun vastgoedbezit zal in </w:t>
          </w:r>
          <w:r w:rsidRPr="009F1391">
            <w:lastRenderedPageBreak/>
            <w:t>waarde dalen.</w:t>
          </w:r>
          <w:r w:rsidRPr="009F1391">
            <w:rPr>
              <w:rStyle w:val="Voetnootmarkering"/>
            </w:rPr>
            <w:footnoteReference w:id="49"/>
          </w:r>
          <w:r>
            <w:t xml:space="preserve"> </w:t>
          </w:r>
          <w:r w:rsidRPr="006A787B">
            <w:t xml:space="preserve">De Afdeling merkt evenwel op dat de toelichting onvoldoende blijk geeft van een adequate </w:t>
          </w:r>
          <w:r w:rsidR="00D53481">
            <w:t>analyse</w:t>
          </w:r>
          <w:r w:rsidRPr="006A787B">
            <w:t xml:space="preserve"> van de investeringsbereidheid en </w:t>
          </w:r>
          <w:r w:rsidR="00BD21B6">
            <w:t xml:space="preserve">van </w:t>
          </w:r>
          <w:r w:rsidR="00093DF0">
            <w:t>de beheersing van de risico</w:t>
          </w:r>
          <w:r w:rsidR="00C929FF">
            <w:t>’s</w:t>
          </w:r>
          <w:r w:rsidR="00093DF0">
            <w:t xml:space="preserve"> ten aanzien van</w:t>
          </w:r>
          <w:r w:rsidR="00EB0A34">
            <w:t xml:space="preserve"> </w:t>
          </w:r>
          <w:r w:rsidRPr="006A787B">
            <w:t xml:space="preserve">voldoende betaalbaar aanbod. In dit verband wijst </w:t>
          </w:r>
          <w:r w:rsidR="00E1593E">
            <w:t>zij</w:t>
          </w:r>
          <w:r w:rsidRPr="006A787B">
            <w:t xml:space="preserve"> op het volge</w:t>
          </w:r>
          <w:r>
            <w:t>nde.</w:t>
          </w:r>
        </w:p>
        <w:p w:rsidR="00547294" w:rsidP="00547294" w:rsidRDefault="00547294" w14:paraId="7AAE5EE0" w14:textId="77777777"/>
        <w:p w:rsidRPr="008436B6" w:rsidR="00547294" w:rsidP="00547294" w:rsidRDefault="00547294" w14:paraId="7066A3D5" w14:textId="1B4AF6DB">
          <w:pPr>
            <w:rPr>
              <w:i/>
              <w:iCs/>
            </w:rPr>
          </w:pPr>
          <w:r w:rsidRPr="00770CC1">
            <w:t>a.</w:t>
          </w:r>
          <w:r w:rsidRPr="008436B6">
            <w:rPr>
              <w:i/>
              <w:iCs/>
            </w:rPr>
            <w:t xml:space="preserve"> </w:t>
          </w:r>
          <w:r w:rsidRPr="008436B6">
            <w:rPr>
              <w:i/>
              <w:iCs/>
            </w:rPr>
            <w:tab/>
            <w:t>Nieuwbouw huurwoningen</w:t>
          </w:r>
        </w:p>
        <w:p w:rsidRPr="00CD5CAF" w:rsidR="00547294" w:rsidP="00547294" w:rsidRDefault="00547294" w14:paraId="5C0040DA" w14:textId="3B4F163F">
          <w:r w:rsidRPr="00A73FCA">
            <w:t>Om uiteindelijk de woonproblematiek het hoofd te bieden, is nieuwbouw in alle segmenten van de markt een belangrijk deel van de oplossing. In dat licht is het wenselijk dat maatregelen op de woningmarkt zorgen voor stimulering van de nieuwbouw of die ten minste niet afremmen.</w:t>
          </w:r>
          <w:r>
            <w:t xml:space="preserve"> </w:t>
          </w:r>
          <w:r w:rsidRPr="00A16A87">
            <w:t xml:space="preserve">Woningen bouwen is </w:t>
          </w:r>
          <w:r w:rsidR="00FC1FD4">
            <w:t xml:space="preserve">ook </w:t>
          </w:r>
          <w:r w:rsidRPr="00A16A87">
            <w:t>het speerpunt van de regering.</w:t>
          </w:r>
          <w:r w:rsidRPr="00A16A87" w:rsidR="00921E73">
            <w:rPr>
              <w:rStyle w:val="Voetnootmarkering"/>
            </w:rPr>
            <w:footnoteReference w:id="50"/>
          </w:r>
          <w:r w:rsidRPr="00A16A87">
            <w:t xml:space="preserve"> </w:t>
          </w:r>
        </w:p>
        <w:p w:rsidRPr="00CD5CAF" w:rsidR="002F1BC5" w:rsidP="00547294" w:rsidRDefault="002F1BC5" w14:paraId="5B1ED34C" w14:textId="77777777"/>
        <w:p w:rsidRPr="00CD5CAF" w:rsidR="00CD2124" w:rsidP="00CD2124" w:rsidRDefault="00547294" w14:paraId="1ACA8401" w14:textId="1708449E">
          <w:r>
            <w:t xml:space="preserve">Ten behoeve van </w:t>
          </w:r>
          <w:r w:rsidRPr="00CD5CAF">
            <w:t xml:space="preserve">dit wetsvoorstel is in opdracht van het ministerie een onderzoek uitgevoerd </w:t>
          </w:r>
          <w:r>
            <w:t xml:space="preserve">naar de mogelijke consequenties. </w:t>
          </w:r>
          <w:r w:rsidR="00880AA5">
            <w:t>Uit</w:t>
          </w:r>
          <w:r>
            <w:t xml:space="preserve"> het onderzoeksrapport</w:t>
          </w:r>
          <w:r w:rsidRPr="00CD5CAF">
            <w:t xml:space="preserve"> blijkt</w:t>
          </w:r>
          <w:r w:rsidR="00BE5232">
            <w:t xml:space="preserve"> dat het </w:t>
          </w:r>
          <w:r w:rsidR="00721E4E">
            <w:t>voorstel leidt tot minder</w:t>
          </w:r>
          <w:r w:rsidR="008C7C35">
            <w:t xml:space="preserve"> </w:t>
          </w:r>
          <w:r w:rsidR="002F5D56">
            <w:t>“</w:t>
          </w:r>
          <w:r w:rsidR="00721E4E">
            <w:t xml:space="preserve">sluitende business cases”. Investeringen in </w:t>
          </w:r>
          <w:proofErr w:type="spellStart"/>
          <w:r w:rsidR="00721E4E">
            <w:t>middenhuurwoningen</w:t>
          </w:r>
          <w:proofErr w:type="spellEnd"/>
          <w:r w:rsidR="00721E4E">
            <w:t xml:space="preserve"> nemen hierdoor af of er vinden verschuivingen plaats</w:t>
          </w:r>
          <w:r w:rsidR="0089484E">
            <w:t xml:space="preserve">. Het kleinst denkbare effect daarbij </w:t>
          </w:r>
          <w:r w:rsidRPr="00A32B39" w:rsidR="00A32B39">
            <w:t xml:space="preserve">is </w:t>
          </w:r>
          <w:r w:rsidR="004779D3">
            <w:t xml:space="preserve">volgens de studie </w:t>
          </w:r>
          <w:r w:rsidRPr="00A32B39" w:rsidR="00A32B39">
            <w:t>dat nieuwbouwprojecten die al in voorbereiding zijn</w:t>
          </w:r>
          <w:r w:rsidR="007E7E57">
            <w:t xml:space="preserve"> </w:t>
          </w:r>
          <w:r w:rsidRPr="00A32B39" w:rsidR="00A32B39">
            <w:t>vertraagd worden uitgevoerd</w:t>
          </w:r>
          <w:r w:rsidR="004779D3">
            <w:t>, maar het is</w:t>
          </w:r>
          <w:r w:rsidRPr="00CD5CAF" w:rsidR="00CD2124">
            <w:t xml:space="preserve"> ook denkbaar dat (een deel van de) nieuwbouw niet langer haalbaar is. </w:t>
          </w:r>
          <w:r w:rsidR="00E82337">
            <w:t>In het rapport wordt ervoor gewaarschuwd dat h</w:t>
          </w:r>
          <w:r w:rsidRPr="00CD5CAF" w:rsidR="00CD2124">
            <w:t xml:space="preserve">et uitblijven van deze nieuwbouw de algehele woningmarkt verder onder druk </w:t>
          </w:r>
          <w:r w:rsidR="00E82337">
            <w:t xml:space="preserve">kan </w:t>
          </w:r>
          <w:r w:rsidRPr="00CD5CAF" w:rsidR="00CD2124">
            <w:t xml:space="preserve">zetten, omdat </w:t>
          </w:r>
          <w:r w:rsidR="00E82337">
            <w:t>(</w:t>
          </w:r>
          <w:r w:rsidRPr="00CD5CAF" w:rsidR="00CD2124">
            <w:t>als onderdeel van grotere projecten</w:t>
          </w:r>
          <w:r w:rsidR="007C3038">
            <w:t>)</w:t>
          </w:r>
          <w:r w:rsidRPr="00CD5CAF" w:rsidR="00CD2124">
            <w:t xml:space="preserve"> het getroffen segment de haalbaarheid van het totaal te zeer onder druk zet.”</w:t>
          </w:r>
          <w:r w:rsidRPr="00CD5CAF" w:rsidR="00CD2124">
            <w:rPr>
              <w:rStyle w:val="Voetnootmarkering"/>
            </w:rPr>
            <w:footnoteReference w:id="51"/>
          </w:r>
        </w:p>
        <w:p w:rsidRPr="00CD5CAF" w:rsidR="00547294" w:rsidP="00547294" w:rsidRDefault="00547294" w14:paraId="561881E6" w14:textId="77777777"/>
        <w:p w:rsidR="00547294" w:rsidP="00547294" w:rsidRDefault="00547294" w14:paraId="12FF11D8" w14:textId="1D1C40DC">
          <w:r w:rsidRPr="00CD5CAF">
            <w:t xml:space="preserve">Dit risico komt ook in andere </w:t>
          </w:r>
          <w:r w:rsidRPr="00CD5CAF" w:rsidDel="005840A7">
            <w:t xml:space="preserve">geluiden </w:t>
          </w:r>
          <w:r w:rsidRPr="00CD5CAF">
            <w:t>naar voren. Zo wijzen wetenschappers er op dat internationale ervaringen laten zien dat huurregulering tot minder nieuwbouw kan leiden.</w:t>
          </w:r>
          <w:r w:rsidRPr="00CD5CAF">
            <w:rPr>
              <w:rStyle w:val="Voetnootmarkering"/>
            </w:rPr>
            <w:footnoteReference w:id="52"/>
          </w:r>
          <w:r w:rsidRPr="00CD5CAF">
            <w:t xml:space="preserve"> De ervaring met huurprijsregulering (‘</w:t>
          </w:r>
          <w:proofErr w:type="spellStart"/>
          <w:r w:rsidRPr="00CD5CAF">
            <w:t>Mietendeckel</w:t>
          </w:r>
          <w:proofErr w:type="spellEnd"/>
          <w:r w:rsidRPr="00CD5CAF">
            <w:t>’) in Berlijn leert bijvoorbeeld dat daardoor het huuraanbod sterk kan teruglopen (in Berlijn was sprake van een halvering), hetgeen ten koste gaat van woningzoekenden.</w:t>
          </w:r>
          <w:r w:rsidRPr="00CD5CAF">
            <w:rPr>
              <w:rStyle w:val="Voetnootmarkering"/>
            </w:rPr>
            <w:footnoteReference w:id="53"/>
          </w:r>
          <w:r w:rsidRPr="00CD5CAF">
            <w:t xml:space="preserve"> In de </w:t>
          </w:r>
          <w:r w:rsidRPr="00CD5CAF">
            <w:lastRenderedPageBreak/>
            <w:t xml:space="preserve">consultatiereacties en door diverse experts is </w:t>
          </w:r>
          <w:r w:rsidR="009E1E8E">
            <w:t xml:space="preserve">ook </w:t>
          </w:r>
          <w:r w:rsidRPr="00CD5CAF">
            <w:t>gewezen op de risico’s van de regulering voor nieuwbouw.</w:t>
          </w:r>
          <w:r w:rsidRPr="00CD5CAF">
            <w:rPr>
              <w:rStyle w:val="Voetnootmarkering"/>
            </w:rPr>
            <w:footnoteReference w:id="54"/>
          </w:r>
          <w:r w:rsidRPr="00CD5CAF">
            <w:t xml:space="preserve"> </w:t>
          </w:r>
          <w:r w:rsidR="00095822">
            <w:t>Voor w</w:t>
          </w:r>
          <w:r w:rsidRPr="00A16A87">
            <w:t xml:space="preserve">oningcorporaties </w:t>
          </w:r>
          <w:r w:rsidR="00095822">
            <w:t xml:space="preserve">geldt </w:t>
          </w:r>
          <w:r w:rsidR="005C56F1">
            <w:t xml:space="preserve">hierbij </w:t>
          </w:r>
          <w:r w:rsidR="00095822">
            <w:t>dat zij</w:t>
          </w:r>
          <w:r w:rsidRPr="00A16A87" w:rsidDel="00095822">
            <w:t xml:space="preserve"> </w:t>
          </w:r>
          <w:r w:rsidRPr="00A16A87">
            <w:t xml:space="preserve">voor de bouw van </w:t>
          </w:r>
          <w:proofErr w:type="spellStart"/>
          <w:r w:rsidRPr="00A16A87">
            <w:t>middenhuurwoningen</w:t>
          </w:r>
          <w:proofErr w:type="spellEnd"/>
          <w:r w:rsidRPr="00A16A87">
            <w:t xml:space="preserve"> geen gebruik </w:t>
          </w:r>
          <w:r w:rsidR="00095822">
            <w:t xml:space="preserve">mogen </w:t>
          </w:r>
          <w:r w:rsidRPr="00A16A87">
            <w:t xml:space="preserve">maken van geborgde leningen – en daarmee goedkopere financiering – zoals dit wel kan voor de bouw van sociale huurwoningen. </w:t>
          </w:r>
          <w:r w:rsidRPr="00F13DA9" w:rsidR="00F13DA9">
            <w:t>Het gebruik van geborgde leningen is niet toegestaan, omdat dit</w:t>
          </w:r>
          <w:r w:rsidR="005B1C7B">
            <w:t xml:space="preserve"> kan leiden tot</w:t>
          </w:r>
          <w:r w:rsidRPr="00A16A87">
            <w:t xml:space="preserve"> oneerlijke concurrentie ten opzichte van (andere) private beleggers.</w:t>
          </w:r>
          <w:r w:rsidRPr="00A16A87">
            <w:rPr>
              <w:rStyle w:val="Voetnootmarkering"/>
            </w:rPr>
            <w:footnoteReference w:id="55"/>
          </w:r>
          <w:r w:rsidRPr="00A16A87">
            <w:t xml:space="preserve"> </w:t>
          </w:r>
        </w:p>
        <w:p w:rsidR="002E0AF6" w:rsidP="00547294" w:rsidRDefault="002E0AF6" w14:paraId="5D3B5ED0" w14:textId="77777777"/>
        <w:p w:rsidR="008D37CF" w:rsidP="00547294" w:rsidRDefault="00547294" w14:paraId="43AE9CA8" w14:textId="2A63F937">
          <w:r w:rsidRPr="00CD5CAF">
            <w:t xml:space="preserve">In de toelichting </w:t>
          </w:r>
          <w:r w:rsidR="007609C5">
            <w:t>wordt over de gevolgen van de</w:t>
          </w:r>
          <w:r w:rsidR="009649A3">
            <w:t xml:space="preserve"> maatregel op dit vlak </w:t>
          </w:r>
          <w:r w:rsidR="002509B8">
            <w:t>aangegeven</w:t>
          </w:r>
          <w:r w:rsidRPr="00CD5CAF">
            <w:t xml:space="preserve"> dat de nieuwbouwproductie ’doorlopend’ in de gaten gehouden zal worden</w:t>
          </w:r>
          <w:r w:rsidR="009649A3">
            <w:t>.</w:t>
          </w:r>
          <w:r w:rsidRPr="00CD5CAF">
            <w:rPr>
              <w:rStyle w:val="Voetnootmarkering"/>
            </w:rPr>
            <w:footnoteReference w:id="56"/>
          </w:r>
          <w:r w:rsidRPr="00CD5CAF">
            <w:t xml:space="preserve"> </w:t>
          </w:r>
          <w:r w:rsidR="002509B8">
            <w:t>Niet wordt aangegeven</w:t>
          </w:r>
          <w:r w:rsidRPr="00CD5CAF">
            <w:t xml:space="preserve"> op welke wijze dat zal gebeuren, welke indicatoren wanneer leidend zijn om in te grijpen en wat in dat geval mogelijke maatregelen zijn.</w:t>
          </w:r>
          <w:r w:rsidR="002509B8">
            <w:t xml:space="preserve"> </w:t>
          </w:r>
        </w:p>
        <w:p w:rsidR="008D37CF" w:rsidP="00547294" w:rsidRDefault="008D37CF" w14:paraId="783AC0E6" w14:textId="77777777"/>
        <w:p w:rsidR="00547294" w:rsidP="00547294" w:rsidRDefault="002509B8" w14:paraId="331C163B" w14:textId="4F1B88C3">
          <w:r>
            <w:t xml:space="preserve">De Afdeling adviseert de toelichting op dit vlak aan te vullen. </w:t>
          </w:r>
        </w:p>
        <w:p w:rsidR="00AB0686" w:rsidP="00547294" w:rsidRDefault="00AB0686" w14:paraId="1CF91627" w14:textId="77777777"/>
        <w:p w:rsidR="00547294" w:rsidP="00547294" w:rsidRDefault="00547294" w14:paraId="578DA202" w14:textId="4F48D821">
          <w:pPr>
            <w:rPr>
              <w:i/>
              <w:iCs/>
            </w:rPr>
          </w:pPr>
          <w:r w:rsidRPr="00770CC1">
            <w:t>b.</w:t>
          </w:r>
          <w:r w:rsidRPr="008436B6">
            <w:rPr>
              <w:i/>
              <w:iCs/>
            </w:rPr>
            <w:t xml:space="preserve"> </w:t>
          </w:r>
          <w:r>
            <w:rPr>
              <w:i/>
              <w:iCs/>
            </w:rPr>
            <w:tab/>
          </w:r>
          <w:r w:rsidRPr="008436B6">
            <w:rPr>
              <w:i/>
              <w:iCs/>
            </w:rPr>
            <w:t>Bestaande huurwoningen</w:t>
          </w:r>
        </w:p>
        <w:p w:rsidRPr="001D64FC" w:rsidR="00547294" w:rsidP="00547294" w:rsidRDefault="00547294" w14:paraId="6F8D18FD" w14:textId="0C73D03D">
          <w:r w:rsidRPr="001D64FC">
            <w:t>Een verhuurder zal bij een wisseling van bewoners na inwerkingtreding van het voorstel voor de keuze komen te staan tussen doorgaan met verhuren (“doorexploitatie”) of verkoop van de woning (“uitponden”). Hoe deze keuze in de regel zal uitvallen, is niet precies vooraf te zeggen, omdat een dergelijke beslissing afhangt van verschillende factoren, waaronder marktomstandigheden</w:t>
          </w:r>
          <w:r w:rsidR="00D055A6">
            <w:t>,</w:t>
          </w:r>
          <w:r w:rsidRPr="001D64FC">
            <w:rPr>
              <w:rStyle w:val="Voetnootmarkering"/>
            </w:rPr>
            <w:footnoteReference w:id="57"/>
          </w:r>
          <w:r w:rsidRPr="001D64FC">
            <w:t xml:space="preserve"> specifieke omstandigheden die betrekking hebben op de verhuurder en transactiekosten.</w:t>
          </w:r>
        </w:p>
        <w:p w:rsidRPr="001D64FC" w:rsidR="00547294" w:rsidP="00547294" w:rsidRDefault="00547294" w14:paraId="1304A231" w14:textId="77777777"/>
        <w:p w:rsidR="0014735F" w:rsidP="00547294" w:rsidRDefault="00547294" w14:paraId="43785098" w14:textId="77777777">
          <w:r w:rsidRPr="001D64FC">
            <w:t xml:space="preserve">Wat wel helder is, is </w:t>
          </w:r>
          <w:r w:rsidRPr="001D64FC" w:rsidDel="00707CD9">
            <w:t xml:space="preserve">dat </w:t>
          </w:r>
          <w:r w:rsidRPr="001D64FC">
            <w:t>uitponden door de cumulatie aan maatregelen, steeds vaker de hoogste opbrengst voor beleggers zal opleveren. Het wordt voor hen economisch gezien dus steeds aantrekkelijker om een woning te verkopen in plaats van doorexploitatie.</w:t>
          </w:r>
          <w:r w:rsidRPr="001D64FC">
            <w:rPr>
              <w:rStyle w:val="Voetnootmarkering"/>
            </w:rPr>
            <w:footnoteReference w:id="58"/>
          </w:r>
          <w:r w:rsidRPr="001D64FC">
            <w:t xml:space="preserve"> Uit onderzoek blijkt dat van 95% van de </w:t>
          </w:r>
          <w:proofErr w:type="spellStart"/>
          <w:r w:rsidRPr="001D64FC">
            <w:t>middenhuurwoningen</w:t>
          </w:r>
          <w:proofErr w:type="spellEnd"/>
          <w:r w:rsidRPr="001D64FC">
            <w:t xml:space="preserve"> de verkoopwaarde hoger zal komen te liggen dan de exploitatiewaarde.</w:t>
          </w:r>
          <w:r w:rsidRPr="001D64FC">
            <w:rPr>
              <w:rStyle w:val="Voetnootmarkering"/>
            </w:rPr>
            <w:footnoteReference w:id="59"/>
          </w:r>
          <w:r w:rsidRPr="001D64FC">
            <w:t xml:space="preserve"> De toelichting verwijst in dit kader naar een onderzoek van CBRE dat schat dat in een periode van vijf tot tien jaar 50.000 à 100.000 woningen zullen worden uitgepond.</w:t>
          </w:r>
          <w:r w:rsidRPr="001D64FC">
            <w:rPr>
              <w:rStyle w:val="Voetnootmarkering"/>
            </w:rPr>
            <w:footnoteReference w:id="60"/>
          </w:r>
          <w:r w:rsidRPr="001D64FC">
            <w:t xml:space="preserve"> </w:t>
          </w:r>
        </w:p>
        <w:p w:rsidR="0014735F" w:rsidP="00547294" w:rsidRDefault="0014735F" w14:paraId="661CC927" w14:textId="77777777"/>
        <w:p w:rsidRPr="00491CC1" w:rsidR="00547294" w:rsidP="00547294" w:rsidRDefault="00547294" w14:paraId="33CEE414" w14:textId="67E8B962">
          <w:pPr>
            <w:rPr>
              <w:highlight w:val="yellow"/>
            </w:rPr>
          </w:pPr>
          <w:r w:rsidRPr="001D64FC">
            <w:lastRenderedPageBreak/>
            <w:t xml:space="preserve">Ook uit onderzoek van De Nederlandsche Bank volgt dat het wetsvoorstel </w:t>
          </w:r>
          <w:proofErr w:type="spellStart"/>
          <w:r w:rsidRPr="001D64FC">
            <w:t>middenhuurwoningen</w:t>
          </w:r>
          <w:proofErr w:type="spellEnd"/>
          <w:r w:rsidRPr="001D64FC">
            <w:t xml:space="preserve"> op korte termijn betaalbaarder kan maken, maar op de lange termijn de bijkomende daling van het rendement kan leiden tot een kleiner middensegment doordat beleggers zich terugtrekken en woningen te koop aanbieden.</w:t>
          </w:r>
          <w:r w:rsidRPr="001D64FC">
            <w:rPr>
              <w:rStyle w:val="Voetnootmarkering"/>
            </w:rPr>
            <w:footnoteReference w:id="61"/>
          </w:r>
          <w:r w:rsidRPr="001D64FC">
            <w:t xml:space="preserve"> Hiervan zijn ook al enkele signalen</w:t>
          </w:r>
          <w:r w:rsidRPr="00AE3C28">
            <w:t>.</w:t>
          </w:r>
          <w:r w:rsidRPr="00AE3C28">
            <w:rPr>
              <w:rStyle w:val="Voetnootmarkering"/>
            </w:rPr>
            <w:footnoteReference w:id="62"/>
          </w:r>
          <w:r w:rsidRPr="00AE3C28">
            <w:t xml:space="preserve"> Dit effect van een kleiner middensegment door uitponden als gevolg van het onderhavige wetsvoorstel is een terugkerende boodschap van meerdere studies.</w:t>
          </w:r>
          <w:r w:rsidRPr="00AE3C28">
            <w:rPr>
              <w:rStyle w:val="Voetnootmarkering"/>
            </w:rPr>
            <w:footnoteReference w:id="63"/>
          </w:r>
          <w:r w:rsidRPr="00AE3C28">
            <w:t xml:space="preserve"> Tot slot kan gewezen worden op het signaal van de Europese Commissie, dat hierop wijst als risico.</w:t>
          </w:r>
          <w:r w:rsidRPr="00AE3C28">
            <w:rPr>
              <w:rStyle w:val="Voetnootmarkering"/>
            </w:rPr>
            <w:footnoteReference w:id="64"/>
          </w:r>
        </w:p>
        <w:p w:rsidRPr="00491CC1" w:rsidR="00547294" w:rsidP="00547294" w:rsidRDefault="00547294" w14:paraId="2310A889" w14:textId="77777777">
          <w:pPr>
            <w:rPr>
              <w:highlight w:val="yellow"/>
            </w:rPr>
          </w:pPr>
        </w:p>
        <w:p w:rsidRPr="001D4DF0" w:rsidR="00547294" w:rsidP="00547294" w:rsidRDefault="00547294" w14:paraId="511E5E5E" w14:textId="77777777">
          <w:r w:rsidRPr="001D4DF0">
            <w:t xml:space="preserve">De regering erkent dit risico en vermeldt dat de vraag in hoeverre er wordt uitgepond en waar deze woningen terechtkomen niet los kan worden gezien van het gegeven dat de afgelopen jaren juist veel woningen zijn opgekocht om te verhuren. In die zin kan volgens de regering worden gesproken van een ’correctie’, waarbij de woningen voor een deel gekocht zullen worden door middeninkomens en enige mate van </w:t>
          </w:r>
          <w:proofErr w:type="spellStart"/>
          <w:r w:rsidRPr="001D4DF0">
            <w:t>uitponding</w:t>
          </w:r>
          <w:proofErr w:type="spellEnd"/>
          <w:r w:rsidRPr="001D4DF0">
            <w:t xml:space="preserve"> ’niet a priori als problematisch wordt gezien’.</w:t>
          </w:r>
          <w:r w:rsidRPr="001D4DF0">
            <w:rPr>
              <w:rStyle w:val="Voetnootmarkering"/>
            </w:rPr>
            <w:footnoteReference w:id="65"/>
          </w:r>
          <w:r w:rsidRPr="001D4DF0">
            <w:t xml:space="preserve"> </w:t>
          </w:r>
        </w:p>
        <w:p w:rsidRPr="001D4DF0" w:rsidR="00547294" w:rsidP="00547294" w:rsidRDefault="00547294" w14:paraId="15172ABF" w14:textId="77777777"/>
        <w:p w:rsidR="00547294" w:rsidP="00547294" w:rsidRDefault="00547294" w14:paraId="34CF98C2" w14:textId="5E7412A8">
          <w:r w:rsidRPr="001D4DF0">
            <w:t xml:space="preserve">De Afdeling volgt tot op zekere hoogte de redenering van de regering dat door </w:t>
          </w:r>
          <w:proofErr w:type="spellStart"/>
          <w:r w:rsidRPr="001D4DF0">
            <w:t>uitponding</w:t>
          </w:r>
          <w:proofErr w:type="spellEnd"/>
          <w:r w:rsidRPr="001D4DF0">
            <w:t xml:space="preserve"> meer woningen in de verkoop worden gedaan, hetgeen </w:t>
          </w:r>
          <w:r w:rsidR="00F7538B">
            <w:t>enige</w:t>
          </w:r>
          <w:r w:rsidRPr="001D4DF0">
            <w:t xml:space="preserve"> verlichting kan bieden in de koopsector. De regering gaat echter niet in op de gevolgen van dit krimpende aanbod in de vrije huursector als gevolg van de uitponding. Door deze krimp neemt de </w:t>
          </w:r>
          <w:r w:rsidR="001D7A32">
            <w:t xml:space="preserve">in punt 2 geschetste </w:t>
          </w:r>
          <w:r w:rsidRPr="001D4DF0">
            <w:t>disbalans tussen vraag en aanbod verder toe</w:t>
          </w:r>
          <w:r w:rsidR="007B0CC7">
            <w:t>, alsmede de disbalans tussen de segmenten</w:t>
          </w:r>
          <w:r w:rsidRPr="001D4DF0">
            <w:t xml:space="preserve">. </w:t>
          </w:r>
        </w:p>
        <w:p w:rsidR="00547294" w:rsidP="00547294" w:rsidRDefault="00547294" w14:paraId="1B242D3C" w14:textId="77777777"/>
        <w:p w:rsidRPr="001D4DF0" w:rsidR="00547294" w:rsidP="00547294" w:rsidRDefault="00547294" w14:paraId="442F1676" w14:textId="0AE993EB">
          <w:r w:rsidRPr="001D4DF0">
            <w:t xml:space="preserve">De Afdeling </w:t>
          </w:r>
          <w:r w:rsidR="00C60446">
            <w:t>mist</w:t>
          </w:r>
          <w:r w:rsidRPr="001D4DF0">
            <w:t xml:space="preserve">, </w:t>
          </w:r>
          <w:r>
            <w:t xml:space="preserve">gegeven de doelstelling om het </w:t>
          </w:r>
          <w:proofErr w:type="spellStart"/>
          <w:r>
            <w:t>middenhuuraanbod</w:t>
          </w:r>
          <w:proofErr w:type="spellEnd"/>
          <w:r>
            <w:t xml:space="preserve"> te vergroten</w:t>
          </w:r>
          <w:r w:rsidR="0001629F">
            <w:t>,</w:t>
          </w:r>
          <w:r w:rsidR="00863B05">
            <w:t xml:space="preserve"> een </w:t>
          </w:r>
          <w:r w:rsidR="0011740A">
            <w:t>dragende motivering</w:t>
          </w:r>
          <w:r w:rsidR="00650E21">
            <w:t xml:space="preserve"> op dit punt</w:t>
          </w:r>
          <w:r>
            <w:t xml:space="preserve">. </w:t>
          </w:r>
          <w:r w:rsidR="00480E9E">
            <w:t xml:space="preserve">Zij </w:t>
          </w:r>
          <w:r w:rsidR="00666DA9">
            <w:t xml:space="preserve">adviseert </w:t>
          </w:r>
          <w:r w:rsidR="004F5A7D">
            <w:t xml:space="preserve">deze alsnog te geven </w:t>
          </w:r>
          <w:r w:rsidR="00BE5B7E">
            <w:t xml:space="preserve">in </w:t>
          </w:r>
          <w:r w:rsidR="00666DA9">
            <w:t>de toelichting</w:t>
          </w:r>
          <w:r>
            <w:t xml:space="preserve">. </w:t>
          </w:r>
        </w:p>
        <w:p w:rsidR="00DE5FEB" w:rsidRDefault="00DE5FEB" w14:paraId="4DF18A3F" w14:textId="77777777">
          <w:r>
            <w:br w:type="page"/>
          </w:r>
        </w:p>
        <w:p w:rsidRPr="00993D26" w:rsidR="00547294" w:rsidP="00547294" w:rsidRDefault="00547294" w14:paraId="701429DB" w14:textId="060020A8">
          <w:r w:rsidRPr="00770CC1">
            <w:lastRenderedPageBreak/>
            <w:t>c.</w:t>
          </w:r>
          <w:r w:rsidRPr="00842DE7">
            <w:rPr>
              <w:i/>
              <w:iCs/>
            </w:rPr>
            <w:tab/>
          </w:r>
          <w:r w:rsidRPr="00993D26">
            <w:rPr>
              <w:i/>
              <w:iCs/>
            </w:rPr>
            <w:t>Cumulatie overheidsmaatregelen</w:t>
          </w:r>
        </w:p>
        <w:p w:rsidRPr="00993D26" w:rsidR="00547294" w:rsidP="00547294" w:rsidRDefault="00547294" w14:paraId="5096B689" w14:textId="4D445FE3">
          <w:r w:rsidRPr="00993D26">
            <w:t xml:space="preserve">Het wetsvoorstel leidt </w:t>
          </w:r>
          <w:r w:rsidR="00802685">
            <w:t xml:space="preserve">als gezegd </w:t>
          </w:r>
          <w:r w:rsidRPr="00993D26">
            <w:t xml:space="preserve">voor </w:t>
          </w:r>
          <w:r w:rsidR="00802685">
            <w:t>woningverhuurders</w:t>
          </w:r>
          <w:r w:rsidRPr="00993D26">
            <w:t xml:space="preserve"> tot lagere opbrengsten. Dit volgt op een reeks recente maatregelen die voor verhuurders </w:t>
          </w:r>
          <w:r w:rsidR="005429F1">
            <w:t xml:space="preserve">en investeerders </w:t>
          </w:r>
          <w:r w:rsidRPr="00993D26">
            <w:t>zorgen voor hogere kosten of lagere opbrengsten</w:t>
          </w:r>
          <w:r w:rsidR="00802685">
            <w:t>, waaronder</w:t>
          </w:r>
          <w:r w:rsidRPr="00993D26">
            <w:t>:</w:t>
          </w:r>
          <w:r w:rsidRPr="00993D26">
            <w:rPr>
              <w:rStyle w:val="Voetnootmarkering"/>
            </w:rPr>
            <w:footnoteReference w:id="66"/>
          </w:r>
          <w:r w:rsidRPr="00993D26">
            <w:t xml:space="preserve"> </w:t>
          </w:r>
        </w:p>
        <w:p w:rsidRPr="00993D26" w:rsidR="00547294" w:rsidP="00547294" w:rsidRDefault="00547294" w14:paraId="40E588E6" w14:textId="754754C0">
          <w:pPr>
            <w:pStyle w:val="Lijstalinea"/>
            <w:numPr>
              <w:ilvl w:val="0"/>
              <w:numId w:val="16"/>
            </w:numPr>
          </w:pPr>
          <w:r w:rsidRPr="00993D26">
            <w:t xml:space="preserve">de maximering van huurprijsstijgingen in het geliberaliseerde huursegment </w:t>
          </w:r>
        </w:p>
        <w:p w:rsidRPr="00993D26" w:rsidR="00547294" w:rsidP="00547294" w:rsidRDefault="00547294" w14:paraId="40C1C54F" w14:textId="1B868A88">
          <w:pPr>
            <w:pStyle w:val="Lijstalinea"/>
            <w:numPr>
              <w:ilvl w:val="0"/>
              <w:numId w:val="16"/>
            </w:numPr>
          </w:pPr>
          <w:r w:rsidRPr="00993D26">
            <w:t xml:space="preserve">het invoeren van een </w:t>
          </w:r>
          <w:r w:rsidR="007C1F70">
            <w:t>bovengrens (“cap”)</w:t>
          </w:r>
          <w:r w:rsidRPr="00993D26">
            <w:t xml:space="preserve"> op de WOZ in het WWS</w:t>
          </w:r>
        </w:p>
        <w:p w:rsidRPr="00993D26" w:rsidR="00547294" w:rsidP="00547294" w:rsidRDefault="00547294" w14:paraId="64BB34CC" w14:textId="675CDC81">
          <w:pPr>
            <w:pStyle w:val="Lijstalinea"/>
            <w:numPr>
              <w:ilvl w:val="0"/>
              <w:numId w:val="16"/>
            </w:numPr>
          </w:pPr>
          <w:r w:rsidRPr="00993D26">
            <w:t xml:space="preserve">de opkoopbescherming voor goedkope en </w:t>
          </w:r>
          <w:proofErr w:type="spellStart"/>
          <w:r w:rsidRPr="00993D26">
            <w:t>middeldure</w:t>
          </w:r>
          <w:proofErr w:type="spellEnd"/>
          <w:r w:rsidRPr="00993D26">
            <w:t xml:space="preserve"> koopwoningen</w:t>
          </w:r>
        </w:p>
        <w:p w:rsidRPr="00993D26" w:rsidR="00547294" w:rsidP="00547294" w:rsidRDefault="00547294" w14:paraId="7CE572C9" w14:textId="04E136B9">
          <w:pPr>
            <w:pStyle w:val="Lijstalinea"/>
            <w:numPr>
              <w:ilvl w:val="0"/>
              <w:numId w:val="16"/>
            </w:numPr>
          </w:pPr>
          <w:r w:rsidRPr="00993D26">
            <w:t>de verhuurvergunning</w:t>
          </w:r>
        </w:p>
        <w:p w:rsidRPr="00993D26" w:rsidR="00547294" w:rsidP="00547294" w:rsidRDefault="00547294" w14:paraId="097192D1" w14:textId="5CDA53E8">
          <w:pPr>
            <w:pStyle w:val="Lijstalinea"/>
            <w:numPr>
              <w:ilvl w:val="0"/>
              <w:numId w:val="16"/>
            </w:numPr>
          </w:pPr>
          <w:r w:rsidRPr="00993D26">
            <w:t xml:space="preserve">de inkomensafhankelijke huurverhoging </w:t>
          </w:r>
        </w:p>
        <w:p w:rsidRPr="00993D26" w:rsidR="00547294" w:rsidP="00547294" w:rsidRDefault="00547294" w14:paraId="651A10E6" w14:textId="1E3471BC">
          <w:pPr>
            <w:pStyle w:val="Lijstalinea"/>
            <w:numPr>
              <w:ilvl w:val="0"/>
              <w:numId w:val="16"/>
            </w:numPr>
          </w:pPr>
          <w:r w:rsidRPr="00993D26">
            <w:t>de stapsgewijze verhoging van de overdrachtsbelasting voor verhuurders van 2% naar 10,4%</w:t>
          </w:r>
        </w:p>
        <w:p w:rsidRPr="00993D26" w:rsidR="00547294" w:rsidP="00547294" w:rsidRDefault="00547294" w14:paraId="34073181" w14:textId="77777777"/>
        <w:p w:rsidR="00547294" w:rsidP="00547294" w:rsidRDefault="00547294" w14:paraId="1302F590" w14:textId="1DD2D325">
          <w:r w:rsidRPr="00993D26">
            <w:t>Deze stapeling van maatregelen maakt dat bij voorgesteld nieuw beleid moet worden voorkomen dat dit leidt tot ongewenste neveneffecten, in dit geval van de investeringsbereidheid van verhuurders en daarmee het aanbod van woningen</w:t>
          </w:r>
          <w:r w:rsidR="005C56F1">
            <w:t xml:space="preserve"> voor huurders</w:t>
          </w:r>
          <w:r w:rsidRPr="00993D26">
            <w:t>. Dit is temeer van belang als blijkt dat van alle maatregelen, de voorgestelde nieuwe maatregel de meest ingrijpende is</w:t>
          </w:r>
          <w:r w:rsidRPr="00CC188E">
            <w:t>. In de toelichting wordt</w:t>
          </w:r>
          <w:r w:rsidRPr="00CC188E" w:rsidDel="003C4530">
            <w:t xml:space="preserve"> </w:t>
          </w:r>
          <w:r w:rsidRPr="00CC188E">
            <w:t xml:space="preserve">vermeld dat van de diverse recente maatregelen die gevolgen hebben op de verdiencapaciteit van verhuurders, de regulering van de </w:t>
          </w:r>
          <w:proofErr w:type="spellStart"/>
          <w:r w:rsidRPr="00CC188E">
            <w:t>middenhuur</w:t>
          </w:r>
          <w:proofErr w:type="spellEnd"/>
          <w:r w:rsidRPr="00CC188E">
            <w:t xml:space="preserve"> de grootste </w:t>
          </w:r>
          <w:r>
            <w:t xml:space="preserve">invloed </w:t>
          </w:r>
          <w:r w:rsidRPr="00CC188E">
            <w:t>heeft op de zogenoemde netto contante waarde van huurwoningen en dus de rentabiliteit.</w:t>
          </w:r>
          <w:r w:rsidRPr="00CC188E">
            <w:rPr>
              <w:rStyle w:val="Voetnootmarkering"/>
            </w:rPr>
            <w:footnoteReference w:id="67"/>
          </w:r>
          <w:r w:rsidRPr="00CC188E">
            <w:t xml:space="preserve"> Dit wordt bevestigd door andere onderzoeken.</w:t>
          </w:r>
          <w:r w:rsidRPr="00CC188E">
            <w:rPr>
              <w:rStyle w:val="Voetnootmarkering"/>
            </w:rPr>
            <w:footnoteReference w:id="68"/>
          </w:r>
        </w:p>
        <w:p w:rsidRPr="00993D26" w:rsidR="00547294" w:rsidP="00547294" w:rsidRDefault="00547294" w14:paraId="739344AA" w14:textId="77777777"/>
        <w:p w:rsidR="006E1197" w:rsidP="00547294" w:rsidRDefault="00547294" w14:paraId="5E561D76" w14:textId="6A545715">
          <w:r w:rsidRPr="00993D26">
            <w:t>De toelichting schiet op dit punt tekort. De regering onderkent dat er een stapeling van maatregelen is “die het kabinet wel nopen deze uitkomsten mee te nemen bij een aantal trajecten.”</w:t>
          </w:r>
          <w:r w:rsidRPr="00993D26">
            <w:rPr>
              <w:rStyle w:val="Voetnootmarkering"/>
            </w:rPr>
            <w:footnoteReference w:id="69"/>
          </w:r>
          <w:r w:rsidRPr="00993D26">
            <w:t xml:space="preserve"> Zij maakt echter niet duidelijk wat de te verwachten cumulatieve effecten uiteindelijk zijn en in hoeverre er dienaangaande gedifferentieerd kan worden tussen soorten verhuurders. Ook wordt verwezen naar andere lopende trajecten</w:t>
          </w:r>
          <w:r w:rsidR="00630D45">
            <w:t xml:space="preserve">, </w:t>
          </w:r>
          <w:r w:rsidRPr="00993D26">
            <w:t>bijvoorbeeld op fiscaal terrein. In de toelichting van de hier voorgestelde maatregel zal de vraag moeten worden beantwoord of de maatregel zowel zelfstandig als in samenhang met overige maatregelen passend is en gedragen kan worden.</w:t>
          </w:r>
          <w:r w:rsidRPr="00993D26">
            <w:rPr>
              <w:rStyle w:val="Voetnootmarkering"/>
            </w:rPr>
            <w:footnoteReference w:id="70"/>
          </w:r>
          <w:r>
            <w:t xml:space="preserve"> </w:t>
          </w:r>
        </w:p>
        <w:p w:rsidR="006E1197" w:rsidP="00547294" w:rsidRDefault="006E1197" w14:paraId="4B1226C4" w14:textId="77777777"/>
        <w:p w:rsidRPr="001C449F" w:rsidR="00547294" w:rsidP="00547294" w:rsidRDefault="001C449F" w14:paraId="60CB1590" w14:textId="4C237C89">
          <w:pPr>
            <w:rPr>
              <w:i/>
            </w:rPr>
          </w:pPr>
          <w:r>
            <w:lastRenderedPageBreak/>
            <w:t xml:space="preserve">De </w:t>
          </w:r>
          <w:r w:rsidRPr="00323B9B" w:rsidR="00323B9B">
            <w:t xml:space="preserve">Afdeling adviseert dragend te motiveren dat de voorgestelde maatregel de risico's ten aanzien van het vergroten van de schaarste in het </w:t>
          </w:r>
          <w:proofErr w:type="spellStart"/>
          <w:r w:rsidRPr="00323B9B" w:rsidR="00323B9B">
            <w:t>middenhuursegment</w:t>
          </w:r>
          <w:proofErr w:type="spellEnd"/>
          <w:r w:rsidRPr="00323B9B" w:rsidR="00323B9B">
            <w:t xml:space="preserve"> voldoende beheerst.</w:t>
          </w:r>
        </w:p>
        <w:p w:rsidR="00547294" w:rsidP="00547294" w:rsidRDefault="00547294" w14:paraId="78D2BB22" w14:textId="77777777"/>
        <w:p w:rsidR="00547294" w:rsidP="00547294" w:rsidRDefault="0024018C" w14:paraId="47620DD9" w14:textId="79E82110">
          <w:r>
            <w:t>6</w:t>
          </w:r>
          <w:r w:rsidR="00547294">
            <w:t>.</w:t>
          </w:r>
          <w:r w:rsidR="00547294">
            <w:tab/>
          </w:r>
          <w:r w:rsidR="00547294">
            <w:rPr>
              <w:u w:val="single"/>
            </w:rPr>
            <w:t>Hoger recht</w:t>
          </w:r>
        </w:p>
        <w:p w:rsidR="00547294" w:rsidP="00547294" w:rsidRDefault="00547294" w14:paraId="17BA1979" w14:textId="77777777"/>
        <w:p w:rsidR="00547294" w:rsidP="00547294" w:rsidRDefault="00547294" w14:paraId="596FF00D" w14:textId="0A29407B">
          <w:r>
            <w:t xml:space="preserve">De regering gaat in </w:t>
          </w:r>
          <w:r w:rsidR="006166F4">
            <w:t xml:space="preserve">de toelichting in </w:t>
          </w:r>
          <w:r>
            <w:t>op de verhouding van het wetsvoorstel tot het hoger recht</w:t>
          </w:r>
          <w:r w:rsidR="006166F4">
            <w:t>. Daarbij besteedt zij adequaat aandacht aan de verhouding tot artikel 22 van de Grondwet.</w:t>
          </w:r>
          <w:r w:rsidR="006166F4">
            <w:rPr>
              <w:rStyle w:val="Voetnootmarkering"/>
            </w:rPr>
            <w:footnoteReference w:id="71"/>
          </w:r>
          <w:r w:rsidR="00032E75">
            <w:t xml:space="preserve"> Daarnaast wordt ingegaan </w:t>
          </w:r>
          <w:r w:rsidR="0057252D">
            <w:t>op</w:t>
          </w:r>
          <w:r>
            <w:t xml:space="preserve"> het recht op eigendom van verhuurders en vastgoedinvesteerders</w:t>
          </w:r>
          <w:r w:rsidR="0057252D">
            <w:t xml:space="preserve"> en de verhouding </w:t>
          </w:r>
          <w:r w:rsidR="006E56C2">
            <w:t>tot</w:t>
          </w:r>
          <w:r w:rsidR="0057252D">
            <w:t xml:space="preserve"> het Unierecht</w:t>
          </w:r>
          <w:r>
            <w:t>.</w:t>
          </w:r>
          <w:r w:rsidR="003E23F5">
            <w:t xml:space="preserve"> De Afdeling maakt daarover de volgende opmerkingen</w:t>
          </w:r>
          <w:r w:rsidR="00534BA8">
            <w:t>.</w:t>
          </w:r>
          <w:r>
            <w:t xml:space="preserve"> </w:t>
          </w:r>
        </w:p>
        <w:p w:rsidR="00547294" w:rsidP="00547294" w:rsidRDefault="00547294" w14:paraId="36590C4C" w14:textId="77777777"/>
        <w:p w:rsidRPr="00306C27" w:rsidR="00547294" w:rsidP="005B1973" w:rsidRDefault="00547294" w14:paraId="113996D4" w14:textId="71492F31">
          <w:pPr>
            <w:keepNext/>
            <w:rPr>
              <w:i/>
              <w:iCs/>
            </w:rPr>
          </w:pPr>
          <w:r>
            <w:t>a.</w:t>
          </w:r>
          <w:r>
            <w:tab/>
          </w:r>
          <w:r w:rsidRPr="005076A5">
            <w:rPr>
              <w:i/>
              <w:iCs/>
            </w:rPr>
            <w:t>Eigendomsrecht</w:t>
          </w:r>
          <w:r>
            <w:rPr>
              <w:i/>
              <w:iCs/>
            </w:rPr>
            <w:t>: r</w:t>
          </w:r>
          <w:r w:rsidRPr="00306C27">
            <w:rPr>
              <w:i/>
              <w:iCs/>
            </w:rPr>
            <w:t xml:space="preserve">egulering </w:t>
          </w:r>
          <w:proofErr w:type="spellStart"/>
          <w:r w:rsidRPr="00306C27">
            <w:rPr>
              <w:i/>
              <w:iCs/>
            </w:rPr>
            <w:t>middenhuur</w:t>
          </w:r>
          <w:proofErr w:type="spellEnd"/>
        </w:p>
        <w:p w:rsidR="00547294" w:rsidP="00547294" w:rsidRDefault="00547294" w14:paraId="695C06F9" w14:textId="5208623E">
          <w:r w:rsidRPr="0074189A">
            <w:t xml:space="preserve">De regering stelt terecht dat de voorgestelde </w:t>
          </w:r>
          <w:r>
            <w:t>regulering van de huurprijzen in het middensegment</w:t>
          </w:r>
          <w:r w:rsidRPr="0074189A">
            <w:t xml:space="preserve"> moet worden aangemerkt als regulering van het eigendomsrecht van eigenaren van woningen in </w:t>
          </w:r>
          <w:r>
            <w:t>dit segment</w:t>
          </w:r>
          <w:r w:rsidRPr="0074189A">
            <w:t xml:space="preserve"> die hun woning (willen gaan) verhuren.</w:t>
          </w:r>
          <w:r>
            <w:rPr>
              <w:rStyle w:val="Voetnootmarkering"/>
            </w:rPr>
            <w:footnoteReference w:id="72"/>
          </w:r>
          <w:r w:rsidRPr="0074189A">
            <w:t xml:space="preserve"> </w:t>
          </w:r>
          <w:r w:rsidRPr="00BB7D30">
            <w:t xml:space="preserve">Het recht op eigendom is onder meer verankerd in artikel 1 van het Eerste Protocol bij het EVRM. Op grond daarvan mag eigendom wettelijk worden gereguleerd </w:t>
          </w:r>
          <w:r>
            <w:t xml:space="preserve">indien </w:t>
          </w:r>
          <w:r w:rsidRPr="00BB7D30">
            <w:t xml:space="preserve">die regulering </w:t>
          </w:r>
          <w:r>
            <w:t xml:space="preserve">een legitiem doel nastreeft en de maatregel proportioneel is tot dat doel, waarbij een ‘fair </w:t>
          </w:r>
          <w:proofErr w:type="spellStart"/>
          <w:r>
            <w:t>balance</w:t>
          </w:r>
          <w:proofErr w:type="spellEnd"/>
          <w:r>
            <w:t>’ moet worden bereikt</w:t>
          </w:r>
          <w:r w:rsidRPr="00BB7D30">
            <w:t xml:space="preserve">. Voldoende en genoeg betaalbare woongelegenheid geldt als </w:t>
          </w:r>
          <w:r>
            <w:t>zo</w:t>
          </w:r>
          <w:r w:rsidR="00363975">
            <w:t>’</w:t>
          </w:r>
          <w:r>
            <w:t>n</w:t>
          </w:r>
          <w:r w:rsidRPr="00BB7D30">
            <w:t xml:space="preserve"> </w:t>
          </w:r>
          <w:r>
            <w:t>legitiem doel</w:t>
          </w:r>
          <w:r w:rsidRPr="00BB7D30">
            <w:t>.</w:t>
          </w:r>
          <w:r>
            <w:rPr>
              <w:rStyle w:val="Voetnootmarkering"/>
            </w:rPr>
            <w:footnoteReference w:id="73"/>
          </w:r>
        </w:p>
        <w:p w:rsidR="00547294" w:rsidP="00547294" w:rsidRDefault="00547294" w14:paraId="0A8474FF" w14:textId="77777777"/>
        <w:p w:rsidR="00547294" w:rsidP="00547294" w:rsidRDefault="00547294" w14:paraId="16891BC1" w14:textId="77777777">
          <w:r>
            <w:t xml:space="preserve">Uit de rechtspraak van het Europees Hof voor de Rechten van de Mens (EHRM) blijkt dat bij de beoordeling van de proportionaliteit van inmengingen die het gevolg zijn van huurprijsregulering, verschillende factoren relevant zijn. Zo weegt </w:t>
          </w:r>
          <w:r w:rsidRPr="009B3E55">
            <w:t xml:space="preserve">mee in hoeverre </w:t>
          </w:r>
          <w:r>
            <w:t>de regulering van</w:t>
          </w:r>
          <w:r w:rsidRPr="009B3E55">
            <w:t xml:space="preserve"> huurprij</w:t>
          </w:r>
          <w:r>
            <w:t xml:space="preserve">zen </w:t>
          </w:r>
          <w:r w:rsidRPr="009B3E55">
            <w:t>gevolgen h</w:t>
          </w:r>
          <w:r>
            <w:t>eeft</w:t>
          </w:r>
          <w:r w:rsidRPr="009B3E55">
            <w:t xml:space="preserve"> voor al bestaande contracten</w:t>
          </w:r>
          <w:r>
            <w:t>.</w:t>
          </w:r>
          <w:r>
            <w:rPr>
              <w:rStyle w:val="Voetnootmarkering"/>
            </w:rPr>
            <w:footnoteReference w:id="74"/>
          </w:r>
          <w:r>
            <w:t xml:space="preserve"> Verder is de vraag van belang in hoeverre een verhuurder nog rendement kan behalen, of dat rendement voldoende is om aan verplichtingen (zoals behoorlijk onderhoud) te voldoen, en of sprake is van vrijwilligheid bij het aangaan van een gereguleerd huurcontract.</w:t>
          </w:r>
          <w:r>
            <w:rPr>
              <w:rStyle w:val="Voetnootmarkering"/>
            </w:rPr>
            <w:footnoteReference w:id="75"/>
          </w:r>
          <w:r>
            <w:t xml:space="preserve"> Daarnaast wordt volgens vaste rechtspraak van het EHRM beoordeeld in hoeverre de met een inmenging beoogde doelen met minder ingrijpende maatregelen kunnen worden bereikt en in hoeverre maatregelen geschikt zijn om die doelen te bereiken. </w:t>
          </w:r>
        </w:p>
        <w:p w:rsidR="00547294" w:rsidP="00547294" w:rsidRDefault="00547294" w14:paraId="24FA68AC" w14:textId="77777777"/>
        <w:p w:rsidR="00547294" w:rsidP="00547294" w:rsidRDefault="00547294" w14:paraId="358E52BF" w14:textId="12A8E277">
          <w:r>
            <w:t>Deze factoren komen aan bod in de toelichting.</w:t>
          </w:r>
          <w:r>
            <w:rPr>
              <w:rStyle w:val="Voetnootmarkering"/>
            </w:rPr>
            <w:footnoteReference w:id="76"/>
          </w:r>
          <w:r>
            <w:t xml:space="preserve"> </w:t>
          </w:r>
          <w:r w:rsidRPr="009B3E55">
            <w:t xml:space="preserve">Volgens de regering wordt met de </w:t>
          </w:r>
          <w:r>
            <w:t xml:space="preserve">huurprijsregulering van het middensegment </w:t>
          </w:r>
          <w:r w:rsidRPr="009B3E55">
            <w:t xml:space="preserve">een </w:t>
          </w:r>
          <w:r w:rsidRPr="004C2845">
            <w:t xml:space="preserve">‘fair </w:t>
          </w:r>
          <w:proofErr w:type="spellStart"/>
          <w:r w:rsidRPr="004C2845">
            <w:t>balance</w:t>
          </w:r>
          <w:proofErr w:type="spellEnd"/>
          <w:r w:rsidRPr="004C2845">
            <w:t>’</w:t>
          </w:r>
          <w:r w:rsidRPr="009B3E55">
            <w:t xml:space="preserve"> bereikt, omdat die </w:t>
          </w:r>
          <w:r>
            <w:t>regulering</w:t>
          </w:r>
          <w:r w:rsidRPr="00543E3B">
            <w:t xml:space="preserve"> alleen voor nieuwe huurcontracten gaat gelden, er geen verhuurplicht </w:t>
          </w:r>
          <w:r w:rsidRPr="00543E3B">
            <w:lastRenderedPageBreak/>
            <w:t>bestaat zodat eigenaren zelf kunnen kiezen of zij een huurcontract willen aangaan dat is onderworpen aan de nieuwe regels, de toegestane huurprijs gerelateerd is aan de kwaliteit van de woning die op adequate wijze wordt bepaald, de huurprijs jaarlijks wordt geïndexeerd waardoor verhuurders nog voldoende kunnen verdienen, de voorgestelde maatregelen geschikt zijn om de beoogde doelen te bereiken en omdat er geen minder vergaande inmengingen zijn waarmee die doelen kunnen worden bereikt.</w:t>
          </w:r>
          <w:r w:rsidRPr="00543E3B">
            <w:rPr>
              <w:rStyle w:val="Voetnootmarkering"/>
            </w:rPr>
            <w:footnoteReference w:id="77"/>
          </w:r>
          <w:r>
            <w:t xml:space="preserve"> </w:t>
          </w:r>
        </w:p>
        <w:p w:rsidR="00547294" w:rsidP="00547294" w:rsidRDefault="00547294" w14:paraId="30092F12" w14:textId="77777777"/>
        <w:p w:rsidR="00547294" w:rsidP="00547294" w:rsidRDefault="00547294" w14:paraId="6B5F9C87" w14:textId="7404B822">
          <w:r>
            <w:t xml:space="preserve">De Afdeling merkt op dat de toelichting ingaat op de vraag hoe de regulering zich verhoudt tot het eigendomsrecht en de jurisprudentie daarover. Kernvraag is evenwel of deze maatregel geschikt is voor het gestelde doel. De regering meent dat dit het geval is. Zij wijst erop dat door de ‘grote schaarste’ huurders in een afhankelijke positie zijn komen te staan ten opzichte van verhuurders. </w:t>
          </w:r>
          <w:r w:rsidRPr="00A05D78">
            <w:t xml:space="preserve">De regulering </w:t>
          </w:r>
          <w:r>
            <w:t>geeft</w:t>
          </w:r>
          <w:r w:rsidRPr="00A05D78">
            <w:t xml:space="preserve"> huurder</w:t>
          </w:r>
          <w:r>
            <w:t>s</w:t>
          </w:r>
          <w:r w:rsidRPr="00A05D78">
            <w:t xml:space="preserve"> bescherming tegen verhuurders die te hoge huurprijzen vragen in relatie tot de kwaliteit van de woning</w:t>
          </w:r>
          <w:r>
            <w:t>, aldus de regering</w:t>
          </w:r>
          <w:r w:rsidRPr="00A05D78">
            <w:t>.</w:t>
          </w:r>
          <w:r>
            <w:rPr>
              <w:rStyle w:val="Voetnootmarkering"/>
            </w:rPr>
            <w:footnoteReference w:id="78"/>
          </w:r>
        </w:p>
        <w:p w:rsidR="00547294" w:rsidP="00547294" w:rsidRDefault="00547294" w14:paraId="4E04E2D3" w14:textId="77777777"/>
        <w:p w:rsidR="00547294" w:rsidP="00547294" w:rsidRDefault="00547294" w14:paraId="2C7E9531" w14:textId="6F5508A7">
          <w:r>
            <w:t xml:space="preserve">In de voorgaande paragrafen is uiteengezet dat het voorstel onvoldoende ingaat op de door de regering onderkende schaarste en op het risico dat de schaarste verder toeneemt. Dit moet mede bezien worden in het licht van de reeds bestaande schaarste en het cumulatieve effect van de verschillende overheidsmaatregelen met betrekking tot huurwoningen in de vrije sector. Bovendien blijven de bredere negatieve gevolgen voor de doorstroming op de woningmarkt en de arbeidsmarkt buiten beschouwing. Gelet hierop </w:t>
          </w:r>
          <w:r w:rsidR="00A676F8">
            <w:t>dient</w:t>
          </w:r>
          <w:r>
            <w:t xml:space="preserve"> de regulering van de </w:t>
          </w:r>
          <w:proofErr w:type="spellStart"/>
          <w:r>
            <w:t>middenhuur</w:t>
          </w:r>
          <w:proofErr w:type="spellEnd"/>
          <w:r>
            <w:t xml:space="preserve"> </w:t>
          </w:r>
          <w:r w:rsidR="00CB3965">
            <w:t xml:space="preserve">nader te worden gemotiveerd </w:t>
          </w:r>
          <w:r>
            <w:t>in het licht van het eigendomsrecht.</w:t>
          </w:r>
        </w:p>
        <w:p w:rsidR="00547294" w:rsidP="00547294" w:rsidRDefault="00547294" w14:paraId="0F2E38CB" w14:textId="77777777"/>
        <w:p w:rsidR="00547294" w:rsidP="00547294" w:rsidRDefault="00547294" w14:paraId="7B457BDD" w14:textId="2C39EE0C">
          <w:r>
            <w:t xml:space="preserve">De Afdeling adviseert </w:t>
          </w:r>
          <w:r w:rsidR="00831F6B">
            <w:t xml:space="preserve">nader </w:t>
          </w:r>
          <w:r>
            <w:t xml:space="preserve">te motiveren dat de regulering van de </w:t>
          </w:r>
          <w:proofErr w:type="spellStart"/>
          <w:r>
            <w:t>middenhuur</w:t>
          </w:r>
          <w:proofErr w:type="spellEnd"/>
          <w:r>
            <w:t xml:space="preserve"> geschikt en noodzakelijk is in het licht van het eigendomsrecht.</w:t>
          </w:r>
        </w:p>
        <w:p w:rsidR="00547294" w:rsidP="00547294" w:rsidRDefault="00547294" w14:paraId="33ADCF5D" w14:textId="77777777"/>
        <w:p w:rsidR="00547294" w:rsidP="00547294" w:rsidRDefault="00547294" w14:paraId="2DF8E2DA" w14:textId="77777777">
          <w:r>
            <w:t>b.</w:t>
          </w:r>
          <w:r>
            <w:tab/>
          </w:r>
          <w:r w:rsidRPr="00F43CBA">
            <w:rPr>
              <w:i/>
              <w:iCs/>
            </w:rPr>
            <w:t>Eigendomsrecht: dwingend maken WWS</w:t>
          </w:r>
        </w:p>
        <w:p w:rsidR="00547294" w:rsidP="00547294" w:rsidRDefault="00547294" w14:paraId="40238449" w14:textId="2BDD77D7">
          <w:r w:rsidRPr="009B3E55">
            <w:t xml:space="preserve">De regering stelt dat het </w:t>
          </w:r>
          <w:r w:rsidRPr="00966CAC">
            <w:t xml:space="preserve">dwingend maken van het WWS </w:t>
          </w:r>
          <w:r w:rsidRPr="009B3E55">
            <w:t xml:space="preserve">alleen </w:t>
          </w:r>
          <w:r>
            <w:t>regulering van het eigendomsrecht</w:t>
          </w:r>
          <w:r w:rsidRPr="009B3E55">
            <w:t xml:space="preserve"> is in </w:t>
          </w:r>
          <w:r w:rsidR="00E35A1F">
            <w:t>het uitzonderingsgeval</w:t>
          </w:r>
          <w:r w:rsidRPr="009B3E55">
            <w:t xml:space="preserve"> waarin de nieuwe regels gaan gelden voor </w:t>
          </w:r>
          <w:r w:rsidRPr="009B3E55">
            <w:rPr>
              <w:i/>
              <w:iCs/>
            </w:rPr>
            <w:t xml:space="preserve">bestaande </w:t>
          </w:r>
          <w:r w:rsidRPr="009B3E55">
            <w:t>huurcontracten.</w:t>
          </w:r>
          <w:r w:rsidR="00E810FA">
            <w:rPr>
              <w:rStyle w:val="Voetnootmarkering"/>
            </w:rPr>
            <w:footnoteReference w:id="79"/>
          </w:r>
          <w:r w:rsidRPr="009B3E55">
            <w:t xml:space="preserve"> In </w:t>
          </w:r>
          <w:r>
            <w:t xml:space="preserve">het geval van </w:t>
          </w:r>
          <w:r w:rsidRPr="009B3E55">
            <w:rPr>
              <w:i/>
              <w:iCs/>
            </w:rPr>
            <w:t>nieuwe contracten</w:t>
          </w:r>
          <w:r w:rsidRPr="009B3E55">
            <w:t xml:space="preserve">, is volgens de regering geen sprake van </w:t>
          </w:r>
          <w:r>
            <w:t>regulering</w:t>
          </w:r>
          <w:r w:rsidRPr="009B3E55">
            <w:t xml:space="preserve">, omdat het dwingend maken van het WWS alleen een </w:t>
          </w:r>
          <w:r w:rsidRPr="009B3E55">
            <w:rPr>
              <w:i/>
              <w:iCs/>
            </w:rPr>
            <w:t>formele</w:t>
          </w:r>
          <w:r w:rsidRPr="009B3E55">
            <w:t xml:space="preserve"> en geen </w:t>
          </w:r>
          <w:r w:rsidRPr="009B3E55">
            <w:rPr>
              <w:i/>
              <w:iCs/>
            </w:rPr>
            <w:t>materiële</w:t>
          </w:r>
          <w:r w:rsidRPr="009B3E55">
            <w:t xml:space="preserve"> wijziging is</w:t>
          </w:r>
          <w:r>
            <w:t>.</w:t>
          </w:r>
          <w:r>
            <w:rPr>
              <w:rStyle w:val="Voetnootmarkering"/>
            </w:rPr>
            <w:footnoteReference w:id="80"/>
          </w:r>
          <w:r w:rsidRPr="009B3E55">
            <w:t xml:space="preserve"> </w:t>
          </w:r>
          <w:r w:rsidR="003E4C51">
            <w:t xml:space="preserve">De </w:t>
          </w:r>
          <w:r w:rsidR="00167F02">
            <w:t>materiële</w:t>
          </w:r>
          <w:r w:rsidR="003E4C51">
            <w:t xml:space="preserve"> regels gelden immers nu ook al</w:t>
          </w:r>
          <w:r w:rsidR="00167F02">
            <w:t xml:space="preserve"> en dat deze regels nu dwingend worden in plaats van afdwingbaar </w:t>
          </w:r>
          <w:r w:rsidR="005205CE">
            <w:t xml:space="preserve">brengt hier geen wijziging in. </w:t>
          </w:r>
        </w:p>
        <w:p w:rsidR="00547294" w:rsidP="00547294" w:rsidRDefault="00547294" w14:paraId="2D96BC1D" w14:textId="77777777"/>
        <w:p w:rsidR="00547294" w:rsidP="00547294" w:rsidRDefault="00547294" w14:paraId="0ABB64FA" w14:textId="26ADB333">
          <w:r w:rsidRPr="009B3E55">
            <w:lastRenderedPageBreak/>
            <w:t>De</w:t>
          </w:r>
          <w:r>
            <w:t xml:space="preserve"> Afdeling </w:t>
          </w:r>
          <w:r w:rsidR="00E41C7D">
            <w:t>merkt op dat</w:t>
          </w:r>
          <w:r>
            <w:t xml:space="preserve"> de</w:t>
          </w:r>
          <w:r w:rsidRPr="009B3E55">
            <w:t xml:space="preserve">ze redenering </w:t>
          </w:r>
          <w:r>
            <w:t>niet overtuigend</w:t>
          </w:r>
          <w:r w:rsidR="00BA116C">
            <w:t xml:space="preserve"> is</w:t>
          </w:r>
          <w:r w:rsidRPr="009B3E55">
            <w:t>.</w:t>
          </w:r>
          <w:r>
            <w:t xml:space="preserve"> </w:t>
          </w:r>
          <w:r w:rsidR="00DD0C4B">
            <w:t>Op zichzelf is juist dat h</w:t>
          </w:r>
          <w:r w:rsidRPr="009B3E55" w:rsidR="00DD0C4B">
            <w:t xml:space="preserve">et </w:t>
          </w:r>
          <w:r w:rsidRPr="009B3E55">
            <w:t>schrappen van de</w:t>
          </w:r>
          <w:r>
            <w:t xml:space="preserve"> </w:t>
          </w:r>
          <w:r w:rsidRPr="009B3E55" w:rsidR="00DD0C4B">
            <w:t>zes-maandentermijn</w:t>
          </w:r>
          <w:r>
            <w:t xml:space="preserve"> niet </w:t>
          </w:r>
          <w:r w:rsidRPr="008C1E54">
            <w:t>zelfstandig</w:t>
          </w:r>
          <w:r>
            <w:t xml:space="preserve"> tot een inmenging in het eigendomsrecht</w:t>
          </w:r>
          <w:r w:rsidR="00DD0C4B">
            <w:t xml:space="preserve"> kan leiden, omdat</w:t>
          </w:r>
          <w:r>
            <w:t xml:space="preserve"> dit </w:t>
          </w:r>
          <w:r w:rsidR="00DD0C4B">
            <w:t>uiteraard alleen kan</w:t>
          </w:r>
          <w:r>
            <w:t xml:space="preserve"> in combinatie met de regels waarin de maximale huurprijzen worden ingesteld. </w:t>
          </w:r>
          <w:r w:rsidR="00DD0C4B">
            <w:t xml:space="preserve">Maar dat </w:t>
          </w:r>
          <w:r>
            <w:t xml:space="preserve">betekent </w:t>
          </w:r>
          <w:r w:rsidR="00DD0C4B">
            <w:t>nog niet dat</w:t>
          </w:r>
          <w:r>
            <w:t xml:space="preserve"> het schrappen van </w:t>
          </w:r>
          <w:r w:rsidR="00DD0C4B">
            <w:t xml:space="preserve">de </w:t>
          </w:r>
          <w:r w:rsidRPr="009B3E55" w:rsidR="00DD0C4B">
            <w:t>zes-maandentermijn</w:t>
          </w:r>
          <w:r w:rsidR="00DD0C4B">
            <w:t xml:space="preserve"> geen</w:t>
          </w:r>
          <w:r>
            <w:t xml:space="preserve"> rechtvaardiging behoeft. Deze schrapping </w:t>
          </w:r>
          <w:r w:rsidRPr="009B3E55">
            <w:t>leidt er</w:t>
          </w:r>
          <w:r>
            <w:t xml:space="preserve"> immers </w:t>
          </w:r>
          <w:r w:rsidRPr="009B3E55">
            <w:t xml:space="preserve">toe dat verhuurders </w:t>
          </w:r>
          <w:r w:rsidR="00A8795A">
            <w:t xml:space="preserve">bij nieuwe huurcontracten </w:t>
          </w:r>
          <w:r w:rsidRPr="009B3E55">
            <w:t>voortaan voor onbepaalde tijd rekening moeten houden met het wegvallen van een deel van de huu</w:t>
          </w:r>
          <w:r>
            <w:t>rinkomsten</w:t>
          </w:r>
          <w:r w:rsidRPr="009B3E55">
            <w:t>.</w:t>
          </w:r>
          <w:r>
            <w:t xml:space="preserve"> Dit is een relevante</w:t>
          </w:r>
          <w:r w:rsidRPr="009B3E55">
            <w:t xml:space="preserve"> </w:t>
          </w:r>
          <w:r>
            <w:t>inperk</w:t>
          </w:r>
          <w:r w:rsidRPr="009B3E55">
            <w:t xml:space="preserve">ing van de rechtszekerheid </w:t>
          </w:r>
          <w:r>
            <w:t xml:space="preserve">die moet worden meegewogen bij de proportionaliteit van het wetsvoorstel. </w:t>
          </w:r>
        </w:p>
        <w:p w:rsidR="00547294" w:rsidP="00547294" w:rsidRDefault="00547294" w14:paraId="521D8663" w14:textId="77777777"/>
        <w:p w:rsidR="00547294" w:rsidP="00547294" w:rsidRDefault="00547294" w14:paraId="51B96D50" w14:textId="77777777">
          <w:r>
            <w:t>De Afdeling adviseert de toelichting op dit onderdeel aan te vullen.</w:t>
          </w:r>
        </w:p>
        <w:p w:rsidR="00547294" w:rsidP="00547294" w:rsidRDefault="00547294" w14:paraId="51A37EBD" w14:textId="77777777"/>
        <w:p w:rsidR="00547294" w:rsidP="00115656" w:rsidRDefault="00547294" w14:paraId="0841E8FD" w14:textId="77777777">
          <w:pPr>
            <w:keepNext/>
          </w:pPr>
          <w:r>
            <w:t>c.</w:t>
          </w:r>
          <w:r>
            <w:tab/>
          </w:r>
          <w:r w:rsidRPr="005076A5">
            <w:rPr>
              <w:i/>
              <w:iCs/>
            </w:rPr>
            <w:t>Verhouding tot het Unierecht</w:t>
          </w:r>
        </w:p>
        <w:p w:rsidR="00547294" w:rsidP="00547294" w:rsidRDefault="00547294" w14:paraId="6393DA98" w14:textId="77777777">
          <w:r>
            <w:t>De regering onderkent dat met het voorstel een inbreuk wordt gemaakt op het Europeesrechtelijke vrije verkeer en gaat in de toelichting kort in op de verhouding tot het vrij verkeer van diensten en van kapitaal.</w:t>
          </w:r>
          <w:r>
            <w:rPr>
              <w:rStyle w:val="Voetnootmarkering"/>
            </w:rPr>
            <w:footnoteReference w:id="81"/>
          </w:r>
          <w:r>
            <w:t xml:space="preserve"> Onder verwijzing naar de motivering in de paragraaf over het eigendomsrecht acht zij eenzelfde redenering van toepassing ter rechtvaardiging van de inbreuk van het voorstel op het vrij verkeer van diensten en van kapitaal. </w:t>
          </w:r>
        </w:p>
        <w:p w:rsidR="00547294" w:rsidP="00547294" w:rsidRDefault="00547294" w14:paraId="3A35EB43" w14:textId="77777777"/>
        <w:p w:rsidR="00547294" w:rsidP="00547294" w:rsidRDefault="00547294" w14:paraId="418F2E59" w14:textId="70C07AB9">
          <w:r>
            <w:t xml:space="preserve">De Afdeling </w:t>
          </w:r>
          <w:r w:rsidR="009F202C">
            <w:t>merkt op dat</w:t>
          </w:r>
          <w:r>
            <w:t xml:space="preserve"> deze motivering niet voldoende</w:t>
          </w:r>
          <w:r w:rsidR="009F202C">
            <w:t xml:space="preserve"> is</w:t>
          </w:r>
          <w:r>
            <w:t xml:space="preserve">. Ten eerste is voor deze motivering vereist dat een door het Unierecht erkende dwingende reden van algemeen belang wordt aangewezen. Ten tweede zijn er, zoals hiervoor al is uiteengezet, twijfels over de effectiviteit van de voorgestelde regulering van de </w:t>
          </w:r>
          <w:proofErr w:type="spellStart"/>
          <w:r>
            <w:t>middenhuur</w:t>
          </w:r>
          <w:proofErr w:type="spellEnd"/>
          <w:r>
            <w:t>.</w:t>
          </w:r>
          <w:r>
            <w:rPr>
              <w:rStyle w:val="Voetnootmarkering"/>
            </w:rPr>
            <w:footnoteReference w:id="82"/>
          </w:r>
          <w:r>
            <w:t xml:space="preserve"> Daarmee rijst de vraag of deze maatregel verenigbaar is met het Unierecht. Daar komt</w:t>
          </w:r>
          <w:r w:rsidDel="00BF3E36">
            <w:t xml:space="preserve"> </w:t>
          </w:r>
          <w:r>
            <w:t>bij dat in het Unierecht aan de lidstaten een minder ruime beoordelingsmarge wordt gelaten dan bij het EVRM.</w:t>
          </w:r>
        </w:p>
        <w:p w:rsidR="00547294" w:rsidP="00547294" w:rsidRDefault="00547294" w14:paraId="2CF1F156" w14:textId="77777777"/>
        <w:p w:rsidR="00547294" w:rsidP="00547294" w:rsidRDefault="00547294" w14:paraId="58C44463" w14:textId="77777777">
          <w:r>
            <w:t>Ten slotte wijst de Afdeling erop dat ook het Handvest van de grondrechten van de Europese Unie (hierna ‘Handvest’) het eigendomsrecht beschermt.</w:t>
          </w:r>
          <w:r>
            <w:rPr>
              <w:rStyle w:val="Voetnootmarkering"/>
            </w:rPr>
            <w:footnoteReference w:id="83"/>
          </w:r>
          <w:r>
            <w:t xml:space="preserve"> </w:t>
          </w:r>
          <w:r w:rsidDel="001340AA">
            <w:t xml:space="preserve">De </w:t>
          </w:r>
          <w:r>
            <w:t xml:space="preserve">toelichting dient voor de rechtvaardiging van het voorstel ook expliciet het Handvest te betrekken. </w:t>
          </w:r>
        </w:p>
        <w:p w:rsidR="00547294" w:rsidP="00547294" w:rsidRDefault="00547294" w14:paraId="7C806320" w14:textId="77777777"/>
        <w:p w:rsidR="00547294" w:rsidP="00547294" w:rsidRDefault="00547294" w14:paraId="22AF611D" w14:textId="1EDE6823">
          <w:r>
            <w:t xml:space="preserve">De Afdeling adviseert zelfstandig te motiveren hoe het wetsvoorstel zich verhoudt tot het Unierecht. </w:t>
          </w:r>
        </w:p>
        <w:p w:rsidR="00547294" w:rsidP="00547294" w:rsidRDefault="00547294" w14:paraId="50AC8372" w14:textId="77777777"/>
        <w:p w:rsidR="00DE5FEB" w:rsidRDefault="00DE5FEB" w14:paraId="765DA625" w14:textId="77777777">
          <w:r>
            <w:br w:type="page"/>
          </w:r>
        </w:p>
        <w:p w:rsidR="00547294" w:rsidP="001C269E" w:rsidRDefault="00547294" w14:paraId="053B98C4" w14:textId="5CE5C905">
          <w:pPr>
            <w:pStyle w:val="Lijstalinea"/>
            <w:ind w:left="0"/>
          </w:pPr>
          <w:r w:rsidDel="000F7B16">
            <w:lastRenderedPageBreak/>
            <w:t>7</w:t>
          </w:r>
          <w:r>
            <w:t>.</w:t>
          </w:r>
          <w:r>
            <w:tab/>
          </w:r>
          <w:r w:rsidRPr="004C415D">
            <w:rPr>
              <w:u w:val="single"/>
            </w:rPr>
            <w:t>Conclusie</w:t>
          </w:r>
        </w:p>
        <w:p w:rsidR="00547294" w:rsidP="00547294" w:rsidRDefault="00547294" w14:paraId="5A603D57" w14:textId="77777777"/>
        <w:p w:rsidR="00757BE6" w:rsidP="00547294" w:rsidRDefault="00547294" w14:paraId="418B2D7F" w14:textId="07C7C760">
          <w:r w:rsidRPr="004C415D">
            <w:t xml:space="preserve">Van de vier aan het </w:t>
          </w:r>
          <w:r w:rsidR="007363C6">
            <w:t>wets</w:t>
          </w:r>
          <w:r w:rsidRPr="004C415D">
            <w:t xml:space="preserve">voorstel ten grondslag liggende pijlers legt het voorstel de nadruk op de eerste (bescherming van de huurprijs). Dit doel is op zichzelf voldoende gemotiveerd. </w:t>
          </w:r>
          <w:r w:rsidR="00372359">
            <w:t>Het dwingend maken van de huurprijsregulering v</w:t>
          </w:r>
          <w:r w:rsidR="00D911E2">
            <w:t>oor de sociale huur ligt hierbij in de rede en</w:t>
          </w:r>
          <w:r w:rsidR="00A539C8">
            <w:t xml:space="preserve"> </w:t>
          </w:r>
          <w:r w:rsidR="000F0716">
            <w:t xml:space="preserve">zal </w:t>
          </w:r>
          <w:r w:rsidR="00661CA9">
            <w:t xml:space="preserve">naar verwachting </w:t>
          </w:r>
          <w:r w:rsidR="000F0716">
            <w:t>de rechtspositie van huurders</w:t>
          </w:r>
          <w:r w:rsidR="00342610">
            <w:t xml:space="preserve"> </w:t>
          </w:r>
          <w:r w:rsidR="0097710A">
            <w:t xml:space="preserve">verbeteren. </w:t>
          </w:r>
        </w:p>
        <w:p w:rsidR="00757BE6" w:rsidP="00547294" w:rsidRDefault="00757BE6" w14:paraId="40476603" w14:textId="77777777"/>
        <w:p w:rsidR="00CE0C4C" w:rsidP="00A63299" w:rsidRDefault="00547294" w14:paraId="38F77846" w14:textId="23310B30">
          <w:r w:rsidRPr="004C415D">
            <w:t>De tweede en de derde pijler (voldoende aanbod aan huurwoningen en investeringsbereidheid) zijn echter onvoldoende uitgewerkt</w:t>
          </w:r>
          <w:r w:rsidR="00221AA5">
            <w:t>.</w:t>
          </w:r>
          <w:r w:rsidR="003752B4">
            <w:t xml:space="preserve"> </w:t>
          </w:r>
          <w:r w:rsidR="00221AA5">
            <w:t>U</w:t>
          </w:r>
          <w:r w:rsidR="003752B4">
            <w:t xml:space="preserve">it de toelichting volgt </w:t>
          </w:r>
          <w:r w:rsidR="00A065A9">
            <w:t xml:space="preserve">ook </w:t>
          </w:r>
          <w:r w:rsidR="003752B4">
            <w:t>niet dat de risico</w:t>
          </w:r>
          <w:r w:rsidR="00407134">
            <w:t>’</w:t>
          </w:r>
          <w:r w:rsidR="003752B4">
            <w:t>s</w:t>
          </w:r>
          <w:r w:rsidR="006F7B93">
            <w:t xml:space="preserve"> ten aanzien van deze pijlers voldoende</w:t>
          </w:r>
          <w:r w:rsidR="00995A6C">
            <w:t xml:space="preserve"> zijn </w:t>
          </w:r>
          <w:r w:rsidR="00705A33">
            <w:t>be</w:t>
          </w:r>
          <w:r w:rsidR="00BE4B61">
            <w:t>trokken</w:t>
          </w:r>
          <w:r w:rsidR="00995A6C">
            <w:t xml:space="preserve"> in de vormgeving van het voorstel</w:t>
          </w:r>
          <w:r w:rsidRPr="004C415D">
            <w:t xml:space="preserve">. </w:t>
          </w:r>
          <w:r w:rsidR="00757BE6">
            <w:t>Zoals hierboven beschreven</w:t>
          </w:r>
          <w:r w:rsidR="005E597B">
            <w:t>,</w:t>
          </w:r>
          <w:r w:rsidRPr="003C6CD2" w:rsidR="00EB45C2">
            <w:t xml:space="preserve"> zijn</w:t>
          </w:r>
          <w:r w:rsidR="00757BE6">
            <w:t xml:space="preserve"> er</w:t>
          </w:r>
          <w:r w:rsidRPr="003C6CD2" w:rsidR="00EB45C2">
            <w:t xml:space="preserve"> reële risico</w:t>
          </w:r>
          <w:r w:rsidR="00EB45C2">
            <w:t>’</w:t>
          </w:r>
          <w:r w:rsidRPr="003C6CD2" w:rsidR="00EB45C2">
            <w:t xml:space="preserve">s verbonden aan de voorgestelde regulering van de </w:t>
          </w:r>
          <w:proofErr w:type="spellStart"/>
          <w:r w:rsidRPr="003C6CD2" w:rsidR="00EB45C2">
            <w:t>middenhuur</w:t>
          </w:r>
          <w:proofErr w:type="spellEnd"/>
          <w:r w:rsidRPr="003C6CD2" w:rsidR="00EB45C2">
            <w:t xml:space="preserve">. </w:t>
          </w:r>
        </w:p>
        <w:p w:rsidR="00CE0C4C" w:rsidP="00A63299" w:rsidRDefault="00CE0C4C" w14:paraId="09A3C652" w14:textId="77777777"/>
        <w:p w:rsidR="00A63299" w:rsidP="00A63299" w:rsidRDefault="00EB45C2" w14:paraId="32338879" w14:textId="245C7290">
          <w:r w:rsidRPr="003C6CD2">
            <w:t>Het wetsvoorstel leidt tot structureel minder huurinkomsten en zet de waarde van het vastgoedbezit onder druk</w:t>
          </w:r>
          <w:r w:rsidR="004763B5">
            <w:t xml:space="preserve">, mede gelet op </w:t>
          </w:r>
          <w:r w:rsidR="00560C8A">
            <w:t xml:space="preserve">eerder </w:t>
          </w:r>
          <w:r w:rsidR="004763B5">
            <w:t>genomen maatregelen</w:t>
          </w:r>
          <w:r w:rsidR="00560C8A">
            <w:t xml:space="preserve">. </w:t>
          </w:r>
          <w:r w:rsidR="00332E5D">
            <w:t>Hierdoor wordt bij best</w:t>
          </w:r>
          <w:r w:rsidR="0083414D">
            <w:t xml:space="preserve">aande huurwoningen </w:t>
          </w:r>
          <w:r w:rsidRPr="003C6CD2">
            <w:t>uitponden (nog) aantrekkelijker dan doorexploitatie</w:t>
          </w:r>
          <w:r w:rsidR="0083414D">
            <w:t xml:space="preserve"> en zal bij</w:t>
          </w:r>
          <w:r w:rsidRPr="003C6CD2">
            <w:t xml:space="preserve"> nieuwbouw</w:t>
          </w:r>
          <w:r w:rsidRPr="003C6CD2" w:rsidDel="00887D2A">
            <w:t xml:space="preserve"> </w:t>
          </w:r>
          <w:r w:rsidRPr="003C6CD2">
            <w:t>naar verwachting minimaal uitstel optreden, waarbij ook breed het risico van afstel van nieuwbouwprojecten</w:t>
          </w:r>
          <w:r w:rsidR="00E04E79">
            <w:t xml:space="preserve"> </w:t>
          </w:r>
          <w:r w:rsidR="009651AC">
            <w:t xml:space="preserve">wordt </w:t>
          </w:r>
          <w:r w:rsidR="00E04E79">
            <w:t>genoemd</w:t>
          </w:r>
          <w:r w:rsidRPr="003C6CD2">
            <w:t xml:space="preserve">. </w:t>
          </w:r>
          <w:r w:rsidR="00A63299">
            <w:t>Hierdoor</w:t>
          </w:r>
          <w:r w:rsidRPr="003C6CD2" w:rsidR="00A63299">
            <w:t xml:space="preserve"> </w:t>
          </w:r>
          <w:r w:rsidR="00E04E79">
            <w:t>bestaat de kans</w:t>
          </w:r>
          <w:r w:rsidRPr="003C6CD2" w:rsidR="00A63299">
            <w:t xml:space="preserve"> dat met de maatregel het aanbod aan huurwoningen kleiner zal worden, waardoor een al kleine sector van de woningmarkt </w:t>
          </w:r>
          <w:r w:rsidR="00A63299">
            <w:t xml:space="preserve">mogelijk </w:t>
          </w:r>
          <w:r w:rsidRPr="003C6CD2" w:rsidR="00A63299">
            <w:t xml:space="preserve">nog meer zal krimpen. </w:t>
          </w:r>
        </w:p>
        <w:p w:rsidRPr="004C415D" w:rsidR="00995A6C" w:rsidP="00547294" w:rsidRDefault="00995A6C" w14:paraId="48832721" w14:textId="77777777"/>
        <w:p w:rsidR="00721EED" w:rsidP="004F3476" w:rsidRDefault="00547294" w14:paraId="2A8D8E1F" w14:textId="60045F32">
          <w:r w:rsidRPr="004C415D">
            <w:t xml:space="preserve">De Afdeling </w:t>
          </w:r>
          <w:r w:rsidR="0002297F">
            <w:t>adviseert</w:t>
          </w:r>
          <w:r w:rsidRPr="004C415D">
            <w:t xml:space="preserve"> het voorstel </w:t>
          </w:r>
          <w:r w:rsidR="00E357AF">
            <w:t xml:space="preserve">ten aanzien van de regulering van de </w:t>
          </w:r>
          <w:proofErr w:type="spellStart"/>
          <w:r w:rsidR="00E357AF">
            <w:t>middenhuur</w:t>
          </w:r>
          <w:proofErr w:type="spellEnd"/>
          <w:r w:rsidR="00E357AF">
            <w:t xml:space="preserve"> </w:t>
          </w:r>
          <w:r w:rsidRPr="004C415D">
            <w:t>nader te bezien</w:t>
          </w:r>
          <w:r w:rsidR="00407134">
            <w:t xml:space="preserve"> op de gevolgen voor het volkshuisvestingsbeleid als geheel</w:t>
          </w:r>
          <w:r w:rsidRPr="004C415D">
            <w:t xml:space="preserve">. </w:t>
          </w:r>
          <w:r w:rsidRPr="00754440" w:rsidR="00754440">
            <w:t xml:space="preserve">De uitkomst van </w:t>
          </w:r>
          <w:r w:rsidR="006A0561">
            <w:t>deze</w:t>
          </w:r>
          <w:r w:rsidRPr="00754440" w:rsidR="00754440">
            <w:t xml:space="preserve"> afweging is ook essentieel voor de beoordeling van de effectiviteit</w:t>
          </w:r>
          <w:r w:rsidR="00DF75E0">
            <w:t xml:space="preserve"> en daarmee geschiktheid en noodzakelijkheid</w:t>
          </w:r>
          <w:r w:rsidRPr="00754440" w:rsidR="00754440">
            <w:t xml:space="preserve"> van de maatregel. </w:t>
          </w:r>
          <w:r w:rsidRPr="00DF75E0" w:rsidR="00DF75E0">
            <w:t xml:space="preserve">Dit </w:t>
          </w:r>
          <w:r w:rsidR="006A0561">
            <w:t xml:space="preserve">laatste </w:t>
          </w:r>
          <w:r w:rsidRPr="00DF75E0" w:rsidR="00DF75E0">
            <w:t xml:space="preserve">is een voorwaarde om de </w:t>
          </w:r>
          <w:r w:rsidR="00DD6D2D">
            <w:t>inmenging in</w:t>
          </w:r>
          <w:r w:rsidRPr="00DF75E0" w:rsidR="00DF75E0">
            <w:t xml:space="preserve"> het eigendomsrecht van verhuurders </w:t>
          </w:r>
          <w:r w:rsidR="006E1BA8">
            <w:t xml:space="preserve">en investeerders </w:t>
          </w:r>
          <w:r w:rsidRPr="00DF75E0" w:rsidR="00DF75E0">
            <w:t xml:space="preserve">te kunnen rechtvaardigen. </w:t>
          </w:r>
        </w:p>
        <w:p w:rsidRPr="004F3476" w:rsidR="004E2D9A" w:rsidP="004F3476" w:rsidRDefault="00E743E8" w14:paraId="0C84B636" w14:textId="77777777"/>
      </w:sdtContent>
    </w:sdt>
    <w:p w:rsidR="001539C9" w:rsidRDefault="001539C9" w14:paraId="1888BA42" w14:textId="25F7EDAD"/>
    <w:sdt>
      <w:sdtPr>
        <w:tag w:val="bmDictum"/>
        <w:id w:val="-149912884"/>
        <w:lock w:val="sdtLocked"/>
        <w:placeholder>
          <w:docPart w:val="DefaultPlaceholder_-1854013440"/>
        </w:placeholder>
      </w:sdtPr>
      <w:sdtEndPr/>
      <w:sdtContent>
        <w:p w:rsidR="001539C9" w:rsidP="001539C9" w:rsidRDefault="00B037FF" w14:paraId="1888BA43" w14:textId="4D7CF550">
          <w:r>
            <w:t>De Afdeling advisering van de Raad van State heeft een aantal bezwaren bij het voorstel en adviseert het voorstel niet bij de Tweede Kamer der Staten-Generaal in te dienen, tenzij het is aangepast.</w:t>
          </w:r>
          <w:r>
            <w:br/>
          </w:r>
          <w:r>
            <w:br/>
          </w:r>
          <w:r>
            <w:br/>
            <w:t xml:space="preserve">De </w:t>
          </w:r>
          <w:proofErr w:type="spellStart"/>
          <w:r>
            <w:t>vice-president</w:t>
          </w:r>
          <w:proofErr w:type="spellEnd"/>
          <w:r>
            <w:t xml:space="preserve"> van de Raad van State,</w:t>
          </w:r>
        </w:p>
      </w:sdtContent>
    </w:sdt>
    <w:sectPr w:rsidR="001539C9" w:rsidSect="00AD3F3D">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ADEC" w14:textId="77777777" w:rsidR="00DB4E84" w:rsidRDefault="00DB4E84">
      <w:r>
        <w:separator/>
      </w:r>
    </w:p>
  </w:endnote>
  <w:endnote w:type="continuationSeparator" w:id="0">
    <w:p w14:paraId="38F616F8" w14:textId="77777777" w:rsidR="00DB4E84" w:rsidRDefault="00DB4E84">
      <w:r>
        <w:continuationSeparator/>
      </w:r>
    </w:p>
  </w:endnote>
  <w:endnote w:type="continuationNotice" w:id="1">
    <w:p w14:paraId="39F842DC" w14:textId="77777777" w:rsidR="00DB4E84" w:rsidRDefault="00DB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BA46" w14:textId="77777777" w:rsidR="001539C9" w:rsidRDefault="001539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375F0" w14:paraId="1888BA49" w14:textId="77777777" w:rsidTr="001539C9">
      <w:tc>
        <w:tcPr>
          <w:tcW w:w="4815" w:type="dxa"/>
        </w:tcPr>
        <w:p w14:paraId="1888BA47" w14:textId="77777777" w:rsidR="001539C9" w:rsidRDefault="001539C9" w:rsidP="001539C9">
          <w:pPr>
            <w:pStyle w:val="Voettekst"/>
          </w:pPr>
        </w:p>
      </w:tc>
      <w:tc>
        <w:tcPr>
          <w:tcW w:w="4247" w:type="dxa"/>
        </w:tcPr>
        <w:p w14:paraId="1888BA48" w14:textId="77777777" w:rsidR="001539C9" w:rsidRDefault="001539C9" w:rsidP="001539C9">
          <w:pPr>
            <w:pStyle w:val="Voettekst"/>
            <w:jc w:val="right"/>
          </w:pPr>
        </w:p>
      </w:tc>
    </w:tr>
  </w:tbl>
  <w:p w14:paraId="1888BA4A" w14:textId="77777777" w:rsidR="001539C9" w:rsidRDefault="001539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93A1" w14:textId="545DE103" w:rsidR="00AD3F3D" w:rsidRPr="00AD3F3D" w:rsidRDefault="00AD3F3D">
    <w:pPr>
      <w:pStyle w:val="Voettekst"/>
      <w:rPr>
        <w:rFonts w:ascii="Bembo" w:hAnsi="Bembo"/>
        <w:sz w:val="32"/>
      </w:rPr>
    </w:pPr>
    <w:r w:rsidRPr="00AD3F3D">
      <w:rPr>
        <w:rFonts w:ascii="Bembo" w:hAnsi="Bembo"/>
        <w:sz w:val="32"/>
      </w:rPr>
      <w:t>AAN DE KONING</w:t>
    </w:r>
  </w:p>
  <w:p w14:paraId="48D5AA72" w14:textId="77777777" w:rsidR="00AD3F3D" w:rsidRDefault="00AD3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8053" w14:textId="77777777" w:rsidR="00DB4E84" w:rsidRDefault="00DB4E84">
      <w:r>
        <w:separator/>
      </w:r>
    </w:p>
  </w:footnote>
  <w:footnote w:type="continuationSeparator" w:id="0">
    <w:p w14:paraId="68905C49" w14:textId="77777777" w:rsidR="00DB4E84" w:rsidRDefault="00DB4E84">
      <w:r>
        <w:continuationSeparator/>
      </w:r>
    </w:p>
  </w:footnote>
  <w:footnote w:type="continuationNotice" w:id="1">
    <w:p w14:paraId="50912475" w14:textId="77777777" w:rsidR="00DB4E84" w:rsidRDefault="00DB4E84"/>
  </w:footnote>
  <w:footnote w:id="2">
    <w:p w14:paraId="377A367D" w14:textId="5408BE35" w:rsidR="00E135C3" w:rsidRPr="00310DEB" w:rsidRDefault="00E135C3">
      <w:pPr>
        <w:pStyle w:val="Voetnoottekst"/>
      </w:pPr>
      <w:r w:rsidRPr="00310DEB">
        <w:rPr>
          <w:rStyle w:val="Voetnootmarkering"/>
        </w:rPr>
        <w:footnoteRef/>
      </w:r>
      <w:r w:rsidRPr="00310DEB">
        <w:t xml:space="preserve"> </w:t>
      </w:r>
      <w:r w:rsidR="004B45E0" w:rsidRPr="00310DEB">
        <w:t>Per 1 juli 2023.</w:t>
      </w:r>
      <w:r w:rsidR="00356B74" w:rsidRPr="00310DEB">
        <w:t xml:space="preserve"> Deze grens van 186 punten wordt geregeld in </w:t>
      </w:r>
      <w:r w:rsidR="00A10C5B" w:rsidRPr="00310DEB">
        <w:t xml:space="preserve">het </w:t>
      </w:r>
      <w:r w:rsidR="00025055" w:rsidRPr="00310DEB">
        <w:t xml:space="preserve">Besluit huurprijzen woonruimte, waarvan beoogd is dat </w:t>
      </w:r>
      <w:r w:rsidR="005C2907">
        <w:t>het</w:t>
      </w:r>
      <w:r w:rsidR="00025055" w:rsidRPr="00310DEB">
        <w:t xml:space="preserve"> gelijk met dit wetsvoorstel in</w:t>
      </w:r>
      <w:r w:rsidR="00D157B8">
        <w:t xml:space="preserve"> </w:t>
      </w:r>
      <w:r w:rsidR="00025055" w:rsidRPr="00310DEB">
        <w:t>werking</w:t>
      </w:r>
      <w:r w:rsidR="00D157B8">
        <w:t xml:space="preserve"> </w:t>
      </w:r>
      <w:r w:rsidR="00025055" w:rsidRPr="00310DEB">
        <w:t>treedt.</w:t>
      </w:r>
    </w:p>
  </w:footnote>
  <w:footnote w:id="3">
    <w:p w14:paraId="02748EC0" w14:textId="56682371" w:rsidR="00893015" w:rsidRPr="00310DEB" w:rsidRDefault="00893015">
      <w:pPr>
        <w:pStyle w:val="Voetnoottekst"/>
      </w:pPr>
      <w:r w:rsidRPr="00310DEB">
        <w:rPr>
          <w:rStyle w:val="Voetnootmarkering"/>
        </w:rPr>
        <w:footnoteRef/>
      </w:r>
      <w:r w:rsidRPr="00310DEB">
        <w:t xml:space="preserve"> </w:t>
      </w:r>
      <w:r w:rsidR="008901C0" w:rsidRPr="00310DEB">
        <w:t>Dit zijn geldboete</w:t>
      </w:r>
      <w:r w:rsidR="00B01522" w:rsidRPr="00310DEB">
        <w:t>s</w:t>
      </w:r>
      <w:r w:rsidR="008901C0" w:rsidRPr="00310DEB">
        <w:t xml:space="preserve"> van respectievelijk de vierde en vijfde categorie. Zie voorgestelde</w:t>
      </w:r>
      <w:r w:rsidR="0043794F" w:rsidRPr="00310DEB">
        <w:t xml:space="preserve"> </w:t>
      </w:r>
      <w:r w:rsidR="008901C0" w:rsidRPr="00310DEB">
        <w:t xml:space="preserve">artikelen </w:t>
      </w:r>
      <w:r w:rsidR="0043794F" w:rsidRPr="00310DEB">
        <w:t xml:space="preserve">19 en 20 van de Wet goed </w:t>
      </w:r>
      <w:proofErr w:type="spellStart"/>
      <w:r w:rsidR="0043794F" w:rsidRPr="00310DEB">
        <w:t>verhuurderschap</w:t>
      </w:r>
      <w:proofErr w:type="spellEnd"/>
      <w:r w:rsidR="0043794F" w:rsidRPr="00310DEB">
        <w:t>.</w:t>
      </w:r>
    </w:p>
  </w:footnote>
  <w:footnote w:id="4">
    <w:p w14:paraId="5DC5E10A" w14:textId="38ED8511" w:rsidR="005251AA" w:rsidRPr="00310DEB" w:rsidRDefault="005251AA">
      <w:pPr>
        <w:pStyle w:val="Voetnoottekst"/>
      </w:pPr>
      <w:r w:rsidRPr="00310DEB">
        <w:rPr>
          <w:rStyle w:val="Voetnootmarkering"/>
        </w:rPr>
        <w:footnoteRef/>
      </w:r>
      <w:r w:rsidRPr="00310DEB">
        <w:t xml:space="preserve"> </w:t>
      </w:r>
      <w:r w:rsidR="00C9258D" w:rsidRPr="00310DEB">
        <w:t>Toelichting, p</w:t>
      </w:r>
      <w:r w:rsidR="007220C4">
        <w:t>aragraaf</w:t>
      </w:r>
      <w:r w:rsidR="006023A3">
        <w:t xml:space="preserve"> 2.1.2</w:t>
      </w:r>
      <w:r w:rsidR="00D85BAD">
        <w:t xml:space="preserve"> (Noodzaak wijzigingen en nieuwe instrumenten)</w:t>
      </w:r>
      <w:r w:rsidR="00C9258D" w:rsidRPr="00310DEB">
        <w:t>.</w:t>
      </w:r>
      <w:r w:rsidR="00336D50" w:rsidRPr="00310DEB">
        <w:t xml:space="preserve"> </w:t>
      </w:r>
    </w:p>
  </w:footnote>
  <w:footnote w:id="5">
    <w:p w14:paraId="0C76BC74" w14:textId="2F4993DC" w:rsidR="00355D9F" w:rsidRDefault="00355D9F">
      <w:pPr>
        <w:pStyle w:val="Voetnoottekst"/>
      </w:pPr>
      <w:r>
        <w:rPr>
          <w:rStyle w:val="Voetnootmarkering"/>
        </w:rPr>
        <w:footnoteRef/>
      </w:r>
      <w:r>
        <w:t xml:space="preserve"> </w:t>
      </w:r>
      <w:r w:rsidR="00BC5F60">
        <w:t xml:space="preserve">Kamerstukken </w:t>
      </w:r>
      <w:r w:rsidR="00451167">
        <w:t>II 202</w:t>
      </w:r>
      <w:r w:rsidR="00174A3B">
        <w:t xml:space="preserve">3/24, </w:t>
      </w:r>
      <w:r w:rsidR="00174A3B" w:rsidRPr="00174A3B">
        <w:t>27926</w:t>
      </w:r>
      <w:r w:rsidR="007C4E22">
        <w:t>, 379</w:t>
      </w:r>
      <w:r w:rsidR="0072519E">
        <w:t>.</w:t>
      </w:r>
      <w:r w:rsidR="00BC5F60">
        <w:t xml:space="preserve"> Dit ziet op enkele wijzigingen van het WWS, waaronder </w:t>
      </w:r>
      <w:r w:rsidR="0017190F">
        <w:t xml:space="preserve">een tijdelijke </w:t>
      </w:r>
      <w:r w:rsidR="00BC5F60">
        <w:t xml:space="preserve">verhoging van de </w:t>
      </w:r>
      <w:r w:rsidR="00AD72B3">
        <w:t xml:space="preserve">voorgestelde </w:t>
      </w:r>
      <w:r w:rsidR="00BC5F60" w:rsidRPr="00BC5F60">
        <w:t>nieuwbouwopslag van 5% naar 10%</w:t>
      </w:r>
      <w:r w:rsidR="00675E2E">
        <w:t xml:space="preserve"> als </w:t>
      </w:r>
      <w:r w:rsidR="00435ECA">
        <w:t>overgangsmaatregel</w:t>
      </w:r>
      <w:r w:rsidR="00AD72B3">
        <w:t xml:space="preserve">. </w:t>
      </w:r>
    </w:p>
  </w:footnote>
  <w:footnote w:id="6">
    <w:p w14:paraId="08CF1779" w14:textId="77777777" w:rsidR="00606805" w:rsidRDefault="00606805" w:rsidP="00606805">
      <w:pPr>
        <w:pStyle w:val="Voetnoottekst"/>
      </w:pPr>
      <w:r>
        <w:rPr>
          <w:rStyle w:val="Voetnootmarkering"/>
        </w:rPr>
        <w:footnoteRef/>
      </w:r>
      <w:r>
        <w:t xml:space="preserve"> Dit betreft een ontwerpbesluit tot wijziging van het Besluit huurprijzen woonruimte, zie toelichting, paragraaf 3.1.3. </w:t>
      </w:r>
    </w:p>
  </w:footnote>
  <w:footnote w:id="7">
    <w:p w14:paraId="4DD8CB50" w14:textId="235557E5" w:rsidR="000C2B89" w:rsidRPr="007B71DA" w:rsidRDefault="000C2B89" w:rsidP="000C2B89">
      <w:pPr>
        <w:pStyle w:val="Voetnoottekst"/>
      </w:pPr>
      <w:r>
        <w:rPr>
          <w:rStyle w:val="Voetnootmarkering"/>
        </w:rPr>
        <w:footnoteRef/>
      </w:r>
      <w:r w:rsidRPr="007B71DA">
        <w:t xml:space="preserve"> Artikel 22</w:t>
      </w:r>
      <w:r>
        <w:t>,</w:t>
      </w:r>
      <w:r w:rsidRPr="007B71DA">
        <w:t xml:space="preserve"> tweede lid</w:t>
      </w:r>
      <w:r w:rsidDel="004E0704">
        <w:t>,</w:t>
      </w:r>
      <w:r w:rsidRPr="007B71DA">
        <w:t xml:space="preserve"> van d</w:t>
      </w:r>
      <w:r>
        <w:t>e Grondwet, artikel 31 van het Europees Sociaal Handvest en artikel 11, eerste lid</w:t>
      </w:r>
      <w:r w:rsidDel="004E0704">
        <w:t>,</w:t>
      </w:r>
      <w:r w:rsidR="008413CB">
        <w:t xml:space="preserve"> </w:t>
      </w:r>
      <w:r>
        <w:t xml:space="preserve">van het </w:t>
      </w:r>
      <w:r w:rsidRPr="00E16318">
        <w:t xml:space="preserve">Internationaal </w:t>
      </w:r>
      <w:r>
        <w:t>v</w:t>
      </w:r>
      <w:r w:rsidRPr="00E16318">
        <w:t>erdrag inzake economische, sociale en culturele rechten</w:t>
      </w:r>
      <w:r>
        <w:t>.</w:t>
      </w:r>
    </w:p>
  </w:footnote>
  <w:footnote w:id="8">
    <w:p w14:paraId="6EFD05B9" w14:textId="39FB13CD" w:rsidR="0025080C" w:rsidRPr="006346C1" w:rsidRDefault="0025080C">
      <w:pPr>
        <w:pStyle w:val="Voetnoottekst"/>
      </w:pPr>
      <w:r>
        <w:rPr>
          <w:rStyle w:val="Voetnootmarkering"/>
        </w:rPr>
        <w:footnoteRef/>
      </w:r>
      <w:r w:rsidRPr="006346C1">
        <w:t xml:space="preserve"> </w:t>
      </w:r>
      <w:r w:rsidR="006346C1" w:rsidRPr="006346C1">
        <w:t xml:space="preserve">Onder meer in </w:t>
      </w:r>
      <w:r w:rsidR="008D2522">
        <w:t>de</w:t>
      </w:r>
      <w:r w:rsidR="006346C1" w:rsidRPr="006346C1">
        <w:t xml:space="preserve"> advie</w:t>
      </w:r>
      <w:r w:rsidR="002D55E3">
        <w:t>zen</w:t>
      </w:r>
      <w:r w:rsidR="006346C1" w:rsidRPr="006346C1">
        <w:t xml:space="preserve"> van de Afdeling </w:t>
      </w:r>
      <w:r w:rsidR="00A406B6">
        <w:t xml:space="preserve">van </w:t>
      </w:r>
      <w:r w:rsidR="007B6A16">
        <w:t>29 juni 2022 over de wij</w:t>
      </w:r>
      <w:r w:rsidR="007B6A16" w:rsidRPr="007B6A16">
        <w:t>ziging van de Huisvestingswet 2014 naar aanleiding van de evaluatie van de herziene Huisvestingswet 2014</w:t>
      </w:r>
      <w:r w:rsidR="007B6A16">
        <w:t xml:space="preserve"> (W04.22.0067/I)</w:t>
      </w:r>
      <w:r w:rsidR="00AB4D54">
        <w:t xml:space="preserve">, Kamerstukken II 2021/22, 36190, nr. 4, </w:t>
      </w:r>
      <w:r w:rsidR="00994839">
        <w:t xml:space="preserve">het advies </w:t>
      </w:r>
      <w:r w:rsidR="006346C1" w:rsidRPr="006346C1">
        <w:t xml:space="preserve">van 29 april 2020 over het Besluit Woningbouwimpuls 2020 (W04.20.0061/I), </w:t>
      </w:r>
      <w:proofErr w:type="spellStart"/>
      <w:r w:rsidR="006346C1" w:rsidRPr="006346C1">
        <w:t>Stcrt</w:t>
      </w:r>
      <w:proofErr w:type="spellEnd"/>
      <w:r w:rsidR="006346C1" w:rsidRPr="006346C1">
        <w:t>. 2020, nr. 26501 en het advies</w:t>
      </w:r>
      <w:r w:rsidR="00A406B6">
        <w:t xml:space="preserve"> </w:t>
      </w:r>
      <w:r w:rsidR="006346C1" w:rsidRPr="006346C1">
        <w:t>van 7 september 2020 over de Wet differentiatie overdrachtsbelasting (W06.20.0322/III), Kamerstukken II 2020/21, 35576, nr. 4.</w:t>
      </w:r>
    </w:p>
  </w:footnote>
  <w:footnote w:id="9">
    <w:p w14:paraId="219D6D27" w14:textId="1F87A7FB" w:rsidR="00434140" w:rsidRPr="00310DEB" w:rsidRDefault="00434140">
      <w:pPr>
        <w:pStyle w:val="Voetnoottekst"/>
      </w:pPr>
      <w:r w:rsidRPr="00310DEB">
        <w:rPr>
          <w:rStyle w:val="Voetnootmarkering"/>
        </w:rPr>
        <w:footnoteRef/>
      </w:r>
      <w:r w:rsidRPr="00CE1BE3">
        <w:rPr>
          <w:lang w:val="en-US"/>
        </w:rPr>
        <w:t xml:space="preserve"> </w:t>
      </w:r>
      <w:r w:rsidR="00047495" w:rsidRPr="00CE1BE3">
        <w:rPr>
          <w:lang w:val="en-US"/>
        </w:rPr>
        <w:t xml:space="preserve">OECD Affordable Housing Database </w:t>
      </w:r>
      <w:hyperlink r:id="rId1" w:history="1">
        <w:r w:rsidR="00CF549C" w:rsidRPr="00CE1BE3">
          <w:rPr>
            <w:rStyle w:val="Hyperlink"/>
            <w:lang w:val="en-US"/>
          </w:rPr>
          <w:t>http://oe.cd/ahd</w:t>
        </w:r>
      </w:hyperlink>
      <w:r w:rsidR="005F2218" w:rsidRPr="00CE1BE3">
        <w:rPr>
          <w:lang w:val="en-US"/>
        </w:rPr>
        <w:t>.</w:t>
      </w:r>
      <w:r w:rsidR="00072E42" w:rsidRPr="00CE1BE3">
        <w:rPr>
          <w:lang w:val="en-US"/>
        </w:rPr>
        <w:t xml:space="preserve"> </w:t>
      </w:r>
      <w:r w:rsidR="00072E42" w:rsidRPr="00310DEB">
        <w:t>In de</w:t>
      </w:r>
      <w:r w:rsidR="008C0434" w:rsidRPr="00310DEB">
        <w:t>ze</w:t>
      </w:r>
      <w:r w:rsidR="00072E42" w:rsidRPr="00310DEB">
        <w:t xml:space="preserve"> </w:t>
      </w:r>
      <w:r w:rsidR="000F41C9" w:rsidRPr="00310DEB">
        <w:t xml:space="preserve">internationale </w:t>
      </w:r>
      <w:r w:rsidR="00072E42" w:rsidRPr="00310DEB">
        <w:t xml:space="preserve">vergelijking </w:t>
      </w:r>
      <w:r w:rsidR="000F41C9" w:rsidRPr="00310DEB">
        <w:t xml:space="preserve">van de </w:t>
      </w:r>
      <w:r w:rsidR="00072E42" w:rsidRPr="00310DEB">
        <w:t>OESO komt naar voren dat Nederland de grootste sociale huursector heeft.</w:t>
      </w:r>
      <w:r w:rsidR="008C0434" w:rsidRPr="00310DEB">
        <w:t xml:space="preserve"> Kanttekening is wel dat </w:t>
      </w:r>
      <w:r w:rsidR="000F41C9" w:rsidRPr="00310DEB">
        <w:t>landen</w:t>
      </w:r>
      <w:r w:rsidR="008C0434" w:rsidRPr="00310DEB">
        <w:t xml:space="preserve"> verschillende definities van ‘sociale huur’ </w:t>
      </w:r>
      <w:r w:rsidR="000F41C9" w:rsidRPr="00310DEB">
        <w:t>hanteren.</w:t>
      </w:r>
      <w:r w:rsidR="00565981">
        <w:t xml:space="preserve"> De vrije huursector wordt ook wel gekarakteriseerd als een </w:t>
      </w:r>
      <w:r w:rsidR="00565981" w:rsidRPr="00310DEB">
        <w:t xml:space="preserve">‘onderontwikkeld segment’ in de woningmarkt. Zie: </w:t>
      </w:r>
      <w:proofErr w:type="spellStart"/>
      <w:r w:rsidR="00565981" w:rsidRPr="00310DEB">
        <w:t>Stec</w:t>
      </w:r>
      <w:proofErr w:type="spellEnd"/>
      <w:r w:rsidR="00565981" w:rsidRPr="00310DEB">
        <w:t>, 2021, Verkenning beleidsopties voor huurprijsregulering van de vrijesectorhuur, p. 15.</w:t>
      </w:r>
    </w:p>
  </w:footnote>
  <w:footnote w:id="10">
    <w:p w14:paraId="05C2D856" w14:textId="4EE00C80" w:rsidR="00331F13" w:rsidRPr="00310DEB" w:rsidRDefault="00331F13" w:rsidP="004E776D">
      <w:pPr>
        <w:pStyle w:val="Voetnoottekst"/>
      </w:pPr>
      <w:r w:rsidRPr="00310DEB">
        <w:rPr>
          <w:rStyle w:val="Voetnootmarkering"/>
        </w:rPr>
        <w:footnoteRef/>
      </w:r>
      <w:r w:rsidRPr="00310DEB">
        <w:t xml:space="preserve"> </w:t>
      </w:r>
      <w:r w:rsidR="00CE0141" w:rsidRPr="00310DEB">
        <w:t xml:space="preserve">Percentages op basis van </w:t>
      </w:r>
      <w:r w:rsidR="00DC5328" w:rsidRPr="00310DEB">
        <w:t xml:space="preserve">de BZK-publicatie </w:t>
      </w:r>
      <w:r w:rsidR="001D5B52" w:rsidRPr="00310DEB">
        <w:t xml:space="preserve">‘Wonen langs de meetlat. </w:t>
      </w:r>
      <w:r w:rsidR="004E776D" w:rsidRPr="00310DEB">
        <w:t xml:space="preserve">Resultaten van het </w:t>
      </w:r>
      <w:proofErr w:type="spellStart"/>
      <w:r w:rsidR="004E776D" w:rsidRPr="00310DEB">
        <w:t>WoonOnderzoek</w:t>
      </w:r>
      <w:proofErr w:type="spellEnd"/>
      <w:r w:rsidR="004E776D" w:rsidRPr="00310DEB">
        <w:t xml:space="preserve"> Nederland 2021</w:t>
      </w:r>
      <w:r w:rsidR="001D5B52" w:rsidRPr="00310DEB">
        <w:t xml:space="preserve">’, </w:t>
      </w:r>
      <w:r w:rsidR="00DC5328" w:rsidRPr="00310DEB">
        <w:t xml:space="preserve">oktober </w:t>
      </w:r>
      <w:r w:rsidR="001D5B52" w:rsidRPr="00310DEB">
        <w:t>2022</w:t>
      </w:r>
      <w:r w:rsidR="00473778" w:rsidRPr="00310DEB">
        <w:t xml:space="preserve"> (</w:t>
      </w:r>
      <w:r w:rsidR="000A52A8" w:rsidRPr="00310DEB">
        <w:t xml:space="preserve">hierna: </w:t>
      </w:r>
      <w:r w:rsidR="00CE0141" w:rsidRPr="00310DEB">
        <w:t>WoO</w:t>
      </w:r>
      <w:r w:rsidR="00B40B84" w:rsidRPr="00310DEB">
        <w:t>N</w:t>
      </w:r>
      <w:r w:rsidR="00CE0141" w:rsidRPr="00310DEB">
        <w:t>2021</w:t>
      </w:r>
      <w:r w:rsidR="00DC5328" w:rsidRPr="00310DEB">
        <w:t>)</w:t>
      </w:r>
      <w:r w:rsidR="00CE0141" w:rsidRPr="00310DEB">
        <w:t xml:space="preserve">. Overigens </w:t>
      </w:r>
      <w:r w:rsidR="004A3BE6" w:rsidRPr="00310DEB">
        <w:t>gaan</w:t>
      </w:r>
      <w:r w:rsidR="00CE0141" w:rsidRPr="00310DEB">
        <w:t xml:space="preserve"> andere bronnen </w:t>
      </w:r>
      <w:r w:rsidR="004A3BE6" w:rsidRPr="00310DEB">
        <w:t>uit van</w:t>
      </w:r>
      <w:r w:rsidR="00B93BBF" w:rsidRPr="00310DEB">
        <w:t xml:space="preserve"> </w:t>
      </w:r>
      <w:r w:rsidR="00206190" w:rsidRPr="00310DEB">
        <w:t xml:space="preserve">een onderscheid tussen </w:t>
      </w:r>
      <w:r w:rsidR="00A017B0" w:rsidRPr="00310DEB">
        <w:t>woning</w:t>
      </w:r>
      <w:r w:rsidR="00206190" w:rsidRPr="00310DEB">
        <w:t xml:space="preserve">corporaties en private </w:t>
      </w:r>
      <w:r w:rsidR="003B191E" w:rsidRPr="00310DEB">
        <w:t>verhuurders</w:t>
      </w:r>
      <w:r w:rsidR="00206190" w:rsidRPr="00310DEB">
        <w:t>. D</w:t>
      </w:r>
      <w:r w:rsidR="0062606F" w:rsidRPr="00310DEB">
        <w:t>it levert</w:t>
      </w:r>
      <w:r w:rsidR="00206190" w:rsidRPr="00310DEB">
        <w:t xml:space="preserve"> </w:t>
      </w:r>
      <w:r w:rsidR="00CE0141" w:rsidRPr="00310DEB">
        <w:t>(iets) andere percentages</w:t>
      </w:r>
      <w:r w:rsidR="00206190" w:rsidRPr="00310DEB">
        <w:t xml:space="preserve"> </w:t>
      </w:r>
      <w:r w:rsidR="001030AD" w:rsidRPr="00310DEB">
        <w:t xml:space="preserve">voor de </w:t>
      </w:r>
      <w:r w:rsidR="0062606F" w:rsidRPr="00310DEB">
        <w:t xml:space="preserve">twee </w:t>
      </w:r>
      <w:r w:rsidR="001030AD" w:rsidRPr="00310DEB">
        <w:t xml:space="preserve">huursegmenten </w:t>
      </w:r>
      <w:r w:rsidR="0062606F" w:rsidRPr="00310DEB">
        <w:t xml:space="preserve">op </w:t>
      </w:r>
      <w:r w:rsidR="00206190" w:rsidRPr="00310DEB">
        <w:t xml:space="preserve">omdat </w:t>
      </w:r>
      <w:r w:rsidR="00CE0141" w:rsidRPr="00310DEB">
        <w:t xml:space="preserve">een deel van de huurwoningen in </w:t>
      </w:r>
      <w:r w:rsidR="00D93545" w:rsidRPr="00310DEB">
        <w:t>de vrije sector</w:t>
      </w:r>
      <w:r w:rsidR="00CE0141" w:rsidRPr="00310DEB">
        <w:t xml:space="preserve"> door </w:t>
      </w:r>
      <w:r w:rsidR="000A52A8" w:rsidRPr="00310DEB">
        <w:t>woning</w:t>
      </w:r>
      <w:r w:rsidR="00CE0141" w:rsidRPr="00310DEB">
        <w:t xml:space="preserve">corporaties </w:t>
      </w:r>
      <w:r w:rsidR="00D93545" w:rsidRPr="00310DEB">
        <w:t xml:space="preserve">wordt </w:t>
      </w:r>
      <w:r w:rsidR="00CE0141" w:rsidRPr="00310DEB">
        <w:t>verhuurd en een deel van de sociale huurwoningen door private verhuurders.</w:t>
      </w:r>
    </w:p>
  </w:footnote>
  <w:footnote w:id="11">
    <w:p w14:paraId="456F042B" w14:textId="4E99B967" w:rsidR="00E20BB5" w:rsidRPr="00310DEB" w:rsidRDefault="00E20BB5">
      <w:pPr>
        <w:pStyle w:val="Voetnoottekst"/>
      </w:pPr>
      <w:r w:rsidRPr="00310DEB">
        <w:rPr>
          <w:rStyle w:val="Voetnootmarkering"/>
        </w:rPr>
        <w:footnoteRef/>
      </w:r>
      <w:r w:rsidRPr="00310DEB">
        <w:t xml:space="preserve"> </w:t>
      </w:r>
      <w:r w:rsidR="00AD3839" w:rsidRPr="00310DEB">
        <w:t>WoON2021, p. 4.</w:t>
      </w:r>
      <w:r w:rsidR="00590BC9" w:rsidRPr="00310DEB">
        <w:t xml:space="preserve"> Door afronding</w:t>
      </w:r>
      <w:r w:rsidR="00A53FFB" w:rsidRPr="00310DEB">
        <w:t xml:space="preserve"> </w:t>
      </w:r>
      <w:r w:rsidR="009D5262" w:rsidRPr="00310DEB">
        <w:t>is de optelling niet geheel sluitend</w:t>
      </w:r>
      <w:r w:rsidR="00A53FFB" w:rsidRPr="00310DEB">
        <w:t>.</w:t>
      </w:r>
      <w:r w:rsidR="005640E5" w:rsidRPr="00310DEB">
        <w:t xml:space="preserve"> Percentages voor 2015 en 2018 </w:t>
      </w:r>
      <w:r w:rsidR="006F15C4" w:rsidRPr="00310DEB">
        <w:t>berekend op basis van</w:t>
      </w:r>
      <w:r w:rsidR="000D4829" w:rsidRPr="00310DEB">
        <w:t xml:space="preserve"> </w:t>
      </w:r>
      <w:r w:rsidR="006F15C4" w:rsidRPr="00310DEB">
        <w:t xml:space="preserve">de website </w:t>
      </w:r>
      <w:r w:rsidR="000D4829" w:rsidRPr="00310DEB">
        <w:t>datawonen.nl</w:t>
      </w:r>
      <w:r w:rsidR="00473EE9" w:rsidRPr="00310DEB">
        <w:t xml:space="preserve"> (</w:t>
      </w:r>
      <w:proofErr w:type="spellStart"/>
      <w:r w:rsidR="007310D4" w:rsidRPr="00310DEB">
        <w:t>S</w:t>
      </w:r>
      <w:r w:rsidR="00473EE9" w:rsidRPr="00310DEB">
        <w:t>yswov</w:t>
      </w:r>
      <w:proofErr w:type="spellEnd"/>
      <w:r w:rsidR="00473EE9" w:rsidRPr="00310DEB">
        <w:t>)</w:t>
      </w:r>
      <w:r w:rsidR="00B57E46" w:rsidRPr="00310DEB">
        <w:t>.</w:t>
      </w:r>
    </w:p>
  </w:footnote>
  <w:footnote w:id="12">
    <w:p w14:paraId="08F4B3F6" w14:textId="273D11A4" w:rsidR="002B1928" w:rsidRDefault="002B1928">
      <w:pPr>
        <w:pStyle w:val="Voetnoottekst"/>
      </w:pPr>
      <w:r>
        <w:rPr>
          <w:rStyle w:val="Voetnootmarkering"/>
        </w:rPr>
        <w:footnoteRef/>
      </w:r>
      <w:r>
        <w:t xml:space="preserve"> </w:t>
      </w:r>
      <w:r w:rsidR="00837821">
        <w:t xml:space="preserve">PBL, Particuliere verhuurders op de Nederlandse woningmarkt. Activiteiten, investeringsmotieven en </w:t>
      </w:r>
      <w:r w:rsidR="00C45663">
        <w:t>beleggingsstrategieën, 2019, p</w:t>
      </w:r>
      <w:r w:rsidR="00837821">
        <w:t>. 10 e.v.</w:t>
      </w:r>
    </w:p>
  </w:footnote>
  <w:footnote w:id="13">
    <w:p w14:paraId="529CE75D" w14:textId="13288096" w:rsidR="000A4372" w:rsidRPr="00310DEB" w:rsidRDefault="000A4372">
      <w:pPr>
        <w:pStyle w:val="Voetnoottekst"/>
      </w:pPr>
      <w:r w:rsidRPr="00310DEB">
        <w:rPr>
          <w:rStyle w:val="Voetnootmarkering"/>
        </w:rPr>
        <w:footnoteRef/>
      </w:r>
      <w:r w:rsidRPr="00310DEB">
        <w:t xml:space="preserve"> </w:t>
      </w:r>
      <w:r w:rsidR="00C725DD" w:rsidRPr="00310DEB">
        <w:t>J. Conijn,</w:t>
      </w:r>
      <w:r w:rsidR="008A5171" w:rsidRPr="00310DEB">
        <w:t xml:space="preserve"> </w:t>
      </w:r>
      <w:r w:rsidR="001B574C" w:rsidRPr="00310DEB">
        <w:t xml:space="preserve">2021, Naar een toekomstgerichte private huursector, in: Real </w:t>
      </w:r>
      <w:proofErr w:type="spellStart"/>
      <w:r w:rsidR="001B574C" w:rsidRPr="00310DEB">
        <w:t>Estate</w:t>
      </w:r>
      <w:proofErr w:type="spellEnd"/>
      <w:r w:rsidR="001B574C" w:rsidRPr="00310DEB">
        <w:t xml:space="preserve"> Research </w:t>
      </w:r>
      <w:proofErr w:type="spellStart"/>
      <w:r w:rsidR="001B574C" w:rsidRPr="00310DEB">
        <w:t>Quarterly</w:t>
      </w:r>
      <w:proofErr w:type="spellEnd"/>
      <w:r w:rsidR="000A7E29" w:rsidRPr="00310DEB">
        <w:t>.</w:t>
      </w:r>
      <w:r w:rsidR="00000207" w:rsidRPr="00310DEB">
        <w:t xml:space="preserve"> Zie ook de toelichting, paragraaf 1.1.1.</w:t>
      </w:r>
      <w:r w:rsidR="00C133C7">
        <w:t xml:space="preserve"> Ook de </w:t>
      </w:r>
      <w:r w:rsidR="00735563">
        <w:t>aangescherpte leennormen vormen een deel van de verklaring, zie CPB</w:t>
      </w:r>
      <w:r w:rsidR="00735563" w:rsidRPr="00212CFD">
        <w:t xml:space="preserve">, 2023, De impact van leennormen op huurders, huizenbezitters </w:t>
      </w:r>
      <w:r w:rsidR="00735563" w:rsidRPr="00260B1F">
        <w:t>en investeerders</w:t>
      </w:r>
      <w:r w:rsidR="00735563">
        <w:t xml:space="preserve">. </w:t>
      </w:r>
    </w:p>
  </w:footnote>
  <w:footnote w:id="14">
    <w:p w14:paraId="45E3B421" w14:textId="43239131" w:rsidR="006E22CD" w:rsidRPr="00310DEB" w:rsidRDefault="006E22CD" w:rsidP="00F1037E">
      <w:pPr>
        <w:pStyle w:val="Voetnoottekst"/>
      </w:pPr>
      <w:r w:rsidRPr="00310DEB">
        <w:rPr>
          <w:rStyle w:val="Voetnootmarkering"/>
        </w:rPr>
        <w:footnoteRef/>
      </w:r>
      <w:r w:rsidRPr="00310DEB">
        <w:t xml:space="preserve"> </w:t>
      </w:r>
      <w:r w:rsidR="00F1037E" w:rsidRPr="00310DEB">
        <w:t>‘Starters profiteren van verbanning beleggers’</w:t>
      </w:r>
      <w:r w:rsidR="002510DF" w:rsidRPr="00310DEB">
        <w:t xml:space="preserve">, </w:t>
      </w:r>
      <w:r w:rsidR="00F1037E" w:rsidRPr="00310DEB">
        <w:t>FD</w:t>
      </w:r>
      <w:r w:rsidR="002421F8" w:rsidRPr="00310DEB">
        <w:t xml:space="preserve"> van</w:t>
      </w:r>
      <w:r w:rsidR="00F1037E" w:rsidRPr="00310DEB">
        <w:t xml:space="preserve"> 19 juni</w:t>
      </w:r>
      <w:r w:rsidR="002510DF" w:rsidRPr="00310DEB">
        <w:t xml:space="preserve"> 2023 en het daar aangehaalde onderzoek van </w:t>
      </w:r>
      <w:r w:rsidR="00647AAC" w:rsidRPr="00310DEB">
        <w:t>de Universiteit van Amsterdam, de Erasmus Universiteit Rotterdam en het Kadaster</w:t>
      </w:r>
      <w:r w:rsidR="002510DF" w:rsidRPr="00310DEB">
        <w:t>.</w:t>
      </w:r>
    </w:p>
  </w:footnote>
  <w:footnote w:id="15">
    <w:p w14:paraId="72FFF12F" w14:textId="4712D7F7" w:rsidR="009E5C42" w:rsidRDefault="009E5C42">
      <w:pPr>
        <w:pStyle w:val="Voetnoottekst"/>
      </w:pPr>
      <w:r>
        <w:rPr>
          <w:rStyle w:val="Voetnootmarkering"/>
        </w:rPr>
        <w:footnoteRef/>
      </w:r>
      <w:r w:rsidR="000C3ADF" w:rsidDel="00863ED3">
        <w:t xml:space="preserve"> </w:t>
      </w:r>
      <w:r w:rsidR="005E6AEA">
        <w:t xml:space="preserve">Uit </w:t>
      </w:r>
      <w:r w:rsidR="00C12162">
        <w:t xml:space="preserve">de </w:t>
      </w:r>
      <w:r w:rsidR="005E6AEA">
        <w:t xml:space="preserve">laatste Staat van de Woningmarkt (2021) </w:t>
      </w:r>
      <w:r w:rsidR="00E917F5">
        <w:t>kan worden</w:t>
      </w:r>
      <w:r w:rsidR="005E6AEA">
        <w:t xml:space="preserve"> afgeleid dat </w:t>
      </w:r>
      <w:r w:rsidR="00FD2E65">
        <w:t xml:space="preserve">van de 540.000 </w:t>
      </w:r>
      <w:r w:rsidR="002040F8">
        <w:t>vrije sector huurwoningen ongeveer 248.000</w:t>
      </w:r>
      <w:r w:rsidR="001D7C14">
        <w:t xml:space="preserve"> in het bezit is van particuliere beleggers </w:t>
      </w:r>
      <w:r w:rsidR="000746B4">
        <w:t xml:space="preserve">(45%), </w:t>
      </w:r>
      <w:r w:rsidR="00247E0A">
        <w:t>122.000 van institutionele beleggers (2</w:t>
      </w:r>
      <w:r w:rsidR="00D266ED">
        <w:t>3</w:t>
      </w:r>
      <w:r w:rsidR="00247E0A">
        <w:t xml:space="preserve">%) en </w:t>
      </w:r>
      <w:r w:rsidR="002142C5">
        <w:t xml:space="preserve">170.000 </w:t>
      </w:r>
      <w:r w:rsidR="0030380B">
        <w:t>van woningcorporaties</w:t>
      </w:r>
      <w:r w:rsidR="00865941">
        <w:t xml:space="preserve"> </w:t>
      </w:r>
      <w:r w:rsidR="00867846">
        <w:t>(32%)</w:t>
      </w:r>
      <w:r w:rsidR="000D46D7">
        <w:t xml:space="preserve">, zie </w:t>
      </w:r>
      <w:r w:rsidR="007F09E2">
        <w:t>Brink, Con</w:t>
      </w:r>
      <w:r w:rsidR="006E750C">
        <w:t xml:space="preserve">sequenties huurprijsregulering. Analyse en doorrekening van mogelijke maatregelen, </w:t>
      </w:r>
      <w:r w:rsidR="00A12617">
        <w:t xml:space="preserve">9 </w:t>
      </w:r>
      <w:r w:rsidR="00093340">
        <w:t>september 2021</w:t>
      </w:r>
      <w:r w:rsidR="00A12617">
        <w:t>, p. 6.</w:t>
      </w:r>
    </w:p>
  </w:footnote>
  <w:footnote w:id="16">
    <w:p w14:paraId="38A13BEA" w14:textId="04976299" w:rsidR="00883FEC" w:rsidRPr="00310DEB" w:rsidRDefault="00883FEC">
      <w:pPr>
        <w:pStyle w:val="Voetnoottekst"/>
      </w:pPr>
      <w:r w:rsidRPr="00310DEB">
        <w:rPr>
          <w:rStyle w:val="Voetnootmarkering"/>
        </w:rPr>
        <w:footnoteRef/>
      </w:r>
      <w:r w:rsidRPr="00310DEB">
        <w:t xml:space="preserve"> </w:t>
      </w:r>
      <w:r w:rsidR="00A456A3" w:rsidRPr="00310DEB">
        <w:t xml:space="preserve">In het </w:t>
      </w:r>
      <w:r w:rsidR="00643D5D" w:rsidRPr="00310DEB">
        <w:t>commerciële zogeheten ‘</w:t>
      </w:r>
      <w:r w:rsidR="00A456A3" w:rsidRPr="00310DEB">
        <w:t>niet-</w:t>
      </w:r>
      <w:proofErr w:type="spellStart"/>
      <w:r w:rsidR="00A456A3" w:rsidRPr="00310DEB">
        <w:t>daeb</w:t>
      </w:r>
      <w:proofErr w:type="spellEnd"/>
      <w:r w:rsidR="00A456A3" w:rsidRPr="00310DEB">
        <w:t>-deel</w:t>
      </w:r>
      <w:r w:rsidR="00643D5D" w:rsidRPr="00310DEB">
        <w:t>’</w:t>
      </w:r>
      <w:r w:rsidR="00A456A3" w:rsidRPr="00310DEB">
        <w:t xml:space="preserve"> </w:t>
      </w:r>
      <w:r w:rsidR="006C77B7" w:rsidRPr="00310DEB">
        <w:t xml:space="preserve">van het corporatiebezit </w:t>
      </w:r>
      <w:r w:rsidR="00A456A3" w:rsidRPr="00310DEB">
        <w:t>(</w:t>
      </w:r>
      <w:r w:rsidR="005310AB" w:rsidRPr="00310DEB">
        <w:t>‘</w:t>
      </w:r>
      <w:proofErr w:type="spellStart"/>
      <w:r w:rsidR="00A456A3" w:rsidRPr="00310DEB">
        <w:t>daeb</w:t>
      </w:r>
      <w:proofErr w:type="spellEnd"/>
      <w:r w:rsidR="005310AB" w:rsidRPr="00310DEB">
        <w:t>’</w:t>
      </w:r>
      <w:r w:rsidR="00A456A3" w:rsidRPr="00310DEB">
        <w:t xml:space="preserve"> staat voor diensten van </w:t>
      </w:r>
      <w:r w:rsidR="006C77B7" w:rsidRPr="00310DEB">
        <w:t>algemeen economisch belang).</w:t>
      </w:r>
    </w:p>
  </w:footnote>
  <w:footnote w:id="17">
    <w:p w14:paraId="6D94AE7A" w14:textId="4AAE01F8" w:rsidR="00DE7934" w:rsidRPr="00310DEB" w:rsidRDefault="00DE7934">
      <w:pPr>
        <w:pStyle w:val="Voetnoottekst"/>
      </w:pPr>
      <w:r w:rsidRPr="00310DEB">
        <w:rPr>
          <w:rStyle w:val="Voetnootmarkering"/>
        </w:rPr>
        <w:footnoteRef/>
      </w:r>
      <w:r w:rsidRPr="00310DEB">
        <w:t xml:space="preserve"> </w:t>
      </w:r>
      <w:proofErr w:type="spellStart"/>
      <w:r w:rsidR="000B25B6" w:rsidRPr="00310DEB">
        <w:t>W</w:t>
      </w:r>
      <w:r w:rsidR="00C27129" w:rsidRPr="00310DEB">
        <w:t>oON</w:t>
      </w:r>
      <w:proofErr w:type="spellEnd"/>
      <w:r w:rsidR="00C27129" w:rsidRPr="00310DEB">
        <w:t xml:space="preserve"> 2021, p.</w:t>
      </w:r>
      <w:r w:rsidR="003D0177" w:rsidRPr="00310DEB">
        <w:t xml:space="preserve"> 107, figuur 2.11.</w:t>
      </w:r>
      <w:r w:rsidRPr="00310DEB">
        <w:t xml:space="preserve"> Door afronding </w:t>
      </w:r>
      <w:r w:rsidR="00435E91" w:rsidRPr="00310DEB">
        <w:t xml:space="preserve">is de optelling niet geheel sluitend en </w:t>
      </w:r>
      <w:r w:rsidRPr="00310DEB">
        <w:t xml:space="preserve">zijn </w:t>
      </w:r>
      <w:r w:rsidR="003D0177" w:rsidRPr="00310DEB">
        <w:t xml:space="preserve">kleine </w:t>
      </w:r>
      <w:r w:rsidRPr="00310DEB">
        <w:t xml:space="preserve">verschillen mogelijk ten opzichte van de </w:t>
      </w:r>
      <w:r w:rsidR="003D0177" w:rsidRPr="00310DEB">
        <w:t>andere</w:t>
      </w:r>
      <w:r w:rsidR="00056589" w:rsidRPr="00310DEB">
        <w:t xml:space="preserve"> figuren.</w:t>
      </w:r>
    </w:p>
  </w:footnote>
  <w:footnote w:id="18">
    <w:p w14:paraId="09CD034F" w14:textId="3A226444" w:rsidR="0097546F" w:rsidRPr="00310DEB" w:rsidRDefault="0097546F">
      <w:pPr>
        <w:pStyle w:val="Voetnoottekst"/>
        <w:rPr>
          <w:lang w:val="en-US"/>
        </w:rPr>
      </w:pPr>
      <w:r w:rsidRPr="00310DEB">
        <w:rPr>
          <w:rStyle w:val="Voetnootmarkering"/>
        </w:rPr>
        <w:footnoteRef/>
      </w:r>
      <w:r w:rsidRPr="00310DEB">
        <w:rPr>
          <w:lang w:val="en-US"/>
        </w:rPr>
        <w:t xml:space="preserve"> </w:t>
      </w:r>
      <w:proofErr w:type="spellStart"/>
      <w:r w:rsidR="00E6255F" w:rsidRPr="00310DEB">
        <w:rPr>
          <w:lang w:val="en-US"/>
        </w:rPr>
        <w:t>Zie</w:t>
      </w:r>
      <w:proofErr w:type="spellEnd"/>
      <w:r w:rsidR="00E6255F" w:rsidRPr="00310DEB">
        <w:rPr>
          <w:lang w:val="en-US"/>
        </w:rPr>
        <w:t xml:space="preserve"> </w:t>
      </w:r>
      <w:r w:rsidR="009250B3" w:rsidRPr="00310DEB">
        <w:rPr>
          <w:lang w:val="en-US"/>
        </w:rPr>
        <w:t xml:space="preserve">IMF, </w:t>
      </w:r>
      <w:r w:rsidR="00346453" w:rsidRPr="00310DEB">
        <w:rPr>
          <w:lang w:val="en-US"/>
        </w:rPr>
        <w:t xml:space="preserve">2023, </w:t>
      </w:r>
      <w:r w:rsidR="00521252" w:rsidRPr="00310DEB">
        <w:rPr>
          <w:lang w:val="en-US"/>
        </w:rPr>
        <w:t xml:space="preserve">Housing supply in the Netherlands, </w:t>
      </w:r>
      <w:r w:rsidR="009250B3" w:rsidRPr="00310DEB">
        <w:rPr>
          <w:lang w:val="en-US"/>
        </w:rPr>
        <w:t xml:space="preserve">Country report 3/034, </w:t>
      </w:r>
      <w:r w:rsidR="004B23AE" w:rsidRPr="00310DEB">
        <w:rPr>
          <w:lang w:val="en-US"/>
        </w:rPr>
        <w:t xml:space="preserve">p. </w:t>
      </w:r>
      <w:r w:rsidR="002F3CFD" w:rsidRPr="00310DEB">
        <w:rPr>
          <w:lang w:val="en-US"/>
        </w:rPr>
        <w:t xml:space="preserve">6 </w:t>
      </w:r>
      <w:proofErr w:type="spellStart"/>
      <w:r w:rsidR="004B23AE" w:rsidRPr="00310DEB">
        <w:rPr>
          <w:lang w:val="en-US"/>
        </w:rPr>
        <w:t>en</w:t>
      </w:r>
      <w:proofErr w:type="spellEnd"/>
      <w:r w:rsidR="004B23AE" w:rsidRPr="00310DEB">
        <w:rPr>
          <w:lang w:val="en-US"/>
        </w:rPr>
        <w:t xml:space="preserve"> </w:t>
      </w:r>
      <w:proofErr w:type="spellStart"/>
      <w:r w:rsidR="00346453" w:rsidRPr="00310DEB">
        <w:rPr>
          <w:lang w:val="en-US"/>
        </w:rPr>
        <w:t>eerder</w:t>
      </w:r>
      <w:proofErr w:type="spellEnd"/>
      <w:r w:rsidR="00346453" w:rsidRPr="00310DEB">
        <w:rPr>
          <w:lang w:val="en-US"/>
        </w:rPr>
        <w:t xml:space="preserve"> </w:t>
      </w:r>
      <w:r w:rsidRPr="00310DEB">
        <w:rPr>
          <w:lang w:val="en-US"/>
        </w:rPr>
        <w:t xml:space="preserve">IMF, 2018, </w:t>
      </w:r>
      <w:r w:rsidR="00513310" w:rsidRPr="00310DEB">
        <w:rPr>
          <w:lang w:val="en-US"/>
        </w:rPr>
        <w:t xml:space="preserve">The Netherlands, </w:t>
      </w:r>
      <w:r w:rsidR="005D001C" w:rsidRPr="00310DEB">
        <w:rPr>
          <w:lang w:val="en-US"/>
        </w:rPr>
        <w:t>IMF Country Report, 18/130</w:t>
      </w:r>
      <w:r w:rsidR="00C30CF3" w:rsidRPr="00310DEB">
        <w:rPr>
          <w:lang w:val="en-US"/>
        </w:rPr>
        <w:t>, p. 12.</w:t>
      </w:r>
    </w:p>
  </w:footnote>
  <w:footnote w:id="19">
    <w:p w14:paraId="7878496E" w14:textId="1C99DA2C" w:rsidR="00436141" w:rsidRPr="00310DEB" w:rsidRDefault="00436141">
      <w:pPr>
        <w:pStyle w:val="Voetnoottekst"/>
      </w:pPr>
      <w:r w:rsidRPr="00310DEB">
        <w:rPr>
          <w:rStyle w:val="Voetnootmarkering"/>
        </w:rPr>
        <w:footnoteRef/>
      </w:r>
      <w:r w:rsidRPr="00310DEB">
        <w:t xml:space="preserve"> </w:t>
      </w:r>
      <w:r w:rsidR="00460D54" w:rsidRPr="00310DEB">
        <w:t>‘Terwijl koopwoningmarkt afkoelt, blijven huren in grote steden stijgen’, FD van 12 april 2023.</w:t>
      </w:r>
    </w:p>
  </w:footnote>
  <w:footnote w:id="20">
    <w:p w14:paraId="4703BF1D" w14:textId="77777777" w:rsidR="00180C37" w:rsidRPr="00310DEB" w:rsidRDefault="00180C37" w:rsidP="00180C37">
      <w:pPr>
        <w:pStyle w:val="Voetnoottekst"/>
      </w:pPr>
      <w:r w:rsidRPr="00310DEB">
        <w:rPr>
          <w:rStyle w:val="Voetnootmarkering"/>
        </w:rPr>
        <w:footnoteRef/>
      </w:r>
      <w:r w:rsidRPr="00310DEB">
        <w:t xml:space="preserve"> DNB, 2021, Vier ingrediënten voor een evenwichtigere woningmarkt. Zie verder: ‘Star aanbod en stimulering van vraag stuwen huizenprijzen in Nederland op’, in: ESB, 19 mei 2022, p. 30-34.</w:t>
      </w:r>
    </w:p>
  </w:footnote>
  <w:footnote w:id="21">
    <w:p w14:paraId="75C79512" w14:textId="01DF05C1" w:rsidR="00180C37" w:rsidRPr="00260B1F" w:rsidRDefault="00180C37" w:rsidP="00180C37">
      <w:pPr>
        <w:pStyle w:val="Voetnoottekst"/>
      </w:pPr>
      <w:r w:rsidRPr="00310DEB">
        <w:rPr>
          <w:rStyle w:val="Voetnootmarkering"/>
        </w:rPr>
        <w:footnoteRef/>
      </w:r>
      <w:r w:rsidRPr="00B9007E">
        <w:t xml:space="preserve"> IMF, 2023, </w:t>
      </w:r>
      <w:proofErr w:type="spellStart"/>
      <w:r w:rsidRPr="00B9007E">
        <w:t>Housing</w:t>
      </w:r>
      <w:proofErr w:type="spellEnd"/>
      <w:r w:rsidRPr="00B9007E">
        <w:t xml:space="preserve"> </w:t>
      </w:r>
      <w:proofErr w:type="spellStart"/>
      <w:r w:rsidRPr="00B9007E">
        <w:t>supply</w:t>
      </w:r>
      <w:proofErr w:type="spellEnd"/>
      <w:r w:rsidRPr="00B9007E">
        <w:t xml:space="preserve"> in </w:t>
      </w:r>
      <w:proofErr w:type="spellStart"/>
      <w:r w:rsidRPr="00B9007E">
        <w:t>the</w:t>
      </w:r>
      <w:proofErr w:type="spellEnd"/>
      <w:r w:rsidRPr="00B9007E">
        <w:t xml:space="preserve"> Netherlands, p. 12 en </w:t>
      </w:r>
      <w:r w:rsidRPr="00212CFD">
        <w:t xml:space="preserve">CPB, 2023, De impact van leennormen op huurders, huizenbezitters </w:t>
      </w:r>
      <w:r w:rsidRPr="00260B1F">
        <w:t>en investeerders</w:t>
      </w:r>
      <w:r>
        <w:t>. Het CPB wijst, in navolging van onder meer DNB, op het prijsopdrijvende effect van ruimere leennormen.</w:t>
      </w:r>
      <w:r w:rsidR="00332F99">
        <w:t xml:space="preserve"> Zie ook</w:t>
      </w:r>
      <w:r w:rsidR="00980134">
        <w:t xml:space="preserve"> </w:t>
      </w:r>
      <w:r w:rsidR="00980134" w:rsidRPr="00310DEB">
        <w:t>DNB, 2021, Vier ingrediënten voor een evenwichtigere woningmarkt, p. 7-8</w:t>
      </w:r>
      <w:r w:rsidR="00980134">
        <w:t>.</w:t>
      </w:r>
    </w:p>
  </w:footnote>
  <w:footnote w:id="22">
    <w:p w14:paraId="42570DD6" w14:textId="22E7EA71" w:rsidR="00180C37" w:rsidRPr="00310DEB" w:rsidRDefault="00180C37" w:rsidP="00180C37">
      <w:pPr>
        <w:pStyle w:val="Voetnoottekst"/>
      </w:pPr>
      <w:r w:rsidRPr="00310DEB">
        <w:rPr>
          <w:rStyle w:val="Voetnootmarkering"/>
        </w:rPr>
        <w:footnoteRef/>
      </w:r>
      <w:r w:rsidRPr="00310DEB">
        <w:t xml:space="preserve"> Kadaster, 2019, Opkomst particuliere investeerders op de woningmarkt. Onderzoek naar mogelijke woningprijseffecten</w:t>
      </w:r>
      <w:r w:rsidR="00D25179">
        <w:t>.</w:t>
      </w:r>
      <w:r w:rsidRPr="00310DEB">
        <w:t xml:space="preserve"> </w:t>
      </w:r>
    </w:p>
  </w:footnote>
  <w:footnote w:id="23">
    <w:p w14:paraId="20BAA568" w14:textId="1B1F7377" w:rsidR="00180C37" w:rsidRPr="00310DEB" w:rsidRDefault="00180C37" w:rsidP="00180C37">
      <w:pPr>
        <w:pStyle w:val="Voetnoottekst"/>
      </w:pPr>
      <w:r w:rsidRPr="00310DEB">
        <w:rPr>
          <w:rStyle w:val="Voetnootmarkering"/>
        </w:rPr>
        <w:footnoteRef/>
      </w:r>
      <w:r w:rsidRPr="00310DEB">
        <w:t xml:space="preserve"> Zie tabel 1.1 in de toelichting, waaruit blijkt dat het aandeel beleggers in woningtransacties in de G4 is gehalveerd van 14% in 2016 naar 7% in 2022 (landelijk 6% in 2022).</w:t>
      </w:r>
      <w:r w:rsidR="00CF0FF2">
        <w:t xml:space="preserve"> </w:t>
      </w:r>
      <w:r w:rsidR="001B259D" w:rsidRPr="001B259D">
        <w:t>Inmiddels is het punt bereikt waarop beleggers per saldo woningen verkopen</w:t>
      </w:r>
      <w:r w:rsidR="001B259D">
        <w:t xml:space="preserve">, zie: </w:t>
      </w:r>
      <w:r w:rsidR="001B259D" w:rsidRPr="00310DEB">
        <w:t>‘Particuliere investeerders verkopen nu meer woningen dan ze kopen’, in: ESB, 21 juni 2023.</w:t>
      </w:r>
    </w:p>
  </w:footnote>
  <w:footnote w:id="24">
    <w:p w14:paraId="786F74A1" w14:textId="1484351F" w:rsidR="00D41594" w:rsidRPr="00310DEB" w:rsidRDefault="00D41594" w:rsidP="00D41594">
      <w:pPr>
        <w:pStyle w:val="Voetnoottekst"/>
      </w:pPr>
      <w:r w:rsidRPr="00310DEB">
        <w:rPr>
          <w:rStyle w:val="Voetnootmarkering"/>
        </w:rPr>
        <w:footnoteRef/>
      </w:r>
      <w:r w:rsidRPr="00310DEB">
        <w:t xml:space="preserve"> </w:t>
      </w:r>
      <w:proofErr w:type="spellStart"/>
      <w:r w:rsidRPr="00310DEB">
        <w:t>Eichholtz</w:t>
      </w:r>
      <w:proofErr w:type="spellEnd"/>
      <w:r w:rsidRPr="00310DEB">
        <w:t xml:space="preserve">, P., L. </w:t>
      </w:r>
      <w:proofErr w:type="spellStart"/>
      <w:r w:rsidRPr="00310DEB">
        <w:t>Kattenberg</w:t>
      </w:r>
      <w:proofErr w:type="spellEnd"/>
      <w:r w:rsidRPr="00310DEB">
        <w:t xml:space="preserve"> en N. Kok, 2022</w:t>
      </w:r>
      <w:r>
        <w:t>,</w:t>
      </w:r>
      <w:r w:rsidRPr="00310DEB">
        <w:t xml:space="preserve"> Neem prikkels tegen samenwonen weg om het woningtekort te verkleinen, in: ESB, 19 mei 2022, p. 46-50.</w:t>
      </w:r>
    </w:p>
  </w:footnote>
  <w:footnote w:id="25">
    <w:p w14:paraId="66DA412B" w14:textId="77777777" w:rsidR="00D41594" w:rsidRPr="00310DEB" w:rsidRDefault="00D41594" w:rsidP="00D41594">
      <w:pPr>
        <w:pStyle w:val="Voetnoottekst"/>
      </w:pPr>
      <w:r w:rsidRPr="00310DEB">
        <w:rPr>
          <w:rStyle w:val="Voetnootmarkering"/>
        </w:rPr>
        <w:footnoteRef/>
      </w:r>
      <w:r w:rsidRPr="00310DEB">
        <w:t xml:space="preserve"> CBS, 2022, Achtergrond bij de huizenprijsstijgingen vanaf 2013.</w:t>
      </w:r>
    </w:p>
  </w:footnote>
  <w:footnote w:id="26">
    <w:p w14:paraId="5E02F20D" w14:textId="77777777" w:rsidR="00D41594" w:rsidRPr="00310DEB" w:rsidRDefault="00D41594" w:rsidP="00D41594">
      <w:pPr>
        <w:pStyle w:val="Voetnoottekst"/>
      </w:pPr>
      <w:r w:rsidRPr="00310DEB">
        <w:rPr>
          <w:rStyle w:val="Voetnootmarkering"/>
        </w:rPr>
        <w:footnoteRef/>
      </w:r>
      <w:r w:rsidRPr="00310DEB">
        <w:t xml:space="preserve"> Idem.</w:t>
      </w:r>
    </w:p>
  </w:footnote>
  <w:footnote w:id="27">
    <w:p w14:paraId="706980C0" w14:textId="02FD0D58" w:rsidR="00AA4D4F" w:rsidRPr="00310DEB" w:rsidRDefault="00AA4D4F">
      <w:pPr>
        <w:pStyle w:val="Voetnoottekst"/>
      </w:pPr>
      <w:r w:rsidRPr="00310DEB">
        <w:rPr>
          <w:rStyle w:val="Voetnootmarkering"/>
        </w:rPr>
        <w:footnoteRef/>
      </w:r>
      <w:r w:rsidRPr="00310DEB">
        <w:t xml:space="preserve"> </w:t>
      </w:r>
      <w:r w:rsidR="00B038CC" w:rsidRPr="00310DEB">
        <w:t xml:space="preserve">Zie onder meer SCP, </w:t>
      </w:r>
      <w:r w:rsidR="00173E8B" w:rsidRPr="00310DEB">
        <w:t xml:space="preserve">2020, </w:t>
      </w:r>
      <w:r w:rsidR="00B038CC" w:rsidRPr="00310DEB">
        <w:t xml:space="preserve">De sociale staat van Nederland, </w:t>
      </w:r>
      <w:r w:rsidR="002E136B" w:rsidRPr="00310DEB">
        <w:t>p. 130</w:t>
      </w:r>
      <w:r w:rsidRPr="00310DEB">
        <w:t>.</w:t>
      </w:r>
    </w:p>
  </w:footnote>
  <w:footnote w:id="28">
    <w:p w14:paraId="420C88E5" w14:textId="62EC944E" w:rsidR="00492C07" w:rsidRDefault="00492C07" w:rsidP="00B60ADC">
      <w:pPr>
        <w:pStyle w:val="Voetnoottekst"/>
      </w:pPr>
      <w:r>
        <w:rPr>
          <w:rStyle w:val="Voetnootmarkering"/>
        </w:rPr>
        <w:footnoteRef/>
      </w:r>
      <w:r>
        <w:t xml:space="preserve"> </w:t>
      </w:r>
      <w:r w:rsidR="00256EBF">
        <w:t>E</w:t>
      </w:r>
      <w:r w:rsidR="00C26206">
        <w:t>.</w:t>
      </w:r>
      <w:r w:rsidR="00256EBF">
        <w:t xml:space="preserve"> van der Krabben, </w:t>
      </w:r>
      <w:r w:rsidR="00B60ADC">
        <w:t>De werking van de grondmarkt. Gevolgen voor woningbouw en functioneren woningmarkt</w:t>
      </w:r>
      <w:r w:rsidR="00C155F8">
        <w:t xml:space="preserve"> (onderzoek in opdracht van </w:t>
      </w:r>
      <w:r w:rsidR="00931114">
        <w:t xml:space="preserve">de </w:t>
      </w:r>
      <w:r w:rsidR="00C155F8">
        <w:t>ACM), 2021.</w:t>
      </w:r>
    </w:p>
  </w:footnote>
  <w:footnote w:id="29">
    <w:p w14:paraId="14E00BFC" w14:textId="2F5833AE" w:rsidR="002C5BE6" w:rsidRPr="00310DEB" w:rsidRDefault="002C5BE6">
      <w:pPr>
        <w:pStyle w:val="Voetnoottekst"/>
      </w:pPr>
      <w:r w:rsidRPr="00310DEB">
        <w:rPr>
          <w:rStyle w:val="Voetnootmarkering"/>
        </w:rPr>
        <w:footnoteRef/>
      </w:r>
      <w:r w:rsidRPr="00310DEB">
        <w:t xml:space="preserve"> </w:t>
      </w:r>
      <w:r w:rsidR="000E7EF3" w:rsidRPr="00310DEB">
        <w:t>I</w:t>
      </w:r>
      <w:r w:rsidRPr="00310DEB">
        <w:t xml:space="preserve">n 2021 waren 205.000 huishoudens zogeheten ‘goedkope </w:t>
      </w:r>
      <w:proofErr w:type="spellStart"/>
      <w:r w:rsidRPr="00310DEB">
        <w:t>scheefwoners</w:t>
      </w:r>
      <w:proofErr w:type="spellEnd"/>
      <w:r w:rsidRPr="00310DEB">
        <w:t>’</w:t>
      </w:r>
      <w:r w:rsidR="00F367CD" w:rsidRPr="00310DEB">
        <w:t>. Zie WoON2021, p. 28</w:t>
      </w:r>
      <w:r w:rsidR="00E26E31" w:rsidRPr="00310DEB">
        <w:t xml:space="preserve">. De mutatiegraad </w:t>
      </w:r>
      <w:r w:rsidR="00F2087F" w:rsidRPr="00310DEB">
        <w:t xml:space="preserve">in de sociale </w:t>
      </w:r>
      <w:r w:rsidR="00DE22A4" w:rsidRPr="00310DEB">
        <w:t>huur</w:t>
      </w:r>
      <w:r w:rsidR="00F2087F" w:rsidRPr="00310DEB">
        <w:t>sec</w:t>
      </w:r>
      <w:r w:rsidR="00E32B18" w:rsidRPr="00310DEB">
        <w:t xml:space="preserve">tor </w:t>
      </w:r>
      <w:r w:rsidR="00E26E31" w:rsidRPr="00310DEB">
        <w:t xml:space="preserve">is met 8% laag ten opzichte van de vrije </w:t>
      </w:r>
      <w:r w:rsidR="00DE22A4" w:rsidRPr="00310DEB">
        <w:t>huur</w:t>
      </w:r>
      <w:r w:rsidR="00E26E31" w:rsidRPr="00310DEB">
        <w:t>sector (</w:t>
      </w:r>
      <w:r w:rsidR="00965826" w:rsidRPr="00310DEB">
        <w:t xml:space="preserve">circa </w:t>
      </w:r>
      <w:r w:rsidR="00E26E31" w:rsidRPr="00310DEB">
        <w:t>19 tot 23%).</w:t>
      </w:r>
    </w:p>
  </w:footnote>
  <w:footnote w:id="30">
    <w:p w14:paraId="7ACD730C" w14:textId="77777777" w:rsidR="0016499D" w:rsidRPr="00310DEB" w:rsidRDefault="0016499D" w:rsidP="0016499D">
      <w:pPr>
        <w:pStyle w:val="Voetnoottekst"/>
      </w:pPr>
      <w:r w:rsidRPr="00310DEB">
        <w:rPr>
          <w:rStyle w:val="Voetnootmarkering"/>
        </w:rPr>
        <w:footnoteRef/>
      </w:r>
      <w:r w:rsidRPr="00310DEB">
        <w:t xml:space="preserve"> F. Schilder (PBL) en C. Huisman (CBS), 2023, Demografische ontwikkelingen en de vraag naar vastgoed, in: Real </w:t>
      </w:r>
      <w:proofErr w:type="spellStart"/>
      <w:r w:rsidRPr="00310DEB">
        <w:t>Estate</w:t>
      </w:r>
      <w:proofErr w:type="spellEnd"/>
      <w:r w:rsidRPr="00310DEB">
        <w:t xml:space="preserve"> Research </w:t>
      </w:r>
      <w:proofErr w:type="spellStart"/>
      <w:r w:rsidRPr="00310DEB">
        <w:t>Quarterly</w:t>
      </w:r>
      <w:proofErr w:type="spellEnd"/>
      <w:r w:rsidRPr="00310DEB">
        <w:t>.</w:t>
      </w:r>
    </w:p>
  </w:footnote>
  <w:footnote w:id="31">
    <w:p w14:paraId="36C38208" w14:textId="77777777" w:rsidR="0016499D" w:rsidRPr="00310DEB" w:rsidRDefault="0016499D" w:rsidP="0016499D">
      <w:pPr>
        <w:pStyle w:val="Voetnoottekst"/>
      </w:pPr>
      <w:r w:rsidRPr="00310DEB">
        <w:rPr>
          <w:rStyle w:val="Voetnootmarkering"/>
        </w:rPr>
        <w:footnoteRef/>
      </w:r>
      <w:r w:rsidRPr="00310DEB">
        <w:t xml:space="preserve"> J. Conijn, 2021, Naar een toekomstgerichte private huursector, in: Real </w:t>
      </w:r>
      <w:proofErr w:type="spellStart"/>
      <w:r w:rsidRPr="00310DEB">
        <w:t>Estate</w:t>
      </w:r>
      <w:proofErr w:type="spellEnd"/>
      <w:r w:rsidRPr="00310DEB">
        <w:t xml:space="preserve"> Research </w:t>
      </w:r>
      <w:proofErr w:type="spellStart"/>
      <w:r w:rsidRPr="00310DEB">
        <w:t>Quarterly</w:t>
      </w:r>
      <w:proofErr w:type="spellEnd"/>
      <w:r w:rsidRPr="00310DEB">
        <w:t xml:space="preserve">. </w:t>
      </w:r>
    </w:p>
  </w:footnote>
  <w:footnote w:id="32">
    <w:p w14:paraId="05602B53" w14:textId="1521DC56" w:rsidR="0016499D" w:rsidRPr="00310DEB" w:rsidRDefault="0016499D" w:rsidP="0016499D">
      <w:pPr>
        <w:pStyle w:val="Voetnoottekst"/>
      </w:pPr>
      <w:r w:rsidRPr="00310DEB">
        <w:rPr>
          <w:rStyle w:val="Voetnootmarkering"/>
        </w:rPr>
        <w:footnoteRef/>
      </w:r>
      <w:r w:rsidRPr="00310DEB">
        <w:t xml:space="preserve"> D. van Dijk en M. van Rooij, Mismatch woningmarkt voor 1,8 miljoen huishoudens, in: ESB, 5 september 2023. </w:t>
      </w:r>
    </w:p>
  </w:footnote>
  <w:footnote w:id="33">
    <w:p w14:paraId="1CA39088" w14:textId="51770F9A" w:rsidR="005A57AF" w:rsidRDefault="005A57AF">
      <w:pPr>
        <w:pStyle w:val="Voetnoottekst"/>
      </w:pPr>
      <w:r>
        <w:rPr>
          <w:rStyle w:val="Voetnootmarkering"/>
        </w:rPr>
        <w:footnoteRef/>
      </w:r>
      <w:r>
        <w:t xml:space="preserve"> </w:t>
      </w:r>
      <w:r w:rsidR="0091475F">
        <w:t xml:space="preserve">Voorgesteld artikel 2a van de </w:t>
      </w:r>
      <w:r w:rsidR="000D4EAE">
        <w:t xml:space="preserve">Wet goed </w:t>
      </w:r>
      <w:proofErr w:type="spellStart"/>
      <w:r w:rsidR="000D4EAE">
        <w:t>verhuurderschap</w:t>
      </w:r>
      <w:proofErr w:type="spellEnd"/>
      <w:r w:rsidR="000D4EAE">
        <w:t xml:space="preserve">. </w:t>
      </w:r>
    </w:p>
  </w:footnote>
  <w:footnote w:id="34">
    <w:p w14:paraId="2EB34647" w14:textId="77777777" w:rsidR="00E723DC" w:rsidRPr="006760CB" w:rsidRDefault="00E723DC" w:rsidP="00E723DC">
      <w:pPr>
        <w:pStyle w:val="Voetnoottekst"/>
      </w:pPr>
      <w:r w:rsidRPr="006760CB">
        <w:rPr>
          <w:rStyle w:val="Voetnootmarkering"/>
        </w:rPr>
        <w:footnoteRef/>
      </w:r>
      <w:r w:rsidRPr="006760CB">
        <w:t xml:space="preserve"> Met een woningkwaliteit tot circa 145 punten. </w:t>
      </w:r>
    </w:p>
  </w:footnote>
  <w:footnote w:id="35">
    <w:p w14:paraId="7566D9FD" w14:textId="77777777" w:rsidR="009F2FD4" w:rsidRDefault="009F2FD4" w:rsidP="009F2FD4">
      <w:pPr>
        <w:pStyle w:val="Voetnoottekst"/>
      </w:pPr>
      <w:r w:rsidRPr="006760CB">
        <w:rPr>
          <w:rStyle w:val="Voetnootmarkering"/>
        </w:rPr>
        <w:footnoteRef/>
      </w:r>
      <w:r w:rsidRPr="006760CB">
        <w:t xml:space="preserve"> Toelichting, paragraaf 1.1 en 2.1.2.</w:t>
      </w:r>
    </w:p>
  </w:footnote>
  <w:footnote w:id="36">
    <w:p w14:paraId="69CF35A9" w14:textId="2737E703" w:rsidR="004A6C40" w:rsidRDefault="004A6C40">
      <w:pPr>
        <w:pStyle w:val="Voetnoottekst"/>
      </w:pPr>
      <w:r>
        <w:rPr>
          <w:rStyle w:val="Voetnootmarkering"/>
        </w:rPr>
        <w:footnoteRef/>
      </w:r>
      <w:r>
        <w:t xml:space="preserve"> Zie</w:t>
      </w:r>
      <w:r w:rsidR="004D7AEC">
        <w:t xml:space="preserve"> eerder het </w:t>
      </w:r>
      <w:r>
        <w:t xml:space="preserve">advies van de Afdeling </w:t>
      </w:r>
      <w:r w:rsidR="00491A06">
        <w:t xml:space="preserve">advisering </w:t>
      </w:r>
      <w:r>
        <w:t xml:space="preserve">van 26 mei 2021 over het voorstel van wet van het lid </w:t>
      </w:r>
      <w:proofErr w:type="spellStart"/>
      <w:r>
        <w:t>Smeulders</w:t>
      </w:r>
      <w:proofErr w:type="spellEnd"/>
      <w:r>
        <w:t xml:space="preserve"> (Wet eerlijke huur), (W04.21.0096/1)</w:t>
      </w:r>
      <w:r w:rsidR="00F17DD3">
        <w:t>, paragraaf 2</w:t>
      </w:r>
      <w:r>
        <w:t>.</w:t>
      </w:r>
    </w:p>
  </w:footnote>
  <w:footnote w:id="37">
    <w:p w14:paraId="480D4173" w14:textId="77777777" w:rsidR="00E24776" w:rsidRDefault="00E24776" w:rsidP="00E24776">
      <w:pPr>
        <w:pStyle w:val="Voetnoottekst"/>
      </w:pPr>
      <w:r>
        <w:rPr>
          <w:rStyle w:val="Voetnootmarkering"/>
        </w:rPr>
        <w:footnoteRef/>
      </w:r>
      <w:r>
        <w:t xml:space="preserve"> Zie onder meer: </w:t>
      </w:r>
      <w:r w:rsidRPr="00310DEB">
        <w:t xml:space="preserve">Reflecties door hoogleraren, p. </w:t>
      </w:r>
      <w:r>
        <w:t>8-9</w:t>
      </w:r>
      <w:r w:rsidRPr="00310DEB">
        <w:t>, bijlage bij Kamerstukken II 2022/23, 27926, nr. 372.</w:t>
      </w:r>
    </w:p>
  </w:footnote>
  <w:footnote w:id="38">
    <w:p w14:paraId="3F94B610" w14:textId="77777777" w:rsidR="00E24776" w:rsidRPr="00310DEB" w:rsidRDefault="00E24776" w:rsidP="00E24776">
      <w:pPr>
        <w:pStyle w:val="Voetnoottekst"/>
      </w:pPr>
      <w:r w:rsidRPr="00310DEB">
        <w:rPr>
          <w:rStyle w:val="Voetnootmarkering"/>
        </w:rPr>
        <w:footnoteRef/>
      </w:r>
      <w:r w:rsidRPr="00310DEB">
        <w:t xml:space="preserve"> Toelichting, paragraaf 5.2, tabel 3.</w:t>
      </w:r>
      <w:r>
        <w:t xml:space="preserve"> Zie ook figuur 4 van dit advies.</w:t>
      </w:r>
    </w:p>
  </w:footnote>
  <w:footnote w:id="39">
    <w:p w14:paraId="0B071F9E" w14:textId="77777777" w:rsidR="005761AD" w:rsidRPr="00310DEB" w:rsidRDefault="005761AD" w:rsidP="005761AD">
      <w:pPr>
        <w:pStyle w:val="Voetnoottekst"/>
      </w:pPr>
      <w:r w:rsidRPr="00310DEB">
        <w:rPr>
          <w:rStyle w:val="Voetnootmarkering"/>
        </w:rPr>
        <w:footnoteRef/>
      </w:r>
      <w:r w:rsidRPr="00310DEB">
        <w:t xml:space="preserve"> Toelichting, paragraaf 3.1.6 en paragraaf 9.1. </w:t>
      </w:r>
    </w:p>
  </w:footnote>
  <w:footnote w:id="40">
    <w:p w14:paraId="392A85CD" w14:textId="77777777" w:rsidR="002C2080" w:rsidRDefault="002C2080" w:rsidP="002C2080">
      <w:pPr>
        <w:pStyle w:val="Voetnoottekst"/>
      </w:pPr>
      <w:r>
        <w:rPr>
          <w:rStyle w:val="Voetnootmarkering"/>
        </w:rPr>
        <w:footnoteRef/>
      </w:r>
      <w:r>
        <w:t xml:space="preserve"> Gebaseerd op de cijfers in de t</w:t>
      </w:r>
      <w:r w:rsidRPr="00310DEB">
        <w:t xml:space="preserve">oelichting, paragraaf 5.2, tabel </w:t>
      </w:r>
      <w:r>
        <w:t xml:space="preserve">1 en </w:t>
      </w:r>
      <w:r w:rsidRPr="00310DEB">
        <w:t>3.</w:t>
      </w:r>
    </w:p>
  </w:footnote>
  <w:footnote w:id="41">
    <w:p w14:paraId="16B81180" w14:textId="77777777" w:rsidR="001D133B" w:rsidRPr="00310DEB" w:rsidRDefault="001D133B" w:rsidP="001D133B">
      <w:pPr>
        <w:pStyle w:val="Voetnoottekst"/>
      </w:pPr>
      <w:r w:rsidRPr="00310DEB">
        <w:rPr>
          <w:rStyle w:val="Voetnootmarkering"/>
        </w:rPr>
        <w:footnoteRef/>
      </w:r>
      <w:r w:rsidRPr="00310DEB">
        <w:t xml:space="preserve"> Zie bijv. </w:t>
      </w:r>
      <w:proofErr w:type="spellStart"/>
      <w:r w:rsidRPr="00310DEB">
        <w:t>Stec</w:t>
      </w:r>
      <w:proofErr w:type="spellEnd"/>
      <w:r w:rsidRPr="00310DEB">
        <w:t>, 2021, Verkenning beleidsopties voor huurprijsregulering van de vrijesectorhuur.</w:t>
      </w:r>
    </w:p>
  </w:footnote>
  <w:footnote w:id="42">
    <w:p w14:paraId="4C0DB784" w14:textId="152A45A3" w:rsidR="00565FDE" w:rsidRPr="00310DEB" w:rsidRDefault="00565FDE" w:rsidP="00565FDE">
      <w:pPr>
        <w:pStyle w:val="Voetnoottekst"/>
      </w:pPr>
      <w:r w:rsidRPr="00310DEB">
        <w:rPr>
          <w:rStyle w:val="Voetnootmarkering"/>
        </w:rPr>
        <w:footnoteRef/>
      </w:r>
      <w:r w:rsidRPr="00310DEB">
        <w:t xml:space="preserve"> SER, 2022, Hoe wonen werkt. Een </w:t>
      </w:r>
      <w:proofErr w:type="spellStart"/>
      <w:r w:rsidRPr="00310DEB">
        <w:t>sociaal-economische</w:t>
      </w:r>
      <w:proofErr w:type="spellEnd"/>
      <w:r w:rsidRPr="00310DEB">
        <w:t xml:space="preserve"> verkenning, verkenning 22/09, M. Francke, </w:t>
      </w:r>
      <w:r w:rsidR="00BE1BFC">
        <w:t>2022,</w:t>
      </w:r>
      <w:r w:rsidRPr="00310DEB">
        <w:t xml:space="preserve"> Reflectie op huurprijsregulering, (bijlage bij Kamerstukken II 2022/23, 27926, nr. 372), DNB, 2020, Woningmarkt en samenleving gebaat bij betere balans tussen koop en huur, </w:t>
      </w:r>
      <w:proofErr w:type="spellStart"/>
      <w:r w:rsidRPr="00310DEB">
        <w:t>DNBulletin</w:t>
      </w:r>
      <w:proofErr w:type="spellEnd"/>
      <w:r w:rsidRPr="00310DEB">
        <w:t xml:space="preserve"> en C. Biesenbeek, 2022, The Effect of </w:t>
      </w:r>
      <w:proofErr w:type="spellStart"/>
      <w:r w:rsidRPr="00310DEB">
        <w:t>Unemployment</w:t>
      </w:r>
      <w:proofErr w:type="spellEnd"/>
      <w:r w:rsidRPr="00310DEB">
        <w:t xml:space="preserve"> on </w:t>
      </w:r>
      <w:proofErr w:type="spellStart"/>
      <w:r w:rsidRPr="00310DEB">
        <w:t>Interregional</w:t>
      </w:r>
      <w:proofErr w:type="spellEnd"/>
      <w:r w:rsidRPr="00310DEB">
        <w:t xml:space="preserve"> Migration in </w:t>
      </w:r>
      <w:proofErr w:type="spellStart"/>
      <w:r w:rsidRPr="00310DEB">
        <w:t>the</w:t>
      </w:r>
      <w:proofErr w:type="spellEnd"/>
      <w:r w:rsidRPr="00310DEB">
        <w:t xml:space="preserve"> Netherlands, DNB </w:t>
      </w:r>
      <w:proofErr w:type="spellStart"/>
      <w:r w:rsidRPr="00310DEB">
        <w:t>Working</w:t>
      </w:r>
      <w:proofErr w:type="spellEnd"/>
      <w:r w:rsidRPr="00310DEB">
        <w:t xml:space="preserve"> Paper 753.</w:t>
      </w:r>
    </w:p>
  </w:footnote>
  <w:footnote w:id="43">
    <w:p w14:paraId="45462855" w14:textId="1E560587" w:rsidR="00565FDE" w:rsidRDefault="00565FDE" w:rsidP="00565FDE">
      <w:pPr>
        <w:pStyle w:val="Voetnoottekst"/>
      </w:pPr>
      <w:r>
        <w:rPr>
          <w:rStyle w:val="Voetnootmarkering"/>
        </w:rPr>
        <w:footnoteRef/>
      </w:r>
      <w:r>
        <w:t xml:space="preserve"> DNB,</w:t>
      </w:r>
      <w:r w:rsidR="00E44463">
        <w:t xml:space="preserve"> 2022</w:t>
      </w:r>
      <w:r>
        <w:t xml:space="preserve">, </w:t>
      </w:r>
      <w:r w:rsidRPr="00FF0E59">
        <w:t>Huurders in gereguleerde markt verhuizen minder vaak</w:t>
      </w:r>
      <w:r>
        <w:t xml:space="preserve">, </w:t>
      </w:r>
      <w:proofErr w:type="spellStart"/>
      <w:r>
        <w:t>DNBulletin</w:t>
      </w:r>
      <w:proofErr w:type="spellEnd"/>
      <w:r w:rsidR="00E44463">
        <w:t xml:space="preserve">. </w:t>
      </w:r>
    </w:p>
  </w:footnote>
  <w:footnote w:id="44">
    <w:p w14:paraId="2F861581" w14:textId="77777777" w:rsidR="00565FDE" w:rsidRPr="00310DEB" w:rsidRDefault="00565FDE" w:rsidP="00565FDE">
      <w:pPr>
        <w:pStyle w:val="Voetnoottekst"/>
      </w:pPr>
      <w:r w:rsidRPr="00310DEB">
        <w:rPr>
          <w:rStyle w:val="Voetnootmarkering"/>
        </w:rPr>
        <w:footnoteRef/>
      </w:r>
      <w:r w:rsidRPr="00310DEB">
        <w:t xml:space="preserve"> In het bijzonder de overdrachtsbelasting en verhuiskosten.</w:t>
      </w:r>
    </w:p>
  </w:footnote>
  <w:footnote w:id="45">
    <w:p w14:paraId="45F3BA6C" w14:textId="77777777" w:rsidR="00565FDE" w:rsidRPr="00310DEB" w:rsidRDefault="00565FDE" w:rsidP="00565FDE">
      <w:pPr>
        <w:pStyle w:val="Voetnoottekst"/>
      </w:pPr>
      <w:r w:rsidRPr="00310DEB">
        <w:rPr>
          <w:rStyle w:val="Voetnootmarkering"/>
        </w:rPr>
        <w:footnoteRef/>
      </w:r>
      <w:r w:rsidRPr="00310DEB">
        <w:t xml:space="preserve"> Zie ook het eerdere advies van de Afdeling inzake huurprijsregulering: advies van de Afdeling advisering van de Raad van State inzake de Wet eerlijke huur, vastgesteld op 26 mei 2021, W04.21.0096/I.</w:t>
      </w:r>
    </w:p>
  </w:footnote>
  <w:footnote w:id="46">
    <w:p w14:paraId="3243A2CB" w14:textId="77777777" w:rsidR="00565FDE" w:rsidRPr="00310DEB" w:rsidRDefault="00565FDE" w:rsidP="00565FDE">
      <w:pPr>
        <w:pStyle w:val="Voetnoottekst"/>
      </w:pPr>
      <w:r w:rsidRPr="00310DEB">
        <w:rPr>
          <w:rStyle w:val="Voetnootmarkering"/>
        </w:rPr>
        <w:footnoteRef/>
      </w:r>
      <w:r w:rsidRPr="00310DEB">
        <w:t xml:space="preserve"> Toelichting, paragraaf 1.1.1.</w:t>
      </w:r>
    </w:p>
  </w:footnote>
  <w:footnote w:id="47">
    <w:p w14:paraId="50F3F4D1" w14:textId="77777777" w:rsidR="00547294" w:rsidRPr="00310DEB" w:rsidRDefault="00547294" w:rsidP="00547294">
      <w:pPr>
        <w:pStyle w:val="Voetnoottekst"/>
      </w:pPr>
      <w:r w:rsidRPr="00310DEB">
        <w:rPr>
          <w:rStyle w:val="Voetnootmarkering"/>
        </w:rPr>
        <w:footnoteRef/>
      </w:r>
      <w:r w:rsidRPr="00310DEB">
        <w:t xml:space="preserve"> Respectievelijk de derde en tweede pijler, zie toelichting, paragraaf 2.1.2. </w:t>
      </w:r>
    </w:p>
  </w:footnote>
  <w:footnote w:id="48">
    <w:p w14:paraId="047E1FFB" w14:textId="136C91B0" w:rsidR="00F45922" w:rsidRDefault="00F45922">
      <w:pPr>
        <w:pStyle w:val="Voetnoottekst"/>
      </w:pPr>
      <w:r>
        <w:rPr>
          <w:rStyle w:val="Voetnootmarkering"/>
        </w:rPr>
        <w:footnoteRef/>
      </w:r>
      <w:r>
        <w:t xml:space="preserve"> Toelichting, paragra</w:t>
      </w:r>
      <w:r w:rsidR="00872EF7">
        <w:t>fen</w:t>
      </w:r>
      <w:r>
        <w:t xml:space="preserve"> </w:t>
      </w:r>
      <w:r w:rsidR="003F6CA7">
        <w:t>5.1.1, 5.1.2 en</w:t>
      </w:r>
      <w:r>
        <w:t xml:space="preserve"> 5.2. </w:t>
      </w:r>
    </w:p>
  </w:footnote>
  <w:footnote w:id="49">
    <w:p w14:paraId="3A03E2DF" w14:textId="7FF262A6" w:rsidR="00547294" w:rsidRDefault="00547294" w:rsidP="00547294">
      <w:pPr>
        <w:pStyle w:val="Voetnoottekst"/>
      </w:pPr>
      <w:r>
        <w:rPr>
          <w:rStyle w:val="Voetnootmarkering"/>
        </w:rPr>
        <w:footnoteRef/>
      </w:r>
      <w:r>
        <w:t xml:space="preserve"> </w:t>
      </w:r>
      <w:r w:rsidR="00520800" w:rsidRPr="00520800">
        <w:t>Dit is het gevolg van</w:t>
      </w:r>
      <w:r w:rsidR="00520800">
        <w:t xml:space="preserve"> </w:t>
      </w:r>
      <w:r w:rsidR="00520800" w:rsidRPr="009F1391">
        <w:t>de invoering van huurprijsbescherming op basis van het WWS voor het middensegment</w:t>
      </w:r>
      <w:r w:rsidR="00520800">
        <w:t xml:space="preserve"> (</w:t>
      </w:r>
      <w:r w:rsidR="009E480C">
        <w:t>leidt</w:t>
      </w:r>
      <w:r w:rsidR="00520800" w:rsidRPr="009F1391">
        <w:t xml:space="preserve"> bij bewonerswissels tot circa 157.000 woningen waarvan de huurprijs met gemiddeld ongeveer </w:t>
      </w:r>
      <w:r w:rsidR="002B0718" w:rsidRPr="002B0718">
        <w:t xml:space="preserve">€ </w:t>
      </w:r>
      <w:r w:rsidR="00520800" w:rsidRPr="009F1391">
        <w:t>240 per maand daalt</w:t>
      </w:r>
      <w:r w:rsidR="009E480C">
        <w:t xml:space="preserve">), het dwingend maken van het WWS (leidt bij </w:t>
      </w:r>
      <w:r w:rsidR="009E480C" w:rsidRPr="009F1391">
        <w:t xml:space="preserve">circa 163.000 woningen tot een huurverlaging met een gemiddeld bedrag van </w:t>
      </w:r>
      <w:r w:rsidR="00915E8A">
        <w:t>€ </w:t>
      </w:r>
      <w:r w:rsidR="009E480C" w:rsidRPr="009F1391">
        <w:t>145 per maand</w:t>
      </w:r>
      <w:r w:rsidR="009E480C">
        <w:t>) en de</w:t>
      </w:r>
      <w:r w:rsidR="00535B1C">
        <w:t xml:space="preserve"> </w:t>
      </w:r>
      <w:r w:rsidR="00535B1C" w:rsidRPr="009F1391">
        <w:t xml:space="preserve">maximering van de jaarlijkse huurprijsstijging tot </w:t>
      </w:r>
      <w:r w:rsidR="00535B1C">
        <w:t>cao</w:t>
      </w:r>
      <w:r w:rsidR="00535B1C" w:rsidRPr="009F1391">
        <w:t>-loonontwikkeling plus 0,5 procentpunt</w:t>
      </w:r>
      <w:r w:rsidR="00535B1C">
        <w:t xml:space="preserve">. </w:t>
      </w:r>
      <w:r w:rsidR="00535B1C" w:rsidRPr="00310DEB">
        <w:t xml:space="preserve">De financiële gevolgen van deze </w:t>
      </w:r>
      <w:r w:rsidR="00535B1C">
        <w:t xml:space="preserve">laatste </w:t>
      </w:r>
      <w:r w:rsidR="00535B1C" w:rsidRPr="00310DEB">
        <w:t xml:space="preserve">maatregel worden </w:t>
      </w:r>
      <w:r w:rsidR="00535B1C">
        <w:t xml:space="preserve">overigens </w:t>
      </w:r>
      <w:r w:rsidR="00535B1C" w:rsidRPr="00310DEB">
        <w:t xml:space="preserve">niet inzichtelijk gemaakt in de toelichting. </w:t>
      </w:r>
    </w:p>
  </w:footnote>
  <w:footnote w:id="50">
    <w:p w14:paraId="6CD232D1" w14:textId="6475C382" w:rsidR="00921E73" w:rsidRDefault="00921E73" w:rsidP="00921E73">
      <w:pPr>
        <w:pStyle w:val="Voetnoottekst"/>
      </w:pPr>
      <w:r>
        <w:rPr>
          <w:rStyle w:val="Voetnootmarkering"/>
        </w:rPr>
        <w:footnoteRef/>
      </w:r>
      <w:r>
        <w:t xml:space="preserve"> Bijlage bij </w:t>
      </w:r>
      <w:r w:rsidRPr="00FA6088">
        <w:t>Kamer</w:t>
      </w:r>
      <w:r>
        <w:t>stukken II</w:t>
      </w:r>
      <w:r w:rsidRPr="00FA6088">
        <w:t xml:space="preserve"> 2021</w:t>
      </w:r>
      <w:r>
        <w:t>/</w:t>
      </w:r>
      <w:r w:rsidRPr="00FA6088">
        <w:t>22, 29453, nr. 551</w:t>
      </w:r>
      <w:r>
        <w:t>.</w:t>
      </w:r>
      <w:r w:rsidR="00F13002">
        <w:t xml:space="preserve"> I</w:t>
      </w:r>
      <w:r w:rsidR="00F13002" w:rsidRPr="00A16A87">
        <w:t xml:space="preserve">nmiddels </w:t>
      </w:r>
      <w:r w:rsidR="00F13002">
        <w:t xml:space="preserve">wordt wel </w:t>
      </w:r>
      <w:r w:rsidR="00F13002" w:rsidRPr="00A16A87">
        <w:t>breed erkend – ook door de regering – dat de nieuwbouwproductie achterblijft bij de doelstelling</w:t>
      </w:r>
      <w:r w:rsidR="002F1BC5">
        <w:t>, z</w:t>
      </w:r>
      <w:r w:rsidR="00F148E2">
        <w:t xml:space="preserve">ie onder meer Kamerstukken II 2022/23, 32847, nr. 1040. </w:t>
      </w:r>
    </w:p>
  </w:footnote>
  <w:footnote w:id="51">
    <w:p w14:paraId="60413A3D" w14:textId="468009A4" w:rsidR="00CD2124" w:rsidRPr="00310DEB" w:rsidRDefault="00CD2124" w:rsidP="00CD2124">
      <w:pPr>
        <w:pStyle w:val="Voetnoottekst"/>
      </w:pPr>
      <w:r w:rsidRPr="00310DEB">
        <w:rPr>
          <w:rStyle w:val="Voetnootmarkering"/>
        </w:rPr>
        <w:footnoteRef/>
      </w:r>
      <w:r w:rsidRPr="00310DEB">
        <w:t xml:space="preserve"> Brink, </w:t>
      </w:r>
      <w:r w:rsidR="000D70DF">
        <w:t xml:space="preserve">2021, </w:t>
      </w:r>
      <w:r w:rsidRPr="00310DEB">
        <w:t xml:space="preserve">Consequenties huurprijsregulering. Analyse en doorrekening van mogelijke maatregelen, p. 2. Eenzelfde conclusie wordt getrokken in ING Research, </w:t>
      </w:r>
      <w:r w:rsidR="00020D68">
        <w:t>2023,</w:t>
      </w:r>
      <w:r w:rsidRPr="00310DEB">
        <w:t xml:space="preserve"> Regulering </w:t>
      </w:r>
      <w:proofErr w:type="spellStart"/>
      <w:r w:rsidRPr="00310DEB">
        <w:t>middenhuur</w:t>
      </w:r>
      <w:proofErr w:type="spellEnd"/>
      <w:r w:rsidRPr="00310DEB">
        <w:t xml:space="preserve"> remt nieuwbouw alleen op korte termijn.</w:t>
      </w:r>
    </w:p>
  </w:footnote>
  <w:footnote w:id="52">
    <w:p w14:paraId="53FAF3E0" w14:textId="77777777" w:rsidR="00547294" w:rsidRPr="00310DEB" w:rsidRDefault="00547294" w:rsidP="00547294">
      <w:pPr>
        <w:pStyle w:val="Voetnoottekst"/>
      </w:pPr>
      <w:r w:rsidRPr="00310DEB">
        <w:rPr>
          <w:rStyle w:val="Voetnootmarkering"/>
        </w:rPr>
        <w:footnoteRef/>
      </w:r>
      <w:r w:rsidRPr="00310DEB">
        <w:t xml:space="preserve"> Reflecties door hoogleraren, p. 4, bijlage bij Kamerstukken II 2022/23, 27926, nr. 372.</w:t>
      </w:r>
    </w:p>
  </w:footnote>
  <w:footnote w:id="53">
    <w:p w14:paraId="5D6AB522" w14:textId="77777777" w:rsidR="00547294" w:rsidRDefault="00547294" w:rsidP="00547294">
      <w:pPr>
        <w:pStyle w:val="Voetnoottekst"/>
      </w:pPr>
      <w:r>
        <w:rPr>
          <w:rStyle w:val="Voetnootmarkering"/>
        </w:rPr>
        <w:footnoteRef/>
      </w:r>
      <w:r w:rsidRPr="000228B9">
        <w:t xml:space="preserve"> </w:t>
      </w:r>
      <w:proofErr w:type="spellStart"/>
      <w:r w:rsidRPr="000228B9">
        <w:t>Deutsches</w:t>
      </w:r>
      <w:proofErr w:type="spellEnd"/>
      <w:r w:rsidRPr="000228B9">
        <w:t xml:space="preserve"> </w:t>
      </w:r>
      <w:proofErr w:type="spellStart"/>
      <w:r w:rsidRPr="000228B9">
        <w:t>Institut</w:t>
      </w:r>
      <w:proofErr w:type="spellEnd"/>
      <w:r w:rsidRPr="000228B9">
        <w:t xml:space="preserve"> </w:t>
      </w:r>
      <w:proofErr w:type="spellStart"/>
      <w:r w:rsidRPr="000228B9">
        <w:t>für</w:t>
      </w:r>
      <w:proofErr w:type="spellEnd"/>
      <w:r w:rsidRPr="000228B9">
        <w:t xml:space="preserve"> </w:t>
      </w:r>
      <w:proofErr w:type="spellStart"/>
      <w:r w:rsidRPr="000228B9">
        <w:t>Wirtschaftsforschung</w:t>
      </w:r>
      <w:proofErr w:type="spellEnd"/>
      <w:r>
        <w:t xml:space="preserve"> </w:t>
      </w:r>
      <w:r w:rsidRPr="000228B9">
        <w:t xml:space="preserve">‘Forward </w:t>
      </w:r>
      <w:proofErr w:type="spellStart"/>
      <w:r w:rsidRPr="000228B9">
        <w:t>to</w:t>
      </w:r>
      <w:proofErr w:type="spellEnd"/>
      <w:r w:rsidRPr="000228B9">
        <w:t xml:space="preserve"> </w:t>
      </w:r>
      <w:proofErr w:type="spellStart"/>
      <w:r w:rsidRPr="000228B9">
        <w:t>the</w:t>
      </w:r>
      <w:proofErr w:type="spellEnd"/>
      <w:r w:rsidRPr="000228B9">
        <w:t xml:space="preserve"> past: short-term </w:t>
      </w:r>
      <w:proofErr w:type="spellStart"/>
      <w:r w:rsidRPr="000228B9">
        <w:t>effects</w:t>
      </w:r>
      <w:proofErr w:type="spellEnd"/>
      <w:r w:rsidRPr="000228B9">
        <w:t xml:space="preserve"> of </w:t>
      </w:r>
      <w:proofErr w:type="spellStart"/>
      <w:r w:rsidRPr="000228B9">
        <w:t>the</w:t>
      </w:r>
      <w:proofErr w:type="spellEnd"/>
      <w:r w:rsidRPr="000228B9">
        <w:t xml:space="preserve"> rent </w:t>
      </w:r>
      <w:proofErr w:type="spellStart"/>
      <w:r w:rsidRPr="000228B9">
        <w:t>freeze</w:t>
      </w:r>
      <w:proofErr w:type="spellEnd"/>
      <w:r w:rsidRPr="000228B9">
        <w:t xml:space="preserve"> in Berlin’</w:t>
      </w:r>
      <w:r>
        <w:t xml:space="preserve">, </w:t>
      </w:r>
      <w:r w:rsidRPr="000228B9">
        <w:t>2021,</w:t>
      </w:r>
      <w:r>
        <w:t xml:space="preserve"> waarnaar ook is verwezen in het advies van de Afdeling van 26 mei 2021 over het voorstel van wet van het lid </w:t>
      </w:r>
      <w:proofErr w:type="spellStart"/>
      <w:r>
        <w:t>Smeulders</w:t>
      </w:r>
      <w:proofErr w:type="spellEnd"/>
      <w:r>
        <w:t xml:space="preserve"> (Wet eerlijke huur), (W04.21.0096/1). D</w:t>
      </w:r>
      <w:r w:rsidRPr="000228B9">
        <w:t xml:space="preserve">e huurprijsregulering </w:t>
      </w:r>
      <w:r>
        <w:t>is later o</w:t>
      </w:r>
      <w:r w:rsidRPr="000228B9">
        <w:t xml:space="preserve">ngrondwettelijk verklaard, zie </w:t>
      </w:r>
      <w:proofErr w:type="spellStart"/>
      <w:r w:rsidRPr="000228B9">
        <w:t>Bundesverfassungsgericht</w:t>
      </w:r>
      <w:proofErr w:type="spellEnd"/>
      <w:r>
        <w:t>,</w:t>
      </w:r>
      <w:r w:rsidRPr="000228B9">
        <w:t xml:space="preserve"> 25 maart 2021,</w:t>
      </w:r>
      <w:r>
        <w:t xml:space="preserve"> </w:t>
      </w:r>
      <w:r w:rsidRPr="000228B9">
        <w:t>ECLI:DE:BVerfG:2021:fs20210325.2bvf000120.</w:t>
      </w:r>
    </w:p>
  </w:footnote>
  <w:footnote w:id="54">
    <w:p w14:paraId="61B3D49B" w14:textId="77777777" w:rsidR="00547294" w:rsidRDefault="00547294" w:rsidP="00547294">
      <w:pPr>
        <w:pStyle w:val="Voetnoottekst"/>
      </w:pPr>
      <w:r>
        <w:rPr>
          <w:rStyle w:val="Voetnootmarkering"/>
        </w:rPr>
        <w:footnoteRef/>
      </w:r>
      <w:r>
        <w:t xml:space="preserve"> Zie onder meer de consultatiereacties van IVBN en </w:t>
      </w:r>
      <w:proofErr w:type="spellStart"/>
      <w:r>
        <w:t>Neprom</w:t>
      </w:r>
      <w:proofErr w:type="spellEnd"/>
      <w:r>
        <w:t>. Zie verder onder meer de op verzoek van BZK uitgebrachte r</w:t>
      </w:r>
      <w:r w:rsidRPr="00310DEB">
        <w:t>eflecties door hoogleraren, bijlage bij Kamerstukken II 2022/23, 27926, nr. 372</w:t>
      </w:r>
      <w:r>
        <w:t>.</w:t>
      </w:r>
    </w:p>
  </w:footnote>
  <w:footnote w:id="55">
    <w:p w14:paraId="4AF036CB" w14:textId="6FDE8D64" w:rsidR="00547294" w:rsidRPr="00CB576A" w:rsidRDefault="00547294" w:rsidP="00547294">
      <w:pPr>
        <w:pStyle w:val="Voetnoottekst"/>
        <w:rPr>
          <w:lang w:val="en-US"/>
        </w:rPr>
      </w:pPr>
      <w:r w:rsidRPr="00310DEB">
        <w:rPr>
          <w:rStyle w:val="Voetnootmarkering"/>
        </w:rPr>
        <w:footnoteRef/>
      </w:r>
      <w:r w:rsidRPr="00310DEB">
        <w:t xml:space="preserve"> Overheidssteun dient beperkt te blijven tot het sociale deel van de huursector, dat is aangewezen als ‘dienst van algemeen economisch belang’. </w:t>
      </w:r>
      <w:r w:rsidRPr="003D6C81">
        <w:rPr>
          <w:lang w:val="en-US"/>
        </w:rPr>
        <w:t xml:space="preserve">De </w:t>
      </w:r>
      <w:proofErr w:type="spellStart"/>
      <w:r w:rsidRPr="003D6C81">
        <w:rPr>
          <w:lang w:val="en-US"/>
        </w:rPr>
        <w:t>vrije</w:t>
      </w:r>
      <w:proofErr w:type="spellEnd"/>
      <w:r w:rsidRPr="003D6C81">
        <w:rPr>
          <w:lang w:val="en-US"/>
        </w:rPr>
        <w:t xml:space="preserve"> </w:t>
      </w:r>
      <w:proofErr w:type="spellStart"/>
      <w:r w:rsidRPr="003D6C81">
        <w:rPr>
          <w:lang w:val="en-US"/>
        </w:rPr>
        <w:t>huursector</w:t>
      </w:r>
      <w:proofErr w:type="spellEnd"/>
      <w:r w:rsidRPr="003D6C81">
        <w:rPr>
          <w:lang w:val="en-US"/>
        </w:rPr>
        <w:t xml:space="preserve"> </w:t>
      </w:r>
      <w:proofErr w:type="spellStart"/>
      <w:r w:rsidRPr="003D6C81">
        <w:rPr>
          <w:lang w:val="en-US"/>
        </w:rPr>
        <w:t>valt</w:t>
      </w:r>
      <w:proofErr w:type="spellEnd"/>
      <w:r w:rsidRPr="003D6C81">
        <w:rPr>
          <w:lang w:val="en-US"/>
        </w:rPr>
        <w:t xml:space="preserve"> </w:t>
      </w:r>
      <w:proofErr w:type="spellStart"/>
      <w:r w:rsidRPr="003D6C81">
        <w:rPr>
          <w:lang w:val="en-US"/>
        </w:rPr>
        <w:t>daarbuiten</w:t>
      </w:r>
      <w:proofErr w:type="spellEnd"/>
      <w:r w:rsidRPr="003D6C81">
        <w:rPr>
          <w:lang w:val="en-US"/>
        </w:rPr>
        <w:t xml:space="preserve"> (‘</w:t>
      </w:r>
      <w:proofErr w:type="spellStart"/>
      <w:r w:rsidRPr="003D6C81">
        <w:rPr>
          <w:lang w:val="en-US"/>
        </w:rPr>
        <w:t>niet-daeb</w:t>
      </w:r>
      <w:proofErr w:type="spellEnd"/>
      <w:r w:rsidRPr="003D6C81">
        <w:rPr>
          <w:lang w:val="en-US"/>
        </w:rPr>
        <w:t xml:space="preserve">’). </w:t>
      </w:r>
      <w:proofErr w:type="spellStart"/>
      <w:r w:rsidRPr="00310DEB">
        <w:rPr>
          <w:lang w:val="en-GB"/>
        </w:rPr>
        <w:t>Zie</w:t>
      </w:r>
      <w:proofErr w:type="spellEnd"/>
      <w:r w:rsidRPr="00310DEB">
        <w:rPr>
          <w:lang w:val="en-GB"/>
        </w:rPr>
        <w:t xml:space="preserve"> </w:t>
      </w:r>
      <w:proofErr w:type="spellStart"/>
      <w:r w:rsidRPr="00310DEB">
        <w:rPr>
          <w:lang w:val="en-GB"/>
        </w:rPr>
        <w:t>Europese</w:t>
      </w:r>
      <w:proofErr w:type="spellEnd"/>
      <w:r w:rsidRPr="00310DEB">
        <w:rPr>
          <w:lang w:val="en-GB"/>
        </w:rPr>
        <w:t xml:space="preserve"> </w:t>
      </w:r>
      <w:proofErr w:type="spellStart"/>
      <w:r w:rsidRPr="00310DEB">
        <w:rPr>
          <w:lang w:val="en-GB"/>
        </w:rPr>
        <w:t>Commissie</w:t>
      </w:r>
      <w:proofErr w:type="spellEnd"/>
      <w:r w:rsidRPr="00310DEB">
        <w:rPr>
          <w:lang w:val="en-GB"/>
        </w:rPr>
        <w:t>, 2009, State aid No E 2/2005 and N 642/2009 – The Netherlands, Existing and special project aid to housing corporations, C (2009) 9963 final.</w:t>
      </w:r>
    </w:p>
  </w:footnote>
  <w:footnote w:id="56">
    <w:p w14:paraId="7C72E694" w14:textId="77777777" w:rsidR="00547294" w:rsidRDefault="00547294" w:rsidP="00547294">
      <w:pPr>
        <w:pStyle w:val="Voetnoottekst"/>
      </w:pPr>
      <w:r>
        <w:rPr>
          <w:rStyle w:val="Voetnootmarkering"/>
        </w:rPr>
        <w:footnoteRef/>
      </w:r>
      <w:r>
        <w:t xml:space="preserve"> Toelichting, paragraaf 9.1.</w:t>
      </w:r>
    </w:p>
  </w:footnote>
  <w:footnote w:id="57">
    <w:p w14:paraId="5F04BDFD" w14:textId="77777777" w:rsidR="00547294" w:rsidRDefault="00547294" w:rsidP="00547294">
      <w:pPr>
        <w:pStyle w:val="Voetnoottekst"/>
      </w:pPr>
      <w:r>
        <w:rPr>
          <w:rStyle w:val="Voetnootmarkering"/>
        </w:rPr>
        <w:footnoteRef/>
      </w:r>
      <w:r>
        <w:t xml:space="preserve"> Niet alleen op de woningmarkt maar ook (de renteontwikkeling op) de kapitaalmarkt.</w:t>
      </w:r>
    </w:p>
  </w:footnote>
  <w:footnote w:id="58">
    <w:p w14:paraId="26CD2562" w14:textId="1EBD8EE5" w:rsidR="00547294" w:rsidRPr="00310DEB" w:rsidRDefault="00547294" w:rsidP="00547294">
      <w:pPr>
        <w:pStyle w:val="Voetnoottekst"/>
      </w:pPr>
      <w:r w:rsidRPr="00310DEB">
        <w:rPr>
          <w:rStyle w:val="Voetnootmarkering"/>
        </w:rPr>
        <w:footnoteRef/>
      </w:r>
      <w:r w:rsidRPr="00310DEB">
        <w:t xml:space="preserve"> </w:t>
      </w:r>
      <w:proofErr w:type="spellStart"/>
      <w:r w:rsidRPr="00310DEB">
        <w:t>Ortec</w:t>
      </w:r>
      <w:proofErr w:type="spellEnd"/>
      <w:r w:rsidRPr="00310DEB">
        <w:t xml:space="preserve"> Finance, </w:t>
      </w:r>
      <w:r w:rsidR="00887C59">
        <w:t xml:space="preserve">2023, </w:t>
      </w:r>
      <w:r w:rsidRPr="00310DEB">
        <w:t xml:space="preserve">Waarde-effecten maatregelen huursector, p. 6. </w:t>
      </w:r>
    </w:p>
  </w:footnote>
  <w:footnote w:id="59">
    <w:p w14:paraId="271FF0B4" w14:textId="17226D08" w:rsidR="00547294" w:rsidRDefault="00547294" w:rsidP="00547294">
      <w:pPr>
        <w:pStyle w:val="Voetnoottekst"/>
      </w:pPr>
      <w:r>
        <w:rPr>
          <w:rStyle w:val="Voetnootmarkering"/>
        </w:rPr>
        <w:footnoteRef/>
      </w:r>
      <w:r>
        <w:t xml:space="preserve"> Dit wordt vermeld in voetnoot 173 van de toelichting – met toevoeging dat het percentage nu circa 60% is – onder verwijzing naar </w:t>
      </w:r>
      <w:proofErr w:type="spellStart"/>
      <w:r w:rsidRPr="00310DEB">
        <w:t>Ortec</w:t>
      </w:r>
      <w:proofErr w:type="spellEnd"/>
      <w:r w:rsidRPr="00310DEB">
        <w:t xml:space="preserve"> Finance, </w:t>
      </w:r>
      <w:r w:rsidR="00E57C12">
        <w:t xml:space="preserve">2023, </w:t>
      </w:r>
      <w:r w:rsidRPr="00310DEB">
        <w:t>Waarde-effecten maatregelen huursector</w:t>
      </w:r>
      <w:r>
        <w:t xml:space="preserve">. </w:t>
      </w:r>
    </w:p>
  </w:footnote>
  <w:footnote w:id="60">
    <w:p w14:paraId="0F61E38A" w14:textId="77777777" w:rsidR="00547294" w:rsidRPr="00310DEB" w:rsidRDefault="00547294" w:rsidP="00547294">
      <w:pPr>
        <w:pStyle w:val="Voetnoottekst"/>
      </w:pPr>
      <w:r w:rsidRPr="00310DEB">
        <w:rPr>
          <w:rStyle w:val="Voetnootmarkering"/>
        </w:rPr>
        <w:footnoteRef/>
      </w:r>
      <w:r w:rsidRPr="00310DEB">
        <w:t xml:space="preserve"> Toelichting, paragraaf 10.4.1.2.</w:t>
      </w:r>
    </w:p>
  </w:footnote>
  <w:footnote w:id="61">
    <w:p w14:paraId="3962D6D0" w14:textId="35ABB3ED" w:rsidR="00547294" w:rsidRPr="00310DEB" w:rsidRDefault="00547294" w:rsidP="00547294">
      <w:pPr>
        <w:pStyle w:val="Voetnoottekst"/>
      </w:pPr>
      <w:r w:rsidRPr="00310DEB">
        <w:rPr>
          <w:rStyle w:val="Voetnootmarkering"/>
        </w:rPr>
        <w:footnoteRef/>
      </w:r>
      <w:r w:rsidRPr="00310DEB">
        <w:t xml:space="preserve"> </w:t>
      </w:r>
      <w:r>
        <w:t>Zie onder meer DNB</w:t>
      </w:r>
      <w:r w:rsidRPr="00310DEB">
        <w:t xml:space="preserve">, </w:t>
      </w:r>
      <w:r w:rsidR="00A86BDE">
        <w:t xml:space="preserve">2022, </w:t>
      </w:r>
      <w:r w:rsidRPr="00310DEB">
        <w:t xml:space="preserve">Regulering van het </w:t>
      </w:r>
      <w:proofErr w:type="spellStart"/>
      <w:r w:rsidRPr="00310DEB">
        <w:t>middenhuursegment</w:t>
      </w:r>
      <w:proofErr w:type="spellEnd"/>
      <w:r w:rsidRPr="00310DEB">
        <w:t xml:space="preserve">. Effect op rendement, p. 3-4. </w:t>
      </w:r>
    </w:p>
  </w:footnote>
  <w:footnote w:id="62">
    <w:p w14:paraId="1FD7AD73" w14:textId="77777777" w:rsidR="00547294" w:rsidRPr="00310DEB" w:rsidRDefault="00547294" w:rsidP="00547294">
      <w:pPr>
        <w:pStyle w:val="Voetnoottekst"/>
      </w:pPr>
      <w:r w:rsidRPr="00310DEB">
        <w:rPr>
          <w:rStyle w:val="Voetnootmarkering"/>
        </w:rPr>
        <w:footnoteRef/>
      </w:r>
      <w:r w:rsidRPr="00310DEB" w:rsidDel="00E57CDA">
        <w:t xml:space="preserve"> FD</w:t>
      </w:r>
      <w:r>
        <w:t>, 26 juni 2023, C</w:t>
      </w:r>
      <w:r w:rsidRPr="00A3483A">
        <w:t>anadese</w:t>
      </w:r>
      <w:r>
        <w:t xml:space="preserve"> </w:t>
      </w:r>
      <w:r w:rsidRPr="00A3483A">
        <w:t>vastgoedbelegger</w:t>
      </w:r>
      <w:r>
        <w:t xml:space="preserve"> </w:t>
      </w:r>
      <w:r w:rsidRPr="00A3483A">
        <w:t>zet</w:t>
      </w:r>
      <w:r>
        <w:t xml:space="preserve"> </w:t>
      </w:r>
      <w:r w:rsidRPr="00A3483A">
        <w:t>duizenden</w:t>
      </w:r>
      <w:r>
        <w:t xml:space="preserve"> N</w:t>
      </w:r>
      <w:r w:rsidRPr="00A3483A">
        <w:t>ederlandse</w:t>
      </w:r>
      <w:r>
        <w:t xml:space="preserve"> </w:t>
      </w:r>
      <w:r w:rsidRPr="00A3483A">
        <w:t>huurhuizen</w:t>
      </w:r>
      <w:r>
        <w:t xml:space="preserve"> </w:t>
      </w:r>
      <w:r w:rsidRPr="00A3483A">
        <w:t>te</w:t>
      </w:r>
      <w:r>
        <w:t xml:space="preserve"> </w:t>
      </w:r>
      <w:r w:rsidRPr="00A3483A">
        <w:t>koop</w:t>
      </w:r>
      <w:r>
        <w:t xml:space="preserve">; Nu.nl, </w:t>
      </w:r>
      <w:r w:rsidRPr="00D00D4C">
        <w:t>Zweedse belegger wil twaalfduizend Nederlandse huurwoningen verkopen</w:t>
      </w:r>
      <w:r>
        <w:t xml:space="preserve">, 5 oktober 2023 en FD, 12 oktober 2023, </w:t>
      </w:r>
      <w:r w:rsidRPr="00356DE0">
        <w:t>Huuraanbod in vrije sector verdwijnt naar de koopmarkt</w:t>
      </w:r>
      <w:r>
        <w:t xml:space="preserve">. </w:t>
      </w:r>
    </w:p>
  </w:footnote>
  <w:footnote w:id="63">
    <w:p w14:paraId="3025DDFC" w14:textId="3A2EEFA1" w:rsidR="00547294" w:rsidRPr="00310DEB" w:rsidRDefault="00547294" w:rsidP="00547294">
      <w:pPr>
        <w:pStyle w:val="Voetnoottekst"/>
      </w:pPr>
      <w:r w:rsidRPr="00310DEB">
        <w:rPr>
          <w:rStyle w:val="Voetnootmarkering"/>
        </w:rPr>
        <w:footnoteRef/>
      </w:r>
      <w:r w:rsidRPr="00310DEB">
        <w:t xml:space="preserve"> Zie onder meer Brink, </w:t>
      </w:r>
      <w:r w:rsidR="00232CAA">
        <w:t>2021</w:t>
      </w:r>
      <w:r w:rsidR="000D1E36">
        <w:t xml:space="preserve">, </w:t>
      </w:r>
      <w:r w:rsidRPr="00310DEB">
        <w:t xml:space="preserve">Consequenties huurprijsregulering. Analyse en doorrekening van mogelijke maatregelen, p. 19, Mirjam </w:t>
      </w:r>
      <w:proofErr w:type="spellStart"/>
      <w:r w:rsidRPr="00310DEB">
        <w:t>Bani</w:t>
      </w:r>
      <w:proofErr w:type="spellEnd"/>
      <w:r w:rsidRPr="00310DEB">
        <w:t xml:space="preserve"> e.a., </w:t>
      </w:r>
      <w:r w:rsidR="000B2179">
        <w:t>2022</w:t>
      </w:r>
      <w:r w:rsidR="00D86553">
        <w:t xml:space="preserve">, </w:t>
      </w:r>
      <w:r w:rsidRPr="00310DEB">
        <w:t xml:space="preserve">Economisch perspectief voor een grondige renovatie van de woningmarkt, bijlage bij Kamerstukken II 2022/23, 32847, nr. 949 en ING Research, </w:t>
      </w:r>
      <w:r w:rsidR="00D86553">
        <w:t xml:space="preserve">2023, </w:t>
      </w:r>
      <w:r w:rsidRPr="00310DEB">
        <w:t xml:space="preserve">Regulering </w:t>
      </w:r>
      <w:proofErr w:type="spellStart"/>
      <w:r w:rsidRPr="00310DEB">
        <w:t>middenhuur</w:t>
      </w:r>
      <w:proofErr w:type="spellEnd"/>
      <w:r w:rsidRPr="00310DEB">
        <w:t xml:space="preserve"> remt nieuwbouw alleen op korte termijn.</w:t>
      </w:r>
    </w:p>
  </w:footnote>
  <w:footnote w:id="64">
    <w:p w14:paraId="37C1D1C8" w14:textId="77777777" w:rsidR="00547294" w:rsidRPr="00310DEB" w:rsidRDefault="00547294" w:rsidP="00547294">
      <w:pPr>
        <w:pStyle w:val="Voetnoottekst"/>
        <w:rPr>
          <w:lang w:val="en-US"/>
        </w:rPr>
      </w:pPr>
      <w:r w:rsidRPr="00310DEB">
        <w:rPr>
          <w:rStyle w:val="Voetnootmarkering"/>
        </w:rPr>
        <w:footnoteRef/>
      </w:r>
      <w:r w:rsidRPr="00310DEB">
        <w:rPr>
          <w:lang w:val="en-US"/>
        </w:rPr>
        <w:t xml:space="preserve"> “It appears that the government’s recent policy measures will make the private rental sector less attractive for investors. (…) These policies risk adversely affecting housing supply in the rental sector and may further increase the bias towards owner-occupied housing and social housing (which is already </w:t>
      </w:r>
      <w:proofErr w:type="spellStart"/>
      <w:r w:rsidRPr="00310DEB">
        <w:rPr>
          <w:lang w:val="en-US"/>
        </w:rPr>
        <w:t>characterised</w:t>
      </w:r>
      <w:proofErr w:type="spellEnd"/>
      <w:r w:rsidRPr="00310DEB">
        <w:rPr>
          <w:lang w:val="en-US"/>
        </w:rPr>
        <w:t xml:space="preserve"> by long waiting lists)”, </w:t>
      </w:r>
      <w:proofErr w:type="spellStart"/>
      <w:r w:rsidRPr="00310DEB">
        <w:rPr>
          <w:lang w:val="en-US"/>
        </w:rPr>
        <w:t>zie</w:t>
      </w:r>
      <w:proofErr w:type="spellEnd"/>
      <w:r w:rsidRPr="00310DEB">
        <w:rPr>
          <w:lang w:val="en-US"/>
        </w:rPr>
        <w:t xml:space="preserve"> </w:t>
      </w:r>
      <w:proofErr w:type="spellStart"/>
      <w:r w:rsidRPr="00310DEB">
        <w:rPr>
          <w:lang w:val="en-US"/>
        </w:rPr>
        <w:t>Europese</w:t>
      </w:r>
      <w:proofErr w:type="spellEnd"/>
      <w:r w:rsidRPr="00310DEB">
        <w:rPr>
          <w:lang w:val="en-US"/>
        </w:rPr>
        <w:t xml:space="preserve"> </w:t>
      </w:r>
      <w:proofErr w:type="spellStart"/>
      <w:r w:rsidRPr="00310DEB">
        <w:rPr>
          <w:lang w:val="en-US"/>
        </w:rPr>
        <w:t>Commissie</w:t>
      </w:r>
      <w:proofErr w:type="spellEnd"/>
      <w:r w:rsidRPr="00310DEB">
        <w:rPr>
          <w:lang w:val="en-US"/>
        </w:rPr>
        <w:t xml:space="preserve">, 2023 Country Report The Netherlands, Institutional Paper 243, </w:t>
      </w:r>
      <w:proofErr w:type="spellStart"/>
      <w:r w:rsidRPr="00310DEB">
        <w:rPr>
          <w:lang w:val="en-US"/>
        </w:rPr>
        <w:t>juni</w:t>
      </w:r>
      <w:proofErr w:type="spellEnd"/>
      <w:r w:rsidRPr="00310DEB">
        <w:rPr>
          <w:lang w:val="en-US"/>
        </w:rPr>
        <w:t xml:space="preserve"> 2023.</w:t>
      </w:r>
    </w:p>
  </w:footnote>
  <w:footnote w:id="65">
    <w:p w14:paraId="2199B934" w14:textId="77777777" w:rsidR="00547294" w:rsidRDefault="00547294" w:rsidP="00547294">
      <w:pPr>
        <w:pStyle w:val="Voetnoottekst"/>
      </w:pPr>
      <w:r>
        <w:rPr>
          <w:rStyle w:val="Voetnootmarkering"/>
        </w:rPr>
        <w:footnoteRef/>
      </w:r>
      <w:r>
        <w:t xml:space="preserve"> Toelichting, paragrafen 5.2 en 10.4.1.2. </w:t>
      </w:r>
    </w:p>
  </w:footnote>
  <w:footnote w:id="66">
    <w:p w14:paraId="2162C7AD" w14:textId="77777777" w:rsidR="00547294" w:rsidRPr="00310DEB" w:rsidRDefault="00547294" w:rsidP="00547294">
      <w:pPr>
        <w:pStyle w:val="Voetnoottekst"/>
      </w:pPr>
      <w:r w:rsidRPr="00310DEB">
        <w:rPr>
          <w:rStyle w:val="Voetnootmarkering"/>
        </w:rPr>
        <w:footnoteRef/>
      </w:r>
      <w:r w:rsidRPr="00310DEB">
        <w:t xml:space="preserve"> Onder omstandigheden kan een maatregel zorgen voor lagere of </w:t>
      </w:r>
      <w:r>
        <w:t xml:space="preserve">juist </w:t>
      </w:r>
      <w:r w:rsidRPr="00310DEB">
        <w:t xml:space="preserve">hogere opbrengsten, zoals bijvoorbeeld de inkomensafhankelijke huurverhoging. </w:t>
      </w:r>
    </w:p>
  </w:footnote>
  <w:footnote w:id="67">
    <w:p w14:paraId="3C7A25C2" w14:textId="4549C59D" w:rsidR="00547294" w:rsidRPr="00310DEB" w:rsidRDefault="00547294" w:rsidP="00547294">
      <w:pPr>
        <w:pStyle w:val="Voetnoottekst"/>
      </w:pPr>
      <w:r w:rsidRPr="00310DEB">
        <w:rPr>
          <w:rStyle w:val="Voetnootmarkering"/>
        </w:rPr>
        <w:footnoteRef/>
      </w:r>
      <w:r w:rsidRPr="00310DEB">
        <w:t xml:space="preserve"> Toelichting, paragraaf 5.2</w:t>
      </w:r>
      <w:r w:rsidR="0030408A">
        <w:t>. Daar wordt verwezen naar:</w:t>
      </w:r>
      <w:r w:rsidRPr="00310DEB" w:rsidDel="0030408A">
        <w:t xml:space="preserve"> </w:t>
      </w:r>
      <w:r w:rsidRPr="00310DEB">
        <w:t xml:space="preserve">SEO economisch onderzoek, Stapeling maatregelen huurmarkt. Een analyse van niet-fiscale en fiscale maatregelen, maart 2023. Onder de netto contante waarde wordt in dat onderzoek verstaan de som van de met een discontovoet verdisconteerde toekomstige kasstromen, </w:t>
      </w:r>
      <w:r w:rsidR="00A06DCE">
        <w:t xml:space="preserve">aldaar </w:t>
      </w:r>
      <w:r w:rsidRPr="00310DEB">
        <w:t xml:space="preserve">p. 14 e.v.. </w:t>
      </w:r>
    </w:p>
  </w:footnote>
  <w:footnote w:id="68">
    <w:p w14:paraId="3507456A" w14:textId="48CEEC3D" w:rsidR="00547294" w:rsidRPr="00310DEB" w:rsidRDefault="00547294" w:rsidP="00547294">
      <w:pPr>
        <w:pStyle w:val="Voetnoottekst"/>
      </w:pPr>
      <w:r w:rsidRPr="00310DEB">
        <w:rPr>
          <w:rStyle w:val="Voetnootmarkering"/>
        </w:rPr>
        <w:footnoteRef/>
      </w:r>
      <w:r w:rsidRPr="00310DEB">
        <w:t xml:space="preserve"> Zie onder meer </w:t>
      </w:r>
      <w:proofErr w:type="spellStart"/>
      <w:r w:rsidRPr="00310DEB">
        <w:t>Ortec</w:t>
      </w:r>
      <w:proofErr w:type="spellEnd"/>
      <w:r w:rsidRPr="00310DEB">
        <w:t xml:space="preserve"> Finance, </w:t>
      </w:r>
      <w:r w:rsidR="00D86553">
        <w:t xml:space="preserve">2023, </w:t>
      </w:r>
      <w:r w:rsidRPr="00310DEB">
        <w:t xml:space="preserve">Waarde-effecten maatregelen huursector. </w:t>
      </w:r>
    </w:p>
  </w:footnote>
  <w:footnote w:id="69">
    <w:p w14:paraId="72FEC75A" w14:textId="77777777" w:rsidR="00547294" w:rsidRPr="00310DEB" w:rsidRDefault="00547294" w:rsidP="00547294">
      <w:pPr>
        <w:pStyle w:val="Voetnoottekst"/>
      </w:pPr>
      <w:r w:rsidRPr="00310DEB">
        <w:rPr>
          <w:rStyle w:val="Voetnootmarkering"/>
        </w:rPr>
        <w:footnoteRef/>
      </w:r>
      <w:r w:rsidRPr="00310DEB">
        <w:t xml:space="preserve"> Toelichting, paragraaf 5.2, onderdeel C. </w:t>
      </w:r>
    </w:p>
  </w:footnote>
  <w:footnote w:id="70">
    <w:p w14:paraId="3332AB5A" w14:textId="77777777" w:rsidR="00547294" w:rsidRPr="00310DEB" w:rsidRDefault="00547294" w:rsidP="00547294">
      <w:pPr>
        <w:pStyle w:val="Voetnoottekst"/>
      </w:pPr>
      <w:r w:rsidRPr="00310DEB">
        <w:rPr>
          <w:rStyle w:val="Voetnootmarkering"/>
        </w:rPr>
        <w:footnoteRef/>
      </w:r>
      <w:r w:rsidRPr="00310DEB">
        <w:t xml:space="preserve"> Zie in dit verband ook aanwijzing 2.9 van de Aanwijzingen voor de regelgeving</w:t>
      </w:r>
      <w:r>
        <w:t xml:space="preserve">: </w:t>
      </w:r>
      <w:r w:rsidRPr="00310DEB">
        <w:t xml:space="preserve">bij het opstellen van een regeling </w:t>
      </w:r>
      <w:r>
        <w:t xml:space="preserve">moet </w:t>
      </w:r>
      <w:r w:rsidRPr="00310DEB">
        <w:t>word</w:t>
      </w:r>
      <w:r>
        <w:t>en</w:t>
      </w:r>
      <w:r w:rsidRPr="00310DEB">
        <w:t xml:space="preserve"> bezien welke neveneffecten op bestaande of voorgenomen regelgeving of beleidsvelden kunnen optreden en welke consequenties dit dient te hebben voor het voorstel, en aanwijzing 2.11, d</w:t>
      </w:r>
      <w:r>
        <w:t>ie</w:t>
      </w:r>
      <w:r w:rsidRPr="00310DEB">
        <w:t xml:space="preserve"> voorschrijft dat de voor een of meer belanghebbenden nadelige gevolgen van een voorgenomen regeling niet onevenredig mogen zijn in verhouding tot de daarmee te dienen doelen.</w:t>
      </w:r>
    </w:p>
  </w:footnote>
  <w:footnote w:id="71">
    <w:p w14:paraId="37ACCB59" w14:textId="77777777" w:rsidR="006166F4" w:rsidRDefault="006166F4" w:rsidP="006166F4">
      <w:pPr>
        <w:pStyle w:val="Voetnoottekst"/>
      </w:pPr>
      <w:r>
        <w:rPr>
          <w:rStyle w:val="Voetnootmarkering"/>
        </w:rPr>
        <w:footnoteRef/>
      </w:r>
      <w:r>
        <w:t xml:space="preserve"> Toelichting, paragraaf 4, ‘Verhouding tot hoger recht’.</w:t>
      </w:r>
    </w:p>
  </w:footnote>
  <w:footnote w:id="72">
    <w:p w14:paraId="0139DF9C" w14:textId="77777777" w:rsidR="00547294" w:rsidRPr="00310DEB" w:rsidRDefault="00547294" w:rsidP="00547294">
      <w:pPr>
        <w:pStyle w:val="Voetnoottekst"/>
      </w:pPr>
      <w:r w:rsidRPr="00310DEB">
        <w:rPr>
          <w:rStyle w:val="Voetnootmarkering"/>
        </w:rPr>
        <w:footnoteRef/>
      </w:r>
      <w:r w:rsidRPr="00310DEB">
        <w:t xml:space="preserve"> EHRM 19 december 1989, Mellacher t. Oostenrijk, </w:t>
      </w:r>
      <w:hyperlink r:id="rId2" w:anchor="{%22itemid%22:[%22001-57616%22]}" w:history="1">
        <w:r w:rsidRPr="00310DEB">
          <w:rPr>
            <w:rStyle w:val="Hyperlink"/>
          </w:rPr>
          <w:t>ECLI:CE:ECHR:1989:1219JUD001052283</w:t>
        </w:r>
      </w:hyperlink>
      <w:r w:rsidRPr="00310DEB">
        <w:t xml:space="preserve"> en EHRM 19 juni 2006, Hutten-</w:t>
      </w:r>
      <w:proofErr w:type="spellStart"/>
      <w:r w:rsidRPr="00310DEB">
        <w:t>Czapska</w:t>
      </w:r>
      <w:proofErr w:type="spellEnd"/>
      <w:r w:rsidRPr="00310DEB">
        <w:t xml:space="preserve"> t. Polen, </w:t>
      </w:r>
      <w:hyperlink r:id="rId3" w:anchor="{%22itemid%22:[%22001-75882%22]}" w:history="1">
        <w:r w:rsidRPr="00310DEB">
          <w:rPr>
            <w:rStyle w:val="Hyperlink"/>
          </w:rPr>
          <w:t>ECLI:CE:ECHR:2006:0619JUD003501497</w:t>
        </w:r>
      </w:hyperlink>
      <w:r w:rsidRPr="00310DEB">
        <w:t>. In deze arresten merkte het EHRM de toepassing van een regeling waarin een maximale huurprijs werd voorgeschreven aan als regulering van het eigendomsrecht van de verhuurder.</w:t>
      </w:r>
    </w:p>
  </w:footnote>
  <w:footnote w:id="73">
    <w:p w14:paraId="2444161A" w14:textId="77777777" w:rsidR="00547294" w:rsidRPr="00310DEB" w:rsidRDefault="00547294" w:rsidP="00547294">
      <w:pPr>
        <w:pStyle w:val="Voetnoottekst"/>
      </w:pPr>
      <w:r w:rsidRPr="00310DEB">
        <w:rPr>
          <w:rStyle w:val="Voetnootmarkering"/>
        </w:rPr>
        <w:footnoteRef/>
      </w:r>
      <w:r w:rsidRPr="00310DEB">
        <w:t xml:space="preserve"> EHRM 2 juli 2013, </w:t>
      </w:r>
      <w:hyperlink r:id="rId4" w:anchor="{%22itemid%22:[%22001-122988%22]}" w:history="1">
        <w:r w:rsidRPr="00310DEB">
          <w:rPr>
            <w:rStyle w:val="Hyperlink"/>
          </w:rPr>
          <w:t>Nobel e.a. t. Nederland</w:t>
        </w:r>
      </w:hyperlink>
      <w:r w:rsidRPr="00310DEB">
        <w:t>, ECLI:CE:ECHR:2013:0702DEC002712611.</w:t>
      </w:r>
    </w:p>
  </w:footnote>
  <w:footnote w:id="74">
    <w:p w14:paraId="6310A049" w14:textId="77777777" w:rsidR="00547294" w:rsidRPr="00310DEB" w:rsidRDefault="00547294" w:rsidP="00547294">
      <w:pPr>
        <w:pStyle w:val="Voetnoottekst"/>
      </w:pPr>
      <w:r w:rsidRPr="00310DEB">
        <w:rPr>
          <w:rStyle w:val="Voetnootmarkering"/>
        </w:rPr>
        <w:footnoteRef/>
      </w:r>
      <w:r w:rsidRPr="00310DEB">
        <w:t xml:space="preserve"> EHRM 19 december 1989, Mellacher t. Oostenrijk, paragraaf 55.</w:t>
      </w:r>
    </w:p>
  </w:footnote>
  <w:footnote w:id="75">
    <w:p w14:paraId="0FE208BF" w14:textId="77777777" w:rsidR="00547294" w:rsidRPr="00310DEB" w:rsidRDefault="00547294" w:rsidP="00547294">
      <w:pPr>
        <w:pStyle w:val="Voetnoottekst"/>
      </w:pPr>
      <w:r w:rsidRPr="00310DEB">
        <w:rPr>
          <w:rStyle w:val="Voetnootmarkering"/>
        </w:rPr>
        <w:footnoteRef/>
      </w:r>
      <w:r w:rsidRPr="00310DEB">
        <w:t xml:space="preserve"> EHRM 19 juni 2006, Hutten-</w:t>
      </w:r>
      <w:proofErr w:type="spellStart"/>
      <w:r w:rsidRPr="00310DEB">
        <w:t>Czapska</w:t>
      </w:r>
      <w:proofErr w:type="spellEnd"/>
      <w:r w:rsidRPr="00310DEB">
        <w:t xml:space="preserve"> t. Polen, paragraaf 224.</w:t>
      </w:r>
    </w:p>
  </w:footnote>
  <w:footnote w:id="76">
    <w:p w14:paraId="6D7638B0" w14:textId="77777777" w:rsidR="00547294" w:rsidRDefault="00547294" w:rsidP="00547294">
      <w:pPr>
        <w:pStyle w:val="Voetnoottekst"/>
      </w:pPr>
      <w:r>
        <w:rPr>
          <w:rStyle w:val="Voetnootmarkering"/>
        </w:rPr>
        <w:footnoteRef/>
      </w:r>
      <w:r>
        <w:t xml:space="preserve"> Overigens zonder dat in alle gevallen naar de relevante rechtspraak wordt verwezen.</w:t>
      </w:r>
    </w:p>
  </w:footnote>
  <w:footnote w:id="77">
    <w:p w14:paraId="6B69A5B5" w14:textId="77777777" w:rsidR="00547294" w:rsidRPr="00310DEB" w:rsidRDefault="00547294" w:rsidP="00547294">
      <w:pPr>
        <w:pStyle w:val="Voetnoottekst"/>
      </w:pPr>
      <w:r w:rsidRPr="00310DEB">
        <w:rPr>
          <w:rStyle w:val="Voetnootmarkering"/>
        </w:rPr>
        <w:footnoteRef/>
      </w:r>
      <w:r w:rsidRPr="00310DEB">
        <w:t xml:space="preserve"> Toelichting, paragraaf </w:t>
      </w:r>
      <w:r>
        <w:t>4.2.2</w:t>
      </w:r>
      <w:r w:rsidRPr="00310DEB">
        <w:t>.</w:t>
      </w:r>
    </w:p>
  </w:footnote>
  <w:footnote w:id="78">
    <w:p w14:paraId="4F06EEA3" w14:textId="77777777" w:rsidR="00547294" w:rsidRDefault="00547294" w:rsidP="00547294">
      <w:pPr>
        <w:pStyle w:val="Voetnoottekst"/>
      </w:pPr>
      <w:r>
        <w:rPr>
          <w:rStyle w:val="Voetnootmarkering"/>
        </w:rPr>
        <w:footnoteRef/>
      </w:r>
      <w:r>
        <w:t xml:space="preserve"> Toelichting, paragraaf 4.2.2.</w:t>
      </w:r>
    </w:p>
  </w:footnote>
  <w:footnote w:id="79">
    <w:p w14:paraId="48051215" w14:textId="5CB3FB6F" w:rsidR="00E810FA" w:rsidRDefault="00E810FA">
      <w:pPr>
        <w:pStyle w:val="Voetnoottekst"/>
      </w:pPr>
      <w:r>
        <w:rPr>
          <w:rStyle w:val="Voetnootmarkering"/>
        </w:rPr>
        <w:footnoteRef/>
      </w:r>
      <w:r>
        <w:t xml:space="preserve"> </w:t>
      </w:r>
      <w:r w:rsidR="00DF54C6">
        <w:t xml:space="preserve">In beginsel geldt het wetsvoorstel voor huurcontracten afgesloten na inwerkingtreding. </w:t>
      </w:r>
      <w:r w:rsidR="00DF54C6" w:rsidRPr="009B3E55">
        <w:t xml:space="preserve">Voor één categorie </w:t>
      </w:r>
      <w:r w:rsidR="00DF54C6" w:rsidRPr="00DF54C6">
        <w:t>al bestaande huurcontracten</w:t>
      </w:r>
      <w:r w:rsidR="00DF54C6" w:rsidRPr="009B3E55">
        <w:t xml:space="preserve"> wordt hierbij echter een uitzondering gemaakt, namelijk voor huurcontracten voor woningen die qua puntentelling vallen in de sociale huursector</w:t>
      </w:r>
      <w:r w:rsidR="00DF54C6">
        <w:t xml:space="preserve">, </w:t>
      </w:r>
      <w:r w:rsidR="00DF54C6" w:rsidRPr="009B3E55">
        <w:t xml:space="preserve">maar waarbij </w:t>
      </w:r>
      <w:r w:rsidR="0002086D">
        <w:t xml:space="preserve">door partijen </w:t>
      </w:r>
      <w:r w:rsidR="00DF54C6" w:rsidRPr="009B3E55">
        <w:t xml:space="preserve">een huurprijs boven de liberalisatiegrens is afgesproken die wegens het overschrijden van de nu nog geldende zes-maandentermijn </w:t>
      </w:r>
      <w:r w:rsidR="0002086D">
        <w:t xml:space="preserve">voor het stappen naar de Huurcommissie </w:t>
      </w:r>
      <w:r w:rsidR="00DF54C6" w:rsidRPr="009B3E55">
        <w:t>niet meer kan worden aangepast.</w:t>
      </w:r>
    </w:p>
  </w:footnote>
  <w:footnote w:id="80">
    <w:p w14:paraId="57FDD3FB" w14:textId="77777777" w:rsidR="00547294" w:rsidRPr="00310DEB" w:rsidRDefault="00547294" w:rsidP="00547294">
      <w:pPr>
        <w:pStyle w:val="Voetnoottekst"/>
      </w:pPr>
      <w:r w:rsidRPr="00310DEB">
        <w:rPr>
          <w:rStyle w:val="Voetnootmarkering"/>
        </w:rPr>
        <w:footnoteRef/>
      </w:r>
      <w:r w:rsidRPr="00310DEB">
        <w:t xml:space="preserve"> Toelichting, paragraaf </w:t>
      </w:r>
      <w:r>
        <w:t>4.2.2</w:t>
      </w:r>
      <w:r w:rsidRPr="00310DEB">
        <w:t>.</w:t>
      </w:r>
    </w:p>
  </w:footnote>
  <w:footnote w:id="81">
    <w:p w14:paraId="3FBA2C2F" w14:textId="55842010" w:rsidR="00547294" w:rsidRPr="00310DEB" w:rsidRDefault="00547294" w:rsidP="00547294">
      <w:pPr>
        <w:pStyle w:val="Voetnoottekst"/>
      </w:pPr>
      <w:r w:rsidRPr="00310DEB">
        <w:rPr>
          <w:rStyle w:val="Voetnootmarkering"/>
        </w:rPr>
        <w:footnoteRef/>
      </w:r>
      <w:r w:rsidRPr="00310DEB">
        <w:t xml:space="preserve"> Toelichting, paragraaf 4.2.3 en 4.2.4.</w:t>
      </w:r>
      <w:r>
        <w:t xml:space="preserve"> </w:t>
      </w:r>
      <w:r w:rsidR="00355155">
        <w:t>Voorts</w:t>
      </w:r>
      <w:r>
        <w:t xml:space="preserve"> wijst de Afdeling op artikel 15, tweede lid, onderdeel g, van Richtlijn 2006/123/EG </w:t>
      </w:r>
      <w:r w:rsidRPr="003B43A1">
        <w:t>van het Europees Parlement en de Raad van 12 december 2006 betreffende diensten op de interne markt</w:t>
      </w:r>
      <w:r>
        <w:t xml:space="preserve">, </w:t>
      </w:r>
      <w:proofErr w:type="spellStart"/>
      <w:r>
        <w:t>PbEU</w:t>
      </w:r>
      <w:proofErr w:type="spellEnd"/>
      <w:r>
        <w:t xml:space="preserve"> 2006, L 376 (Dienstenrichtlijn).</w:t>
      </w:r>
    </w:p>
  </w:footnote>
  <w:footnote w:id="82">
    <w:p w14:paraId="643DE568" w14:textId="77777777" w:rsidR="00547294" w:rsidRPr="00310DEB" w:rsidRDefault="00547294" w:rsidP="00547294">
      <w:pPr>
        <w:pStyle w:val="Voetnoottekst"/>
      </w:pPr>
      <w:r w:rsidRPr="00310DEB">
        <w:rPr>
          <w:rStyle w:val="Voetnootmarkering"/>
        </w:rPr>
        <w:footnoteRef/>
      </w:r>
      <w:r w:rsidRPr="00310DEB">
        <w:t xml:space="preserve"> </w:t>
      </w:r>
      <w:r>
        <w:t xml:space="preserve">Artikel 15, derde lid, onderdelen b en c, van de Dienstenrichtlijn; </w:t>
      </w:r>
      <w:proofErr w:type="spellStart"/>
      <w:r>
        <w:t>HvJEU</w:t>
      </w:r>
      <w:proofErr w:type="spellEnd"/>
      <w:r>
        <w:t xml:space="preserve"> 1 oktober 2009, zaak C-567/07, </w:t>
      </w:r>
      <w:r>
        <w:rPr>
          <w:i/>
          <w:iCs/>
        </w:rPr>
        <w:t xml:space="preserve">Sint Servatius, </w:t>
      </w:r>
      <w:r>
        <w:t>ECLI:EU:C:2009:593, punt 25.</w:t>
      </w:r>
    </w:p>
  </w:footnote>
  <w:footnote w:id="83">
    <w:p w14:paraId="3596BAEC" w14:textId="77777777" w:rsidR="00547294" w:rsidRDefault="00547294" w:rsidP="00547294">
      <w:pPr>
        <w:pStyle w:val="Voetnoottekst"/>
      </w:pPr>
      <w:r>
        <w:rPr>
          <w:rStyle w:val="Voetnootmarkering"/>
        </w:rPr>
        <w:footnoteRef/>
      </w:r>
      <w:r>
        <w:t xml:space="preserve"> Artikel 17 van het Handvest. Aangezien </w:t>
      </w:r>
      <w:r w:rsidRPr="005463B1">
        <w:t>de regering zich beroept op een rechtvaardiging van de inbreuk die het wetsvoorstel maakt op het vrij verkeer van diensten en van kapitaal</w:t>
      </w:r>
      <w:r>
        <w:t xml:space="preserve">, is het Handvest ook van toepassing.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BA44" w14:textId="77777777" w:rsidR="001539C9" w:rsidRDefault="001539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BA45" w14:textId="77777777" w:rsidR="001539C9" w:rsidRDefault="00D06628" w:rsidP="001539C9">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BA4B" w14:textId="77777777" w:rsidR="001539C9" w:rsidRDefault="00D06628" w:rsidP="001539C9">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888BA4C" w14:textId="77777777" w:rsidR="001539C9" w:rsidRDefault="00D06628">
    <w:pPr>
      <w:pStyle w:val="Koptekst"/>
    </w:pPr>
    <w:r>
      <w:rPr>
        <w:noProof/>
      </w:rPr>
      <w:drawing>
        <wp:anchor distT="0" distB="0" distL="114300" distR="114300" simplePos="0" relativeHeight="251658240" behindDoc="1" locked="0" layoutInCell="1" allowOverlap="1" wp14:anchorId="1888BA57" wp14:editId="1888BA5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9A4"/>
    <w:multiLevelType w:val="hybridMultilevel"/>
    <w:tmpl w:val="47DE6BF2"/>
    <w:lvl w:ilvl="0" w:tplc="A3962A54">
      <w:start w:val="5"/>
      <w:numFmt w:val="bullet"/>
      <w:lvlText w:val=""/>
      <w:lvlJc w:val="left"/>
      <w:pPr>
        <w:ind w:left="1146" w:hanging="360"/>
      </w:pPr>
      <w:rPr>
        <w:rFonts w:ascii="Univers" w:eastAsia="Times New Roman" w:hAnsi="Univers"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9D8488A"/>
    <w:multiLevelType w:val="hybridMultilevel"/>
    <w:tmpl w:val="D786D396"/>
    <w:lvl w:ilvl="0" w:tplc="35C4FD2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77BC2"/>
    <w:multiLevelType w:val="hybridMultilevel"/>
    <w:tmpl w:val="2FA68410"/>
    <w:lvl w:ilvl="0" w:tplc="7F72D7E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C361EC"/>
    <w:multiLevelType w:val="hybridMultilevel"/>
    <w:tmpl w:val="E0F2275E"/>
    <w:lvl w:ilvl="0" w:tplc="835278E8">
      <w:start w:val="3"/>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FC5D02"/>
    <w:multiLevelType w:val="hybridMultilevel"/>
    <w:tmpl w:val="49DC0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BC1F0D"/>
    <w:multiLevelType w:val="hybridMultilevel"/>
    <w:tmpl w:val="0BB20628"/>
    <w:lvl w:ilvl="0" w:tplc="88FCBF0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A90EC2"/>
    <w:multiLevelType w:val="hybridMultilevel"/>
    <w:tmpl w:val="AB4283EC"/>
    <w:lvl w:ilvl="0" w:tplc="8E8870C4">
      <w:numFmt w:val="bullet"/>
      <w:lvlText w:val="•"/>
      <w:lvlJc w:val="left"/>
      <w:pPr>
        <w:ind w:left="1065" w:hanging="705"/>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416E18"/>
    <w:multiLevelType w:val="hybridMultilevel"/>
    <w:tmpl w:val="D6FC0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980197"/>
    <w:multiLevelType w:val="hybridMultilevel"/>
    <w:tmpl w:val="3AC057A8"/>
    <w:lvl w:ilvl="0" w:tplc="04130001">
      <w:start w:val="1"/>
      <w:numFmt w:val="bullet"/>
      <w:lvlText w:val=""/>
      <w:lvlJc w:val="left"/>
      <w:pPr>
        <w:ind w:left="1155" w:hanging="360"/>
      </w:pPr>
      <w:rPr>
        <w:rFonts w:ascii="Symbol" w:hAnsi="Symbo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9" w15:restartNumberingAfterBreak="0">
    <w:nsid w:val="354553DC"/>
    <w:multiLevelType w:val="hybridMultilevel"/>
    <w:tmpl w:val="2BA22BB8"/>
    <w:lvl w:ilvl="0" w:tplc="E5766DB4">
      <w:start w:val="3"/>
      <w:numFmt w:val="bullet"/>
      <w:lvlText w:val="-"/>
      <w:lvlJc w:val="left"/>
      <w:pPr>
        <w:ind w:left="360" w:hanging="360"/>
      </w:pPr>
      <w:rPr>
        <w:rFonts w:ascii="Univers" w:eastAsia="Times New Roman" w:hAnsi="Univer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BF00419"/>
    <w:multiLevelType w:val="hybridMultilevel"/>
    <w:tmpl w:val="B0E6D8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805D3C"/>
    <w:multiLevelType w:val="hybridMultilevel"/>
    <w:tmpl w:val="3EE2A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2D275F"/>
    <w:multiLevelType w:val="hybridMultilevel"/>
    <w:tmpl w:val="2B4C8C34"/>
    <w:lvl w:ilvl="0" w:tplc="84B0D5F4">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4630EB0"/>
    <w:multiLevelType w:val="hybridMultilevel"/>
    <w:tmpl w:val="A5065DAE"/>
    <w:lvl w:ilvl="0" w:tplc="84B0D5F4">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6B50E9"/>
    <w:multiLevelType w:val="hybridMultilevel"/>
    <w:tmpl w:val="CE2AE154"/>
    <w:lvl w:ilvl="0" w:tplc="5252A9CE">
      <w:start w:val="125"/>
      <w:numFmt w:val="decimal"/>
      <w:lvlText w:val="%1."/>
      <w:lvlJc w:val="left"/>
      <w:pPr>
        <w:ind w:left="1070" w:hanging="710"/>
      </w:pPr>
      <w:rPr>
        <w:rFonts w:ascii="Calibri" w:hAnsi="Calibri" w:cs="Calibri" w:hint="default"/>
        <w:i w:val="0"/>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8D1778"/>
    <w:multiLevelType w:val="hybridMultilevel"/>
    <w:tmpl w:val="29DC3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942BA9"/>
    <w:multiLevelType w:val="hybridMultilevel"/>
    <w:tmpl w:val="5802A4B4"/>
    <w:lvl w:ilvl="0" w:tplc="84B0D5F4">
      <w:numFmt w:val="bullet"/>
      <w:lvlText w:val="-"/>
      <w:lvlJc w:val="left"/>
      <w:pPr>
        <w:ind w:left="360" w:hanging="360"/>
      </w:pPr>
      <w:rPr>
        <w:rFonts w:ascii="Univers" w:eastAsia="Times New Roman" w:hAnsi="Univer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CCA6F02"/>
    <w:multiLevelType w:val="hybridMultilevel"/>
    <w:tmpl w:val="983229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2274ED9"/>
    <w:multiLevelType w:val="hybridMultilevel"/>
    <w:tmpl w:val="3B160E56"/>
    <w:lvl w:ilvl="0" w:tplc="DAD6FD9C">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2936D85"/>
    <w:multiLevelType w:val="hybridMultilevel"/>
    <w:tmpl w:val="8788D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4616EE"/>
    <w:multiLevelType w:val="hybridMultilevel"/>
    <w:tmpl w:val="426CB7DE"/>
    <w:lvl w:ilvl="0" w:tplc="199845D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AF7A7C"/>
    <w:multiLevelType w:val="hybridMultilevel"/>
    <w:tmpl w:val="913AEE8E"/>
    <w:lvl w:ilvl="0" w:tplc="DAD6FD9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4D4E09"/>
    <w:multiLevelType w:val="hybridMultilevel"/>
    <w:tmpl w:val="A816D7A2"/>
    <w:lvl w:ilvl="0" w:tplc="7F72D7EA">
      <w:start w:val="3"/>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D2644"/>
    <w:multiLevelType w:val="hybridMultilevel"/>
    <w:tmpl w:val="0C56ACB4"/>
    <w:lvl w:ilvl="0" w:tplc="63E2677A">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3241763">
    <w:abstractNumId w:val="13"/>
  </w:num>
  <w:num w:numId="2" w16cid:durableId="696737536">
    <w:abstractNumId w:val="22"/>
  </w:num>
  <w:num w:numId="3" w16cid:durableId="1364675251">
    <w:abstractNumId w:val="20"/>
  </w:num>
  <w:num w:numId="4" w16cid:durableId="952589306">
    <w:abstractNumId w:val="0"/>
  </w:num>
  <w:num w:numId="5" w16cid:durableId="317540860">
    <w:abstractNumId w:val="2"/>
  </w:num>
  <w:num w:numId="6" w16cid:durableId="945230253">
    <w:abstractNumId w:val="9"/>
  </w:num>
  <w:num w:numId="7" w16cid:durableId="1199705861">
    <w:abstractNumId w:val="4"/>
  </w:num>
  <w:num w:numId="8" w16cid:durableId="1961835362">
    <w:abstractNumId w:val="17"/>
  </w:num>
  <w:num w:numId="9" w16cid:durableId="450711200">
    <w:abstractNumId w:val="15"/>
  </w:num>
  <w:num w:numId="10" w16cid:durableId="1182747620">
    <w:abstractNumId w:val="23"/>
  </w:num>
  <w:num w:numId="11" w16cid:durableId="569076648">
    <w:abstractNumId w:val="18"/>
  </w:num>
  <w:num w:numId="12" w16cid:durableId="418872601">
    <w:abstractNumId w:val="11"/>
  </w:num>
  <w:num w:numId="13" w16cid:durableId="815150387">
    <w:abstractNumId w:val="8"/>
  </w:num>
  <w:num w:numId="14" w16cid:durableId="1051151430">
    <w:abstractNumId w:val="21"/>
  </w:num>
  <w:num w:numId="15" w16cid:durableId="1100612164">
    <w:abstractNumId w:val="7"/>
  </w:num>
  <w:num w:numId="16" w16cid:durableId="484512960">
    <w:abstractNumId w:val="12"/>
  </w:num>
  <w:num w:numId="17" w16cid:durableId="870729784">
    <w:abstractNumId w:val="6"/>
  </w:num>
  <w:num w:numId="18" w16cid:durableId="1087580223">
    <w:abstractNumId w:val="16"/>
  </w:num>
  <w:num w:numId="19" w16cid:durableId="352922094">
    <w:abstractNumId w:val="5"/>
  </w:num>
  <w:num w:numId="20" w16cid:durableId="107240674">
    <w:abstractNumId w:val="1"/>
  </w:num>
  <w:num w:numId="21" w16cid:durableId="1165627667">
    <w:abstractNumId w:val="3"/>
  </w:num>
  <w:num w:numId="22" w16cid:durableId="885916765">
    <w:abstractNumId w:val="14"/>
  </w:num>
  <w:num w:numId="23" w16cid:durableId="1078752792">
    <w:abstractNumId w:val="19"/>
  </w:num>
  <w:num w:numId="24" w16cid:durableId="602613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F0"/>
    <w:rsid w:val="0000018D"/>
    <w:rsid w:val="00000207"/>
    <w:rsid w:val="0000036D"/>
    <w:rsid w:val="000005C7"/>
    <w:rsid w:val="000009A0"/>
    <w:rsid w:val="00000C85"/>
    <w:rsid w:val="00000EDE"/>
    <w:rsid w:val="00001874"/>
    <w:rsid w:val="000020C8"/>
    <w:rsid w:val="00002304"/>
    <w:rsid w:val="00002419"/>
    <w:rsid w:val="00002554"/>
    <w:rsid w:val="00002631"/>
    <w:rsid w:val="000026B2"/>
    <w:rsid w:val="000027E6"/>
    <w:rsid w:val="00002C2D"/>
    <w:rsid w:val="00002C61"/>
    <w:rsid w:val="00002ED5"/>
    <w:rsid w:val="00002FC8"/>
    <w:rsid w:val="000031DD"/>
    <w:rsid w:val="00003496"/>
    <w:rsid w:val="00003A9B"/>
    <w:rsid w:val="00004252"/>
    <w:rsid w:val="000044B3"/>
    <w:rsid w:val="00004555"/>
    <w:rsid w:val="0000487C"/>
    <w:rsid w:val="00004B47"/>
    <w:rsid w:val="000054E0"/>
    <w:rsid w:val="000055F2"/>
    <w:rsid w:val="00005620"/>
    <w:rsid w:val="0000564A"/>
    <w:rsid w:val="00005AE8"/>
    <w:rsid w:val="000064FE"/>
    <w:rsid w:val="000068FD"/>
    <w:rsid w:val="00006987"/>
    <w:rsid w:val="00006B74"/>
    <w:rsid w:val="00006F65"/>
    <w:rsid w:val="00007311"/>
    <w:rsid w:val="00007624"/>
    <w:rsid w:val="000076CE"/>
    <w:rsid w:val="00007864"/>
    <w:rsid w:val="00007B4E"/>
    <w:rsid w:val="00007E41"/>
    <w:rsid w:val="000100A9"/>
    <w:rsid w:val="0001015B"/>
    <w:rsid w:val="000103EC"/>
    <w:rsid w:val="00010414"/>
    <w:rsid w:val="00010433"/>
    <w:rsid w:val="000104BB"/>
    <w:rsid w:val="000106DE"/>
    <w:rsid w:val="0001079F"/>
    <w:rsid w:val="0001085C"/>
    <w:rsid w:val="00010D51"/>
    <w:rsid w:val="00010F1D"/>
    <w:rsid w:val="00010FE2"/>
    <w:rsid w:val="0001156E"/>
    <w:rsid w:val="00011644"/>
    <w:rsid w:val="000116BA"/>
    <w:rsid w:val="00011A6D"/>
    <w:rsid w:val="00011AEE"/>
    <w:rsid w:val="00011B5D"/>
    <w:rsid w:val="00011EDE"/>
    <w:rsid w:val="00011EE7"/>
    <w:rsid w:val="00012013"/>
    <w:rsid w:val="00012117"/>
    <w:rsid w:val="000124AE"/>
    <w:rsid w:val="000126C8"/>
    <w:rsid w:val="00012783"/>
    <w:rsid w:val="00012DFA"/>
    <w:rsid w:val="00013407"/>
    <w:rsid w:val="000134AC"/>
    <w:rsid w:val="000137AA"/>
    <w:rsid w:val="0001384C"/>
    <w:rsid w:val="00013B72"/>
    <w:rsid w:val="00013E8B"/>
    <w:rsid w:val="000141BF"/>
    <w:rsid w:val="00014392"/>
    <w:rsid w:val="00014587"/>
    <w:rsid w:val="00014A8B"/>
    <w:rsid w:val="00014B22"/>
    <w:rsid w:val="00014C3D"/>
    <w:rsid w:val="00014D1F"/>
    <w:rsid w:val="00014D76"/>
    <w:rsid w:val="0001502F"/>
    <w:rsid w:val="00015472"/>
    <w:rsid w:val="00015484"/>
    <w:rsid w:val="0001562C"/>
    <w:rsid w:val="000158CC"/>
    <w:rsid w:val="00015A0D"/>
    <w:rsid w:val="00015A73"/>
    <w:rsid w:val="00015DF8"/>
    <w:rsid w:val="00015E94"/>
    <w:rsid w:val="00015EFB"/>
    <w:rsid w:val="0001629F"/>
    <w:rsid w:val="00016C26"/>
    <w:rsid w:val="00017053"/>
    <w:rsid w:val="000173EA"/>
    <w:rsid w:val="00017419"/>
    <w:rsid w:val="0001747C"/>
    <w:rsid w:val="000179E9"/>
    <w:rsid w:val="0002001B"/>
    <w:rsid w:val="0002006B"/>
    <w:rsid w:val="0002022F"/>
    <w:rsid w:val="00020283"/>
    <w:rsid w:val="000205EA"/>
    <w:rsid w:val="00020637"/>
    <w:rsid w:val="000206EF"/>
    <w:rsid w:val="0002086D"/>
    <w:rsid w:val="00020C83"/>
    <w:rsid w:val="00020D1E"/>
    <w:rsid w:val="00020D68"/>
    <w:rsid w:val="00021374"/>
    <w:rsid w:val="00021946"/>
    <w:rsid w:val="00021A4A"/>
    <w:rsid w:val="00022192"/>
    <w:rsid w:val="00022483"/>
    <w:rsid w:val="00022552"/>
    <w:rsid w:val="000228B9"/>
    <w:rsid w:val="0002297F"/>
    <w:rsid w:val="00022B50"/>
    <w:rsid w:val="00022CBD"/>
    <w:rsid w:val="00022DD1"/>
    <w:rsid w:val="00023109"/>
    <w:rsid w:val="000231C0"/>
    <w:rsid w:val="00023D48"/>
    <w:rsid w:val="00023F8E"/>
    <w:rsid w:val="0002402F"/>
    <w:rsid w:val="00024501"/>
    <w:rsid w:val="000246C3"/>
    <w:rsid w:val="0002476D"/>
    <w:rsid w:val="000248B4"/>
    <w:rsid w:val="00024C2A"/>
    <w:rsid w:val="00024D3D"/>
    <w:rsid w:val="00025055"/>
    <w:rsid w:val="00025083"/>
    <w:rsid w:val="000251F0"/>
    <w:rsid w:val="0002551B"/>
    <w:rsid w:val="000255FD"/>
    <w:rsid w:val="0002588F"/>
    <w:rsid w:val="00025ABA"/>
    <w:rsid w:val="00025F64"/>
    <w:rsid w:val="00025F76"/>
    <w:rsid w:val="0002621B"/>
    <w:rsid w:val="00026595"/>
    <w:rsid w:val="00026968"/>
    <w:rsid w:val="000269FD"/>
    <w:rsid w:val="00026CB7"/>
    <w:rsid w:val="00026EE4"/>
    <w:rsid w:val="00026EEF"/>
    <w:rsid w:val="000278D1"/>
    <w:rsid w:val="00027908"/>
    <w:rsid w:val="00027909"/>
    <w:rsid w:val="00027A11"/>
    <w:rsid w:val="00027AB8"/>
    <w:rsid w:val="00027F3F"/>
    <w:rsid w:val="00030462"/>
    <w:rsid w:val="000308D1"/>
    <w:rsid w:val="000308D3"/>
    <w:rsid w:val="0003091A"/>
    <w:rsid w:val="0003102A"/>
    <w:rsid w:val="0003134F"/>
    <w:rsid w:val="00031E3A"/>
    <w:rsid w:val="00031F22"/>
    <w:rsid w:val="000320A4"/>
    <w:rsid w:val="00032590"/>
    <w:rsid w:val="000328E5"/>
    <w:rsid w:val="0003297E"/>
    <w:rsid w:val="00032AE9"/>
    <w:rsid w:val="00032D41"/>
    <w:rsid w:val="00032E75"/>
    <w:rsid w:val="00032EE6"/>
    <w:rsid w:val="00032F95"/>
    <w:rsid w:val="000330F3"/>
    <w:rsid w:val="0003424A"/>
    <w:rsid w:val="000343E2"/>
    <w:rsid w:val="000345C7"/>
    <w:rsid w:val="00034A93"/>
    <w:rsid w:val="00034B39"/>
    <w:rsid w:val="00035269"/>
    <w:rsid w:val="00035AAB"/>
    <w:rsid w:val="00035C4C"/>
    <w:rsid w:val="00035FD2"/>
    <w:rsid w:val="000360F4"/>
    <w:rsid w:val="00036279"/>
    <w:rsid w:val="0003631B"/>
    <w:rsid w:val="0003674A"/>
    <w:rsid w:val="00036887"/>
    <w:rsid w:val="00036B86"/>
    <w:rsid w:val="00036EF6"/>
    <w:rsid w:val="000374D6"/>
    <w:rsid w:val="00037EDB"/>
    <w:rsid w:val="00037FFB"/>
    <w:rsid w:val="00040080"/>
    <w:rsid w:val="000402E1"/>
    <w:rsid w:val="000402F9"/>
    <w:rsid w:val="00040363"/>
    <w:rsid w:val="000403B0"/>
    <w:rsid w:val="00040593"/>
    <w:rsid w:val="000405AE"/>
    <w:rsid w:val="00040833"/>
    <w:rsid w:val="00040F59"/>
    <w:rsid w:val="00041C66"/>
    <w:rsid w:val="00042044"/>
    <w:rsid w:val="00042184"/>
    <w:rsid w:val="000421A2"/>
    <w:rsid w:val="000430FB"/>
    <w:rsid w:val="00043359"/>
    <w:rsid w:val="000435D3"/>
    <w:rsid w:val="00043605"/>
    <w:rsid w:val="00043926"/>
    <w:rsid w:val="00043E35"/>
    <w:rsid w:val="00043E3F"/>
    <w:rsid w:val="00043F01"/>
    <w:rsid w:val="00044237"/>
    <w:rsid w:val="00044259"/>
    <w:rsid w:val="0004448D"/>
    <w:rsid w:val="00044686"/>
    <w:rsid w:val="000450F7"/>
    <w:rsid w:val="00045145"/>
    <w:rsid w:val="000452B9"/>
    <w:rsid w:val="0004530B"/>
    <w:rsid w:val="00045377"/>
    <w:rsid w:val="0004593F"/>
    <w:rsid w:val="000459F0"/>
    <w:rsid w:val="00045C00"/>
    <w:rsid w:val="00045EBC"/>
    <w:rsid w:val="0004620E"/>
    <w:rsid w:val="000463BA"/>
    <w:rsid w:val="00046478"/>
    <w:rsid w:val="0004660B"/>
    <w:rsid w:val="0004665F"/>
    <w:rsid w:val="00046978"/>
    <w:rsid w:val="00046ABA"/>
    <w:rsid w:val="00046BDA"/>
    <w:rsid w:val="00046C00"/>
    <w:rsid w:val="00046CE2"/>
    <w:rsid w:val="0004731B"/>
    <w:rsid w:val="000473A8"/>
    <w:rsid w:val="00047495"/>
    <w:rsid w:val="00047560"/>
    <w:rsid w:val="00047A3D"/>
    <w:rsid w:val="00047A7D"/>
    <w:rsid w:val="00047B02"/>
    <w:rsid w:val="00047B78"/>
    <w:rsid w:val="00047BBE"/>
    <w:rsid w:val="00047C55"/>
    <w:rsid w:val="00047D12"/>
    <w:rsid w:val="00050617"/>
    <w:rsid w:val="0005088C"/>
    <w:rsid w:val="00050BA6"/>
    <w:rsid w:val="00050DE5"/>
    <w:rsid w:val="00051075"/>
    <w:rsid w:val="0005117D"/>
    <w:rsid w:val="0005174D"/>
    <w:rsid w:val="00051801"/>
    <w:rsid w:val="000518EE"/>
    <w:rsid w:val="00051B30"/>
    <w:rsid w:val="00051DD6"/>
    <w:rsid w:val="000520AD"/>
    <w:rsid w:val="000521F8"/>
    <w:rsid w:val="000522AF"/>
    <w:rsid w:val="0005231C"/>
    <w:rsid w:val="0005236B"/>
    <w:rsid w:val="0005238E"/>
    <w:rsid w:val="00052498"/>
    <w:rsid w:val="00052C8A"/>
    <w:rsid w:val="00052EEE"/>
    <w:rsid w:val="000530DC"/>
    <w:rsid w:val="000534A1"/>
    <w:rsid w:val="00053505"/>
    <w:rsid w:val="000535CC"/>
    <w:rsid w:val="0005361B"/>
    <w:rsid w:val="0005394C"/>
    <w:rsid w:val="00053A7A"/>
    <w:rsid w:val="00053D19"/>
    <w:rsid w:val="00053DBE"/>
    <w:rsid w:val="000548CD"/>
    <w:rsid w:val="00054C80"/>
    <w:rsid w:val="00054D80"/>
    <w:rsid w:val="000551C1"/>
    <w:rsid w:val="000552D8"/>
    <w:rsid w:val="00055322"/>
    <w:rsid w:val="000554E2"/>
    <w:rsid w:val="00055AD2"/>
    <w:rsid w:val="00055AE5"/>
    <w:rsid w:val="0005619A"/>
    <w:rsid w:val="000563EA"/>
    <w:rsid w:val="00056589"/>
    <w:rsid w:val="000565BF"/>
    <w:rsid w:val="000566ED"/>
    <w:rsid w:val="00056906"/>
    <w:rsid w:val="00056958"/>
    <w:rsid w:val="00056AC5"/>
    <w:rsid w:val="00056DD9"/>
    <w:rsid w:val="000571DA"/>
    <w:rsid w:val="00057894"/>
    <w:rsid w:val="00057A93"/>
    <w:rsid w:val="00057D14"/>
    <w:rsid w:val="00057F92"/>
    <w:rsid w:val="0006041A"/>
    <w:rsid w:val="00060457"/>
    <w:rsid w:val="000605ED"/>
    <w:rsid w:val="00060857"/>
    <w:rsid w:val="000608DA"/>
    <w:rsid w:val="00060B6C"/>
    <w:rsid w:val="00060E9C"/>
    <w:rsid w:val="00060F88"/>
    <w:rsid w:val="000616B3"/>
    <w:rsid w:val="00061AC6"/>
    <w:rsid w:val="00061B34"/>
    <w:rsid w:val="00061B6C"/>
    <w:rsid w:val="000623E6"/>
    <w:rsid w:val="000628CF"/>
    <w:rsid w:val="000630AF"/>
    <w:rsid w:val="0006349B"/>
    <w:rsid w:val="00063C3A"/>
    <w:rsid w:val="00063EED"/>
    <w:rsid w:val="0006426D"/>
    <w:rsid w:val="000643A5"/>
    <w:rsid w:val="00064727"/>
    <w:rsid w:val="00064BDC"/>
    <w:rsid w:val="000652A6"/>
    <w:rsid w:val="00065645"/>
    <w:rsid w:val="00065915"/>
    <w:rsid w:val="00065C37"/>
    <w:rsid w:val="00065C58"/>
    <w:rsid w:val="00065DC7"/>
    <w:rsid w:val="00065E04"/>
    <w:rsid w:val="0006628C"/>
    <w:rsid w:val="00066337"/>
    <w:rsid w:val="000663A2"/>
    <w:rsid w:val="000663F9"/>
    <w:rsid w:val="00066534"/>
    <w:rsid w:val="00066C97"/>
    <w:rsid w:val="000671CB"/>
    <w:rsid w:val="00067438"/>
    <w:rsid w:val="000676DF"/>
    <w:rsid w:val="0006772F"/>
    <w:rsid w:val="00067884"/>
    <w:rsid w:val="00067E04"/>
    <w:rsid w:val="000703B7"/>
    <w:rsid w:val="0007042D"/>
    <w:rsid w:val="00070653"/>
    <w:rsid w:val="00070CB3"/>
    <w:rsid w:val="00070DD8"/>
    <w:rsid w:val="000711CA"/>
    <w:rsid w:val="000712F0"/>
    <w:rsid w:val="0007147F"/>
    <w:rsid w:val="0007170B"/>
    <w:rsid w:val="00071C6D"/>
    <w:rsid w:val="00071D2A"/>
    <w:rsid w:val="00071F8D"/>
    <w:rsid w:val="00071FF1"/>
    <w:rsid w:val="00072070"/>
    <w:rsid w:val="00072761"/>
    <w:rsid w:val="0007277B"/>
    <w:rsid w:val="00072882"/>
    <w:rsid w:val="00072E42"/>
    <w:rsid w:val="00072E77"/>
    <w:rsid w:val="00073173"/>
    <w:rsid w:val="000731A0"/>
    <w:rsid w:val="000731B4"/>
    <w:rsid w:val="000735DF"/>
    <w:rsid w:val="00073630"/>
    <w:rsid w:val="00073951"/>
    <w:rsid w:val="00073F49"/>
    <w:rsid w:val="0007402E"/>
    <w:rsid w:val="000746B4"/>
    <w:rsid w:val="000747EB"/>
    <w:rsid w:val="00074884"/>
    <w:rsid w:val="00074E70"/>
    <w:rsid w:val="00074ECC"/>
    <w:rsid w:val="00074F48"/>
    <w:rsid w:val="00075009"/>
    <w:rsid w:val="00075086"/>
    <w:rsid w:val="0007519B"/>
    <w:rsid w:val="00075374"/>
    <w:rsid w:val="0007542F"/>
    <w:rsid w:val="00075C3E"/>
    <w:rsid w:val="000761FF"/>
    <w:rsid w:val="00076931"/>
    <w:rsid w:val="00076AE0"/>
    <w:rsid w:val="00076D57"/>
    <w:rsid w:val="00077265"/>
    <w:rsid w:val="000776E2"/>
    <w:rsid w:val="0007783C"/>
    <w:rsid w:val="000778BD"/>
    <w:rsid w:val="00077A2D"/>
    <w:rsid w:val="00077B03"/>
    <w:rsid w:val="00077BF7"/>
    <w:rsid w:val="0008003F"/>
    <w:rsid w:val="000800EA"/>
    <w:rsid w:val="000802C2"/>
    <w:rsid w:val="0008037D"/>
    <w:rsid w:val="0008069E"/>
    <w:rsid w:val="0008098C"/>
    <w:rsid w:val="00080D2F"/>
    <w:rsid w:val="00080D37"/>
    <w:rsid w:val="000814BD"/>
    <w:rsid w:val="000815B4"/>
    <w:rsid w:val="0008164F"/>
    <w:rsid w:val="00081738"/>
    <w:rsid w:val="0008192D"/>
    <w:rsid w:val="00081BCD"/>
    <w:rsid w:val="00081E89"/>
    <w:rsid w:val="00081EB0"/>
    <w:rsid w:val="00082169"/>
    <w:rsid w:val="00082262"/>
    <w:rsid w:val="000825C4"/>
    <w:rsid w:val="000825D7"/>
    <w:rsid w:val="0008273E"/>
    <w:rsid w:val="000827AC"/>
    <w:rsid w:val="00082817"/>
    <w:rsid w:val="00083370"/>
    <w:rsid w:val="00083512"/>
    <w:rsid w:val="000837B2"/>
    <w:rsid w:val="00083815"/>
    <w:rsid w:val="0008387F"/>
    <w:rsid w:val="00083F35"/>
    <w:rsid w:val="00083FFE"/>
    <w:rsid w:val="00084022"/>
    <w:rsid w:val="000840BD"/>
    <w:rsid w:val="000841B7"/>
    <w:rsid w:val="0008421C"/>
    <w:rsid w:val="00084491"/>
    <w:rsid w:val="00084A74"/>
    <w:rsid w:val="00084D67"/>
    <w:rsid w:val="00084E40"/>
    <w:rsid w:val="00084FB3"/>
    <w:rsid w:val="00085394"/>
    <w:rsid w:val="00085425"/>
    <w:rsid w:val="00085529"/>
    <w:rsid w:val="0008585C"/>
    <w:rsid w:val="00085A8F"/>
    <w:rsid w:val="00085AFC"/>
    <w:rsid w:val="00085BD1"/>
    <w:rsid w:val="00085D43"/>
    <w:rsid w:val="00085E19"/>
    <w:rsid w:val="0008609F"/>
    <w:rsid w:val="000867FF"/>
    <w:rsid w:val="0008687E"/>
    <w:rsid w:val="00086D52"/>
    <w:rsid w:val="00086E01"/>
    <w:rsid w:val="000870D5"/>
    <w:rsid w:val="00087738"/>
    <w:rsid w:val="00087A71"/>
    <w:rsid w:val="00087B12"/>
    <w:rsid w:val="00087BDB"/>
    <w:rsid w:val="00087CD7"/>
    <w:rsid w:val="00087FF7"/>
    <w:rsid w:val="0009007B"/>
    <w:rsid w:val="00090099"/>
    <w:rsid w:val="000900CB"/>
    <w:rsid w:val="000902AF"/>
    <w:rsid w:val="00090538"/>
    <w:rsid w:val="00090CEF"/>
    <w:rsid w:val="00090E9B"/>
    <w:rsid w:val="00091134"/>
    <w:rsid w:val="000911F6"/>
    <w:rsid w:val="00091293"/>
    <w:rsid w:val="000912A3"/>
    <w:rsid w:val="0009157B"/>
    <w:rsid w:val="0009163E"/>
    <w:rsid w:val="00091886"/>
    <w:rsid w:val="000918B3"/>
    <w:rsid w:val="000919C9"/>
    <w:rsid w:val="00091CE8"/>
    <w:rsid w:val="00091F6B"/>
    <w:rsid w:val="000925D8"/>
    <w:rsid w:val="00092760"/>
    <w:rsid w:val="000929B9"/>
    <w:rsid w:val="00093340"/>
    <w:rsid w:val="00093470"/>
    <w:rsid w:val="000937D3"/>
    <w:rsid w:val="000938BC"/>
    <w:rsid w:val="0009390A"/>
    <w:rsid w:val="000939C2"/>
    <w:rsid w:val="00093BE4"/>
    <w:rsid w:val="00093C86"/>
    <w:rsid w:val="00093DF0"/>
    <w:rsid w:val="00093EAF"/>
    <w:rsid w:val="0009432B"/>
    <w:rsid w:val="00094C0C"/>
    <w:rsid w:val="00094CB9"/>
    <w:rsid w:val="00094E10"/>
    <w:rsid w:val="00094E45"/>
    <w:rsid w:val="00095290"/>
    <w:rsid w:val="000952A5"/>
    <w:rsid w:val="0009548E"/>
    <w:rsid w:val="000955E1"/>
    <w:rsid w:val="0009569D"/>
    <w:rsid w:val="00095712"/>
    <w:rsid w:val="00095822"/>
    <w:rsid w:val="000959CC"/>
    <w:rsid w:val="00095AFF"/>
    <w:rsid w:val="00095E31"/>
    <w:rsid w:val="00096284"/>
    <w:rsid w:val="00096640"/>
    <w:rsid w:val="0009693B"/>
    <w:rsid w:val="00096BFC"/>
    <w:rsid w:val="00096EC0"/>
    <w:rsid w:val="0009700D"/>
    <w:rsid w:val="000971A9"/>
    <w:rsid w:val="000971C3"/>
    <w:rsid w:val="000978A1"/>
    <w:rsid w:val="00097C81"/>
    <w:rsid w:val="00097D58"/>
    <w:rsid w:val="00097DB6"/>
    <w:rsid w:val="00097FA9"/>
    <w:rsid w:val="000A021B"/>
    <w:rsid w:val="000A02A2"/>
    <w:rsid w:val="000A03AE"/>
    <w:rsid w:val="000A0759"/>
    <w:rsid w:val="000A07E8"/>
    <w:rsid w:val="000A0CAF"/>
    <w:rsid w:val="000A0E18"/>
    <w:rsid w:val="000A1376"/>
    <w:rsid w:val="000A1785"/>
    <w:rsid w:val="000A19B8"/>
    <w:rsid w:val="000A1A6E"/>
    <w:rsid w:val="000A1CED"/>
    <w:rsid w:val="000A1EE6"/>
    <w:rsid w:val="000A2B34"/>
    <w:rsid w:val="000A2C2D"/>
    <w:rsid w:val="000A2E5D"/>
    <w:rsid w:val="000A2EC4"/>
    <w:rsid w:val="000A30EA"/>
    <w:rsid w:val="000A31C5"/>
    <w:rsid w:val="000A3288"/>
    <w:rsid w:val="000A37EE"/>
    <w:rsid w:val="000A3C5A"/>
    <w:rsid w:val="000A3E55"/>
    <w:rsid w:val="000A42DF"/>
    <w:rsid w:val="000A432F"/>
    <w:rsid w:val="000A4372"/>
    <w:rsid w:val="000A4673"/>
    <w:rsid w:val="000A47D0"/>
    <w:rsid w:val="000A49B9"/>
    <w:rsid w:val="000A49D8"/>
    <w:rsid w:val="000A4BD9"/>
    <w:rsid w:val="000A4F41"/>
    <w:rsid w:val="000A52A8"/>
    <w:rsid w:val="000A53DC"/>
    <w:rsid w:val="000A5740"/>
    <w:rsid w:val="000A5A97"/>
    <w:rsid w:val="000A61F4"/>
    <w:rsid w:val="000A6609"/>
    <w:rsid w:val="000A6716"/>
    <w:rsid w:val="000A67BF"/>
    <w:rsid w:val="000A6C5A"/>
    <w:rsid w:val="000A6CFA"/>
    <w:rsid w:val="000A7266"/>
    <w:rsid w:val="000A72E4"/>
    <w:rsid w:val="000A7881"/>
    <w:rsid w:val="000A7A1F"/>
    <w:rsid w:val="000A7E29"/>
    <w:rsid w:val="000B026E"/>
    <w:rsid w:val="000B05B4"/>
    <w:rsid w:val="000B09C9"/>
    <w:rsid w:val="000B0A49"/>
    <w:rsid w:val="000B0A87"/>
    <w:rsid w:val="000B1115"/>
    <w:rsid w:val="000B1E2A"/>
    <w:rsid w:val="000B2179"/>
    <w:rsid w:val="000B234F"/>
    <w:rsid w:val="000B25B6"/>
    <w:rsid w:val="000B281F"/>
    <w:rsid w:val="000B297C"/>
    <w:rsid w:val="000B2AEB"/>
    <w:rsid w:val="000B2D7D"/>
    <w:rsid w:val="000B2EB7"/>
    <w:rsid w:val="000B2EDC"/>
    <w:rsid w:val="000B2F48"/>
    <w:rsid w:val="000B3021"/>
    <w:rsid w:val="000B32E1"/>
    <w:rsid w:val="000B3A41"/>
    <w:rsid w:val="000B3B46"/>
    <w:rsid w:val="000B3EA3"/>
    <w:rsid w:val="000B4148"/>
    <w:rsid w:val="000B4506"/>
    <w:rsid w:val="000B45C3"/>
    <w:rsid w:val="000B4C53"/>
    <w:rsid w:val="000B5047"/>
    <w:rsid w:val="000B51F4"/>
    <w:rsid w:val="000B52CF"/>
    <w:rsid w:val="000B61EF"/>
    <w:rsid w:val="000B6366"/>
    <w:rsid w:val="000B676C"/>
    <w:rsid w:val="000B6C95"/>
    <w:rsid w:val="000B6E7B"/>
    <w:rsid w:val="000B727F"/>
    <w:rsid w:val="000B74D5"/>
    <w:rsid w:val="000B78AA"/>
    <w:rsid w:val="000B7A78"/>
    <w:rsid w:val="000B7B8F"/>
    <w:rsid w:val="000B7C52"/>
    <w:rsid w:val="000C015E"/>
    <w:rsid w:val="000C0173"/>
    <w:rsid w:val="000C05F9"/>
    <w:rsid w:val="000C0633"/>
    <w:rsid w:val="000C064A"/>
    <w:rsid w:val="000C07F4"/>
    <w:rsid w:val="000C095A"/>
    <w:rsid w:val="000C0A51"/>
    <w:rsid w:val="000C0B56"/>
    <w:rsid w:val="000C0DA2"/>
    <w:rsid w:val="000C1458"/>
    <w:rsid w:val="000C1504"/>
    <w:rsid w:val="000C1556"/>
    <w:rsid w:val="000C1603"/>
    <w:rsid w:val="000C16E4"/>
    <w:rsid w:val="000C1AC8"/>
    <w:rsid w:val="000C1BB8"/>
    <w:rsid w:val="000C1C46"/>
    <w:rsid w:val="000C1C81"/>
    <w:rsid w:val="000C1E36"/>
    <w:rsid w:val="000C20B0"/>
    <w:rsid w:val="000C20F4"/>
    <w:rsid w:val="000C247C"/>
    <w:rsid w:val="000C264C"/>
    <w:rsid w:val="000C2B89"/>
    <w:rsid w:val="000C2D62"/>
    <w:rsid w:val="000C2DF1"/>
    <w:rsid w:val="000C2F51"/>
    <w:rsid w:val="000C3003"/>
    <w:rsid w:val="000C3515"/>
    <w:rsid w:val="000C3567"/>
    <w:rsid w:val="000C3A85"/>
    <w:rsid w:val="000C3ADF"/>
    <w:rsid w:val="000C3CEB"/>
    <w:rsid w:val="000C475E"/>
    <w:rsid w:val="000C47C9"/>
    <w:rsid w:val="000C4B39"/>
    <w:rsid w:val="000C4C17"/>
    <w:rsid w:val="000C4CC8"/>
    <w:rsid w:val="000C4EA7"/>
    <w:rsid w:val="000C4FA5"/>
    <w:rsid w:val="000C509A"/>
    <w:rsid w:val="000C5376"/>
    <w:rsid w:val="000C55C4"/>
    <w:rsid w:val="000C5868"/>
    <w:rsid w:val="000C6059"/>
    <w:rsid w:val="000C64EF"/>
    <w:rsid w:val="000C6789"/>
    <w:rsid w:val="000C6CD4"/>
    <w:rsid w:val="000C7077"/>
    <w:rsid w:val="000C730F"/>
    <w:rsid w:val="000C7B59"/>
    <w:rsid w:val="000C7C45"/>
    <w:rsid w:val="000D018D"/>
    <w:rsid w:val="000D01C2"/>
    <w:rsid w:val="000D0413"/>
    <w:rsid w:val="000D04A4"/>
    <w:rsid w:val="000D05F3"/>
    <w:rsid w:val="000D074F"/>
    <w:rsid w:val="000D089F"/>
    <w:rsid w:val="000D0B56"/>
    <w:rsid w:val="000D0D7D"/>
    <w:rsid w:val="000D1268"/>
    <w:rsid w:val="000D147A"/>
    <w:rsid w:val="000D1875"/>
    <w:rsid w:val="000D18A0"/>
    <w:rsid w:val="000D1CE0"/>
    <w:rsid w:val="000D1DDD"/>
    <w:rsid w:val="000D1E36"/>
    <w:rsid w:val="000D23F6"/>
    <w:rsid w:val="000D249C"/>
    <w:rsid w:val="000D2760"/>
    <w:rsid w:val="000D278B"/>
    <w:rsid w:val="000D3132"/>
    <w:rsid w:val="000D32A4"/>
    <w:rsid w:val="000D330A"/>
    <w:rsid w:val="000D33A3"/>
    <w:rsid w:val="000D3FD7"/>
    <w:rsid w:val="000D3FE0"/>
    <w:rsid w:val="000D40E2"/>
    <w:rsid w:val="000D4428"/>
    <w:rsid w:val="000D46D7"/>
    <w:rsid w:val="000D4786"/>
    <w:rsid w:val="000D4829"/>
    <w:rsid w:val="000D4A1F"/>
    <w:rsid w:val="000D4B69"/>
    <w:rsid w:val="000D4EAE"/>
    <w:rsid w:val="000D4FCC"/>
    <w:rsid w:val="000D56EC"/>
    <w:rsid w:val="000D5853"/>
    <w:rsid w:val="000D59FB"/>
    <w:rsid w:val="000D6165"/>
    <w:rsid w:val="000D63C7"/>
    <w:rsid w:val="000D6490"/>
    <w:rsid w:val="000D66A9"/>
    <w:rsid w:val="000D67B7"/>
    <w:rsid w:val="000D6AA9"/>
    <w:rsid w:val="000D6B30"/>
    <w:rsid w:val="000D6C31"/>
    <w:rsid w:val="000D6CD5"/>
    <w:rsid w:val="000D6D4C"/>
    <w:rsid w:val="000D6E67"/>
    <w:rsid w:val="000D6E86"/>
    <w:rsid w:val="000D6FFF"/>
    <w:rsid w:val="000D70DF"/>
    <w:rsid w:val="000D710E"/>
    <w:rsid w:val="000D73C1"/>
    <w:rsid w:val="000D7438"/>
    <w:rsid w:val="000D77DA"/>
    <w:rsid w:val="000D7918"/>
    <w:rsid w:val="000D7A4C"/>
    <w:rsid w:val="000D7CF7"/>
    <w:rsid w:val="000D7D13"/>
    <w:rsid w:val="000E0511"/>
    <w:rsid w:val="000E0867"/>
    <w:rsid w:val="000E1044"/>
    <w:rsid w:val="000E106D"/>
    <w:rsid w:val="000E13EB"/>
    <w:rsid w:val="000E1487"/>
    <w:rsid w:val="000E19D8"/>
    <w:rsid w:val="000E1A33"/>
    <w:rsid w:val="000E1B7C"/>
    <w:rsid w:val="000E1EC3"/>
    <w:rsid w:val="000E1F7F"/>
    <w:rsid w:val="000E205C"/>
    <w:rsid w:val="000E20CA"/>
    <w:rsid w:val="000E2145"/>
    <w:rsid w:val="000E2791"/>
    <w:rsid w:val="000E2919"/>
    <w:rsid w:val="000E2A4B"/>
    <w:rsid w:val="000E2E10"/>
    <w:rsid w:val="000E2FAB"/>
    <w:rsid w:val="000E3411"/>
    <w:rsid w:val="000E39B1"/>
    <w:rsid w:val="000E3C40"/>
    <w:rsid w:val="000E3CFC"/>
    <w:rsid w:val="000E3DD6"/>
    <w:rsid w:val="000E3E54"/>
    <w:rsid w:val="000E3F79"/>
    <w:rsid w:val="000E4050"/>
    <w:rsid w:val="000E406E"/>
    <w:rsid w:val="000E41B8"/>
    <w:rsid w:val="000E41E5"/>
    <w:rsid w:val="000E42AD"/>
    <w:rsid w:val="000E4497"/>
    <w:rsid w:val="000E4893"/>
    <w:rsid w:val="000E4A74"/>
    <w:rsid w:val="000E4B1F"/>
    <w:rsid w:val="000E4BEC"/>
    <w:rsid w:val="000E4C60"/>
    <w:rsid w:val="000E5152"/>
    <w:rsid w:val="000E57CA"/>
    <w:rsid w:val="000E5DC8"/>
    <w:rsid w:val="000E5E2E"/>
    <w:rsid w:val="000E5FA3"/>
    <w:rsid w:val="000E5FE3"/>
    <w:rsid w:val="000E6164"/>
    <w:rsid w:val="000E6411"/>
    <w:rsid w:val="000E6F1C"/>
    <w:rsid w:val="000E7200"/>
    <w:rsid w:val="000E7453"/>
    <w:rsid w:val="000E7CCC"/>
    <w:rsid w:val="000E7EF3"/>
    <w:rsid w:val="000F00F3"/>
    <w:rsid w:val="000F0197"/>
    <w:rsid w:val="000F030C"/>
    <w:rsid w:val="000F0716"/>
    <w:rsid w:val="000F0A26"/>
    <w:rsid w:val="000F0F59"/>
    <w:rsid w:val="000F1259"/>
    <w:rsid w:val="000F1342"/>
    <w:rsid w:val="000F1980"/>
    <w:rsid w:val="000F1A9A"/>
    <w:rsid w:val="000F1B86"/>
    <w:rsid w:val="000F1BFE"/>
    <w:rsid w:val="000F1C17"/>
    <w:rsid w:val="000F2303"/>
    <w:rsid w:val="000F277A"/>
    <w:rsid w:val="000F2D2B"/>
    <w:rsid w:val="000F30DC"/>
    <w:rsid w:val="000F312A"/>
    <w:rsid w:val="000F3441"/>
    <w:rsid w:val="000F3A84"/>
    <w:rsid w:val="000F3AC1"/>
    <w:rsid w:val="000F3D5E"/>
    <w:rsid w:val="000F4182"/>
    <w:rsid w:val="000F41C9"/>
    <w:rsid w:val="000F431C"/>
    <w:rsid w:val="000F4BFA"/>
    <w:rsid w:val="000F4E26"/>
    <w:rsid w:val="000F5147"/>
    <w:rsid w:val="000F525B"/>
    <w:rsid w:val="000F5383"/>
    <w:rsid w:val="000F543C"/>
    <w:rsid w:val="000F582C"/>
    <w:rsid w:val="000F5926"/>
    <w:rsid w:val="000F5964"/>
    <w:rsid w:val="000F5D06"/>
    <w:rsid w:val="000F5EC8"/>
    <w:rsid w:val="000F6732"/>
    <w:rsid w:val="000F697C"/>
    <w:rsid w:val="000F7313"/>
    <w:rsid w:val="000F73FA"/>
    <w:rsid w:val="000F7581"/>
    <w:rsid w:val="000F777C"/>
    <w:rsid w:val="000F781A"/>
    <w:rsid w:val="000F7A9D"/>
    <w:rsid w:val="000F7B16"/>
    <w:rsid w:val="000F7CB7"/>
    <w:rsid w:val="000F7F1C"/>
    <w:rsid w:val="000F7F7D"/>
    <w:rsid w:val="0010030A"/>
    <w:rsid w:val="0010046C"/>
    <w:rsid w:val="001004EB"/>
    <w:rsid w:val="0010051F"/>
    <w:rsid w:val="001005A1"/>
    <w:rsid w:val="001005CE"/>
    <w:rsid w:val="00100E18"/>
    <w:rsid w:val="00101170"/>
    <w:rsid w:val="00101189"/>
    <w:rsid w:val="001011C9"/>
    <w:rsid w:val="00101222"/>
    <w:rsid w:val="00101238"/>
    <w:rsid w:val="00101461"/>
    <w:rsid w:val="0010180F"/>
    <w:rsid w:val="00101864"/>
    <w:rsid w:val="00101939"/>
    <w:rsid w:val="00101D18"/>
    <w:rsid w:val="001020D8"/>
    <w:rsid w:val="00102126"/>
    <w:rsid w:val="001021D9"/>
    <w:rsid w:val="00102313"/>
    <w:rsid w:val="00102AFA"/>
    <w:rsid w:val="00102B4C"/>
    <w:rsid w:val="00102DFA"/>
    <w:rsid w:val="00102E42"/>
    <w:rsid w:val="001030AD"/>
    <w:rsid w:val="00103145"/>
    <w:rsid w:val="00103253"/>
    <w:rsid w:val="00103764"/>
    <w:rsid w:val="001037F4"/>
    <w:rsid w:val="001039F8"/>
    <w:rsid w:val="00103C47"/>
    <w:rsid w:val="00104033"/>
    <w:rsid w:val="00104400"/>
    <w:rsid w:val="00104727"/>
    <w:rsid w:val="00104B19"/>
    <w:rsid w:val="00104E9F"/>
    <w:rsid w:val="00104FD5"/>
    <w:rsid w:val="001054DE"/>
    <w:rsid w:val="00105661"/>
    <w:rsid w:val="0010567B"/>
    <w:rsid w:val="001057B7"/>
    <w:rsid w:val="00105CDA"/>
    <w:rsid w:val="00105F0D"/>
    <w:rsid w:val="001060CD"/>
    <w:rsid w:val="00106229"/>
    <w:rsid w:val="0010636C"/>
    <w:rsid w:val="0010639D"/>
    <w:rsid w:val="001063C8"/>
    <w:rsid w:val="00106560"/>
    <w:rsid w:val="00106AFB"/>
    <w:rsid w:val="00106B2B"/>
    <w:rsid w:val="00106C74"/>
    <w:rsid w:val="00106DE6"/>
    <w:rsid w:val="00106E42"/>
    <w:rsid w:val="00106F58"/>
    <w:rsid w:val="001072E9"/>
    <w:rsid w:val="001075C8"/>
    <w:rsid w:val="00107853"/>
    <w:rsid w:val="001079ED"/>
    <w:rsid w:val="00107A6E"/>
    <w:rsid w:val="00107CC5"/>
    <w:rsid w:val="00107F81"/>
    <w:rsid w:val="00110030"/>
    <w:rsid w:val="0011009B"/>
    <w:rsid w:val="00110214"/>
    <w:rsid w:val="00110F82"/>
    <w:rsid w:val="00110FC6"/>
    <w:rsid w:val="0011163D"/>
    <w:rsid w:val="00111D96"/>
    <w:rsid w:val="00111FD7"/>
    <w:rsid w:val="001121CE"/>
    <w:rsid w:val="001121FA"/>
    <w:rsid w:val="00112395"/>
    <w:rsid w:val="00112513"/>
    <w:rsid w:val="00112BBC"/>
    <w:rsid w:val="00112C32"/>
    <w:rsid w:val="00112FDD"/>
    <w:rsid w:val="00113153"/>
    <w:rsid w:val="0011316A"/>
    <w:rsid w:val="00113BD2"/>
    <w:rsid w:val="00113D1E"/>
    <w:rsid w:val="00113E58"/>
    <w:rsid w:val="00113E7C"/>
    <w:rsid w:val="00114404"/>
    <w:rsid w:val="001146DE"/>
    <w:rsid w:val="0011491B"/>
    <w:rsid w:val="00114957"/>
    <w:rsid w:val="00115155"/>
    <w:rsid w:val="0011519E"/>
    <w:rsid w:val="001152D2"/>
    <w:rsid w:val="001152DE"/>
    <w:rsid w:val="00115320"/>
    <w:rsid w:val="00115498"/>
    <w:rsid w:val="00115656"/>
    <w:rsid w:val="00115729"/>
    <w:rsid w:val="00115768"/>
    <w:rsid w:val="001157A2"/>
    <w:rsid w:val="00115A14"/>
    <w:rsid w:val="00115DC7"/>
    <w:rsid w:val="00115F6B"/>
    <w:rsid w:val="001161B6"/>
    <w:rsid w:val="0011637B"/>
    <w:rsid w:val="0011658E"/>
    <w:rsid w:val="001167C3"/>
    <w:rsid w:val="00116836"/>
    <w:rsid w:val="00116BB8"/>
    <w:rsid w:val="00116BC5"/>
    <w:rsid w:val="00116C68"/>
    <w:rsid w:val="00116D5F"/>
    <w:rsid w:val="00117223"/>
    <w:rsid w:val="0011740A"/>
    <w:rsid w:val="0011771E"/>
    <w:rsid w:val="00117783"/>
    <w:rsid w:val="00117A8F"/>
    <w:rsid w:val="0012018E"/>
    <w:rsid w:val="001201F3"/>
    <w:rsid w:val="00120B7B"/>
    <w:rsid w:val="00120FDF"/>
    <w:rsid w:val="0012114B"/>
    <w:rsid w:val="001211EF"/>
    <w:rsid w:val="0012169D"/>
    <w:rsid w:val="001217F3"/>
    <w:rsid w:val="00121BDE"/>
    <w:rsid w:val="00121E5D"/>
    <w:rsid w:val="001221B9"/>
    <w:rsid w:val="001222F2"/>
    <w:rsid w:val="001224CB"/>
    <w:rsid w:val="0012267E"/>
    <w:rsid w:val="00122A45"/>
    <w:rsid w:val="00122F31"/>
    <w:rsid w:val="0012315E"/>
    <w:rsid w:val="001232DF"/>
    <w:rsid w:val="001233AD"/>
    <w:rsid w:val="00123405"/>
    <w:rsid w:val="0012343C"/>
    <w:rsid w:val="001234F8"/>
    <w:rsid w:val="001235E8"/>
    <w:rsid w:val="00123D4D"/>
    <w:rsid w:val="00124041"/>
    <w:rsid w:val="00124103"/>
    <w:rsid w:val="00124228"/>
    <w:rsid w:val="001249DA"/>
    <w:rsid w:val="00124CBF"/>
    <w:rsid w:val="00124E04"/>
    <w:rsid w:val="00124EC3"/>
    <w:rsid w:val="001251DE"/>
    <w:rsid w:val="0012597D"/>
    <w:rsid w:val="00125F22"/>
    <w:rsid w:val="00126513"/>
    <w:rsid w:val="001268F9"/>
    <w:rsid w:val="001269F3"/>
    <w:rsid w:val="00126AEB"/>
    <w:rsid w:val="00126D86"/>
    <w:rsid w:val="00126D8A"/>
    <w:rsid w:val="00127146"/>
    <w:rsid w:val="00127515"/>
    <w:rsid w:val="0012751C"/>
    <w:rsid w:val="00127B58"/>
    <w:rsid w:val="00127C9B"/>
    <w:rsid w:val="00127D04"/>
    <w:rsid w:val="00127FBB"/>
    <w:rsid w:val="001302B1"/>
    <w:rsid w:val="0013039F"/>
    <w:rsid w:val="001307EA"/>
    <w:rsid w:val="00130ADB"/>
    <w:rsid w:val="00130BC0"/>
    <w:rsid w:val="00130FA1"/>
    <w:rsid w:val="0013128E"/>
    <w:rsid w:val="00131414"/>
    <w:rsid w:val="001316B1"/>
    <w:rsid w:val="00131C6D"/>
    <w:rsid w:val="00131F7B"/>
    <w:rsid w:val="0013208E"/>
    <w:rsid w:val="00132394"/>
    <w:rsid w:val="00132738"/>
    <w:rsid w:val="0013285A"/>
    <w:rsid w:val="0013294F"/>
    <w:rsid w:val="00132987"/>
    <w:rsid w:val="00132C18"/>
    <w:rsid w:val="00132CAD"/>
    <w:rsid w:val="00132ED5"/>
    <w:rsid w:val="00133A73"/>
    <w:rsid w:val="00133B47"/>
    <w:rsid w:val="00133E89"/>
    <w:rsid w:val="00133FE3"/>
    <w:rsid w:val="001340AA"/>
    <w:rsid w:val="001343ED"/>
    <w:rsid w:val="001346DD"/>
    <w:rsid w:val="00134A63"/>
    <w:rsid w:val="00134C54"/>
    <w:rsid w:val="00134D94"/>
    <w:rsid w:val="00135030"/>
    <w:rsid w:val="001350CC"/>
    <w:rsid w:val="001350D9"/>
    <w:rsid w:val="0013537D"/>
    <w:rsid w:val="00135799"/>
    <w:rsid w:val="001359A0"/>
    <w:rsid w:val="00135E53"/>
    <w:rsid w:val="00135EE1"/>
    <w:rsid w:val="001364AE"/>
    <w:rsid w:val="001365DE"/>
    <w:rsid w:val="0013669B"/>
    <w:rsid w:val="00136977"/>
    <w:rsid w:val="00136AAA"/>
    <w:rsid w:val="00136ABC"/>
    <w:rsid w:val="00136B2C"/>
    <w:rsid w:val="0013710D"/>
    <w:rsid w:val="001376AB"/>
    <w:rsid w:val="001376AC"/>
    <w:rsid w:val="00137B05"/>
    <w:rsid w:val="00137CA9"/>
    <w:rsid w:val="00137EFB"/>
    <w:rsid w:val="001402DE"/>
    <w:rsid w:val="0014049E"/>
    <w:rsid w:val="0014087E"/>
    <w:rsid w:val="00140915"/>
    <w:rsid w:val="00140B76"/>
    <w:rsid w:val="00140F99"/>
    <w:rsid w:val="00141465"/>
    <w:rsid w:val="00141A72"/>
    <w:rsid w:val="00141D32"/>
    <w:rsid w:val="00141DBA"/>
    <w:rsid w:val="00141E8F"/>
    <w:rsid w:val="0014203F"/>
    <w:rsid w:val="00142230"/>
    <w:rsid w:val="0014225C"/>
    <w:rsid w:val="00142370"/>
    <w:rsid w:val="00142435"/>
    <w:rsid w:val="001425A8"/>
    <w:rsid w:val="00142791"/>
    <w:rsid w:val="00142B54"/>
    <w:rsid w:val="00142C36"/>
    <w:rsid w:val="00142D14"/>
    <w:rsid w:val="001431BB"/>
    <w:rsid w:val="00143219"/>
    <w:rsid w:val="0014321C"/>
    <w:rsid w:val="00143770"/>
    <w:rsid w:val="00143C99"/>
    <w:rsid w:val="00143D41"/>
    <w:rsid w:val="00143D5C"/>
    <w:rsid w:val="0014406D"/>
    <w:rsid w:val="00144919"/>
    <w:rsid w:val="001449B0"/>
    <w:rsid w:val="00144A16"/>
    <w:rsid w:val="00144ADC"/>
    <w:rsid w:val="00144B40"/>
    <w:rsid w:val="00144D10"/>
    <w:rsid w:val="00144DD7"/>
    <w:rsid w:val="001451AC"/>
    <w:rsid w:val="001456E1"/>
    <w:rsid w:val="00145782"/>
    <w:rsid w:val="00145C45"/>
    <w:rsid w:val="00145FBD"/>
    <w:rsid w:val="0014614C"/>
    <w:rsid w:val="00146461"/>
    <w:rsid w:val="0014697D"/>
    <w:rsid w:val="00146EEC"/>
    <w:rsid w:val="001471C1"/>
    <w:rsid w:val="0014735F"/>
    <w:rsid w:val="00147CC5"/>
    <w:rsid w:val="0015013D"/>
    <w:rsid w:val="00150327"/>
    <w:rsid w:val="00150431"/>
    <w:rsid w:val="001507E0"/>
    <w:rsid w:val="00150A1A"/>
    <w:rsid w:val="00150AD4"/>
    <w:rsid w:val="00150AEA"/>
    <w:rsid w:val="00150CAE"/>
    <w:rsid w:val="00150CB6"/>
    <w:rsid w:val="00150CC2"/>
    <w:rsid w:val="001512A6"/>
    <w:rsid w:val="0015149A"/>
    <w:rsid w:val="00151912"/>
    <w:rsid w:val="00151C89"/>
    <w:rsid w:val="00152565"/>
    <w:rsid w:val="0015256B"/>
    <w:rsid w:val="001525A3"/>
    <w:rsid w:val="001526D6"/>
    <w:rsid w:val="001527BA"/>
    <w:rsid w:val="001527F4"/>
    <w:rsid w:val="00152AD0"/>
    <w:rsid w:val="00152D65"/>
    <w:rsid w:val="00152EA0"/>
    <w:rsid w:val="00152EAA"/>
    <w:rsid w:val="00152FA1"/>
    <w:rsid w:val="00153061"/>
    <w:rsid w:val="001530BB"/>
    <w:rsid w:val="00153377"/>
    <w:rsid w:val="001539C9"/>
    <w:rsid w:val="00153BF4"/>
    <w:rsid w:val="00154447"/>
    <w:rsid w:val="001544D3"/>
    <w:rsid w:val="00154794"/>
    <w:rsid w:val="00154A7F"/>
    <w:rsid w:val="001550F8"/>
    <w:rsid w:val="00155153"/>
    <w:rsid w:val="0015523E"/>
    <w:rsid w:val="00155644"/>
    <w:rsid w:val="0015574C"/>
    <w:rsid w:val="00155D66"/>
    <w:rsid w:val="00155E0B"/>
    <w:rsid w:val="00155E2E"/>
    <w:rsid w:val="0015615A"/>
    <w:rsid w:val="00156309"/>
    <w:rsid w:val="0015644B"/>
    <w:rsid w:val="00156815"/>
    <w:rsid w:val="001568AC"/>
    <w:rsid w:val="001569ED"/>
    <w:rsid w:val="001569EE"/>
    <w:rsid w:val="00156A9E"/>
    <w:rsid w:val="00156FEA"/>
    <w:rsid w:val="00157133"/>
    <w:rsid w:val="00157199"/>
    <w:rsid w:val="001572C4"/>
    <w:rsid w:val="00157647"/>
    <w:rsid w:val="0015780D"/>
    <w:rsid w:val="001578AB"/>
    <w:rsid w:val="00157C21"/>
    <w:rsid w:val="00160310"/>
    <w:rsid w:val="001605C2"/>
    <w:rsid w:val="001606B3"/>
    <w:rsid w:val="001606D9"/>
    <w:rsid w:val="0016098D"/>
    <w:rsid w:val="00160A3A"/>
    <w:rsid w:val="00160F7B"/>
    <w:rsid w:val="00161234"/>
    <w:rsid w:val="0016129F"/>
    <w:rsid w:val="00161411"/>
    <w:rsid w:val="001617F7"/>
    <w:rsid w:val="0016195B"/>
    <w:rsid w:val="00161AF8"/>
    <w:rsid w:val="00161BED"/>
    <w:rsid w:val="00161FF7"/>
    <w:rsid w:val="00162401"/>
    <w:rsid w:val="0016282D"/>
    <w:rsid w:val="00162884"/>
    <w:rsid w:val="00162A9C"/>
    <w:rsid w:val="00162EAA"/>
    <w:rsid w:val="00162F44"/>
    <w:rsid w:val="00163035"/>
    <w:rsid w:val="001631D0"/>
    <w:rsid w:val="00163262"/>
    <w:rsid w:val="00163289"/>
    <w:rsid w:val="001632AE"/>
    <w:rsid w:val="001635DE"/>
    <w:rsid w:val="00163854"/>
    <w:rsid w:val="00163879"/>
    <w:rsid w:val="001638B3"/>
    <w:rsid w:val="00163BD6"/>
    <w:rsid w:val="00163E9D"/>
    <w:rsid w:val="00163F2B"/>
    <w:rsid w:val="00164844"/>
    <w:rsid w:val="0016499D"/>
    <w:rsid w:val="00164D14"/>
    <w:rsid w:val="00164EB6"/>
    <w:rsid w:val="001652F8"/>
    <w:rsid w:val="00165D1A"/>
    <w:rsid w:val="00166545"/>
    <w:rsid w:val="001667B7"/>
    <w:rsid w:val="0016682D"/>
    <w:rsid w:val="00166842"/>
    <w:rsid w:val="001669F6"/>
    <w:rsid w:val="00166A2E"/>
    <w:rsid w:val="00166BFB"/>
    <w:rsid w:val="00166D81"/>
    <w:rsid w:val="00167074"/>
    <w:rsid w:val="0016729C"/>
    <w:rsid w:val="0016798C"/>
    <w:rsid w:val="001679BF"/>
    <w:rsid w:val="00167CBA"/>
    <w:rsid w:val="00167D5E"/>
    <w:rsid w:val="00167E02"/>
    <w:rsid w:val="00167F02"/>
    <w:rsid w:val="00170603"/>
    <w:rsid w:val="0017066C"/>
    <w:rsid w:val="0017066F"/>
    <w:rsid w:val="00170BDC"/>
    <w:rsid w:val="00170EFF"/>
    <w:rsid w:val="00171459"/>
    <w:rsid w:val="001716B7"/>
    <w:rsid w:val="0017190F"/>
    <w:rsid w:val="00172098"/>
    <w:rsid w:val="0017234A"/>
    <w:rsid w:val="001723B1"/>
    <w:rsid w:val="001726DC"/>
    <w:rsid w:val="00172747"/>
    <w:rsid w:val="0017280F"/>
    <w:rsid w:val="001729EE"/>
    <w:rsid w:val="00172B05"/>
    <w:rsid w:val="00172B7B"/>
    <w:rsid w:val="00172DF5"/>
    <w:rsid w:val="00172F99"/>
    <w:rsid w:val="0017303B"/>
    <w:rsid w:val="001736C8"/>
    <w:rsid w:val="00173707"/>
    <w:rsid w:val="001738C7"/>
    <w:rsid w:val="001738E3"/>
    <w:rsid w:val="00173E8B"/>
    <w:rsid w:val="001746E7"/>
    <w:rsid w:val="0017485D"/>
    <w:rsid w:val="00174A3B"/>
    <w:rsid w:val="00174ABF"/>
    <w:rsid w:val="00174AE6"/>
    <w:rsid w:val="00174E97"/>
    <w:rsid w:val="00174F5A"/>
    <w:rsid w:val="001752F0"/>
    <w:rsid w:val="001753EA"/>
    <w:rsid w:val="00175676"/>
    <w:rsid w:val="0017569E"/>
    <w:rsid w:val="0017570D"/>
    <w:rsid w:val="0017571C"/>
    <w:rsid w:val="00175985"/>
    <w:rsid w:val="00175B55"/>
    <w:rsid w:val="0017643E"/>
    <w:rsid w:val="001765D4"/>
    <w:rsid w:val="00176859"/>
    <w:rsid w:val="0017697C"/>
    <w:rsid w:val="0017698B"/>
    <w:rsid w:val="00176A2F"/>
    <w:rsid w:val="00176EC7"/>
    <w:rsid w:val="00176F59"/>
    <w:rsid w:val="001770DF"/>
    <w:rsid w:val="00177277"/>
    <w:rsid w:val="001773C2"/>
    <w:rsid w:val="0017799B"/>
    <w:rsid w:val="00180231"/>
    <w:rsid w:val="00180250"/>
    <w:rsid w:val="00180431"/>
    <w:rsid w:val="0018053A"/>
    <w:rsid w:val="00180722"/>
    <w:rsid w:val="00180A37"/>
    <w:rsid w:val="00180A41"/>
    <w:rsid w:val="00180C37"/>
    <w:rsid w:val="00180C92"/>
    <w:rsid w:val="00180CAF"/>
    <w:rsid w:val="001810DA"/>
    <w:rsid w:val="001811AE"/>
    <w:rsid w:val="00181401"/>
    <w:rsid w:val="0018144F"/>
    <w:rsid w:val="001817EC"/>
    <w:rsid w:val="00181B37"/>
    <w:rsid w:val="00181BC1"/>
    <w:rsid w:val="00181D65"/>
    <w:rsid w:val="00181E03"/>
    <w:rsid w:val="00181E45"/>
    <w:rsid w:val="00181E86"/>
    <w:rsid w:val="00181F20"/>
    <w:rsid w:val="001820E0"/>
    <w:rsid w:val="00182409"/>
    <w:rsid w:val="00182868"/>
    <w:rsid w:val="00183152"/>
    <w:rsid w:val="00183416"/>
    <w:rsid w:val="00183684"/>
    <w:rsid w:val="001837D7"/>
    <w:rsid w:val="001839B9"/>
    <w:rsid w:val="00183A25"/>
    <w:rsid w:val="00183AD7"/>
    <w:rsid w:val="00183C85"/>
    <w:rsid w:val="001841A9"/>
    <w:rsid w:val="001844F1"/>
    <w:rsid w:val="00184E09"/>
    <w:rsid w:val="00184EB1"/>
    <w:rsid w:val="00184FCE"/>
    <w:rsid w:val="00185389"/>
    <w:rsid w:val="00185481"/>
    <w:rsid w:val="001858D5"/>
    <w:rsid w:val="00185B97"/>
    <w:rsid w:val="00185DBC"/>
    <w:rsid w:val="00185F6A"/>
    <w:rsid w:val="00185FBC"/>
    <w:rsid w:val="001860BF"/>
    <w:rsid w:val="00186377"/>
    <w:rsid w:val="0018643C"/>
    <w:rsid w:val="00186527"/>
    <w:rsid w:val="00186543"/>
    <w:rsid w:val="0018655C"/>
    <w:rsid w:val="001867BA"/>
    <w:rsid w:val="00186981"/>
    <w:rsid w:val="0018698C"/>
    <w:rsid w:val="00186E67"/>
    <w:rsid w:val="001871CB"/>
    <w:rsid w:val="00187C21"/>
    <w:rsid w:val="00187C5E"/>
    <w:rsid w:val="00187E13"/>
    <w:rsid w:val="00187EE5"/>
    <w:rsid w:val="00187F05"/>
    <w:rsid w:val="00190786"/>
    <w:rsid w:val="00190BDF"/>
    <w:rsid w:val="00190CAC"/>
    <w:rsid w:val="00190DD0"/>
    <w:rsid w:val="00190F07"/>
    <w:rsid w:val="00190FA4"/>
    <w:rsid w:val="0019105B"/>
    <w:rsid w:val="0019132B"/>
    <w:rsid w:val="001913FE"/>
    <w:rsid w:val="0019151D"/>
    <w:rsid w:val="001915F1"/>
    <w:rsid w:val="00191C81"/>
    <w:rsid w:val="00191DDC"/>
    <w:rsid w:val="00191FD9"/>
    <w:rsid w:val="001921A9"/>
    <w:rsid w:val="00192656"/>
    <w:rsid w:val="0019273B"/>
    <w:rsid w:val="001929B4"/>
    <w:rsid w:val="00193107"/>
    <w:rsid w:val="0019341E"/>
    <w:rsid w:val="001939CA"/>
    <w:rsid w:val="00193C77"/>
    <w:rsid w:val="00194126"/>
    <w:rsid w:val="00194DB6"/>
    <w:rsid w:val="00194E31"/>
    <w:rsid w:val="00195024"/>
    <w:rsid w:val="001953CD"/>
    <w:rsid w:val="001954DF"/>
    <w:rsid w:val="00195697"/>
    <w:rsid w:val="001959D2"/>
    <w:rsid w:val="00195B18"/>
    <w:rsid w:val="00195B5E"/>
    <w:rsid w:val="00195BD4"/>
    <w:rsid w:val="001960A3"/>
    <w:rsid w:val="001960EA"/>
    <w:rsid w:val="001961DA"/>
    <w:rsid w:val="00196518"/>
    <w:rsid w:val="00196660"/>
    <w:rsid w:val="00196729"/>
    <w:rsid w:val="001968CB"/>
    <w:rsid w:val="00196B57"/>
    <w:rsid w:val="00196D24"/>
    <w:rsid w:val="00196EE0"/>
    <w:rsid w:val="00196FCF"/>
    <w:rsid w:val="0019741E"/>
    <w:rsid w:val="001974CC"/>
    <w:rsid w:val="001974FC"/>
    <w:rsid w:val="00197FB5"/>
    <w:rsid w:val="001A00C7"/>
    <w:rsid w:val="001A03B2"/>
    <w:rsid w:val="001A06B7"/>
    <w:rsid w:val="001A06E9"/>
    <w:rsid w:val="001A0C51"/>
    <w:rsid w:val="001A119F"/>
    <w:rsid w:val="001A123E"/>
    <w:rsid w:val="001A1259"/>
    <w:rsid w:val="001A137F"/>
    <w:rsid w:val="001A16B1"/>
    <w:rsid w:val="001A1B85"/>
    <w:rsid w:val="001A1EA7"/>
    <w:rsid w:val="001A2573"/>
    <w:rsid w:val="001A2689"/>
    <w:rsid w:val="001A26CB"/>
    <w:rsid w:val="001A27C4"/>
    <w:rsid w:val="001A2E3F"/>
    <w:rsid w:val="001A2FE3"/>
    <w:rsid w:val="001A364D"/>
    <w:rsid w:val="001A39AB"/>
    <w:rsid w:val="001A3BD1"/>
    <w:rsid w:val="001A3BE9"/>
    <w:rsid w:val="001A3C30"/>
    <w:rsid w:val="001A3D80"/>
    <w:rsid w:val="001A40D2"/>
    <w:rsid w:val="001A40E4"/>
    <w:rsid w:val="001A4131"/>
    <w:rsid w:val="001A4181"/>
    <w:rsid w:val="001A4A51"/>
    <w:rsid w:val="001A4AA3"/>
    <w:rsid w:val="001A4BF2"/>
    <w:rsid w:val="001A5376"/>
    <w:rsid w:val="001A53BB"/>
    <w:rsid w:val="001A540E"/>
    <w:rsid w:val="001A586D"/>
    <w:rsid w:val="001A58BC"/>
    <w:rsid w:val="001A59DA"/>
    <w:rsid w:val="001A5A78"/>
    <w:rsid w:val="001A5ED0"/>
    <w:rsid w:val="001A6196"/>
    <w:rsid w:val="001A654D"/>
    <w:rsid w:val="001A6596"/>
    <w:rsid w:val="001A6C1E"/>
    <w:rsid w:val="001A6DC4"/>
    <w:rsid w:val="001A6FD5"/>
    <w:rsid w:val="001A7325"/>
    <w:rsid w:val="001A756F"/>
    <w:rsid w:val="001A763D"/>
    <w:rsid w:val="001A783A"/>
    <w:rsid w:val="001A797B"/>
    <w:rsid w:val="001B0070"/>
    <w:rsid w:val="001B06F3"/>
    <w:rsid w:val="001B09BD"/>
    <w:rsid w:val="001B0ECE"/>
    <w:rsid w:val="001B11DE"/>
    <w:rsid w:val="001B1BED"/>
    <w:rsid w:val="001B1CBE"/>
    <w:rsid w:val="001B1EAF"/>
    <w:rsid w:val="001B1FE2"/>
    <w:rsid w:val="001B2515"/>
    <w:rsid w:val="001B259D"/>
    <w:rsid w:val="001B2817"/>
    <w:rsid w:val="001B2A32"/>
    <w:rsid w:val="001B2D4A"/>
    <w:rsid w:val="001B3277"/>
    <w:rsid w:val="001B32A8"/>
    <w:rsid w:val="001B3E05"/>
    <w:rsid w:val="001B42F4"/>
    <w:rsid w:val="001B47EC"/>
    <w:rsid w:val="001B4C3C"/>
    <w:rsid w:val="001B4F9E"/>
    <w:rsid w:val="001B5112"/>
    <w:rsid w:val="001B574C"/>
    <w:rsid w:val="001B5807"/>
    <w:rsid w:val="001B59BA"/>
    <w:rsid w:val="001B5B2D"/>
    <w:rsid w:val="001B5CB8"/>
    <w:rsid w:val="001B5F75"/>
    <w:rsid w:val="001B64B4"/>
    <w:rsid w:val="001B6511"/>
    <w:rsid w:val="001B687B"/>
    <w:rsid w:val="001B6A8C"/>
    <w:rsid w:val="001B6B8D"/>
    <w:rsid w:val="001B6E6F"/>
    <w:rsid w:val="001B6F52"/>
    <w:rsid w:val="001B70A8"/>
    <w:rsid w:val="001B7283"/>
    <w:rsid w:val="001B72F9"/>
    <w:rsid w:val="001B7450"/>
    <w:rsid w:val="001B763C"/>
    <w:rsid w:val="001B7964"/>
    <w:rsid w:val="001B7F4A"/>
    <w:rsid w:val="001C0386"/>
    <w:rsid w:val="001C079B"/>
    <w:rsid w:val="001C09E6"/>
    <w:rsid w:val="001C0AED"/>
    <w:rsid w:val="001C0B59"/>
    <w:rsid w:val="001C1015"/>
    <w:rsid w:val="001C12E7"/>
    <w:rsid w:val="001C157E"/>
    <w:rsid w:val="001C1A89"/>
    <w:rsid w:val="001C1C02"/>
    <w:rsid w:val="001C1CE6"/>
    <w:rsid w:val="001C2451"/>
    <w:rsid w:val="001C269E"/>
    <w:rsid w:val="001C2A5E"/>
    <w:rsid w:val="001C2A71"/>
    <w:rsid w:val="001C2E6B"/>
    <w:rsid w:val="001C2F7B"/>
    <w:rsid w:val="001C3298"/>
    <w:rsid w:val="001C3607"/>
    <w:rsid w:val="001C36AC"/>
    <w:rsid w:val="001C3AB0"/>
    <w:rsid w:val="001C3E7B"/>
    <w:rsid w:val="001C4477"/>
    <w:rsid w:val="001C449F"/>
    <w:rsid w:val="001C497D"/>
    <w:rsid w:val="001C4A84"/>
    <w:rsid w:val="001C4DA3"/>
    <w:rsid w:val="001C51AA"/>
    <w:rsid w:val="001C56BF"/>
    <w:rsid w:val="001C5C7E"/>
    <w:rsid w:val="001C5D4B"/>
    <w:rsid w:val="001C5F4E"/>
    <w:rsid w:val="001C621A"/>
    <w:rsid w:val="001C631B"/>
    <w:rsid w:val="001C6A8D"/>
    <w:rsid w:val="001C6CDA"/>
    <w:rsid w:val="001C6D0B"/>
    <w:rsid w:val="001C6E22"/>
    <w:rsid w:val="001C6F53"/>
    <w:rsid w:val="001C71C6"/>
    <w:rsid w:val="001C72E0"/>
    <w:rsid w:val="001C73F4"/>
    <w:rsid w:val="001C7608"/>
    <w:rsid w:val="001C7784"/>
    <w:rsid w:val="001C7812"/>
    <w:rsid w:val="001C79E2"/>
    <w:rsid w:val="001C7A64"/>
    <w:rsid w:val="001C7AEF"/>
    <w:rsid w:val="001D01D7"/>
    <w:rsid w:val="001D062D"/>
    <w:rsid w:val="001D07D9"/>
    <w:rsid w:val="001D09FA"/>
    <w:rsid w:val="001D0BC3"/>
    <w:rsid w:val="001D0D43"/>
    <w:rsid w:val="001D1273"/>
    <w:rsid w:val="001D133B"/>
    <w:rsid w:val="001D1507"/>
    <w:rsid w:val="001D15BB"/>
    <w:rsid w:val="001D164F"/>
    <w:rsid w:val="001D1751"/>
    <w:rsid w:val="001D1A94"/>
    <w:rsid w:val="001D1ACE"/>
    <w:rsid w:val="001D1CC0"/>
    <w:rsid w:val="001D1D1F"/>
    <w:rsid w:val="001D2237"/>
    <w:rsid w:val="001D24D2"/>
    <w:rsid w:val="001D2993"/>
    <w:rsid w:val="001D2AF1"/>
    <w:rsid w:val="001D2F1D"/>
    <w:rsid w:val="001D2F43"/>
    <w:rsid w:val="001D35DC"/>
    <w:rsid w:val="001D3A7F"/>
    <w:rsid w:val="001D4146"/>
    <w:rsid w:val="001D43D2"/>
    <w:rsid w:val="001D4423"/>
    <w:rsid w:val="001D4518"/>
    <w:rsid w:val="001D4535"/>
    <w:rsid w:val="001D457F"/>
    <w:rsid w:val="001D4BC3"/>
    <w:rsid w:val="001D4C6D"/>
    <w:rsid w:val="001D4DF0"/>
    <w:rsid w:val="001D4ED8"/>
    <w:rsid w:val="001D50EF"/>
    <w:rsid w:val="001D547F"/>
    <w:rsid w:val="001D5548"/>
    <w:rsid w:val="001D5755"/>
    <w:rsid w:val="001D582E"/>
    <w:rsid w:val="001D5AFB"/>
    <w:rsid w:val="001D5B52"/>
    <w:rsid w:val="001D5C7F"/>
    <w:rsid w:val="001D5CE3"/>
    <w:rsid w:val="001D5D44"/>
    <w:rsid w:val="001D5E76"/>
    <w:rsid w:val="001D6054"/>
    <w:rsid w:val="001D618B"/>
    <w:rsid w:val="001D641E"/>
    <w:rsid w:val="001D64FC"/>
    <w:rsid w:val="001D68BC"/>
    <w:rsid w:val="001D69D6"/>
    <w:rsid w:val="001D6A24"/>
    <w:rsid w:val="001D7130"/>
    <w:rsid w:val="001D7393"/>
    <w:rsid w:val="001D7617"/>
    <w:rsid w:val="001D768F"/>
    <w:rsid w:val="001D76E7"/>
    <w:rsid w:val="001D7A10"/>
    <w:rsid w:val="001D7A1F"/>
    <w:rsid w:val="001D7A32"/>
    <w:rsid w:val="001D7C14"/>
    <w:rsid w:val="001D7E38"/>
    <w:rsid w:val="001E0386"/>
    <w:rsid w:val="001E03CE"/>
    <w:rsid w:val="001E0562"/>
    <w:rsid w:val="001E0942"/>
    <w:rsid w:val="001E0BA2"/>
    <w:rsid w:val="001E0D49"/>
    <w:rsid w:val="001E12B4"/>
    <w:rsid w:val="001E13F7"/>
    <w:rsid w:val="001E15BE"/>
    <w:rsid w:val="001E1918"/>
    <w:rsid w:val="001E19C5"/>
    <w:rsid w:val="001E1B39"/>
    <w:rsid w:val="001E1F8C"/>
    <w:rsid w:val="001E22E3"/>
    <w:rsid w:val="001E2575"/>
    <w:rsid w:val="001E25F5"/>
    <w:rsid w:val="001E26B2"/>
    <w:rsid w:val="001E26CC"/>
    <w:rsid w:val="001E29B4"/>
    <w:rsid w:val="001E2E80"/>
    <w:rsid w:val="001E305C"/>
    <w:rsid w:val="001E3074"/>
    <w:rsid w:val="001E30D4"/>
    <w:rsid w:val="001E3473"/>
    <w:rsid w:val="001E35A6"/>
    <w:rsid w:val="001E35D1"/>
    <w:rsid w:val="001E36A3"/>
    <w:rsid w:val="001E3B1C"/>
    <w:rsid w:val="001E3C78"/>
    <w:rsid w:val="001E3FD3"/>
    <w:rsid w:val="001E4126"/>
    <w:rsid w:val="001E42BE"/>
    <w:rsid w:val="001E47F5"/>
    <w:rsid w:val="001E49E3"/>
    <w:rsid w:val="001E4C66"/>
    <w:rsid w:val="001E4D91"/>
    <w:rsid w:val="001E50B8"/>
    <w:rsid w:val="001E50FD"/>
    <w:rsid w:val="001E5234"/>
    <w:rsid w:val="001E55DE"/>
    <w:rsid w:val="001E5C38"/>
    <w:rsid w:val="001E6376"/>
    <w:rsid w:val="001E6674"/>
    <w:rsid w:val="001E6992"/>
    <w:rsid w:val="001E6E18"/>
    <w:rsid w:val="001E7867"/>
    <w:rsid w:val="001E7949"/>
    <w:rsid w:val="001E7A84"/>
    <w:rsid w:val="001E7BC5"/>
    <w:rsid w:val="001E7D0B"/>
    <w:rsid w:val="001E7D39"/>
    <w:rsid w:val="001F027B"/>
    <w:rsid w:val="001F0539"/>
    <w:rsid w:val="001F0ADA"/>
    <w:rsid w:val="001F0B8F"/>
    <w:rsid w:val="001F0C2A"/>
    <w:rsid w:val="001F0D64"/>
    <w:rsid w:val="001F17BC"/>
    <w:rsid w:val="001F18B7"/>
    <w:rsid w:val="001F1F37"/>
    <w:rsid w:val="001F204C"/>
    <w:rsid w:val="001F2433"/>
    <w:rsid w:val="001F25A3"/>
    <w:rsid w:val="001F2648"/>
    <w:rsid w:val="001F2858"/>
    <w:rsid w:val="001F28A6"/>
    <w:rsid w:val="001F28DB"/>
    <w:rsid w:val="001F2B75"/>
    <w:rsid w:val="001F2BFB"/>
    <w:rsid w:val="001F2FEE"/>
    <w:rsid w:val="001F3005"/>
    <w:rsid w:val="001F3062"/>
    <w:rsid w:val="001F314F"/>
    <w:rsid w:val="001F3163"/>
    <w:rsid w:val="001F3196"/>
    <w:rsid w:val="001F32B0"/>
    <w:rsid w:val="001F3635"/>
    <w:rsid w:val="001F37ED"/>
    <w:rsid w:val="001F3910"/>
    <w:rsid w:val="001F3CAE"/>
    <w:rsid w:val="001F3D90"/>
    <w:rsid w:val="001F404A"/>
    <w:rsid w:val="001F41CB"/>
    <w:rsid w:val="001F4350"/>
    <w:rsid w:val="001F43DF"/>
    <w:rsid w:val="001F463A"/>
    <w:rsid w:val="001F48EC"/>
    <w:rsid w:val="001F4D0E"/>
    <w:rsid w:val="001F4F61"/>
    <w:rsid w:val="001F5170"/>
    <w:rsid w:val="001F56DE"/>
    <w:rsid w:val="001F5BBC"/>
    <w:rsid w:val="001F5E29"/>
    <w:rsid w:val="001F6015"/>
    <w:rsid w:val="001F66DF"/>
    <w:rsid w:val="001F6E80"/>
    <w:rsid w:val="001F73AC"/>
    <w:rsid w:val="001F7A9A"/>
    <w:rsid w:val="001F7C98"/>
    <w:rsid w:val="00200222"/>
    <w:rsid w:val="0020025A"/>
    <w:rsid w:val="00200261"/>
    <w:rsid w:val="002002CC"/>
    <w:rsid w:val="00200334"/>
    <w:rsid w:val="002003DF"/>
    <w:rsid w:val="002004E2"/>
    <w:rsid w:val="002005AC"/>
    <w:rsid w:val="002007B8"/>
    <w:rsid w:val="002008FE"/>
    <w:rsid w:val="002016BD"/>
    <w:rsid w:val="002016C4"/>
    <w:rsid w:val="00201A79"/>
    <w:rsid w:val="00201B84"/>
    <w:rsid w:val="00201D6F"/>
    <w:rsid w:val="00201DB9"/>
    <w:rsid w:val="00201EB7"/>
    <w:rsid w:val="00201FF4"/>
    <w:rsid w:val="002022F8"/>
    <w:rsid w:val="002024C2"/>
    <w:rsid w:val="00202664"/>
    <w:rsid w:val="00202CA7"/>
    <w:rsid w:val="00203143"/>
    <w:rsid w:val="002031C7"/>
    <w:rsid w:val="00203479"/>
    <w:rsid w:val="002037B1"/>
    <w:rsid w:val="00203987"/>
    <w:rsid w:val="00203A02"/>
    <w:rsid w:val="00203C65"/>
    <w:rsid w:val="00203C69"/>
    <w:rsid w:val="00203D35"/>
    <w:rsid w:val="00203D98"/>
    <w:rsid w:val="00204083"/>
    <w:rsid w:val="002040F8"/>
    <w:rsid w:val="00204305"/>
    <w:rsid w:val="0020497E"/>
    <w:rsid w:val="00204DC9"/>
    <w:rsid w:val="00204E74"/>
    <w:rsid w:val="00204ECF"/>
    <w:rsid w:val="002053E6"/>
    <w:rsid w:val="0020548F"/>
    <w:rsid w:val="0020596A"/>
    <w:rsid w:val="00205CDC"/>
    <w:rsid w:val="00206190"/>
    <w:rsid w:val="002062C8"/>
    <w:rsid w:val="002064BE"/>
    <w:rsid w:val="00206679"/>
    <w:rsid w:val="00206AA8"/>
    <w:rsid w:val="00206EC7"/>
    <w:rsid w:val="00206FEA"/>
    <w:rsid w:val="00207116"/>
    <w:rsid w:val="00207201"/>
    <w:rsid w:val="00207899"/>
    <w:rsid w:val="0020794F"/>
    <w:rsid w:val="00207B5E"/>
    <w:rsid w:val="00207E5F"/>
    <w:rsid w:val="00207F97"/>
    <w:rsid w:val="00207FC0"/>
    <w:rsid w:val="0021002C"/>
    <w:rsid w:val="002105AA"/>
    <w:rsid w:val="00210770"/>
    <w:rsid w:val="002107CA"/>
    <w:rsid w:val="0021089C"/>
    <w:rsid w:val="00210BDC"/>
    <w:rsid w:val="00210BE7"/>
    <w:rsid w:val="00210EAE"/>
    <w:rsid w:val="00210FC4"/>
    <w:rsid w:val="0021116D"/>
    <w:rsid w:val="00211367"/>
    <w:rsid w:val="00211469"/>
    <w:rsid w:val="00211624"/>
    <w:rsid w:val="00211A63"/>
    <w:rsid w:val="00211BA1"/>
    <w:rsid w:val="0021229B"/>
    <w:rsid w:val="00212449"/>
    <w:rsid w:val="00212CFD"/>
    <w:rsid w:val="00212D92"/>
    <w:rsid w:val="00212F34"/>
    <w:rsid w:val="00213068"/>
    <w:rsid w:val="0021309F"/>
    <w:rsid w:val="00213496"/>
    <w:rsid w:val="002135FA"/>
    <w:rsid w:val="00213BA3"/>
    <w:rsid w:val="00213BAF"/>
    <w:rsid w:val="00213C50"/>
    <w:rsid w:val="00213EB6"/>
    <w:rsid w:val="00214202"/>
    <w:rsid w:val="0021425E"/>
    <w:rsid w:val="002142C5"/>
    <w:rsid w:val="0021435B"/>
    <w:rsid w:val="002143B1"/>
    <w:rsid w:val="002147E6"/>
    <w:rsid w:val="00214BBB"/>
    <w:rsid w:val="00214BC5"/>
    <w:rsid w:val="00214C17"/>
    <w:rsid w:val="00215010"/>
    <w:rsid w:val="0021523A"/>
    <w:rsid w:val="0021548A"/>
    <w:rsid w:val="0021595A"/>
    <w:rsid w:val="00215E56"/>
    <w:rsid w:val="00215FEB"/>
    <w:rsid w:val="0021613E"/>
    <w:rsid w:val="002169B5"/>
    <w:rsid w:val="00217100"/>
    <w:rsid w:val="00217771"/>
    <w:rsid w:val="002178BE"/>
    <w:rsid w:val="00217A03"/>
    <w:rsid w:val="00220455"/>
    <w:rsid w:val="0022081F"/>
    <w:rsid w:val="002208D2"/>
    <w:rsid w:val="0022095C"/>
    <w:rsid w:val="00220B2F"/>
    <w:rsid w:val="00220CBC"/>
    <w:rsid w:val="00220DD8"/>
    <w:rsid w:val="00220E7F"/>
    <w:rsid w:val="0022102F"/>
    <w:rsid w:val="00221AA3"/>
    <w:rsid w:val="00221AA5"/>
    <w:rsid w:val="00221AFB"/>
    <w:rsid w:val="00221B34"/>
    <w:rsid w:val="00221FE0"/>
    <w:rsid w:val="0022235F"/>
    <w:rsid w:val="002225CB"/>
    <w:rsid w:val="002225CE"/>
    <w:rsid w:val="002227F6"/>
    <w:rsid w:val="0022292D"/>
    <w:rsid w:val="00222AC5"/>
    <w:rsid w:val="00222CD4"/>
    <w:rsid w:val="00222E40"/>
    <w:rsid w:val="00223277"/>
    <w:rsid w:val="002235BD"/>
    <w:rsid w:val="002235BF"/>
    <w:rsid w:val="00223600"/>
    <w:rsid w:val="002236F5"/>
    <w:rsid w:val="002238C7"/>
    <w:rsid w:val="002239FB"/>
    <w:rsid w:val="00223A33"/>
    <w:rsid w:val="00223C13"/>
    <w:rsid w:val="00223D20"/>
    <w:rsid w:val="002240E7"/>
    <w:rsid w:val="00224363"/>
    <w:rsid w:val="002247A0"/>
    <w:rsid w:val="002249B3"/>
    <w:rsid w:val="00224B41"/>
    <w:rsid w:val="00224B68"/>
    <w:rsid w:val="0022517F"/>
    <w:rsid w:val="002252B3"/>
    <w:rsid w:val="002252BF"/>
    <w:rsid w:val="00225415"/>
    <w:rsid w:val="00225E6D"/>
    <w:rsid w:val="00226663"/>
    <w:rsid w:val="00226672"/>
    <w:rsid w:val="002266EB"/>
    <w:rsid w:val="00226C43"/>
    <w:rsid w:val="0022733F"/>
    <w:rsid w:val="00227704"/>
    <w:rsid w:val="00227D22"/>
    <w:rsid w:val="00227DCA"/>
    <w:rsid w:val="00227F00"/>
    <w:rsid w:val="0023001D"/>
    <w:rsid w:val="002301B8"/>
    <w:rsid w:val="0023066E"/>
    <w:rsid w:val="002307C7"/>
    <w:rsid w:val="00230E05"/>
    <w:rsid w:val="00230E0D"/>
    <w:rsid w:val="002315F7"/>
    <w:rsid w:val="00231680"/>
    <w:rsid w:val="00231AFF"/>
    <w:rsid w:val="00231B94"/>
    <w:rsid w:val="00231C13"/>
    <w:rsid w:val="00232102"/>
    <w:rsid w:val="002323B5"/>
    <w:rsid w:val="00232488"/>
    <w:rsid w:val="0023250C"/>
    <w:rsid w:val="00232605"/>
    <w:rsid w:val="00232729"/>
    <w:rsid w:val="00232B0B"/>
    <w:rsid w:val="00232CAA"/>
    <w:rsid w:val="00232DDE"/>
    <w:rsid w:val="00232E2D"/>
    <w:rsid w:val="00232FC1"/>
    <w:rsid w:val="002333FA"/>
    <w:rsid w:val="00233427"/>
    <w:rsid w:val="00233651"/>
    <w:rsid w:val="002336D7"/>
    <w:rsid w:val="00233AD2"/>
    <w:rsid w:val="00233C82"/>
    <w:rsid w:val="00233D37"/>
    <w:rsid w:val="00234931"/>
    <w:rsid w:val="00234E47"/>
    <w:rsid w:val="00235316"/>
    <w:rsid w:val="002354D4"/>
    <w:rsid w:val="00235AA5"/>
    <w:rsid w:val="00235B93"/>
    <w:rsid w:val="00235BAB"/>
    <w:rsid w:val="00235C8F"/>
    <w:rsid w:val="00235D53"/>
    <w:rsid w:val="00236680"/>
    <w:rsid w:val="00236864"/>
    <w:rsid w:val="0023695A"/>
    <w:rsid w:val="00237082"/>
    <w:rsid w:val="002370B7"/>
    <w:rsid w:val="0023712C"/>
    <w:rsid w:val="0023738D"/>
    <w:rsid w:val="00237445"/>
    <w:rsid w:val="002375F0"/>
    <w:rsid w:val="00237AFD"/>
    <w:rsid w:val="00237DC9"/>
    <w:rsid w:val="00237E4C"/>
    <w:rsid w:val="00237EA4"/>
    <w:rsid w:val="0024018C"/>
    <w:rsid w:val="00240544"/>
    <w:rsid w:val="0024082A"/>
    <w:rsid w:val="002414F2"/>
    <w:rsid w:val="0024162C"/>
    <w:rsid w:val="00241829"/>
    <w:rsid w:val="0024193D"/>
    <w:rsid w:val="002419BB"/>
    <w:rsid w:val="002419FA"/>
    <w:rsid w:val="00241B20"/>
    <w:rsid w:val="00241DEB"/>
    <w:rsid w:val="00241E36"/>
    <w:rsid w:val="00241ED9"/>
    <w:rsid w:val="00242173"/>
    <w:rsid w:val="002421F8"/>
    <w:rsid w:val="00242746"/>
    <w:rsid w:val="00242CC4"/>
    <w:rsid w:val="002430E5"/>
    <w:rsid w:val="00243740"/>
    <w:rsid w:val="0024387F"/>
    <w:rsid w:val="00243EB3"/>
    <w:rsid w:val="0024448F"/>
    <w:rsid w:val="0024463E"/>
    <w:rsid w:val="00244977"/>
    <w:rsid w:val="00244B31"/>
    <w:rsid w:val="00244B36"/>
    <w:rsid w:val="00244BCD"/>
    <w:rsid w:val="00244E74"/>
    <w:rsid w:val="00244F67"/>
    <w:rsid w:val="00245146"/>
    <w:rsid w:val="00245309"/>
    <w:rsid w:val="00245381"/>
    <w:rsid w:val="00245589"/>
    <w:rsid w:val="00245981"/>
    <w:rsid w:val="00246379"/>
    <w:rsid w:val="002463F6"/>
    <w:rsid w:val="002469CA"/>
    <w:rsid w:val="00246CA1"/>
    <w:rsid w:val="00246CE8"/>
    <w:rsid w:val="00246DCE"/>
    <w:rsid w:val="00246E37"/>
    <w:rsid w:val="002471FF"/>
    <w:rsid w:val="0024723E"/>
    <w:rsid w:val="00247295"/>
    <w:rsid w:val="00247331"/>
    <w:rsid w:val="0024753B"/>
    <w:rsid w:val="002476F7"/>
    <w:rsid w:val="00247A62"/>
    <w:rsid w:val="00247E0A"/>
    <w:rsid w:val="00247FA2"/>
    <w:rsid w:val="0025059E"/>
    <w:rsid w:val="0025080C"/>
    <w:rsid w:val="002509B8"/>
    <w:rsid w:val="00250B6F"/>
    <w:rsid w:val="00250CC6"/>
    <w:rsid w:val="00250CEC"/>
    <w:rsid w:val="00250FF3"/>
    <w:rsid w:val="002510DF"/>
    <w:rsid w:val="002511F8"/>
    <w:rsid w:val="00251423"/>
    <w:rsid w:val="0025142C"/>
    <w:rsid w:val="002518C6"/>
    <w:rsid w:val="00251A70"/>
    <w:rsid w:val="00251F93"/>
    <w:rsid w:val="0025203F"/>
    <w:rsid w:val="002522FA"/>
    <w:rsid w:val="0025241F"/>
    <w:rsid w:val="0025243B"/>
    <w:rsid w:val="00252827"/>
    <w:rsid w:val="00252CE7"/>
    <w:rsid w:val="00252DCA"/>
    <w:rsid w:val="002533FA"/>
    <w:rsid w:val="0025368D"/>
    <w:rsid w:val="002537B9"/>
    <w:rsid w:val="0025399D"/>
    <w:rsid w:val="00253A7A"/>
    <w:rsid w:val="00254852"/>
    <w:rsid w:val="0025492A"/>
    <w:rsid w:val="00254A8E"/>
    <w:rsid w:val="00254B4B"/>
    <w:rsid w:val="00254CDD"/>
    <w:rsid w:val="00254D2D"/>
    <w:rsid w:val="00254E1D"/>
    <w:rsid w:val="00255315"/>
    <w:rsid w:val="002555B3"/>
    <w:rsid w:val="00255A0F"/>
    <w:rsid w:val="00255CA3"/>
    <w:rsid w:val="002564D8"/>
    <w:rsid w:val="002564F9"/>
    <w:rsid w:val="002567F2"/>
    <w:rsid w:val="00256B6F"/>
    <w:rsid w:val="00256EBF"/>
    <w:rsid w:val="00257037"/>
    <w:rsid w:val="00257128"/>
    <w:rsid w:val="00257CB5"/>
    <w:rsid w:val="00257E65"/>
    <w:rsid w:val="00260072"/>
    <w:rsid w:val="00260115"/>
    <w:rsid w:val="002601D9"/>
    <w:rsid w:val="002604B6"/>
    <w:rsid w:val="0026054A"/>
    <w:rsid w:val="002607CD"/>
    <w:rsid w:val="00260A1C"/>
    <w:rsid w:val="00260B13"/>
    <w:rsid w:val="00260B1F"/>
    <w:rsid w:val="00260C60"/>
    <w:rsid w:val="00260EB2"/>
    <w:rsid w:val="00260F85"/>
    <w:rsid w:val="002613A0"/>
    <w:rsid w:val="002613BF"/>
    <w:rsid w:val="00261628"/>
    <w:rsid w:val="00261DB9"/>
    <w:rsid w:val="00262081"/>
    <w:rsid w:val="00262564"/>
    <w:rsid w:val="002627BF"/>
    <w:rsid w:val="00262D03"/>
    <w:rsid w:val="00262D7E"/>
    <w:rsid w:val="00262F75"/>
    <w:rsid w:val="00263442"/>
    <w:rsid w:val="00263A20"/>
    <w:rsid w:val="00263BAE"/>
    <w:rsid w:val="00263CBA"/>
    <w:rsid w:val="00263E04"/>
    <w:rsid w:val="00264227"/>
    <w:rsid w:val="0026454E"/>
    <w:rsid w:val="00264568"/>
    <w:rsid w:val="002646E5"/>
    <w:rsid w:val="00264723"/>
    <w:rsid w:val="00264771"/>
    <w:rsid w:val="00264BBF"/>
    <w:rsid w:val="00264DCD"/>
    <w:rsid w:val="00264ED2"/>
    <w:rsid w:val="0026504C"/>
    <w:rsid w:val="00265118"/>
    <w:rsid w:val="00265481"/>
    <w:rsid w:val="00265518"/>
    <w:rsid w:val="0026567C"/>
    <w:rsid w:val="00265A7E"/>
    <w:rsid w:val="00265AB9"/>
    <w:rsid w:val="00265F31"/>
    <w:rsid w:val="00266622"/>
    <w:rsid w:val="00266846"/>
    <w:rsid w:val="0026687D"/>
    <w:rsid w:val="002668FD"/>
    <w:rsid w:val="00266DC7"/>
    <w:rsid w:val="00266E29"/>
    <w:rsid w:val="002671E2"/>
    <w:rsid w:val="00267472"/>
    <w:rsid w:val="00267961"/>
    <w:rsid w:val="00267989"/>
    <w:rsid w:val="00267D17"/>
    <w:rsid w:val="00267DAA"/>
    <w:rsid w:val="00267FC5"/>
    <w:rsid w:val="00267FE7"/>
    <w:rsid w:val="0027002D"/>
    <w:rsid w:val="002703B3"/>
    <w:rsid w:val="00270570"/>
    <w:rsid w:val="002706E6"/>
    <w:rsid w:val="002709FC"/>
    <w:rsid w:val="00270D13"/>
    <w:rsid w:val="0027145B"/>
    <w:rsid w:val="00271739"/>
    <w:rsid w:val="00271E89"/>
    <w:rsid w:val="00272327"/>
    <w:rsid w:val="00272394"/>
    <w:rsid w:val="002726F1"/>
    <w:rsid w:val="00272896"/>
    <w:rsid w:val="00272BC2"/>
    <w:rsid w:val="00272EEC"/>
    <w:rsid w:val="002733B6"/>
    <w:rsid w:val="002738B1"/>
    <w:rsid w:val="00273E1B"/>
    <w:rsid w:val="00273E5F"/>
    <w:rsid w:val="00273F59"/>
    <w:rsid w:val="0027447A"/>
    <w:rsid w:val="00274D0A"/>
    <w:rsid w:val="00275010"/>
    <w:rsid w:val="002750C2"/>
    <w:rsid w:val="002750DF"/>
    <w:rsid w:val="00275406"/>
    <w:rsid w:val="00275963"/>
    <w:rsid w:val="002759DE"/>
    <w:rsid w:val="00275B40"/>
    <w:rsid w:val="00275C05"/>
    <w:rsid w:val="00275D02"/>
    <w:rsid w:val="00275D21"/>
    <w:rsid w:val="00275DD7"/>
    <w:rsid w:val="00275ED4"/>
    <w:rsid w:val="002764C8"/>
    <w:rsid w:val="002769F6"/>
    <w:rsid w:val="00276D9D"/>
    <w:rsid w:val="00277046"/>
    <w:rsid w:val="002775DD"/>
    <w:rsid w:val="0027787B"/>
    <w:rsid w:val="0027795D"/>
    <w:rsid w:val="00277C4D"/>
    <w:rsid w:val="0028006E"/>
    <w:rsid w:val="0028037B"/>
    <w:rsid w:val="00280674"/>
    <w:rsid w:val="002808FB"/>
    <w:rsid w:val="00280986"/>
    <w:rsid w:val="00280AE3"/>
    <w:rsid w:val="00280B11"/>
    <w:rsid w:val="00280CD6"/>
    <w:rsid w:val="00280D72"/>
    <w:rsid w:val="00280F48"/>
    <w:rsid w:val="002810CE"/>
    <w:rsid w:val="0028116D"/>
    <w:rsid w:val="00281717"/>
    <w:rsid w:val="0028195F"/>
    <w:rsid w:val="00281C78"/>
    <w:rsid w:val="00281CD0"/>
    <w:rsid w:val="00281D00"/>
    <w:rsid w:val="00281DEB"/>
    <w:rsid w:val="002820B7"/>
    <w:rsid w:val="002825F5"/>
    <w:rsid w:val="00282614"/>
    <w:rsid w:val="00282CFF"/>
    <w:rsid w:val="00282D7A"/>
    <w:rsid w:val="002830F7"/>
    <w:rsid w:val="002830FA"/>
    <w:rsid w:val="00283259"/>
    <w:rsid w:val="00283268"/>
    <w:rsid w:val="002832E6"/>
    <w:rsid w:val="0028336E"/>
    <w:rsid w:val="00283756"/>
    <w:rsid w:val="002838F4"/>
    <w:rsid w:val="00283A7C"/>
    <w:rsid w:val="00283C16"/>
    <w:rsid w:val="00283E08"/>
    <w:rsid w:val="002841CB"/>
    <w:rsid w:val="002845AA"/>
    <w:rsid w:val="0028491C"/>
    <w:rsid w:val="00284A97"/>
    <w:rsid w:val="002850FC"/>
    <w:rsid w:val="00285181"/>
    <w:rsid w:val="002851D3"/>
    <w:rsid w:val="00285603"/>
    <w:rsid w:val="00285A98"/>
    <w:rsid w:val="0028618C"/>
    <w:rsid w:val="002862D8"/>
    <w:rsid w:val="002868D4"/>
    <w:rsid w:val="00286912"/>
    <w:rsid w:val="002869EC"/>
    <w:rsid w:val="00286A03"/>
    <w:rsid w:val="00286B4D"/>
    <w:rsid w:val="002870F7"/>
    <w:rsid w:val="00287B40"/>
    <w:rsid w:val="00287D31"/>
    <w:rsid w:val="00287FF7"/>
    <w:rsid w:val="00287FFB"/>
    <w:rsid w:val="00290131"/>
    <w:rsid w:val="0029018C"/>
    <w:rsid w:val="002902D3"/>
    <w:rsid w:val="00290356"/>
    <w:rsid w:val="0029055A"/>
    <w:rsid w:val="0029057F"/>
    <w:rsid w:val="00290771"/>
    <w:rsid w:val="0029087B"/>
    <w:rsid w:val="002908C6"/>
    <w:rsid w:val="00290AE5"/>
    <w:rsid w:val="00290C23"/>
    <w:rsid w:val="00290CCB"/>
    <w:rsid w:val="00291626"/>
    <w:rsid w:val="00291BEC"/>
    <w:rsid w:val="00291D9C"/>
    <w:rsid w:val="00291E21"/>
    <w:rsid w:val="00291F85"/>
    <w:rsid w:val="00292061"/>
    <w:rsid w:val="00292237"/>
    <w:rsid w:val="002923CB"/>
    <w:rsid w:val="0029247A"/>
    <w:rsid w:val="00292868"/>
    <w:rsid w:val="00292ABD"/>
    <w:rsid w:val="00293098"/>
    <w:rsid w:val="002931A2"/>
    <w:rsid w:val="00293739"/>
    <w:rsid w:val="0029386B"/>
    <w:rsid w:val="00293BA8"/>
    <w:rsid w:val="00293C5B"/>
    <w:rsid w:val="00293CCA"/>
    <w:rsid w:val="00293CE3"/>
    <w:rsid w:val="00293E8B"/>
    <w:rsid w:val="002941A5"/>
    <w:rsid w:val="00294A04"/>
    <w:rsid w:val="00294E99"/>
    <w:rsid w:val="0029528E"/>
    <w:rsid w:val="00295365"/>
    <w:rsid w:val="00295387"/>
    <w:rsid w:val="002956F6"/>
    <w:rsid w:val="0029573F"/>
    <w:rsid w:val="002958CA"/>
    <w:rsid w:val="00295C06"/>
    <w:rsid w:val="00296479"/>
    <w:rsid w:val="00296793"/>
    <w:rsid w:val="002974F9"/>
    <w:rsid w:val="002975B9"/>
    <w:rsid w:val="00297EAA"/>
    <w:rsid w:val="00297F42"/>
    <w:rsid w:val="002A070B"/>
    <w:rsid w:val="002A0E5E"/>
    <w:rsid w:val="002A0FA3"/>
    <w:rsid w:val="002A1481"/>
    <w:rsid w:val="002A1783"/>
    <w:rsid w:val="002A1ECB"/>
    <w:rsid w:val="002A212C"/>
    <w:rsid w:val="002A25EB"/>
    <w:rsid w:val="002A2AC5"/>
    <w:rsid w:val="002A2AD7"/>
    <w:rsid w:val="002A3020"/>
    <w:rsid w:val="002A31B8"/>
    <w:rsid w:val="002A321A"/>
    <w:rsid w:val="002A333F"/>
    <w:rsid w:val="002A349D"/>
    <w:rsid w:val="002A35D6"/>
    <w:rsid w:val="002A38E7"/>
    <w:rsid w:val="002A3902"/>
    <w:rsid w:val="002A3F45"/>
    <w:rsid w:val="002A407A"/>
    <w:rsid w:val="002A427B"/>
    <w:rsid w:val="002A46C6"/>
    <w:rsid w:val="002A4C3F"/>
    <w:rsid w:val="002A4E2E"/>
    <w:rsid w:val="002A4EB3"/>
    <w:rsid w:val="002A4F9F"/>
    <w:rsid w:val="002A5819"/>
    <w:rsid w:val="002A5822"/>
    <w:rsid w:val="002A59D5"/>
    <w:rsid w:val="002A5EFC"/>
    <w:rsid w:val="002A6333"/>
    <w:rsid w:val="002A692B"/>
    <w:rsid w:val="002A6A2C"/>
    <w:rsid w:val="002A6BA5"/>
    <w:rsid w:val="002A6CDB"/>
    <w:rsid w:val="002A6D65"/>
    <w:rsid w:val="002A7048"/>
    <w:rsid w:val="002A7250"/>
    <w:rsid w:val="002A72B0"/>
    <w:rsid w:val="002A761E"/>
    <w:rsid w:val="002A7678"/>
    <w:rsid w:val="002A78C2"/>
    <w:rsid w:val="002A7A66"/>
    <w:rsid w:val="002A7D2E"/>
    <w:rsid w:val="002A7D3B"/>
    <w:rsid w:val="002B03C0"/>
    <w:rsid w:val="002B042F"/>
    <w:rsid w:val="002B0718"/>
    <w:rsid w:val="002B09DB"/>
    <w:rsid w:val="002B0AC0"/>
    <w:rsid w:val="002B0CB4"/>
    <w:rsid w:val="002B0E09"/>
    <w:rsid w:val="002B0E95"/>
    <w:rsid w:val="002B1034"/>
    <w:rsid w:val="002B12AC"/>
    <w:rsid w:val="002B1422"/>
    <w:rsid w:val="002B1667"/>
    <w:rsid w:val="002B1928"/>
    <w:rsid w:val="002B1A5A"/>
    <w:rsid w:val="002B1A93"/>
    <w:rsid w:val="002B1BE6"/>
    <w:rsid w:val="002B1C2D"/>
    <w:rsid w:val="002B1F60"/>
    <w:rsid w:val="002B2007"/>
    <w:rsid w:val="002B2447"/>
    <w:rsid w:val="002B278D"/>
    <w:rsid w:val="002B27E0"/>
    <w:rsid w:val="002B2941"/>
    <w:rsid w:val="002B29FE"/>
    <w:rsid w:val="002B2B09"/>
    <w:rsid w:val="002B2E18"/>
    <w:rsid w:val="002B2F80"/>
    <w:rsid w:val="002B31C9"/>
    <w:rsid w:val="002B3372"/>
    <w:rsid w:val="002B34A5"/>
    <w:rsid w:val="002B360D"/>
    <w:rsid w:val="002B3764"/>
    <w:rsid w:val="002B38E5"/>
    <w:rsid w:val="002B4291"/>
    <w:rsid w:val="002B4305"/>
    <w:rsid w:val="002B4813"/>
    <w:rsid w:val="002B4833"/>
    <w:rsid w:val="002B4D74"/>
    <w:rsid w:val="002B4DAE"/>
    <w:rsid w:val="002B521A"/>
    <w:rsid w:val="002B53D0"/>
    <w:rsid w:val="002B561A"/>
    <w:rsid w:val="002B5647"/>
    <w:rsid w:val="002B57E1"/>
    <w:rsid w:val="002B590B"/>
    <w:rsid w:val="002B5A30"/>
    <w:rsid w:val="002B5D5B"/>
    <w:rsid w:val="002B642C"/>
    <w:rsid w:val="002B6633"/>
    <w:rsid w:val="002B6AD8"/>
    <w:rsid w:val="002B6B62"/>
    <w:rsid w:val="002B6C8B"/>
    <w:rsid w:val="002B6E2A"/>
    <w:rsid w:val="002B708E"/>
    <w:rsid w:val="002B733D"/>
    <w:rsid w:val="002B78A7"/>
    <w:rsid w:val="002C0177"/>
    <w:rsid w:val="002C0C5D"/>
    <w:rsid w:val="002C0DE6"/>
    <w:rsid w:val="002C0FBE"/>
    <w:rsid w:val="002C1703"/>
    <w:rsid w:val="002C18EF"/>
    <w:rsid w:val="002C1C24"/>
    <w:rsid w:val="002C1F46"/>
    <w:rsid w:val="002C1FFE"/>
    <w:rsid w:val="002C2080"/>
    <w:rsid w:val="002C2136"/>
    <w:rsid w:val="002C2232"/>
    <w:rsid w:val="002C23B1"/>
    <w:rsid w:val="002C28AA"/>
    <w:rsid w:val="002C2CF3"/>
    <w:rsid w:val="002C32A8"/>
    <w:rsid w:val="002C33CC"/>
    <w:rsid w:val="002C3432"/>
    <w:rsid w:val="002C362D"/>
    <w:rsid w:val="002C3885"/>
    <w:rsid w:val="002C3D8F"/>
    <w:rsid w:val="002C42CF"/>
    <w:rsid w:val="002C434B"/>
    <w:rsid w:val="002C4432"/>
    <w:rsid w:val="002C4979"/>
    <w:rsid w:val="002C49B5"/>
    <w:rsid w:val="002C4C00"/>
    <w:rsid w:val="002C4F4E"/>
    <w:rsid w:val="002C4F68"/>
    <w:rsid w:val="002C4FDF"/>
    <w:rsid w:val="002C5698"/>
    <w:rsid w:val="002C5700"/>
    <w:rsid w:val="002C58CB"/>
    <w:rsid w:val="002C5BE6"/>
    <w:rsid w:val="002C5E48"/>
    <w:rsid w:val="002C5FC7"/>
    <w:rsid w:val="002C672B"/>
    <w:rsid w:val="002C6905"/>
    <w:rsid w:val="002C6CDA"/>
    <w:rsid w:val="002C71D9"/>
    <w:rsid w:val="002C71F6"/>
    <w:rsid w:val="002C7934"/>
    <w:rsid w:val="002C7C3E"/>
    <w:rsid w:val="002C7EC5"/>
    <w:rsid w:val="002D0188"/>
    <w:rsid w:val="002D0236"/>
    <w:rsid w:val="002D05B3"/>
    <w:rsid w:val="002D06C7"/>
    <w:rsid w:val="002D0AA6"/>
    <w:rsid w:val="002D0D2F"/>
    <w:rsid w:val="002D0D95"/>
    <w:rsid w:val="002D0DA3"/>
    <w:rsid w:val="002D1176"/>
    <w:rsid w:val="002D1453"/>
    <w:rsid w:val="002D1499"/>
    <w:rsid w:val="002D1532"/>
    <w:rsid w:val="002D1644"/>
    <w:rsid w:val="002D180D"/>
    <w:rsid w:val="002D1B62"/>
    <w:rsid w:val="002D1EC9"/>
    <w:rsid w:val="002D2240"/>
    <w:rsid w:val="002D22A3"/>
    <w:rsid w:val="002D2916"/>
    <w:rsid w:val="002D2A05"/>
    <w:rsid w:val="002D2B9B"/>
    <w:rsid w:val="002D2CED"/>
    <w:rsid w:val="002D2D33"/>
    <w:rsid w:val="002D2E28"/>
    <w:rsid w:val="002D2F3F"/>
    <w:rsid w:val="002D323E"/>
    <w:rsid w:val="002D36FB"/>
    <w:rsid w:val="002D3B0F"/>
    <w:rsid w:val="002D3C5D"/>
    <w:rsid w:val="002D3E30"/>
    <w:rsid w:val="002D3E5E"/>
    <w:rsid w:val="002D3FFD"/>
    <w:rsid w:val="002D4258"/>
    <w:rsid w:val="002D44C4"/>
    <w:rsid w:val="002D4520"/>
    <w:rsid w:val="002D46A8"/>
    <w:rsid w:val="002D46B2"/>
    <w:rsid w:val="002D47E8"/>
    <w:rsid w:val="002D48A5"/>
    <w:rsid w:val="002D494A"/>
    <w:rsid w:val="002D4D38"/>
    <w:rsid w:val="002D50B0"/>
    <w:rsid w:val="002D51ED"/>
    <w:rsid w:val="002D5251"/>
    <w:rsid w:val="002D5380"/>
    <w:rsid w:val="002D558D"/>
    <w:rsid w:val="002D55E3"/>
    <w:rsid w:val="002D56FF"/>
    <w:rsid w:val="002D5BB7"/>
    <w:rsid w:val="002D5DDF"/>
    <w:rsid w:val="002D5EAA"/>
    <w:rsid w:val="002D6194"/>
    <w:rsid w:val="002D623C"/>
    <w:rsid w:val="002D6765"/>
    <w:rsid w:val="002D683F"/>
    <w:rsid w:val="002D69D9"/>
    <w:rsid w:val="002D6B2E"/>
    <w:rsid w:val="002D6CB7"/>
    <w:rsid w:val="002D7330"/>
    <w:rsid w:val="002D75DC"/>
    <w:rsid w:val="002D78E1"/>
    <w:rsid w:val="002D78EB"/>
    <w:rsid w:val="002D7B70"/>
    <w:rsid w:val="002D7D4A"/>
    <w:rsid w:val="002D7D6F"/>
    <w:rsid w:val="002D7D72"/>
    <w:rsid w:val="002E0071"/>
    <w:rsid w:val="002E02AA"/>
    <w:rsid w:val="002E02B0"/>
    <w:rsid w:val="002E03E9"/>
    <w:rsid w:val="002E0708"/>
    <w:rsid w:val="002E08A7"/>
    <w:rsid w:val="002E0901"/>
    <w:rsid w:val="002E0ADD"/>
    <w:rsid w:val="002E0AF6"/>
    <w:rsid w:val="002E0D06"/>
    <w:rsid w:val="002E11BC"/>
    <w:rsid w:val="002E136B"/>
    <w:rsid w:val="002E1453"/>
    <w:rsid w:val="002E17C4"/>
    <w:rsid w:val="002E182B"/>
    <w:rsid w:val="002E192F"/>
    <w:rsid w:val="002E1EFF"/>
    <w:rsid w:val="002E1F62"/>
    <w:rsid w:val="002E1F96"/>
    <w:rsid w:val="002E204A"/>
    <w:rsid w:val="002E2163"/>
    <w:rsid w:val="002E216D"/>
    <w:rsid w:val="002E21D9"/>
    <w:rsid w:val="002E22C1"/>
    <w:rsid w:val="002E258C"/>
    <w:rsid w:val="002E280F"/>
    <w:rsid w:val="002E2865"/>
    <w:rsid w:val="002E2DF9"/>
    <w:rsid w:val="002E3565"/>
    <w:rsid w:val="002E35B2"/>
    <w:rsid w:val="002E3D2C"/>
    <w:rsid w:val="002E3D5F"/>
    <w:rsid w:val="002E3FEC"/>
    <w:rsid w:val="002E4022"/>
    <w:rsid w:val="002E4059"/>
    <w:rsid w:val="002E41C1"/>
    <w:rsid w:val="002E4751"/>
    <w:rsid w:val="002E4C6B"/>
    <w:rsid w:val="002E4D27"/>
    <w:rsid w:val="002E4D96"/>
    <w:rsid w:val="002E4E6F"/>
    <w:rsid w:val="002E501C"/>
    <w:rsid w:val="002E52ED"/>
    <w:rsid w:val="002E535F"/>
    <w:rsid w:val="002E5406"/>
    <w:rsid w:val="002E57EB"/>
    <w:rsid w:val="002E58EC"/>
    <w:rsid w:val="002E5975"/>
    <w:rsid w:val="002E5976"/>
    <w:rsid w:val="002E5C58"/>
    <w:rsid w:val="002E5CDB"/>
    <w:rsid w:val="002E5EDC"/>
    <w:rsid w:val="002E5F3B"/>
    <w:rsid w:val="002E621E"/>
    <w:rsid w:val="002E62C0"/>
    <w:rsid w:val="002E637D"/>
    <w:rsid w:val="002E64FB"/>
    <w:rsid w:val="002E66F9"/>
    <w:rsid w:val="002E671D"/>
    <w:rsid w:val="002E6D9B"/>
    <w:rsid w:val="002E7098"/>
    <w:rsid w:val="002E7266"/>
    <w:rsid w:val="002E72BE"/>
    <w:rsid w:val="002E78AC"/>
    <w:rsid w:val="002F002D"/>
    <w:rsid w:val="002F018E"/>
    <w:rsid w:val="002F0272"/>
    <w:rsid w:val="002F02D0"/>
    <w:rsid w:val="002F0457"/>
    <w:rsid w:val="002F0B0E"/>
    <w:rsid w:val="002F0F14"/>
    <w:rsid w:val="002F1219"/>
    <w:rsid w:val="002F17B0"/>
    <w:rsid w:val="002F1A1E"/>
    <w:rsid w:val="002F1BC5"/>
    <w:rsid w:val="002F2130"/>
    <w:rsid w:val="002F26AD"/>
    <w:rsid w:val="002F27E4"/>
    <w:rsid w:val="002F28CC"/>
    <w:rsid w:val="002F2BE2"/>
    <w:rsid w:val="002F3168"/>
    <w:rsid w:val="002F32A6"/>
    <w:rsid w:val="002F32DA"/>
    <w:rsid w:val="002F34A5"/>
    <w:rsid w:val="002F359C"/>
    <w:rsid w:val="002F3775"/>
    <w:rsid w:val="002F3B94"/>
    <w:rsid w:val="002F3C43"/>
    <w:rsid w:val="002F3CFD"/>
    <w:rsid w:val="002F404B"/>
    <w:rsid w:val="002F419A"/>
    <w:rsid w:val="002F42CC"/>
    <w:rsid w:val="002F4432"/>
    <w:rsid w:val="002F456A"/>
    <w:rsid w:val="002F47D5"/>
    <w:rsid w:val="002F49BC"/>
    <w:rsid w:val="002F4C81"/>
    <w:rsid w:val="002F524C"/>
    <w:rsid w:val="002F5255"/>
    <w:rsid w:val="002F52F0"/>
    <w:rsid w:val="002F53D4"/>
    <w:rsid w:val="002F569B"/>
    <w:rsid w:val="002F56E2"/>
    <w:rsid w:val="002F5751"/>
    <w:rsid w:val="002F58C8"/>
    <w:rsid w:val="002F58E9"/>
    <w:rsid w:val="002F590C"/>
    <w:rsid w:val="002F5957"/>
    <w:rsid w:val="002F5BEF"/>
    <w:rsid w:val="002F5C50"/>
    <w:rsid w:val="002F5CFB"/>
    <w:rsid w:val="002F5D56"/>
    <w:rsid w:val="002F5F9D"/>
    <w:rsid w:val="002F6187"/>
    <w:rsid w:val="002F6557"/>
    <w:rsid w:val="002F676C"/>
    <w:rsid w:val="002F6859"/>
    <w:rsid w:val="002F6D46"/>
    <w:rsid w:val="002F6F23"/>
    <w:rsid w:val="002F7023"/>
    <w:rsid w:val="002F7466"/>
    <w:rsid w:val="002F7978"/>
    <w:rsid w:val="002F7A0C"/>
    <w:rsid w:val="002F7BD2"/>
    <w:rsid w:val="002F7D8D"/>
    <w:rsid w:val="003000D1"/>
    <w:rsid w:val="0030017C"/>
    <w:rsid w:val="00300182"/>
    <w:rsid w:val="0030040A"/>
    <w:rsid w:val="00300A25"/>
    <w:rsid w:val="00300A74"/>
    <w:rsid w:val="00300B45"/>
    <w:rsid w:val="00300B5F"/>
    <w:rsid w:val="00300CC9"/>
    <w:rsid w:val="00300DC9"/>
    <w:rsid w:val="00300F9E"/>
    <w:rsid w:val="003011E4"/>
    <w:rsid w:val="003011F7"/>
    <w:rsid w:val="00301213"/>
    <w:rsid w:val="003012DC"/>
    <w:rsid w:val="003015CE"/>
    <w:rsid w:val="00301823"/>
    <w:rsid w:val="0030191A"/>
    <w:rsid w:val="00301AC9"/>
    <w:rsid w:val="003023BA"/>
    <w:rsid w:val="0030257F"/>
    <w:rsid w:val="00302B2A"/>
    <w:rsid w:val="00302B6B"/>
    <w:rsid w:val="003030C8"/>
    <w:rsid w:val="0030323E"/>
    <w:rsid w:val="00303348"/>
    <w:rsid w:val="0030342F"/>
    <w:rsid w:val="0030380B"/>
    <w:rsid w:val="003038A8"/>
    <w:rsid w:val="00303D75"/>
    <w:rsid w:val="00303E5F"/>
    <w:rsid w:val="00303E76"/>
    <w:rsid w:val="00303F76"/>
    <w:rsid w:val="0030408A"/>
    <w:rsid w:val="003044DE"/>
    <w:rsid w:val="00304752"/>
    <w:rsid w:val="003048A6"/>
    <w:rsid w:val="00304B1B"/>
    <w:rsid w:val="00304BB2"/>
    <w:rsid w:val="00304CF5"/>
    <w:rsid w:val="00304E78"/>
    <w:rsid w:val="0030565E"/>
    <w:rsid w:val="003060E1"/>
    <w:rsid w:val="00306859"/>
    <w:rsid w:val="00306C27"/>
    <w:rsid w:val="00306C6F"/>
    <w:rsid w:val="00306DD1"/>
    <w:rsid w:val="003070D0"/>
    <w:rsid w:val="00307174"/>
    <w:rsid w:val="003075B5"/>
    <w:rsid w:val="00307823"/>
    <w:rsid w:val="0030786A"/>
    <w:rsid w:val="00307918"/>
    <w:rsid w:val="00307BC3"/>
    <w:rsid w:val="00307DF7"/>
    <w:rsid w:val="00307E62"/>
    <w:rsid w:val="0031020F"/>
    <w:rsid w:val="00310573"/>
    <w:rsid w:val="003105A0"/>
    <w:rsid w:val="00310952"/>
    <w:rsid w:val="00310A91"/>
    <w:rsid w:val="00310C2D"/>
    <w:rsid w:val="00310DEB"/>
    <w:rsid w:val="003116B6"/>
    <w:rsid w:val="003119AF"/>
    <w:rsid w:val="003119CF"/>
    <w:rsid w:val="00311A9D"/>
    <w:rsid w:val="00311C72"/>
    <w:rsid w:val="00311CC8"/>
    <w:rsid w:val="00312126"/>
    <w:rsid w:val="003124AF"/>
    <w:rsid w:val="0031250E"/>
    <w:rsid w:val="0031258E"/>
    <w:rsid w:val="003126D5"/>
    <w:rsid w:val="00312875"/>
    <w:rsid w:val="00312986"/>
    <w:rsid w:val="00312A62"/>
    <w:rsid w:val="00312CD0"/>
    <w:rsid w:val="00312EA0"/>
    <w:rsid w:val="00312ECB"/>
    <w:rsid w:val="00313081"/>
    <w:rsid w:val="0031322A"/>
    <w:rsid w:val="003133FC"/>
    <w:rsid w:val="00313673"/>
    <w:rsid w:val="0031383B"/>
    <w:rsid w:val="00313AD3"/>
    <w:rsid w:val="00313AFF"/>
    <w:rsid w:val="00313C63"/>
    <w:rsid w:val="00313EDD"/>
    <w:rsid w:val="003141F9"/>
    <w:rsid w:val="0031424B"/>
    <w:rsid w:val="00314349"/>
    <w:rsid w:val="00314BFE"/>
    <w:rsid w:val="00314EC6"/>
    <w:rsid w:val="00315646"/>
    <w:rsid w:val="003157BA"/>
    <w:rsid w:val="0031658C"/>
    <w:rsid w:val="003165B2"/>
    <w:rsid w:val="00316971"/>
    <w:rsid w:val="003173B4"/>
    <w:rsid w:val="0031775D"/>
    <w:rsid w:val="00317A4A"/>
    <w:rsid w:val="00317CB7"/>
    <w:rsid w:val="00317E74"/>
    <w:rsid w:val="00317EEC"/>
    <w:rsid w:val="00317F34"/>
    <w:rsid w:val="003201CD"/>
    <w:rsid w:val="00320450"/>
    <w:rsid w:val="00320645"/>
    <w:rsid w:val="0032082B"/>
    <w:rsid w:val="003208B9"/>
    <w:rsid w:val="00320A87"/>
    <w:rsid w:val="00320EED"/>
    <w:rsid w:val="00320F73"/>
    <w:rsid w:val="0032160F"/>
    <w:rsid w:val="0032162A"/>
    <w:rsid w:val="00321664"/>
    <w:rsid w:val="00321913"/>
    <w:rsid w:val="00321B08"/>
    <w:rsid w:val="00321E04"/>
    <w:rsid w:val="0032243A"/>
    <w:rsid w:val="00322503"/>
    <w:rsid w:val="003225B1"/>
    <w:rsid w:val="0032266C"/>
    <w:rsid w:val="003226AA"/>
    <w:rsid w:val="003227DC"/>
    <w:rsid w:val="0032297E"/>
    <w:rsid w:val="00322C84"/>
    <w:rsid w:val="00322CF6"/>
    <w:rsid w:val="00323381"/>
    <w:rsid w:val="00323690"/>
    <w:rsid w:val="00323734"/>
    <w:rsid w:val="003237DF"/>
    <w:rsid w:val="003239D1"/>
    <w:rsid w:val="00323B9B"/>
    <w:rsid w:val="00323BBB"/>
    <w:rsid w:val="00324168"/>
    <w:rsid w:val="00324855"/>
    <w:rsid w:val="00324B42"/>
    <w:rsid w:val="00324D29"/>
    <w:rsid w:val="00325120"/>
    <w:rsid w:val="00325270"/>
    <w:rsid w:val="00325491"/>
    <w:rsid w:val="00325667"/>
    <w:rsid w:val="00325678"/>
    <w:rsid w:val="003256BD"/>
    <w:rsid w:val="00325949"/>
    <w:rsid w:val="00325EB6"/>
    <w:rsid w:val="0032608A"/>
    <w:rsid w:val="003260D5"/>
    <w:rsid w:val="00326302"/>
    <w:rsid w:val="00326374"/>
    <w:rsid w:val="0032649C"/>
    <w:rsid w:val="00326528"/>
    <w:rsid w:val="003269A5"/>
    <w:rsid w:val="00326C1F"/>
    <w:rsid w:val="0032711F"/>
    <w:rsid w:val="003272DE"/>
    <w:rsid w:val="003275A0"/>
    <w:rsid w:val="003276AF"/>
    <w:rsid w:val="00327A13"/>
    <w:rsid w:val="00327C85"/>
    <w:rsid w:val="00330007"/>
    <w:rsid w:val="003303CB"/>
    <w:rsid w:val="00330F43"/>
    <w:rsid w:val="00330FBA"/>
    <w:rsid w:val="0033134E"/>
    <w:rsid w:val="00331397"/>
    <w:rsid w:val="0033158E"/>
    <w:rsid w:val="00331641"/>
    <w:rsid w:val="0033171C"/>
    <w:rsid w:val="00331937"/>
    <w:rsid w:val="00331F13"/>
    <w:rsid w:val="00331F2C"/>
    <w:rsid w:val="00331F8E"/>
    <w:rsid w:val="00332418"/>
    <w:rsid w:val="00332495"/>
    <w:rsid w:val="0033255E"/>
    <w:rsid w:val="00332644"/>
    <w:rsid w:val="00332D5E"/>
    <w:rsid w:val="00332E1D"/>
    <w:rsid w:val="00332E5D"/>
    <w:rsid w:val="00332E9A"/>
    <w:rsid w:val="00332F99"/>
    <w:rsid w:val="0033309A"/>
    <w:rsid w:val="00333194"/>
    <w:rsid w:val="003331F8"/>
    <w:rsid w:val="0033328E"/>
    <w:rsid w:val="003334AC"/>
    <w:rsid w:val="00333650"/>
    <w:rsid w:val="00333671"/>
    <w:rsid w:val="00333801"/>
    <w:rsid w:val="0033381A"/>
    <w:rsid w:val="00333AEC"/>
    <w:rsid w:val="003340C6"/>
    <w:rsid w:val="00334400"/>
    <w:rsid w:val="0033443D"/>
    <w:rsid w:val="003344C2"/>
    <w:rsid w:val="0033464E"/>
    <w:rsid w:val="003347DE"/>
    <w:rsid w:val="003350DF"/>
    <w:rsid w:val="003359CA"/>
    <w:rsid w:val="00335A9C"/>
    <w:rsid w:val="00335DB4"/>
    <w:rsid w:val="00335E70"/>
    <w:rsid w:val="00335F73"/>
    <w:rsid w:val="00335FED"/>
    <w:rsid w:val="0033613C"/>
    <w:rsid w:val="003362FA"/>
    <w:rsid w:val="003365DF"/>
    <w:rsid w:val="003365F9"/>
    <w:rsid w:val="00336D44"/>
    <w:rsid w:val="00336D50"/>
    <w:rsid w:val="00336FE8"/>
    <w:rsid w:val="0033703F"/>
    <w:rsid w:val="00337059"/>
    <w:rsid w:val="00337202"/>
    <w:rsid w:val="00337307"/>
    <w:rsid w:val="00337318"/>
    <w:rsid w:val="003375EF"/>
    <w:rsid w:val="00337675"/>
    <w:rsid w:val="00337A9C"/>
    <w:rsid w:val="00337D19"/>
    <w:rsid w:val="003400A2"/>
    <w:rsid w:val="003405C4"/>
    <w:rsid w:val="0034062A"/>
    <w:rsid w:val="0034073D"/>
    <w:rsid w:val="003407B1"/>
    <w:rsid w:val="00340E63"/>
    <w:rsid w:val="003411B3"/>
    <w:rsid w:val="00341358"/>
    <w:rsid w:val="00341466"/>
    <w:rsid w:val="003416A5"/>
    <w:rsid w:val="00341C4A"/>
    <w:rsid w:val="00341DF5"/>
    <w:rsid w:val="00341E6B"/>
    <w:rsid w:val="00341FBE"/>
    <w:rsid w:val="00342210"/>
    <w:rsid w:val="0034237D"/>
    <w:rsid w:val="00342483"/>
    <w:rsid w:val="00342610"/>
    <w:rsid w:val="003428F5"/>
    <w:rsid w:val="00342EDA"/>
    <w:rsid w:val="00342FA1"/>
    <w:rsid w:val="00342FD7"/>
    <w:rsid w:val="003436DE"/>
    <w:rsid w:val="0034381C"/>
    <w:rsid w:val="003438C7"/>
    <w:rsid w:val="00343A44"/>
    <w:rsid w:val="00343C5A"/>
    <w:rsid w:val="00344142"/>
    <w:rsid w:val="00344380"/>
    <w:rsid w:val="003445D2"/>
    <w:rsid w:val="0034463E"/>
    <w:rsid w:val="0034480D"/>
    <w:rsid w:val="00344B29"/>
    <w:rsid w:val="00344C72"/>
    <w:rsid w:val="00345452"/>
    <w:rsid w:val="00345577"/>
    <w:rsid w:val="00345644"/>
    <w:rsid w:val="003456F6"/>
    <w:rsid w:val="00345ABF"/>
    <w:rsid w:val="00345B69"/>
    <w:rsid w:val="00345CFE"/>
    <w:rsid w:val="00345F75"/>
    <w:rsid w:val="003461E3"/>
    <w:rsid w:val="00346291"/>
    <w:rsid w:val="003462DD"/>
    <w:rsid w:val="003462DE"/>
    <w:rsid w:val="00346391"/>
    <w:rsid w:val="00346453"/>
    <w:rsid w:val="0034692B"/>
    <w:rsid w:val="00346F80"/>
    <w:rsid w:val="00347B6B"/>
    <w:rsid w:val="00347D23"/>
    <w:rsid w:val="0035044E"/>
    <w:rsid w:val="00350934"/>
    <w:rsid w:val="00350A30"/>
    <w:rsid w:val="00350B44"/>
    <w:rsid w:val="00350CAE"/>
    <w:rsid w:val="00350DE7"/>
    <w:rsid w:val="00351079"/>
    <w:rsid w:val="00351194"/>
    <w:rsid w:val="003514F3"/>
    <w:rsid w:val="00351982"/>
    <w:rsid w:val="00351ACD"/>
    <w:rsid w:val="0035213C"/>
    <w:rsid w:val="0035289E"/>
    <w:rsid w:val="003528EB"/>
    <w:rsid w:val="00352D7B"/>
    <w:rsid w:val="00352E4B"/>
    <w:rsid w:val="00352F1F"/>
    <w:rsid w:val="00353098"/>
    <w:rsid w:val="00353295"/>
    <w:rsid w:val="0035351D"/>
    <w:rsid w:val="00353600"/>
    <w:rsid w:val="00353877"/>
    <w:rsid w:val="00353F6E"/>
    <w:rsid w:val="00353F79"/>
    <w:rsid w:val="003544FF"/>
    <w:rsid w:val="0035460B"/>
    <w:rsid w:val="003546D9"/>
    <w:rsid w:val="00354AD7"/>
    <w:rsid w:val="00355155"/>
    <w:rsid w:val="0035515B"/>
    <w:rsid w:val="00355305"/>
    <w:rsid w:val="00355365"/>
    <w:rsid w:val="00355429"/>
    <w:rsid w:val="00355750"/>
    <w:rsid w:val="00355C69"/>
    <w:rsid w:val="00355D9F"/>
    <w:rsid w:val="00355DC6"/>
    <w:rsid w:val="00356049"/>
    <w:rsid w:val="003563FF"/>
    <w:rsid w:val="003566EB"/>
    <w:rsid w:val="0035685B"/>
    <w:rsid w:val="00356960"/>
    <w:rsid w:val="00356A1D"/>
    <w:rsid w:val="00356B74"/>
    <w:rsid w:val="00356DE0"/>
    <w:rsid w:val="00356E45"/>
    <w:rsid w:val="003570C8"/>
    <w:rsid w:val="0035716F"/>
    <w:rsid w:val="00357183"/>
    <w:rsid w:val="00357B2D"/>
    <w:rsid w:val="00357CEC"/>
    <w:rsid w:val="0036003E"/>
    <w:rsid w:val="0036013A"/>
    <w:rsid w:val="003604A0"/>
    <w:rsid w:val="0036077F"/>
    <w:rsid w:val="00360780"/>
    <w:rsid w:val="0036088B"/>
    <w:rsid w:val="003608B5"/>
    <w:rsid w:val="00360911"/>
    <w:rsid w:val="00360A35"/>
    <w:rsid w:val="00360D50"/>
    <w:rsid w:val="003610C3"/>
    <w:rsid w:val="00361384"/>
    <w:rsid w:val="003617BC"/>
    <w:rsid w:val="00361BFD"/>
    <w:rsid w:val="00361DC8"/>
    <w:rsid w:val="00361EC5"/>
    <w:rsid w:val="003620EF"/>
    <w:rsid w:val="00362186"/>
    <w:rsid w:val="003625A9"/>
    <w:rsid w:val="00362BA9"/>
    <w:rsid w:val="00362BF6"/>
    <w:rsid w:val="00362D87"/>
    <w:rsid w:val="003636D9"/>
    <w:rsid w:val="00363975"/>
    <w:rsid w:val="003639E9"/>
    <w:rsid w:val="00363BCE"/>
    <w:rsid w:val="00363EC7"/>
    <w:rsid w:val="003647D6"/>
    <w:rsid w:val="003647FC"/>
    <w:rsid w:val="003648E5"/>
    <w:rsid w:val="00364BD6"/>
    <w:rsid w:val="00364F66"/>
    <w:rsid w:val="00364FDA"/>
    <w:rsid w:val="003651F5"/>
    <w:rsid w:val="003652D8"/>
    <w:rsid w:val="00365529"/>
    <w:rsid w:val="00365597"/>
    <w:rsid w:val="00365815"/>
    <w:rsid w:val="00365A3D"/>
    <w:rsid w:val="00365B80"/>
    <w:rsid w:val="00366184"/>
    <w:rsid w:val="0036618F"/>
    <w:rsid w:val="003667AE"/>
    <w:rsid w:val="003667FB"/>
    <w:rsid w:val="00366D3C"/>
    <w:rsid w:val="00366E05"/>
    <w:rsid w:val="00366E83"/>
    <w:rsid w:val="0036700B"/>
    <w:rsid w:val="0036741E"/>
    <w:rsid w:val="00367AB1"/>
    <w:rsid w:val="00367D20"/>
    <w:rsid w:val="00367FA0"/>
    <w:rsid w:val="00367FC7"/>
    <w:rsid w:val="00370090"/>
    <w:rsid w:val="00370202"/>
    <w:rsid w:val="00370502"/>
    <w:rsid w:val="003707B6"/>
    <w:rsid w:val="00370A02"/>
    <w:rsid w:val="00370B43"/>
    <w:rsid w:val="00370D37"/>
    <w:rsid w:val="0037110D"/>
    <w:rsid w:val="0037122A"/>
    <w:rsid w:val="0037148A"/>
    <w:rsid w:val="00371DB1"/>
    <w:rsid w:val="00372359"/>
    <w:rsid w:val="00372F59"/>
    <w:rsid w:val="003732EA"/>
    <w:rsid w:val="003737F0"/>
    <w:rsid w:val="00373812"/>
    <w:rsid w:val="003738CD"/>
    <w:rsid w:val="003741A9"/>
    <w:rsid w:val="003747E6"/>
    <w:rsid w:val="003747E7"/>
    <w:rsid w:val="003749B6"/>
    <w:rsid w:val="00374A05"/>
    <w:rsid w:val="00374BC0"/>
    <w:rsid w:val="00375137"/>
    <w:rsid w:val="0037529A"/>
    <w:rsid w:val="003752B4"/>
    <w:rsid w:val="0037531E"/>
    <w:rsid w:val="003753E0"/>
    <w:rsid w:val="0037594E"/>
    <w:rsid w:val="00375BD0"/>
    <w:rsid w:val="0037613D"/>
    <w:rsid w:val="003765B7"/>
    <w:rsid w:val="00376940"/>
    <w:rsid w:val="00376D7E"/>
    <w:rsid w:val="003777A3"/>
    <w:rsid w:val="00377A61"/>
    <w:rsid w:val="00380308"/>
    <w:rsid w:val="0038038B"/>
    <w:rsid w:val="00380428"/>
    <w:rsid w:val="00380569"/>
    <w:rsid w:val="00380A72"/>
    <w:rsid w:val="00380D99"/>
    <w:rsid w:val="00380EEF"/>
    <w:rsid w:val="00380F5E"/>
    <w:rsid w:val="00381073"/>
    <w:rsid w:val="00381203"/>
    <w:rsid w:val="00381605"/>
    <w:rsid w:val="0038161E"/>
    <w:rsid w:val="003816B6"/>
    <w:rsid w:val="00381A6F"/>
    <w:rsid w:val="00381FC1"/>
    <w:rsid w:val="00381FE0"/>
    <w:rsid w:val="003821BC"/>
    <w:rsid w:val="003822E2"/>
    <w:rsid w:val="0038272C"/>
    <w:rsid w:val="00382B11"/>
    <w:rsid w:val="00382B19"/>
    <w:rsid w:val="00382B49"/>
    <w:rsid w:val="00382CF1"/>
    <w:rsid w:val="00382FD3"/>
    <w:rsid w:val="00383BA9"/>
    <w:rsid w:val="00383C49"/>
    <w:rsid w:val="00383E02"/>
    <w:rsid w:val="0038417C"/>
    <w:rsid w:val="003842C1"/>
    <w:rsid w:val="00384AAE"/>
    <w:rsid w:val="00384AF1"/>
    <w:rsid w:val="00384BA1"/>
    <w:rsid w:val="00384FF0"/>
    <w:rsid w:val="0038574A"/>
    <w:rsid w:val="003857FC"/>
    <w:rsid w:val="0038592D"/>
    <w:rsid w:val="00385CEE"/>
    <w:rsid w:val="00386241"/>
    <w:rsid w:val="003868CA"/>
    <w:rsid w:val="00386F12"/>
    <w:rsid w:val="00386F78"/>
    <w:rsid w:val="0038785C"/>
    <w:rsid w:val="00387891"/>
    <w:rsid w:val="00387BA6"/>
    <w:rsid w:val="00387F07"/>
    <w:rsid w:val="003902C5"/>
    <w:rsid w:val="003902D3"/>
    <w:rsid w:val="0039064F"/>
    <w:rsid w:val="00390917"/>
    <w:rsid w:val="0039091E"/>
    <w:rsid w:val="0039096B"/>
    <w:rsid w:val="00391142"/>
    <w:rsid w:val="003911A8"/>
    <w:rsid w:val="003911F6"/>
    <w:rsid w:val="00391597"/>
    <w:rsid w:val="0039184A"/>
    <w:rsid w:val="00391A15"/>
    <w:rsid w:val="00391DE5"/>
    <w:rsid w:val="00391EFF"/>
    <w:rsid w:val="00391F47"/>
    <w:rsid w:val="00392025"/>
    <w:rsid w:val="00392333"/>
    <w:rsid w:val="003927A6"/>
    <w:rsid w:val="003930D6"/>
    <w:rsid w:val="0039314E"/>
    <w:rsid w:val="0039338C"/>
    <w:rsid w:val="0039375A"/>
    <w:rsid w:val="00393899"/>
    <w:rsid w:val="0039393E"/>
    <w:rsid w:val="003944A7"/>
    <w:rsid w:val="003944AD"/>
    <w:rsid w:val="003949C6"/>
    <w:rsid w:val="00394A75"/>
    <w:rsid w:val="00394AA3"/>
    <w:rsid w:val="00394C20"/>
    <w:rsid w:val="00394C67"/>
    <w:rsid w:val="00394D2F"/>
    <w:rsid w:val="00394DF9"/>
    <w:rsid w:val="00394F8D"/>
    <w:rsid w:val="003954A5"/>
    <w:rsid w:val="003955D2"/>
    <w:rsid w:val="00395757"/>
    <w:rsid w:val="00395C06"/>
    <w:rsid w:val="00395CAA"/>
    <w:rsid w:val="0039611C"/>
    <w:rsid w:val="003962D5"/>
    <w:rsid w:val="00396947"/>
    <w:rsid w:val="00396970"/>
    <w:rsid w:val="00396E2B"/>
    <w:rsid w:val="003975DD"/>
    <w:rsid w:val="0039783D"/>
    <w:rsid w:val="0039795E"/>
    <w:rsid w:val="00397A2C"/>
    <w:rsid w:val="00397DD7"/>
    <w:rsid w:val="00397F23"/>
    <w:rsid w:val="003A02FC"/>
    <w:rsid w:val="003A0900"/>
    <w:rsid w:val="003A0A6C"/>
    <w:rsid w:val="003A122C"/>
    <w:rsid w:val="003A1259"/>
    <w:rsid w:val="003A12D8"/>
    <w:rsid w:val="003A1769"/>
    <w:rsid w:val="003A17D5"/>
    <w:rsid w:val="003A1913"/>
    <w:rsid w:val="003A1CAF"/>
    <w:rsid w:val="003A1EEF"/>
    <w:rsid w:val="003A2113"/>
    <w:rsid w:val="003A2776"/>
    <w:rsid w:val="003A2B4E"/>
    <w:rsid w:val="003A2DFA"/>
    <w:rsid w:val="003A31C9"/>
    <w:rsid w:val="003A3284"/>
    <w:rsid w:val="003A3369"/>
    <w:rsid w:val="003A3370"/>
    <w:rsid w:val="003A4201"/>
    <w:rsid w:val="003A4226"/>
    <w:rsid w:val="003A448A"/>
    <w:rsid w:val="003A4E26"/>
    <w:rsid w:val="003A4E9B"/>
    <w:rsid w:val="003A51CB"/>
    <w:rsid w:val="003A5297"/>
    <w:rsid w:val="003A52AF"/>
    <w:rsid w:val="003A5422"/>
    <w:rsid w:val="003A58AD"/>
    <w:rsid w:val="003A62BC"/>
    <w:rsid w:val="003A6414"/>
    <w:rsid w:val="003A6769"/>
    <w:rsid w:val="003A69DB"/>
    <w:rsid w:val="003A7215"/>
    <w:rsid w:val="003A735C"/>
    <w:rsid w:val="003A7439"/>
    <w:rsid w:val="003A757D"/>
    <w:rsid w:val="003A75D4"/>
    <w:rsid w:val="003A78A9"/>
    <w:rsid w:val="003A7AC1"/>
    <w:rsid w:val="003B00BD"/>
    <w:rsid w:val="003B05C0"/>
    <w:rsid w:val="003B084F"/>
    <w:rsid w:val="003B0A81"/>
    <w:rsid w:val="003B0EC3"/>
    <w:rsid w:val="003B0F43"/>
    <w:rsid w:val="003B103A"/>
    <w:rsid w:val="003B10A1"/>
    <w:rsid w:val="003B10BE"/>
    <w:rsid w:val="003B12FC"/>
    <w:rsid w:val="003B1319"/>
    <w:rsid w:val="003B140D"/>
    <w:rsid w:val="003B191E"/>
    <w:rsid w:val="003B19FE"/>
    <w:rsid w:val="003B1C34"/>
    <w:rsid w:val="003B1E64"/>
    <w:rsid w:val="003B2002"/>
    <w:rsid w:val="003B22C6"/>
    <w:rsid w:val="003B2451"/>
    <w:rsid w:val="003B2643"/>
    <w:rsid w:val="003B2961"/>
    <w:rsid w:val="003B2B83"/>
    <w:rsid w:val="003B2DEE"/>
    <w:rsid w:val="003B3050"/>
    <w:rsid w:val="003B3368"/>
    <w:rsid w:val="003B3532"/>
    <w:rsid w:val="003B3612"/>
    <w:rsid w:val="003B3A83"/>
    <w:rsid w:val="003B3B87"/>
    <w:rsid w:val="003B3CAC"/>
    <w:rsid w:val="003B41D4"/>
    <w:rsid w:val="003B42A5"/>
    <w:rsid w:val="003B433F"/>
    <w:rsid w:val="003B43A1"/>
    <w:rsid w:val="003B4416"/>
    <w:rsid w:val="003B4433"/>
    <w:rsid w:val="003B44C5"/>
    <w:rsid w:val="003B48B5"/>
    <w:rsid w:val="003B4924"/>
    <w:rsid w:val="003B4B40"/>
    <w:rsid w:val="003B4D09"/>
    <w:rsid w:val="003B5330"/>
    <w:rsid w:val="003B60FB"/>
    <w:rsid w:val="003B61CE"/>
    <w:rsid w:val="003B635F"/>
    <w:rsid w:val="003B6472"/>
    <w:rsid w:val="003B71C5"/>
    <w:rsid w:val="003B721F"/>
    <w:rsid w:val="003B730E"/>
    <w:rsid w:val="003B73A0"/>
    <w:rsid w:val="003B74AB"/>
    <w:rsid w:val="003B776E"/>
    <w:rsid w:val="003B7771"/>
    <w:rsid w:val="003B7DD8"/>
    <w:rsid w:val="003B7F4A"/>
    <w:rsid w:val="003C0127"/>
    <w:rsid w:val="003C0526"/>
    <w:rsid w:val="003C0592"/>
    <w:rsid w:val="003C05F8"/>
    <w:rsid w:val="003C079A"/>
    <w:rsid w:val="003C08FB"/>
    <w:rsid w:val="003C09CB"/>
    <w:rsid w:val="003C0B31"/>
    <w:rsid w:val="003C0C52"/>
    <w:rsid w:val="003C0C74"/>
    <w:rsid w:val="003C0C92"/>
    <w:rsid w:val="003C0D15"/>
    <w:rsid w:val="003C0E7E"/>
    <w:rsid w:val="003C12E2"/>
    <w:rsid w:val="003C149A"/>
    <w:rsid w:val="003C150A"/>
    <w:rsid w:val="003C17BC"/>
    <w:rsid w:val="003C1CA4"/>
    <w:rsid w:val="003C1D8C"/>
    <w:rsid w:val="003C1F8D"/>
    <w:rsid w:val="003C2132"/>
    <w:rsid w:val="003C2184"/>
    <w:rsid w:val="003C2595"/>
    <w:rsid w:val="003C269C"/>
    <w:rsid w:val="003C2863"/>
    <w:rsid w:val="003C2A38"/>
    <w:rsid w:val="003C3861"/>
    <w:rsid w:val="003C3A45"/>
    <w:rsid w:val="003C3B85"/>
    <w:rsid w:val="003C3DA2"/>
    <w:rsid w:val="003C3DB3"/>
    <w:rsid w:val="003C424B"/>
    <w:rsid w:val="003C4530"/>
    <w:rsid w:val="003C490D"/>
    <w:rsid w:val="003C4924"/>
    <w:rsid w:val="003C49A4"/>
    <w:rsid w:val="003C4B9B"/>
    <w:rsid w:val="003C4CB6"/>
    <w:rsid w:val="003C4F41"/>
    <w:rsid w:val="003C50D0"/>
    <w:rsid w:val="003C521A"/>
    <w:rsid w:val="003C5286"/>
    <w:rsid w:val="003C556C"/>
    <w:rsid w:val="003C57B5"/>
    <w:rsid w:val="003C5879"/>
    <w:rsid w:val="003C5A44"/>
    <w:rsid w:val="003C5CE3"/>
    <w:rsid w:val="003C5DCB"/>
    <w:rsid w:val="003C643D"/>
    <w:rsid w:val="003C67C6"/>
    <w:rsid w:val="003C6BB9"/>
    <w:rsid w:val="003C6CD2"/>
    <w:rsid w:val="003C7038"/>
    <w:rsid w:val="003C74AE"/>
    <w:rsid w:val="003C7A55"/>
    <w:rsid w:val="003C7CDA"/>
    <w:rsid w:val="003C7EB6"/>
    <w:rsid w:val="003D0177"/>
    <w:rsid w:val="003D01B1"/>
    <w:rsid w:val="003D01BE"/>
    <w:rsid w:val="003D0741"/>
    <w:rsid w:val="003D08CA"/>
    <w:rsid w:val="003D09C0"/>
    <w:rsid w:val="003D0AE4"/>
    <w:rsid w:val="003D0B9E"/>
    <w:rsid w:val="003D0E87"/>
    <w:rsid w:val="003D110C"/>
    <w:rsid w:val="003D15D8"/>
    <w:rsid w:val="003D18C9"/>
    <w:rsid w:val="003D1AB3"/>
    <w:rsid w:val="003D1B2E"/>
    <w:rsid w:val="003D1B32"/>
    <w:rsid w:val="003D1D20"/>
    <w:rsid w:val="003D1DA7"/>
    <w:rsid w:val="003D1DFD"/>
    <w:rsid w:val="003D1EA9"/>
    <w:rsid w:val="003D219A"/>
    <w:rsid w:val="003D21F2"/>
    <w:rsid w:val="003D2417"/>
    <w:rsid w:val="003D2451"/>
    <w:rsid w:val="003D27C3"/>
    <w:rsid w:val="003D2974"/>
    <w:rsid w:val="003D2980"/>
    <w:rsid w:val="003D2A61"/>
    <w:rsid w:val="003D2A64"/>
    <w:rsid w:val="003D2CEE"/>
    <w:rsid w:val="003D2D8F"/>
    <w:rsid w:val="003D3325"/>
    <w:rsid w:val="003D3448"/>
    <w:rsid w:val="003D35BD"/>
    <w:rsid w:val="003D38B9"/>
    <w:rsid w:val="003D3939"/>
    <w:rsid w:val="003D3FB8"/>
    <w:rsid w:val="003D3FCA"/>
    <w:rsid w:val="003D4365"/>
    <w:rsid w:val="003D465C"/>
    <w:rsid w:val="003D46D2"/>
    <w:rsid w:val="003D47FD"/>
    <w:rsid w:val="003D48FD"/>
    <w:rsid w:val="003D4950"/>
    <w:rsid w:val="003D4A67"/>
    <w:rsid w:val="003D4CF3"/>
    <w:rsid w:val="003D4DAE"/>
    <w:rsid w:val="003D53A2"/>
    <w:rsid w:val="003D57A3"/>
    <w:rsid w:val="003D5C4E"/>
    <w:rsid w:val="003D6049"/>
    <w:rsid w:val="003D64AB"/>
    <w:rsid w:val="003D6550"/>
    <w:rsid w:val="003D6658"/>
    <w:rsid w:val="003D6726"/>
    <w:rsid w:val="003D675D"/>
    <w:rsid w:val="003D682F"/>
    <w:rsid w:val="003D6C81"/>
    <w:rsid w:val="003D6E1A"/>
    <w:rsid w:val="003D6EC4"/>
    <w:rsid w:val="003D6FD0"/>
    <w:rsid w:val="003D705F"/>
    <w:rsid w:val="003D718F"/>
    <w:rsid w:val="003D7242"/>
    <w:rsid w:val="003D7326"/>
    <w:rsid w:val="003D73A5"/>
    <w:rsid w:val="003D75B4"/>
    <w:rsid w:val="003D7848"/>
    <w:rsid w:val="003D7993"/>
    <w:rsid w:val="003D7BBC"/>
    <w:rsid w:val="003D7C4E"/>
    <w:rsid w:val="003D7FD0"/>
    <w:rsid w:val="003E00E1"/>
    <w:rsid w:val="003E051D"/>
    <w:rsid w:val="003E0592"/>
    <w:rsid w:val="003E069A"/>
    <w:rsid w:val="003E0CBB"/>
    <w:rsid w:val="003E0D48"/>
    <w:rsid w:val="003E12E2"/>
    <w:rsid w:val="003E148C"/>
    <w:rsid w:val="003E14B9"/>
    <w:rsid w:val="003E1601"/>
    <w:rsid w:val="003E18E8"/>
    <w:rsid w:val="003E1CA5"/>
    <w:rsid w:val="003E1F3C"/>
    <w:rsid w:val="003E2160"/>
    <w:rsid w:val="003E220B"/>
    <w:rsid w:val="003E239A"/>
    <w:rsid w:val="003E23F5"/>
    <w:rsid w:val="003E2B8F"/>
    <w:rsid w:val="003E2D11"/>
    <w:rsid w:val="003E3342"/>
    <w:rsid w:val="003E3CBA"/>
    <w:rsid w:val="003E4070"/>
    <w:rsid w:val="003E49DF"/>
    <w:rsid w:val="003E4C51"/>
    <w:rsid w:val="003E4D83"/>
    <w:rsid w:val="003E4F83"/>
    <w:rsid w:val="003E5313"/>
    <w:rsid w:val="003E586A"/>
    <w:rsid w:val="003E5912"/>
    <w:rsid w:val="003E59AC"/>
    <w:rsid w:val="003E5C10"/>
    <w:rsid w:val="003E5CB3"/>
    <w:rsid w:val="003E5F84"/>
    <w:rsid w:val="003E60BA"/>
    <w:rsid w:val="003E615E"/>
    <w:rsid w:val="003E69D3"/>
    <w:rsid w:val="003E6DA0"/>
    <w:rsid w:val="003E6F19"/>
    <w:rsid w:val="003E6F80"/>
    <w:rsid w:val="003E70BC"/>
    <w:rsid w:val="003E7137"/>
    <w:rsid w:val="003E72C9"/>
    <w:rsid w:val="003E74D5"/>
    <w:rsid w:val="003E75AD"/>
    <w:rsid w:val="003E771F"/>
    <w:rsid w:val="003E7759"/>
    <w:rsid w:val="003E7948"/>
    <w:rsid w:val="003E7BFF"/>
    <w:rsid w:val="003E7C4B"/>
    <w:rsid w:val="003E7CF0"/>
    <w:rsid w:val="003E7DF0"/>
    <w:rsid w:val="003E7F98"/>
    <w:rsid w:val="003F0078"/>
    <w:rsid w:val="003F0114"/>
    <w:rsid w:val="003F011D"/>
    <w:rsid w:val="003F0144"/>
    <w:rsid w:val="003F02E6"/>
    <w:rsid w:val="003F0349"/>
    <w:rsid w:val="003F0732"/>
    <w:rsid w:val="003F0751"/>
    <w:rsid w:val="003F09D7"/>
    <w:rsid w:val="003F0F1F"/>
    <w:rsid w:val="003F103F"/>
    <w:rsid w:val="003F1191"/>
    <w:rsid w:val="003F13AC"/>
    <w:rsid w:val="003F15D9"/>
    <w:rsid w:val="003F1685"/>
    <w:rsid w:val="003F1691"/>
    <w:rsid w:val="003F1B15"/>
    <w:rsid w:val="003F1BDA"/>
    <w:rsid w:val="003F1D9F"/>
    <w:rsid w:val="003F2065"/>
    <w:rsid w:val="003F224C"/>
    <w:rsid w:val="003F2485"/>
    <w:rsid w:val="003F27E9"/>
    <w:rsid w:val="003F2E5A"/>
    <w:rsid w:val="003F31C4"/>
    <w:rsid w:val="003F3256"/>
    <w:rsid w:val="003F35C8"/>
    <w:rsid w:val="003F3CB3"/>
    <w:rsid w:val="003F441B"/>
    <w:rsid w:val="003F4552"/>
    <w:rsid w:val="003F481D"/>
    <w:rsid w:val="003F4826"/>
    <w:rsid w:val="003F484E"/>
    <w:rsid w:val="003F4D4F"/>
    <w:rsid w:val="003F4E01"/>
    <w:rsid w:val="003F51A9"/>
    <w:rsid w:val="003F52F5"/>
    <w:rsid w:val="003F5386"/>
    <w:rsid w:val="003F5546"/>
    <w:rsid w:val="003F554F"/>
    <w:rsid w:val="003F59F9"/>
    <w:rsid w:val="003F5A69"/>
    <w:rsid w:val="003F5B10"/>
    <w:rsid w:val="003F5E6D"/>
    <w:rsid w:val="003F62D2"/>
    <w:rsid w:val="003F6803"/>
    <w:rsid w:val="003F68F4"/>
    <w:rsid w:val="003F6B44"/>
    <w:rsid w:val="003F6CA7"/>
    <w:rsid w:val="003F6E8A"/>
    <w:rsid w:val="003F71D6"/>
    <w:rsid w:val="003F7380"/>
    <w:rsid w:val="003F73CE"/>
    <w:rsid w:val="003F748B"/>
    <w:rsid w:val="003F74A0"/>
    <w:rsid w:val="003F7BDF"/>
    <w:rsid w:val="003F7E4F"/>
    <w:rsid w:val="003F7F3A"/>
    <w:rsid w:val="00400002"/>
    <w:rsid w:val="00400484"/>
    <w:rsid w:val="00400B44"/>
    <w:rsid w:val="00400DB1"/>
    <w:rsid w:val="00400DC8"/>
    <w:rsid w:val="00400E4F"/>
    <w:rsid w:val="00401480"/>
    <w:rsid w:val="00401794"/>
    <w:rsid w:val="00401814"/>
    <w:rsid w:val="00401E0C"/>
    <w:rsid w:val="00402109"/>
    <w:rsid w:val="00402337"/>
    <w:rsid w:val="004023DE"/>
    <w:rsid w:val="00402438"/>
    <w:rsid w:val="00402454"/>
    <w:rsid w:val="004024D1"/>
    <w:rsid w:val="00402519"/>
    <w:rsid w:val="004025AD"/>
    <w:rsid w:val="004026F7"/>
    <w:rsid w:val="004027E3"/>
    <w:rsid w:val="00402B64"/>
    <w:rsid w:val="00402B73"/>
    <w:rsid w:val="004031EA"/>
    <w:rsid w:val="0040365B"/>
    <w:rsid w:val="00403BAC"/>
    <w:rsid w:val="00403F08"/>
    <w:rsid w:val="00403F13"/>
    <w:rsid w:val="00404148"/>
    <w:rsid w:val="00404328"/>
    <w:rsid w:val="004045C0"/>
    <w:rsid w:val="00404AB8"/>
    <w:rsid w:val="00404B6C"/>
    <w:rsid w:val="00404C7F"/>
    <w:rsid w:val="00404CCB"/>
    <w:rsid w:val="00404E69"/>
    <w:rsid w:val="004051E8"/>
    <w:rsid w:val="00405296"/>
    <w:rsid w:val="004057DE"/>
    <w:rsid w:val="0040593E"/>
    <w:rsid w:val="00405B3F"/>
    <w:rsid w:val="00405B8D"/>
    <w:rsid w:val="00406119"/>
    <w:rsid w:val="00406213"/>
    <w:rsid w:val="004064C5"/>
    <w:rsid w:val="00406704"/>
    <w:rsid w:val="0040691F"/>
    <w:rsid w:val="00406991"/>
    <w:rsid w:val="00406EC7"/>
    <w:rsid w:val="00406FF7"/>
    <w:rsid w:val="00407134"/>
    <w:rsid w:val="00407287"/>
    <w:rsid w:val="00407617"/>
    <w:rsid w:val="0040768D"/>
    <w:rsid w:val="0040788D"/>
    <w:rsid w:val="00410435"/>
    <w:rsid w:val="0041046A"/>
    <w:rsid w:val="004107CB"/>
    <w:rsid w:val="00410B2B"/>
    <w:rsid w:val="00410B86"/>
    <w:rsid w:val="00410D34"/>
    <w:rsid w:val="00410E7C"/>
    <w:rsid w:val="00410EEC"/>
    <w:rsid w:val="00410F55"/>
    <w:rsid w:val="00411213"/>
    <w:rsid w:val="004112E3"/>
    <w:rsid w:val="0041134D"/>
    <w:rsid w:val="004113A4"/>
    <w:rsid w:val="0041152A"/>
    <w:rsid w:val="00411845"/>
    <w:rsid w:val="004119AE"/>
    <w:rsid w:val="00411EA5"/>
    <w:rsid w:val="00411ED5"/>
    <w:rsid w:val="00412A09"/>
    <w:rsid w:val="00412B0A"/>
    <w:rsid w:val="00412B3D"/>
    <w:rsid w:val="00412D84"/>
    <w:rsid w:val="00412EBC"/>
    <w:rsid w:val="00413CA8"/>
    <w:rsid w:val="00413CC4"/>
    <w:rsid w:val="00414226"/>
    <w:rsid w:val="00414387"/>
    <w:rsid w:val="004143CA"/>
    <w:rsid w:val="0041442F"/>
    <w:rsid w:val="0041488F"/>
    <w:rsid w:val="004148F0"/>
    <w:rsid w:val="00414937"/>
    <w:rsid w:val="004149F3"/>
    <w:rsid w:val="00414E41"/>
    <w:rsid w:val="00415411"/>
    <w:rsid w:val="00415627"/>
    <w:rsid w:val="00415686"/>
    <w:rsid w:val="0041580A"/>
    <w:rsid w:val="00415A3C"/>
    <w:rsid w:val="00415A86"/>
    <w:rsid w:val="00415EBE"/>
    <w:rsid w:val="00415F8D"/>
    <w:rsid w:val="004162FF"/>
    <w:rsid w:val="0041660E"/>
    <w:rsid w:val="00416761"/>
    <w:rsid w:val="0041683E"/>
    <w:rsid w:val="004169A7"/>
    <w:rsid w:val="00416BD4"/>
    <w:rsid w:val="00416C0E"/>
    <w:rsid w:val="00416F3F"/>
    <w:rsid w:val="0041707C"/>
    <w:rsid w:val="00417142"/>
    <w:rsid w:val="0041718A"/>
    <w:rsid w:val="004172A1"/>
    <w:rsid w:val="0041793A"/>
    <w:rsid w:val="00417AEB"/>
    <w:rsid w:val="00417CA7"/>
    <w:rsid w:val="00417D22"/>
    <w:rsid w:val="00420244"/>
    <w:rsid w:val="004204D2"/>
    <w:rsid w:val="00420BC8"/>
    <w:rsid w:val="00421510"/>
    <w:rsid w:val="00421882"/>
    <w:rsid w:val="00421B82"/>
    <w:rsid w:val="00421E8A"/>
    <w:rsid w:val="004220FF"/>
    <w:rsid w:val="004222EE"/>
    <w:rsid w:val="004222FF"/>
    <w:rsid w:val="004224C4"/>
    <w:rsid w:val="00422BD0"/>
    <w:rsid w:val="00422EEF"/>
    <w:rsid w:val="00422F8D"/>
    <w:rsid w:val="004231A4"/>
    <w:rsid w:val="00423249"/>
    <w:rsid w:val="004233B0"/>
    <w:rsid w:val="00423611"/>
    <w:rsid w:val="0042364E"/>
    <w:rsid w:val="0042412E"/>
    <w:rsid w:val="0042458B"/>
    <w:rsid w:val="004245F6"/>
    <w:rsid w:val="00424C12"/>
    <w:rsid w:val="00424CB2"/>
    <w:rsid w:val="0042512B"/>
    <w:rsid w:val="0042576E"/>
    <w:rsid w:val="00425CDA"/>
    <w:rsid w:val="00425E04"/>
    <w:rsid w:val="00425FC1"/>
    <w:rsid w:val="0042667B"/>
    <w:rsid w:val="00426B16"/>
    <w:rsid w:val="00426CF1"/>
    <w:rsid w:val="00426EF9"/>
    <w:rsid w:val="00426FC9"/>
    <w:rsid w:val="00427259"/>
    <w:rsid w:val="00427347"/>
    <w:rsid w:val="004275A2"/>
    <w:rsid w:val="00427600"/>
    <w:rsid w:val="00427668"/>
    <w:rsid w:val="00427835"/>
    <w:rsid w:val="00427839"/>
    <w:rsid w:val="00427DA5"/>
    <w:rsid w:val="00427E69"/>
    <w:rsid w:val="00427F6F"/>
    <w:rsid w:val="00430564"/>
    <w:rsid w:val="00430668"/>
    <w:rsid w:val="00430B99"/>
    <w:rsid w:val="00430CF6"/>
    <w:rsid w:val="00430D69"/>
    <w:rsid w:val="004317F9"/>
    <w:rsid w:val="00431B2C"/>
    <w:rsid w:val="00431C0A"/>
    <w:rsid w:val="00431CF9"/>
    <w:rsid w:val="00431FD6"/>
    <w:rsid w:val="00432464"/>
    <w:rsid w:val="00432755"/>
    <w:rsid w:val="00432813"/>
    <w:rsid w:val="004328F5"/>
    <w:rsid w:val="00432BA1"/>
    <w:rsid w:val="00432CAA"/>
    <w:rsid w:val="00432DB0"/>
    <w:rsid w:val="004330F4"/>
    <w:rsid w:val="004333F5"/>
    <w:rsid w:val="00433450"/>
    <w:rsid w:val="00433565"/>
    <w:rsid w:val="00433604"/>
    <w:rsid w:val="00433926"/>
    <w:rsid w:val="00433971"/>
    <w:rsid w:val="00433E59"/>
    <w:rsid w:val="00434140"/>
    <w:rsid w:val="00434285"/>
    <w:rsid w:val="004343B6"/>
    <w:rsid w:val="004343DF"/>
    <w:rsid w:val="004345EF"/>
    <w:rsid w:val="004346D2"/>
    <w:rsid w:val="004346E3"/>
    <w:rsid w:val="004346E6"/>
    <w:rsid w:val="00434C98"/>
    <w:rsid w:val="00434F48"/>
    <w:rsid w:val="00435130"/>
    <w:rsid w:val="0043533C"/>
    <w:rsid w:val="004356E6"/>
    <w:rsid w:val="00435E91"/>
    <w:rsid w:val="00435ECA"/>
    <w:rsid w:val="0043610D"/>
    <w:rsid w:val="00436141"/>
    <w:rsid w:val="004365E6"/>
    <w:rsid w:val="00436696"/>
    <w:rsid w:val="004366AD"/>
    <w:rsid w:val="004368D7"/>
    <w:rsid w:val="00436D72"/>
    <w:rsid w:val="00436F8E"/>
    <w:rsid w:val="00437275"/>
    <w:rsid w:val="0043748B"/>
    <w:rsid w:val="00437537"/>
    <w:rsid w:val="0043794F"/>
    <w:rsid w:val="0043797C"/>
    <w:rsid w:val="00440152"/>
    <w:rsid w:val="004407DD"/>
    <w:rsid w:val="0044099D"/>
    <w:rsid w:val="0044106C"/>
    <w:rsid w:val="004410E3"/>
    <w:rsid w:val="00441576"/>
    <w:rsid w:val="00441608"/>
    <w:rsid w:val="0044176E"/>
    <w:rsid w:val="0044196F"/>
    <w:rsid w:val="004419C1"/>
    <w:rsid w:val="00441B78"/>
    <w:rsid w:val="00441BDE"/>
    <w:rsid w:val="00441F3C"/>
    <w:rsid w:val="00441F7A"/>
    <w:rsid w:val="004426DD"/>
    <w:rsid w:val="004427C0"/>
    <w:rsid w:val="004427CB"/>
    <w:rsid w:val="00442855"/>
    <w:rsid w:val="0044340E"/>
    <w:rsid w:val="004437AA"/>
    <w:rsid w:val="00443B60"/>
    <w:rsid w:val="00443C3B"/>
    <w:rsid w:val="0044425A"/>
    <w:rsid w:val="004445A9"/>
    <w:rsid w:val="00444EE5"/>
    <w:rsid w:val="00445149"/>
    <w:rsid w:val="004452D3"/>
    <w:rsid w:val="00445465"/>
    <w:rsid w:val="00445666"/>
    <w:rsid w:val="0044585E"/>
    <w:rsid w:val="00445AFF"/>
    <w:rsid w:val="00445F9E"/>
    <w:rsid w:val="004463F5"/>
    <w:rsid w:val="00446CBF"/>
    <w:rsid w:val="00446F94"/>
    <w:rsid w:val="00447141"/>
    <w:rsid w:val="004471E7"/>
    <w:rsid w:val="004472A6"/>
    <w:rsid w:val="00447953"/>
    <w:rsid w:val="00447BB9"/>
    <w:rsid w:val="00447E46"/>
    <w:rsid w:val="00447F2F"/>
    <w:rsid w:val="0045017C"/>
    <w:rsid w:val="00450408"/>
    <w:rsid w:val="0045056B"/>
    <w:rsid w:val="00450DD7"/>
    <w:rsid w:val="00450F19"/>
    <w:rsid w:val="00451167"/>
    <w:rsid w:val="004511BA"/>
    <w:rsid w:val="0045122E"/>
    <w:rsid w:val="00451301"/>
    <w:rsid w:val="00451573"/>
    <w:rsid w:val="004515E0"/>
    <w:rsid w:val="00451688"/>
    <w:rsid w:val="00451731"/>
    <w:rsid w:val="00451F5B"/>
    <w:rsid w:val="004523B2"/>
    <w:rsid w:val="00452529"/>
    <w:rsid w:val="0045263D"/>
    <w:rsid w:val="00452710"/>
    <w:rsid w:val="00452B16"/>
    <w:rsid w:val="00452B91"/>
    <w:rsid w:val="00452F82"/>
    <w:rsid w:val="00453001"/>
    <w:rsid w:val="00453200"/>
    <w:rsid w:val="0045328F"/>
    <w:rsid w:val="004539FE"/>
    <w:rsid w:val="00453BA5"/>
    <w:rsid w:val="00453F9A"/>
    <w:rsid w:val="00454183"/>
    <w:rsid w:val="00454346"/>
    <w:rsid w:val="00454403"/>
    <w:rsid w:val="0045456D"/>
    <w:rsid w:val="00454610"/>
    <w:rsid w:val="004546D1"/>
    <w:rsid w:val="00454A54"/>
    <w:rsid w:val="00454B39"/>
    <w:rsid w:val="004550DA"/>
    <w:rsid w:val="00455134"/>
    <w:rsid w:val="004552AF"/>
    <w:rsid w:val="004553B7"/>
    <w:rsid w:val="00455632"/>
    <w:rsid w:val="00455797"/>
    <w:rsid w:val="004557F9"/>
    <w:rsid w:val="0045599B"/>
    <w:rsid w:val="00455B1F"/>
    <w:rsid w:val="00455CF2"/>
    <w:rsid w:val="004561A0"/>
    <w:rsid w:val="004563F4"/>
    <w:rsid w:val="004569D7"/>
    <w:rsid w:val="00456A8A"/>
    <w:rsid w:val="004570D3"/>
    <w:rsid w:val="00457285"/>
    <w:rsid w:val="004574EA"/>
    <w:rsid w:val="004575BA"/>
    <w:rsid w:val="004578F9"/>
    <w:rsid w:val="00457A95"/>
    <w:rsid w:val="00457C72"/>
    <w:rsid w:val="00457E66"/>
    <w:rsid w:val="00457ECD"/>
    <w:rsid w:val="00457F53"/>
    <w:rsid w:val="00460019"/>
    <w:rsid w:val="004600A5"/>
    <w:rsid w:val="00460105"/>
    <w:rsid w:val="004602B2"/>
    <w:rsid w:val="0046056F"/>
    <w:rsid w:val="0046092D"/>
    <w:rsid w:val="004609D6"/>
    <w:rsid w:val="00460B07"/>
    <w:rsid w:val="00460B5D"/>
    <w:rsid w:val="00460B6C"/>
    <w:rsid w:val="00460D54"/>
    <w:rsid w:val="00460E5E"/>
    <w:rsid w:val="00461182"/>
    <w:rsid w:val="00461335"/>
    <w:rsid w:val="004618A2"/>
    <w:rsid w:val="004621D2"/>
    <w:rsid w:val="00462228"/>
    <w:rsid w:val="00462234"/>
    <w:rsid w:val="004625C1"/>
    <w:rsid w:val="004627FE"/>
    <w:rsid w:val="00462881"/>
    <w:rsid w:val="0046294C"/>
    <w:rsid w:val="00462967"/>
    <w:rsid w:val="00462BEF"/>
    <w:rsid w:val="00462D60"/>
    <w:rsid w:val="00462E58"/>
    <w:rsid w:val="004631CD"/>
    <w:rsid w:val="00463358"/>
    <w:rsid w:val="004633BE"/>
    <w:rsid w:val="004633D6"/>
    <w:rsid w:val="004635CA"/>
    <w:rsid w:val="00463716"/>
    <w:rsid w:val="00463BFC"/>
    <w:rsid w:val="00464820"/>
    <w:rsid w:val="004649D9"/>
    <w:rsid w:val="00465045"/>
    <w:rsid w:val="004656A9"/>
    <w:rsid w:val="004657CE"/>
    <w:rsid w:val="0046596F"/>
    <w:rsid w:val="0046597B"/>
    <w:rsid w:val="00465993"/>
    <w:rsid w:val="004659A5"/>
    <w:rsid w:val="004659FE"/>
    <w:rsid w:val="00465C75"/>
    <w:rsid w:val="00466260"/>
    <w:rsid w:val="004666C7"/>
    <w:rsid w:val="004673F8"/>
    <w:rsid w:val="00467416"/>
    <w:rsid w:val="00467417"/>
    <w:rsid w:val="004674EF"/>
    <w:rsid w:val="004676C6"/>
    <w:rsid w:val="00467860"/>
    <w:rsid w:val="004678CD"/>
    <w:rsid w:val="00467969"/>
    <w:rsid w:val="004679A4"/>
    <w:rsid w:val="00470095"/>
    <w:rsid w:val="0047026E"/>
    <w:rsid w:val="0047061F"/>
    <w:rsid w:val="0047069B"/>
    <w:rsid w:val="00470C11"/>
    <w:rsid w:val="00470E95"/>
    <w:rsid w:val="004712F2"/>
    <w:rsid w:val="004712F5"/>
    <w:rsid w:val="00471618"/>
    <w:rsid w:val="00471668"/>
    <w:rsid w:val="004716C4"/>
    <w:rsid w:val="0047188E"/>
    <w:rsid w:val="00471BC4"/>
    <w:rsid w:val="00471C66"/>
    <w:rsid w:val="00472359"/>
    <w:rsid w:val="004729F8"/>
    <w:rsid w:val="00472ADC"/>
    <w:rsid w:val="00472F15"/>
    <w:rsid w:val="00472FFF"/>
    <w:rsid w:val="00473075"/>
    <w:rsid w:val="004731A6"/>
    <w:rsid w:val="004731AE"/>
    <w:rsid w:val="00473442"/>
    <w:rsid w:val="00473720"/>
    <w:rsid w:val="00473735"/>
    <w:rsid w:val="00473778"/>
    <w:rsid w:val="00473B39"/>
    <w:rsid w:val="00473D3D"/>
    <w:rsid w:val="00473EE9"/>
    <w:rsid w:val="004741D0"/>
    <w:rsid w:val="0047427B"/>
    <w:rsid w:val="00474578"/>
    <w:rsid w:val="004747F9"/>
    <w:rsid w:val="00474BA7"/>
    <w:rsid w:val="00474BC7"/>
    <w:rsid w:val="00474E8D"/>
    <w:rsid w:val="00475113"/>
    <w:rsid w:val="0047513D"/>
    <w:rsid w:val="004752C0"/>
    <w:rsid w:val="0047532A"/>
    <w:rsid w:val="004755D3"/>
    <w:rsid w:val="00475622"/>
    <w:rsid w:val="0047582F"/>
    <w:rsid w:val="00475BFA"/>
    <w:rsid w:val="00475CC0"/>
    <w:rsid w:val="00475E8C"/>
    <w:rsid w:val="00475F0D"/>
    <w:rsid w:val="004763B5"/>
    <w:rsid w:val="00476827"/>
    <w:rsid w:val="00476AFE"/>
    <w:rsid w:val="00476BF3"/>
    <w:rsid w:val="00476D4D"/>
    <w:rsid w:val="0047744A"/>
    <w:rsid w:val="0047777E"/>
    <w:rsid w:val="00477839"/>
    <w:rsid w:val="0047798E"/>
    <w:rsid w:val="004779D3"/>
    <w:rsid w:val="00477A3D"/>
    <w:rsid w:val="00477A92"/>
    <w:rsid w:val="00477F2A"/>
    <w:rsid w:val="00477F8D"/>
    <w:rsid w:val="0048000B"/>
    <w:rsid w:val="0048036F"/>
    <w:rsid w:val="004803CB"/>
    <w:rsid w:val="004805CC"/>
    <w:rsid w:val="00480A36"/>
    <w:rsid w:val="00480B22"/>
    <w:rsid w:val="00480E9E"/>
    <w:rsid w:val="00480F00"/>
    <w:rsid w:val="00480F54"/>
    <w:rsid w:val="004810FE"/>
    <w:rsid w:val="00481504"/>
    <w:rsid w:val="00481549"/>
    <w:rsid w:val="0048176B"/>
    <w:rsid w:val="00481D58"/>
    <w:rsid w:val="00481DF4"/>
    <w:rsid w:val="00482343"/>
    <w:rsid w:val="00482358"/>
    <w:rsid w:val="0048245A"/>
    <w:rsid w:val="00482B9E"/>
    <w:rsid w:val="00482DFE"/>
    <w:rsid w:val="00483058"/>
    <w:rsid w:val="00483206"/>
    <w:rsid w:val="00483795"/>
    <w:rsid w:val="00483949"/>
    <w:rsid w:val="00483A1C"/>
    <w:rsid w:val="00483F2D"/>
    <w:rsid w:val="00483F6A"/>
    <w:rsid w:val="00483FE6"/>
    <w:rsid w:val="004841D5"/>
    <w:rsid w:val="004844C9"/>
    <w:rsid w:val="00484A67"/>
    <w:rsid w:val="00485059"/>
    <w:rsid w:val="00485097"/>
    <w:rsid w:val="00485565"/>
    <w:rsid w:val="004857F6"/>
    <w:rsid w:val="00485BBD"/>
    <w:rsid w:val="00485C14"/>
    <w:rsid w:val="00485EF4"/>
    <w:rsid w:val="0048640E"/>
    <w:rsid w:val="00486A0A"/>
    <w:rsid w:val="00486A25"/>
    <w:rsid w:val="00486A4F"/>
    <w:rsid w:val="00486BA1"/>
    <w:rsid w:val="004872E9"/>
    <w:rsid w:val="00487343"/>
    <w:rsid w:val="00487436"/>
    <w:rsid w:val="00487C85"/>
    <w:rsid w:val="004904E1"/>
    <w:rsid w:val="004906E6"/>
    <w:rsid w:val="00490C3F"/>
    <w:rsid w:val="00490C5E"/>
    <w:rsid w:val="00490C88"/>
    <w:rsid w:val="004912B1"/>
    <w:rsid w:val="004918FD"/>
    <w:rsid w:val="00491A06"/>
    <w:rsid w:val="00491AD6"/>
    <w:rsid w:val="00491CC1"/>
    <w:rsid w:val="00491E02"/>
    <w:rsid w:val="0049202C"/>
    <w:rsid w:val="00492314"/>
    <w:rsid w:val="004927AE"/>
    <w:rsid w:val="00492C07"/>
    <w:rsid w:val="00492CE8"/>
    <w:rsid w:val="00492FCA"/>
    <w:rsid w:val="00492FF2"/>
    <w:rsid w:val="0049311B"/>
    <w:rsid w:val="00493333"/>
    <w:rsid w:val="00493554"/>
    <w:rsid w:val="00493870"/>
    <w:rsid w:val="00493AB1"/>
    <w:rsid w:val="00493BC1"/>
    <w:rsid w:val="00493D23"/>
    <w:rsid w:val="0049449D"/>
    <w:rsid w:val="0049452E"/>
    <w:rsid w:val="004945F4"/>
    <w:rsid w:val="00494680"/>
    <w:rsid w:val="00494697"/>
    <w:rsid w:val="00494C0D"/>
    <w:rsid w:val="00495263"/>
    <w:rsid w:val="0049550C"/>
    <w:rsid w:val="00495E00"/>
    <w:rsid w:val="00495FEB"/>
    <w:rsid w:val="00496063"/>
    <w:rsid w:val="004960D3"/>
    <w:rsid w:val="004966F0"/>
    <w:rsid w:val="004967ED"/>
    <w:rsid w:val="00496A69"/>
    <w:rsid w:val="004970F3"/>
    <w:rsid w:val="00497162"/>
    <w:rsid w:val="004976D5"/>
    <w:rsid w:val="0049770F"/>
    <w:rsid w:val="0049794B"/>
    <w:rsid w:val="00497B47"/>
    <w:rsid w:val="00497C76"/>
    <w:rsid w:val="00497D6F"/>
    <w:rsid w:val="004A02C2"/>
    <w:rsid w:val="004A03D7"/>
    <w:rsid w:val="004A05C8"/>
    <w:rsid w:val="004A0850"/>
    <w:rsid w:val="004A0C68"/>
    <w:rsid w:val="004A0C96"/>
    <w:rsid w:val="004A0E2E"/>
    <w:rsid w:val="004A0FB8"/>
    <w:rsid w:val="004A10CA"/>
    <w:rsid w:val="004A153C"/>
    <w:rsid w:val="004A1633"/>
    <w:rsid w:val="004A175B"/>
    <w:rsid w:val="004A2042"/>
    <w:rsid w:val="004A205F"/>
    <w:rsid w:val="004A232C"/>
    <w:rsid w:val="004A264B"/>
    <w:rsid w:val="004A2BC0"/>
    <w:rsid w:val="004A2C79"/>
    <w:rsid w:val="004A2E56"/>
    <w:rsid w:val="004A369E"/>
    <w:rsid w:val="004A39C2"/>
    <w:rsid w:val="004A3A80"/>
    <w:rsid w:val="004A3BE6"/>
    <w:rsid w:val="004A3C61"/>
    <w:rsid w:val="004A3D0C"/>
    <w:rsid w:val="004A3D20"/>
    <w:rsid w:val="004A3DD1"/>
    <w:rsid w:val="004A4111"/>
    <w:rsid w:val="004A491F"/>
    <w:rsid w:val="004A4A71"/>
    <w:rsid w:val="004A4B4E"/>
    <w:rsid w:val="004A4E3A"/>
    <w:rsid w:val="004A4F63"/>
    <w:rsid w:val="004A5221"/>
    <w:rsid w:val="004A54D1"/>
    <w:rsid w:val="004A57C2"/>
    <w:rsid w:val="004A584E"/>
    <w:rsid w:val="004A5B51"/>
    <w:rsid w:val="004A5C21"/>
    <w:rsid w:val="004A5E14"/>
    <w:rsid w:val="004A64DC"/>
    <w:rsid w:val="004A650E"/>
    <w:rsid w:val="004A6B87"/>
    <w:rsid w:val="004A6C40"/>
    <w:rsid w:val="004A6D4E"/>
    <w:rsid w:val="004A6D66"/>
    <w:rsid w:val="004A6E2C"/>
    <w:rsid w:val="004A7A54"/>
    <w:rsid w:val="004A7BF4"/>
    <w:rsid w:val="004A7C85"/>
    <w:rsid w:val="004A7F16"/>
    <w:rsid w:val="004A7FA4"/>
    <w:rsid w:val="004A7FFA"/>
    <w:rsid w:val="004B0027"/>
    <w:rsid w:val="004B017F"/>
    <w:rsid w:val="004B0348"/>
    <w:rsid w:val="004B0477"/>
    <w:rsid w:val="004B051E"/>
    <w:rsid w:val="004B052A"/>
    <w:rsid w:val="004B055C"/>
    <w:rsid w:val="004B0594"/>
    <w:rsid w:val="004B09D4"/>
    <w:rsid w:val="004B0A19"/>
    <w:rsid w:val="004B0A24"/>
    <w:rsid w:val="004B0C87"/>
    <w:rsid w:val="004B0D3A"/>
    <w:rsid w:val="004B1078"/>
    <w:rsid w:val="004B109A"/>
    <w:rsid w:val="004B116C"/>
    <w:rsid w:val="004B126A"/>
    <w:rsid w:val="004B1565"/>
    <w:rsid w:val="004B16A5"/>
    <w:rsid w:val="004B1769"/>
    <w:rsid w:val="004B1DE5"/>
    <w:rsid w:val="004B1E32"/>
    <w:rsid w:val="004B21CF"/>
    <w:rsid w:val="004B23AE"/>
    <w:rsid w:val="004B2618"/>
    <w:rsid w:val="004B284F"/>
    <w:rsid w:val="004B311E"/>
    <w:rsid w:val="004B3339"/>
    <w:rsid w:val="004B3BDB"/>
    <w:rsid w:val="004B3C22"/>
    <w:rsid w:val="004B3D1F"/>
    <w:rsid w:val="004B3D38"/>
    <w:rsid w:val="004B3D72"/>
    <w:rsid w:val="004B3F4D"/>
    <w:rsid w:val="004B4253"/>
    <w:rsid w:val="004B44E7"/>
    <w:rsid w:val="004B45E0"/>
    <w:rsid w:val="004B4664"/>
    <w:rsid w:val="004B46A4"/>
    <w:rsid w:val="004B48CE"/>
    <w:rsid w:val="004B4B10"/>
    <w:rsid w:val="004B4B79"/>
    <w:rsid w:val="004B4C9E"/>
    <w:rsid w:val="004B4F67"/>
    <w:rsid w:val="004B4FCF"/>
    <w:rsid w:val="004B51C9"/>
    <w:rsid w:val="004B5271"/>
    <w:rsid w:val="004B5425"/>
    <w:rsid w:val="004B55B3"/>
    <w:rsid w:val="004B577B"/>
    <w:rsid w:val="004B5AEE"/>
    <w:rsid w:val="004B5BD6"/>
    <w:rsid w:val="004B5BFD"/>
    <w:rsid w:val="004B64C4"/>
    <w:rsid w:val="004B64D5"/>
    <w:rsid w:val="004B6560"/>
    <w:rsid w:val="004B6615"/>
    <w:rsid w:val="004B6B47"/>
    <w:rsid w:val="004B70E1"/>
    <w:rsid w:val="004B71B6"/>
    <w:rsid w:val="004B749C"/>
    <w:rsid w:val="004B77F3"/>
    <w:rsid w:val="004B78B3"/>
    <w:rsid w:val="004B7968"/>
    <w:rsid w:val="004B7D6E"/>
    <w:rsid w:val="004B7DD0"/>
    <w:rsid w:val="004B7E04"/>
    <w:rsid w:val="004C00AF"/>
    <w:rsid w:val="004C0282"/>
    <w:rsid w:val="004C0603"/>
    <w:rsid w:val="004C0822"/>
    <w:rsid w:val="004C0F0F"/>
    <w:rsid w:val="004C0FDC"/>
    <w:rsid w:val="004C1194"/>
    <w:rsid w:val="004C16BE"/>
    <w:rsid w:val="004C1AD9"/>
    <w:rsid w:val="004C1B04"/>
    <w:rsid w:val="004C1E00"/>
    <w:rsid w:val="004C2229"/>
    <w:rsid w:val="004C22DC"/>
    <w:rsid w:val="004C22F6"/>
    <w:rsid w:val="004C25B5"/>
    <w:rsid w:val="004C2612"/>
    <w:rsid w:val="004C281B"/>
    <w:rsid w:val="004C2A05"/>
    <w:rsid w:val="004C2A08"/>
    <w:rsid w:val="004C2C04"/>
    <w:rsid w:val="004C2CFC"/>
    <w:rsid w:val="004C2D09"/>
    <w:rsid w:val="004C2E4A"/>
    <w:rsid w:val="004C2FF2"/>
    <w:rsid w:val="004C3071"/>
    <w:rsid w:val="004C3348"/>
    <w:rsid w:val="004C33C0"/>
    <w:rsid w:val="004C3464"/>
    <w:rsid w:val="004C355C"/>
    <w:rsid w:val="004C35E3"/>
    <w:rsid w:val="004C3868"/>
    <w:rsid w:val="004C3B33"/>
    <w:rsid w:val="004C3D2A"/>
    <w:rsid w:val="004C3EC1"/>
    <w:rsid w:val="004C3F61"/>
    <w:rsid w:val="004C415D"/>
    <w:rsid w:val="004C41AC"/>
    <w:rsid w:val="004C42C6"/>
    <w:rsid w:val="004C4924"/>
    <w:rsid w:val="004C498A"/>
    <w:rsid w:val="004C4B98"/>
    <w:rsid w:val="004C4BCD"/>
    <w:rsid w:val="004C4CB1"/>
    <w:rsid w:val="004C4D7C"/>
    <w:rsid w:val="004C5238"/>
    <w:rsid w:val="004C5470"/>
    <w:rsid w:val="004C5549"/>
    <w:rsid w:val="004C5606"/>
    <w:rsid w:val="004C5623"/>
    <w:rsid w:val="004C5757"/>
    <w:rsid w:val="004C57A1"/>
    <w:rsid w:val="004C5809"/>
    <w:rsid w:val="004C589B"/>
    <w:rsid w:val="004C58F4"/>
    <w:rsid w:val="004C5C46"/>
    <w:rsid w:val="004C5D14"/>
    <w:rsid w:val="004C5EE2"/>
    <w:rsid w:val="004C5F0D"/>
    <w:rsid w:val="004C6203"/>
    <w:rsid w:val="004C6395"/>
    <w:rsid w:val="004C63A5"/>
    <w:rsid w:val="004C656E"/>
    <w:rsid w:val="004C65F5"/>
    <w:rsid w:val="004C6605"/>
    <w:rsid w:val="004C6842"/>
    <w:rsid w:val="004C6B18"/>
    <w:rsid w:val="004C6C99"/>
    <w:rsid w:val="004C736A"/>
    <w:rsid w:val="004C76B2"/>
    <w:rsid w:val="004C7949"/>
    <w:rsid w:val="004C7BB3"/>
    <w:rsid w:val="004C7D3B"/>
    <w:rsid w:val="004C7D60"/>
    <w:rsid w:val="004C7D8F"/>
    <w:rsid w:val="004D0080"/>
    <w:rsid w:val="004D00DC"/>
    <w:rsid w:val="004D08BF"/>
    <w:rsid w:val="004D0904"/>
    <w:rsid w:val="004D0C4E"/>
    <w:rsid w:val="004D0C62"/>
    <w:rsid w:val="004D0E12"/>
    <w:rsid w:val="004D0EC5"/>
    <w:rsid w:val="004D12E5"/>
    <w:rsid w:val="004D13DA"/>
    <w:rsid w:val="004D148C"/>
    <w:rsid w:val="004D1A41"/>
    <w:rsid w:val="004D206F"/>
    <w:rsid w:val="004D2463"/>
    <w:rsid w:val="004D27E4"/>
    <w:rsid w:val="004D2928"/>
    <w:rsid w:val="004D2987"/>
    <w:rsid w:val="004D2F44"/>
    <w:rsid w:val="004D3099"/>
    <w:rsid w:val="004D31BF"/>
    <w:rsid w:val="004D33AE"/>
    <w:rsid w:val="004D358C"/>
    <w:rsid w:val="004D3658"/>
    <w:rsid w:val="004D38FE"/>
    <w:rsid w:val="004D39FF"/>
    <w:rsid w:val="004D40C2"/>
    <w:rsid w:val="004D45A0"/>
    <w:rsid w:val="004D47C8"/>
    <w:rsid w:val="004D4DEC"/>
    <w:rsid w:val="004D4EA4"/>
    <w:rsid w:val="004D5037"/>
    <w:rsid w:val="004D51A3"/>
    <w:rsid w:val="004D55DA"/>
    <w:rsid w:val="004D5D78"/>
    <w:rsid w:val="004D5DE6"/>
    <w:rsid w:val="004D5F84"/>
    <w:rsid w:val="004D5FBA"/>
    <w:rsid w:val="004D6885"/>
    <w:rsid w:val="004D7426"/>
    <w:rsid w:val="004D7AEC"/>
    <w:rsid w:val="004D7C9A"/>
    <w:rsid w:val="004D7D51"/>
    <w:rsid w:val="004D7E45"/>
    <w:rsid w:val="004E0246"/>
    <w:rsid w:val="004E05B4"/>
    <w:rsid w:val="004E0704"/>
    <w:rsid w:val="004E08C1"/>
    <w:rsid w:val="004E08FB"/>
    <w:rsid w:val="004E0B43"/>
    <w:rsid w:val="004E0DE7"/>
    <w:rsid w:val="004E0F54"/>
    <w:rsid w:val="004E1918"/>
    <w:rsid w:val="004E1B1E"/>
    <w:rsid w:val="004E1DBA"/>
    <w:rsid w:val="004E1F0C"/>
    <w:rsid w:val="004E1F35"/>
    <w:rsid w:val="004E23E6"/>
    <w:rsid w:val="004E2416"/>
    <w:rsid w:val="004E255D"/>
    <w:rsid w:val="004E287D"/>
    <w:rsid w:val="004E2BB2"/>
    <w:rsid w:val="004E2C35"/>
    <w:rsid w:val="004E2D9A"/>
    <w:rsid w:val="004E3062"/>
    <w:rsid w:val="004E3172"/>
    <w:rsid w:val="004E3360"/>
    <w:rsid w:val="004E33AC"/>
    <w:rsid w:val="004E3966"/>
    <w:rsid w:val="004E3A41"/>
    <w:rsid w:val="004E468D"/>
    <w:rsid w:val="004E486D"/>
    <w:rsid w:val="004E4A44"/>
    <w:rsid w:val="004E4CE2"/>
    <w:rsid w:val="004E5396"/>
    <w:rsid w:val="004E550D"/>
    <w:rsid w:val="004E5784"/>
    <w:rsid w:val="004E5ABA"/>
    <w:rsid w:val="004E5D7C"/>
    <w:rsid w:val="004E5E0A"/>
    <w:rsid w:val="004E6042"/>
    <w:rsid w:val="004E658A"/>
    <w:rsid w:val="004E7248"/>
    <w:rsid w:val="004E776D"/>
    <w:rsid w:val="004E7840"/>
    <w:rsid w:val="004E78E8"/>
    <w:rsid w:val="004E7BE4"/>
    <w:rsid w:val="004E7E87"/>
    <w:rsid w:val="004F03C3"/>
    <w:rsid w:val="004F059F"/>
    <w:rsid w:val="004F066C"/>
    <w:rsid w:val="004F0804"/>
    <w:rsid w:val="004F0987"/>
    <w:rsid w:val="004F0F14"/>
    <w:rsid w:val="004F1099"/>
    <w:rsid w:val="004F1161"/>
    <w:rsid w:val="004F1333"/>
    <w:rsid w:val="004F1361"/>
    <w:rsid w:val="004F14F7"/>
    <w:rsid w:val="004F15DE"/>
    <w:rsid w:val="004F1719"/>
    <w:rsid w:val="004F1C46"/>
    <w:rsid w:val="004F1CFB"/>
    <w:rsid w:val="004F2267"/>
    <w:rsid w:val="004F2294"/>
    <w:rsid w:val="004F24C5"/>
    <w:rsid w:val="004F2678"/>
    <w:rsid w:val="004F278C"/>
    <w:rsid w:val="004F283B"/>
    <w:rsid w:val="004F3312"/>
    <w:rsid w:val="004F336B"/>
    <w:rsid w:val="004F3476"/>
    <w:rsid w:val="004F38E7"/>
    <w:rsid w:val="004F4077"/>
    <w:rsid w:val="004F40BF"/>
    <w:rsid w:val="004F479A"/>
    <w:rsid w:val="004F4E49"/>
    <w:rsid w:val="004F508A"/>
    <w:rsid w:val="004F5432"/>
    <w:rsid w:val="004F5A7D"/>
    <w:rsid w:val="004F5F90"/>
    <w:rsid w:val="004F63CC"/>
    <w:rsid w:val="004F6495"/>
    <w:rsid w:val="004F69CE"/>
    <w:rsid w:val="004F7010"/>
    <w:rsid w:val="004F780D"/>
    <w:rsid w:val="004F7A17"/>
    <w:rsid w:val="004F7E53"/>
    <w:rsid w:val="0050005A"/>
    <w:rsid w:val="0050012B"/>
    <w:rsid w:val="00500304"/>
    <w:rsid w:val="005005B0"/>
    <w:rsid w:val="005009F6"/>
    <w:rsid w:val="00500ABB"/>
    <w:rsid w:val="00500B6A"/>
    <w:rsid w:val="00500C57"/>
    <w:rsid w:val="00500D7F"/>
    <w:rsid w:val="00500E4D"/>
    <w:rsid w:val="00500E78"/>
    <w:rsid w:val="00500EC9"/>
    <w:rsid w:val="00501538"/>
    <w:rsid w:val="0050186B"/>
    <w:rsid w:val="00501959"/>
    <w:rsid w:val="00501DF1"/>
    <w:rsid w:val="0050225E"/>
    <w:rsid w:val="00502502"/>
    <w:rsid w:val="00502771"/>
    <w:rsid w:val="00502D42"/>
    <w:rsid w:val="005031A4"/>
    <w:rsid w:val="00503856"/>
    <w:rsid w:val="00503C2D"/>
    <w:rsid w:val="00504563"/>
    <w:rsid w:val="00504B0E"/>
    <w:rsid w:val="00504F37"/>
    <w:rsid w:val="005050DA"/>
    <w:rsid w:val="0050515F"/>
    <w:rsid w:val="00505728"/>
    <w:rsid w:val="005058B8"/>
    <w:rsid w:val="005058EF"/>
    <w:rsid w:val="0050591E"/>
    <w:rsid w:val="0050592C"/>
    <w:rsid w:val="00505B76"/>
    <w:rsid w:val="00505F42"/>
    <w:rsid w:val="005069DD"/>
    <w:rsid w:val="005069ED"/>
    <w:rsid w:val="00506C06"/>
    <w:rsid w:val="005072A5"/>
    <w:rsid w:val="0050734D"/>
    <w:rsid w:val="005076A5"/>
    <w:rsid w:val="00507D2B"/>
    <w:rsid w:val="00507D96"/>
    <w:rsid w:val="00507F56"/>
    <w:rsid w:val="00510171"/>
    <w:rsid w:val="005105AF"/>
    <w:rsid w:val="005107DF"/>
    <w:rsid w:val="005109E8"/>
    <w:rsid w:val="00510AE9"/>
    <w:rsid w:val="00510FAB"/>
    <w:rsid w:val="005110A8"/>
    <w:rsid w:val="005111C0"/>
    <w:rsid w:val="005114AF"/>
    <w:rsid w:val="00511996"/>
    <w:rsid w:val="00511B01"/>
    <w:rsid w:val="00511C84"/>
    <w:rsid w:val="00511EA1"/>
    <w:rsid w:val="00512180"/>
    <w:rsid w:val="0051235D"/>
    <w:rsid w:val="00512694"/>
    <w:rsid w:val="005127AA"/>
    <w:rsid w:val="00512855"/>
    <w:rsid w:val="00512934"/>
    <w:rsid w:val="00512D30"/>
    <w:rsid w:val="00512FE8"/>
    <w:rsid w:val="00513040"/>
    <w:rsid w:val="00513310"/>
    <w:rsid w:val="005133D6"/>
    <w:rsid w:val="00513460"/>
    <w:rsid w:val="005136EC"/>
    <w:rsid w:val="005138F9"/>
    <w:rsid w:val="00514117"/>
    <w:rsid w:val="00514166"/>
    <w:rsid w:val="005145FE"/>
    <w:rsid w:val="00514904"/>
    <w:rsid w:val="00514BE9"/>
    <w:rsid w:val="00514F47"/>
    <w:rsid w:val="00514FED"/>
    <w:rsid w:val="00515056"/>
    <w:rsid w:val="0051547A"/>
    <w:rsid w:val="005155F7"/>
    <w:rsid w:val="00515883"/>
    <w:rsid w:val="005159A0"/>
    <w:rsid w:val="00516159"/>
    <w:rsid w:val="005164BB"/>
    <w:rsid w:val="005164F0"/>
    <w:rsid w:val="0051655A"/>
    <w:rsid w:val="005169AF"/>
    <w:rsid w:val="00516CE1"/>
    <w:rsid w:val="00516E71"/>
    <w:rsid w:val="005175AD"/>
    <w:rsid w:val="0051770B"/>
    <w:rsid w:val="005178FE"/>
    <w:rsid w:val="005179D1"/>
    <w:rsid w:val="00517DA6"/>
    <w:rsid w:val="005200B5"/>
    <w:rsid w:val="0052016C"/>
    <w:rsid w:val="005201FC"/>
    <w:rsid w:val="0052024C"/>
    <w:rsid w:val="00520534"/>
    <w:rsid w:val="00520570"/>
    <w:rsid w:val="005205CE"/>
    <w:rsid w:val="00520800"/>
    <w:rsid w:val="00520914"/>
    <w:rsid w:val="00521252"/>
    <w:rsid w:val="00521442"/>
    <w:rsid w:val="00521CF7"/>
    <w:rsid w:val="00521E09"/>
    <w:rsid w:val="005220C4"/>
    <w:rsid w:val="005221AD"/>
    <w:rsid w:val="00522288"/>
    <w:rsid w:val="0052239B"/>
    <w:rsid w:val="00522AD9"/>
    <w:rsid w:val="00522C06"/>
    <w:rsid w:val="00522EC4"/>
    <w:rsid w:val="00522F19"/>
    <w:rsid w:val="005231F2"/>
    <w:rsid w:val="0052398D"/>
    <w:rsid w:val="00523A45"/>
    <w:rsid w:val="00523AB9"/>
    <w:rsid w:val="00523CD2"/>
    <w:rsid w:val="00523E6F"/>
    <w:rsid w:val="00524819"/>
    <w:rsid w:val="005248D6"/>
    <w:rsid w:val="00524B68"/>
    <w:rsid w:val="00524C76"/>
    <w:rsid w:val="00525008"/>
    <w:rsid w:val="005251AA"/>
    <w:rsid w:val="005252C0"/>
    <w:rsid w:val="00525464"/>
    <w:rsid w:val="005254AA"/>
    <w:rsid w:val="005258F6"/>
    <w:rsid w:val="005259A2"/>
    <w:rsid w:val="00525A0D"/>
    <w:rsid w:val="00525E6A"/>
    <w:rsid w:val="00526051"/>
    <w:rsid w:val="005260B5"/>
    <w:rsid w:val="005268BF"/>
    <w:rsid w:val="00526953"/>
    <w:rsid w:val="00526AA3"/>
    <w:rsid w:val="00527439"/>
    <w:rsid w:val="005274BF"/>
    <w:rsid w:val="0052782C"/>
    <w:rsid w:val="00527BC4"/>
    <w:rsid w:val="00527D55"/>
    <w:rsid w:val="00530433"/>
    <w:rsid w:val="005304C6"/>
    <w:rsid w:val="005305A8"/>
    <w:rsid w:val="005307A1"/>
    <w:rsid w:val="00530C7C"/>
    <w:rsid w:val="00530D94"/>
    <w:rsid w:val="00530DC4"/>
    <w:rsid w:val="00530E97"/>
    <w:rsid w:val="00530F1F"/>
    <w:rsid w:val="005310AB"/>
    <w:rsid w:val="005312F3"/>
    <w:rsid w:val="005315C0"/>
    <w:rsid w:val="00531CAA"/>
    <w:rsid w:val="00532166"/>
    <w:rsid w:val="00532180"/>
    <w:rsid w:val="005321FD"/>
    <w:rsid w:val="0053254E"/>
    <w:rsid w:val="00532652"/>
    <w:rsid w:val="00532803"/>
    <w:rsid w:val="00532934"/>
    <w:rsid w:val="00532C26"/>
    <w:rsid w:val="00532E88"/>
    <w:rsid w:val="005333C2"/>
    <w:rsid w:val="00533456"/>
    <w:rsid w:val="005334C5"/>
    <w:rsid w:val="00533D37"/>
    <w:rsid w:val="00533DFB"/>
    <w:rsid w:val="00534140"/>
    <w:rsid w:val="0053430B"/>
    <w:rsid w:val="0053453D"/>
    <w:rsid w:val="005349B1"/>
    <w:rsid w:val="00534B46"/>
    <w:rsid w:val="00534BA8"/>
    <w:rsid w:val="00534C01"/>
    <w:rsid w:val="00535080"/>
    <w:rsid w:val="0053548F"/>
    <w:rsid w:val="00535575"/>
    <w:rsid w:val="00535685"/>
    <w:rsid w:val="0053597B"/>
    <w:rsid w:val="00535B1C"/>
    <w:rsid w:val="00535BA0"/>
    <w:rsid w:val="00535C0E"/>
    <w:rsid w:val="005361F0"/>
    <w:rsid w:val="0053623E"/>
    <w:rsid w:val="00536254"/>
    <w:rsid w:val="0053649F"/>
    <w:rsid w:val="00536585"/>
    <w:rsid w:val="005366ED"/>
    <w:rsid w:val="005367F0"/>
    <w:rsid w:val="00536D95"/>
    <w:rsid w:val="00536DF2"/>
    <w:rsid w:val="00536F4E"/>
    <w:rsid w:val="005374C5"/>
    <w:rsid w:val="005375AB"/>
    <w:rsid w:val="00537AC2"/>
    <w:rsid w:val="0054034C"/>
    <w:rsid w:val="0054039C"/>
    <w:rsid w:val="0054049C"/>
    <w:rsid w:val="00540537"/>
    <w:rsid w:val="00540548"/>
    <w:rsid w:val="0054068D"/>
    <w:rsid w:val="005406F9"/>
    <w:rsid w:val="005409DD"/>
    <w:rsid w:val="00540B06"/>
    <w:rsid w:val="00540BD2"/>
    <w:rsid w:val="00540BEF"/>
    <w:rsid w:val="00540CBE"/>
    <w:rsid w:val="005415FA"/>
    <w:rsid w:val="00541814"/>
    <w:rsid w:val="00541BAC"/>
    <w:rsid w:val="00541EE8"/>
    <w:rsid w:val="005420E8"/>
    <w:rsid w:val="00542208"/>
    <w:rsid w:val="005423FF"/>
    <w:rsid w:val="005426D3"/>
    <w:rsid w:val="00542703"/>
    <w:rsid w:val="00542762"/>
    <w:rsid w:val="005429F1"/>
    <w:rsid w:val="00542A79"/>
    <w:rsid w:val="00542C17"/>
    <w:rsid w:val="00542CD1"/>
    <w:rsid w:val="00542CD8"/>
    <w:rsid w:val="00542E3F"/>
    <w:rsid w:val="00542FE2"/>
    <w:rsid w:val="0054314A"/>
    <w:rsid w:val="0054317B"/>
    <w:rsid w:val="00543543"/>
    <w:rsid w:val="005438B8"/>
    <w:rsid w:val="005438D5"/>
    <w:rsid w:val="00543921"/>
    <w:rsid w:val="005441B7"/>
    <w:rsid w:val="00544495"/>
    <w:rsid w:val="0054458D"/>
    <w:rsid w:val="0054498F"/>
    <w:rsid w:val="00544B5E"/>
    <w:rsid w:val="00545309"/>
    <w:rsid w:val="00545417"/>
    <w:rsid w:val="00545583"/>
    <w:rsid w:val="005458A8"/>
    <w:rsid w:val="005458ED"/>
    <w:rsid w:val="00545D83"/>
    <w:rsid w:val="00546127"/>
    <w:rsid w:val="005461F1"/>
    <w:rsid w:val="005463B1"/>
    <w:rsid w:val="005463D7"/>
    <w:rsid w:val="005464B1"/>
    <w:rsid w:val="005464C4"/>
    <w:rsid w:val="00546527"/>
    <w:rsid w:val="0054657C"/>
    <w:rsid w:val="0054684A"/>
    <w:rsid w:val="0054710C"/>
    <w:rsid w:val="00547294"/>
    <w:rsid w:val="005475F7"/>
    <w:rsid w:val="00547685"/>
    <w:rsid w:val="005476FD"/>
    <w:rsid w:val="00547768"/>
    <w:rsid w:val="00547BA9"/>
    <w:rsid w:val="00547D70"/>
    <w:rsid w:val="00547EF4"/>
    <w:rsid w:val="005500AD"/>
    <w:rsid w:val="00550140"/>
    <w:rsid w:val="00550659"/>
    <w:rsid w:val="0055067A"/>
    <w:rsid w:val="00550703"/>
    <w:rsid w:val="00550719"/>
    <w:rsid w:val="00550733"/>
    <w:rsid w:val="005507AD"/>
    <w:rsid w:val="00550A2B"/>
    <w:rsid w:val="00550B88"/>
    <w:rsid w:val="00550F2B"/>
    <w:rsid w:val="00550FB3"/>
    <w:rsid w:val="00550FCE"/>
    <w:rsid w:val="00551633"/>
    <w:rsid w:val="00551B15"/>
    <w:rsid w:val="00551E1F"/>
    <w:rsid w:val="00551FBC"/>
    <w:rsid w:val="00552046"/>
    <w:rsid w:val="0055225C"/>
    <w:rsid w:val="00552732"/>
    <w:rsid w:val="00552AB0"/>
    <w:rsid w:val="00552B3E"/>
    <w:rsid w:val="00552D45"/>
    <w:rsid w:val="00552E10"/>
    <w:rsid w:val="00552EF4"/>
    <w:rsid w:val="00553014"/>
    <w:rsid w:val="0055334A"/>
    <w:rsid w:val="00553E65"/>
    <w:rsid w:val="00553F01"/>
    <w:rsid w:val="0055404C"/>
    <w:rsid w:val="005541EE"/>
    <w:rsid w:val="00554416"/>
    <w:rsid w:val="00554758"/>
    <w:rsid w:val="00554852"/>
    <w:rsid w:val="00554AB7"/>
    <w:rsid w:val="00554AC8"/>
    <w:rsid w:val="00554CF1"/>
    <w:rsid w:val="00554FD0"/>
    <w:rsid w:val="005550E0"/>
    <w:rsid w:val="00555406"/>
    <w:rsid w:val="0055547B"/>
    <w:rsid w:val="005555FF"/>
    <w:rsid w:val="005557C1"/>
    <w:rsid w:val="00555892"/>
    <w:rsid w:val="00555A21"/>
    <w:rsid w:val="00555BE3"/>
    <w:rsid w:val="00555DD4"/>
    <w:rsid w:val="00555F95"/>
    <w:rsid w:val="005560AF"/>
    <w:rsid w:val="005568E1"/>
    <w:rsid w:val="00556A01"/>
    <w:rsid w:val="00556BF8"/>
    <w:rsid w:val="00557381"/>
    <w:rsid w:val="00557502"/>
    <w:rsid w:val="0055759F"/>
    <w:rsid w:val="005575CF"/>
    <w:rsid w:val="00557898"/>
    <w:rsid w:val="0055794E"/>
    <w:rsid w:val="00557C82"/>
    <w:rsid w:val="00557F80"/>
    <w:rsid w:val="005600D0"/>
    <w:rsid w:val="00560138"/>
    <w:rsid w:val="00560217"/>
    <w:rsid w:val="00560666"/>
    <w:rsid w:val="00560794"/>
    <w:rsid w:val="00560823"/>
    <w:rsid w:val="00560C8A"/>
    <w:rsid w:val="00560D7C"/>
    <w:rsid w:val="00561184"/>
    <w:rsid w:val="00561329"/>
    <w:rsid w:val="005615CB"/>
    <w:rsid w:val="00561799"/>
    <w:rsid w:val="00561B15"/>
    <w:rsid w:val="005620C3"/>
    <w:rsid w:val="0056225C"/>
    <w:rsid w:val="00562425"/>
    <w:rsid w:val="005627C9"/>
    <w:rsid w:val="00562929"/>
    <w:rsid w:val="005633F8"/>
    <w:rsid w:val="005634A0"/>
    <w:rsid w:val="00563D18"/>
    <w:rsid w:val="00563F6D"/>
    <w:rsid w:val="005640E5"/>
    <w:rsid w:val="00564149"/>
    <w:rsid w:val="0056436B"/>
    <w:rsid w:val="0056465A"/>
    <w:rsid w:val="00564C3F"/>
    <w:rsid w:val="00564DF3"/>
    <w:rsid w:val="00564EC0"/>
    <w:rsid w:val="00565284"/>
    <w:rsid w:val="00565667"/>
    <w:rsid w:val="005656D9"/>
    <w:rsid w:val="0056579D"/>
    <w:rsid w:val="005657ED"/>
    <w:rsid w:val="00565981"/>
    <w:rsid w:val="00565C2F"/>
    <w:rsid w:val="00565E61"/>
    <w:rsid w:val="00565FDE"/>
    <w:rsid w:val="0056619A"/>
    <w:rsid w:val="005661CF"/>
    <w:rsid w:val="0056641F"/>
    <w:rsid w:val="00566468"/>
    <w:rsid w:val="005664E3"/>
    <w:rsid w:val="005667BF"/>
    <w:rsid w:val="00566C71"/>
    <w:rsid w:val="00566CFC"/>
    <w:rsid w:val="005670E6"/>
    <w:rsid w:val="005671C1"/>
    <w:rsid w:val="005673F4"/>
    <w:rsid w:val="00567942"/>
    <w:rsid w:val="00567B0B"/>
    <w:rsid w:val="00567B68"/>
    <w:rsid w:val="005701B3"/>
    <w:rsid w:val="005702A9"/>
    <w:rsid w:val="00570398"/>
    <w:rsid w:val="00570599"/>
    <w:rsid w:val="0057059A"/>
    <w:rsid w:val="00570688"/>
    <w:rsid w:val="005706D6"/>
    <w:rsid w:val="005709E9"/>
    <w:rsid w:val="00570B5B"/>
    <w:rsid w:val="00570C77"/>
    <w:rsid w:val="00570CAB"/>
    <w:rsid w:val="00570DBD"/>
    <w:rsid w:val="005712E6"/>
    <w:rsid w:val="00571337"/>
    <w:rsid w:val="0057135C"/>
    <w:rsid w:val="00571B26"/>
    <w:rsid w:val="00571BF3"/>
    <w:rsid w:val="00571BFE"/>
    <w:rsid w:val="00571C45"/>
    <w:rsid w:val="00571FA8"/>
    <w:rsid w:val="0057224E"/>
    <w:rsid w:val="00572355"/>
    <w:rsid w:val="005724AB"/>
    <w:rsid w:val="0057252D"/>
    <w:rsid w:val="00572612"/>
    <w:rsid w:val="005726A9"/>
    <w:rsid w:val="005726B5"/>
    <w:rsid w:val="005729E1"/>
    <w:rsid w:val="00572AB7"/>
    <w:rsid w:val="00572B7A"/>
    <w:rsid w:val="00572BE2"/>
    <w:rsid w:val="00572D89"/>
    <w:rsid w:val="00572EE8"/>
    <w:rsid w:val="005731A2"/>
    <w:rsid w:val="005731D7"/>
    <w:rsid w:val="0057337B"/>
    <w:rsid w:val="005733D0"/>
    <w:rsid w:val="0057359D"/>
    <w:rsid w:val="00573917"/>
    <w:rsid w:val="005739F8"/>
    <w:rsid w:val="00573A9A"/>
    <w:rsid w:val="00573F9F"/>
    <w:rsid w:val="005741E5"/>
    <w:rsid w:val="00574375"/>
    <w:rsid w:val="0057497F"/>
    <w:rsid w:val="00574AFD"/>
    <w:rsid w:val="00574F7A"/>
    <w:rsid w:val="00575223"/>
    <w:rsid w:val="005756AB"/>
    <w:rsid w:val="00575922"/>
    <w:rsid w:val="00575B06"/>
    <w:rsid w:val="005760A2"/>
    <w:rsid w:val="005761AD"/>
    <w:rsid w:val="00576294"/>
    <w:rsid w:val="005763F6"/>
    <w:rsid w:val="00576731"/>
    <w:rsid w:val="00576882"/>
    <w:rsid w:val="005768B3"/>
    <w:rsid w:val="00576904"/>
    <w:rsid w:val="00576971"/>
    <w:rsid w:val="00576A29"/>
    <w:rsid w:val="00576BC2"/>
    <w:rsid w:val="00576D6D"/>
    <w:rsid w:val="00576E0E"/>
    <w:rsid w:val="00576EAF"/>
    <w:rsid w:val="00577310"/>
    <w:rsid w:val="00577595"/>
    <w:rsid w:val="005775EC"/>
    <w:rsid w:val="00577696"/>
    <w:rsid w:val="005779C6"/>
    <w:rsid w:val="00577B21"/>
    <w:rsid w:val="00577B2B"/>
    <w:rsid w:val="00577B99"/>
    <w:rsid w:val="00577D4C"/>
    <w:rsid w:val="00577DE1"/>
    <w:rsid w:val="00577E16"/>
    <w:rsid w:val="00580003"/>
    <w:rsid w:val="0058096A"/>
    <w:rsid w:val="00580AD7"/>
    <w:rsid w:val="00580C6C"/>
    <w:rsid w:val="00580D8B"/>
    <w:rsid w:val="005810BC"/>
    <w:rsid w:val="00581270"/>
    <w:rsid w:val="0058128D"/>
    <w:rsid w:val="00581360"/>
    <w:rsid w:val="005813E5"/>
    <w:rsid w:val="00581C2B"/>
    <w:rsid w:val="00581C6B"/>
    <w:rsid w:val="00581DD4"/>
    <w:rsid w:val="005822BD"/>
    <w:rsid w:val="0058252E"/>
    <w:rsid w:val="0058274D"/>
    <w:rsid w:val="00582819"/>
    <w:rsid w:val="0058283F"/>
    <w:rsid w:val="005829CA"/>
    <w:rsid w:val="00582C1C"/>
    <w:rsid w:val="00583656"/>
    <w:rsid w:val="00583802"/>
    <w:rsid w:val="00583A6F"/>
    <w:rsid w:val="00583AFE"/>
    <w:rsid w:val="00583CB6"/>
    <w:rsid w:val="005840A7"/>
    <w:rsid w:val="005842B3"/>
    <w:rsid w:val="00584539"/>
    <w:rsid w:val="00584678"/>
    <w:rsid w:val="00584AB5"/>
    <w:rsid w:val="00584AB7"/>
    <w:rsid w:val="00584E43"/>
    <w:rsid w:val="00584EE2"/>
    <w:rsid w:val="005851E8"/>
    <w:rsid w:val="00585293"/>
    <w:rsid w:val="005854A8"/>
    <w:rsid w:val="00585B7A"/>
    <w:rsid w:val="00585C6F"/>
    <w:rsid w:val="005865E4"/>
    <w:rsid w:val="005867E2"/>
    <w:rsid w:val="0058682D"/>
    <w:rsid w:val="00586B57"/>
    <w:rsid w:val="005871B1"/>
    <w:rsid w:val="0058765E"/>
    <w:rsid w:val="00587897"/>
    <w:rsid w:val="00587A6B"/>
    <w:rsid w:val="00587C77"/>
    <w:rsid w:val="00587CD1"/>
    <w:rsid w:val="00587DD1"/>
    <w:rsid w:val="00590098"/>
    <w:rsid w:val="00590232"/>
    <w:rsid w:val="005902C4"/>
    <w:rsid w:val="00590562"/>
    <w:rsid w:val="005906CE"/>
    <w:rsid w:val="00590A67"/>
    <w:rsid w:val="00590AE5"/>
    <w:rsid w:val="00590BC9"/>
    <w:rsid w:val="00590C87"/>
    <w:rsid w:val="005915C6"/>
    <w:rsid w:val="0059163E"/>
    <w:rsid w:val="00591667"/>
    <w:rsid w:val="005916EE"/>
    <w:rsid w:val="005919A3"/>
    <w:rsid w:val="00591A89"/>
    <w:rsid w:val="00591BAA"/>
    <w:rsid w:val="00591E90"/>
    <w:rsid w:val="00591EAC"/>
    <w:rsid w:val="005924AC"/>
    <w:rsid w:val="0059270E"/>
    <w:rsid w:val="00592719"/>
    <w:rsid w:val="0059282D"/>
    <w:rsid w:val="00592A48"/>
    <w:rsid w:val="00592CF6"/>
    <w:rsid w:val="00593005"/>
    <w:rsid w:val="0059396A"/>
    <w:rsid w:val="00593B54"/>
    <w:rsid w:val="00593D58"/>
    <w:rsid w:val="00593E57"/>
    <w:rsid w:val="005942B3"/>
    <w:rsid w:val="005942D5"/>
    <w:rsid w:val="005944F2"/>
    <w:rsid w:val="00594667"/>
    <w:rsid w:val="0059479A"/>
    <w:rsid w:val="0059484D"/>
    <w:rsid w:val="005948CD"/>
    <w:rsid w:val="00594E2C"/>
    <w:rsid w:val="00595128"/>
    <w:rsid w:val="00595E05"/>
    <w:rsid w:val="00596613"/>
    <w:rsid w:val="00596779"/>
    <w:rsid w:val="00596B90"/>
    <w:rsid w:val="00596EE2"/>
    <w:rsid w:val="00596F9B"/>
    <w:rsid w:val="005970BC"/>
    <w:rsid w:val="0059724F"/>
    <w:rsid w:val="00597255"/>
    <w:rsid w:val="005972C2"/>
    <w:rsid w:val="0059749C"/>
    <w:rsid w:val="005975EC"/>
    <w:rsid w:val="00597785"/>
    <w:rsid w:val="00597B9D"/>
    <w:rsid w:val="005A0139"/>
    <w:rsid w:val="005A0147"/>
    <w:rsid w:val="005A01C8"/>
    <w:rsid w:val="005A01DD"/>
    <w:rsid w:val="005A0884"/>
    <w:rsid w:val="005A098C"/>
    <w:rsid w:val="005A0AEF"/>
    <w:rsid w:val="005A0DD2"/>
    <w:rsid w:val="005A15A7"/>
    <w:rsid w:val="005A15AD"/>
    <w:rsid w:val="005A1628"/>
    <w:rsid w:val="005A17E8"/>
    <w:rsid w:val="005A17F1"/>
    <w:rsid w:val="005A1DFD"/>
    <w:rsid w:val="005A1E41"/>
    <w:rsid w:val="005A24E5"/>
    <w:rsid w:val="005A2519"/>
    <w:rsid w:val="005A2528"/>
    <w:rsid w:val="005A2F77"/>
    <w:rsid w:val="005A3127"/>
    <w:rsid w:val="005A3449"/>
    <w:rsid w:val="005A3520"/>
    <w:rsid w:val="005A37AC"/>
    <w:rsid w:val="005A3979"/>
    <w:rsid w:val="005A3DA9"/>
    <w:rsid w:val="005A3E04"/>
    <w:rsid w:val="005A3EF8"/>
    <w:rsid w:val="005A3FA9"/>
    <w:rsid w:val="005A4163"/>
    <w:rsid w:val="005A436A"/>
    <w:rsid w:val="005A4646"/>
    <w:rsid w:val="005A46EB"/>
    <w:rsid w:val="005A4719"/>
    <w:rsid w:val="005A484F"/>
    <w:rsid w:val="005A493D"/>
    <w:rsid w:val="005A5063"/>
    <w:rsid w:val="005A556A"/>
    <w:rsid w:val="005A5667"/>
    <w:rsid w:val="005A57AF"/>
    <w:rsid w:val="005A60BA"/>
    <w:rsid w:val="005A69E7"/>
    <w:rsid w:val="005A6AB7"/>
    <w:rsid w:val="005A6EB8"/>
    <w:rsid w:val="005A6FAA"/>
    <w:rsid w:val="005A7596"/>
    <w:rsid w:val="005A781C"/>
    <w:rsid w:val="005A7B1B"/>
    <w:rsid w:val="005A7E8D"/>
    <w:rsid w:val="005A7F14"/>
    <w:rsid w:val="005B0281"/>
    <w:rsid w:val="005B0381"/>
    <w:rsid w:val="005B08AB"/>
    <w:rsid w:val="005B0CBF"/>
    <w:rsid w:val="005B0EA3"/>
    <w:rsid w:val="005B0F33"/>
    <w:rsid w:val="005B115E"/>
    <w:rsid w:val="005B1694"/>
    <w:rsid w:val="005B1964"/>
    <w:rsid w:val="005B1973"/>
    <w:rsid w:val="005B1B50"/>
    <w:rsid w:val="005B1C7B"/>
    <w:rsid w:val="005B1C7F"/>
    <w:rsid w:val="005B1D94"/>
    <w:rsid w:val="005B23FE"/>
    <w:rsid w:val="005B248C"/>
    <w:rsid w:val="005B2612"/>
    <w:rsid w:val="005B26B8"/>
    <w:rsid w:val="005B2AAB"/>
    <w:rsid w:val="005B2CA1"/>
    <w:rsid w:val="005B2D0A"/>
    <w:rsid w:val="005B2E7E"/>
    <w:rsid w:val="005B2EC0"/>
    <w:rsid w:val="005B2EE7"/>
    <w:rsid w:val="005B3197"/>
    <w:rsid w:val="005B327A"/>
    <w:rsid w:val="005B3658"/>
    <w:rsid w:val="005B3F8C"/>
    <w:rsid w:val="005B405B"/>
    <w:rsid w:val="005B4247"/>
    <w:rsid w:val="005B4552"/>
    <w:rsid w:val="005B4680"/>
    <w:rsid w:val="005B472C"/>
    <w:rsid w:val="005B4923"/>
    <w:rsid w:val="005B496F"/>
    <w:rsid w:val="005B4F6A"/>
    <w:rsid w:val="005B563B"/>
    <w:rsid w:val="005B5788"/>
    <w:rsid w:val="005B5B42"/>
    <w:rsid w:val="005B5F56"/>
    <w:rsid w:val="005B5FB6"/>
    <w:rsid w:val="005B5FC3"/>
    <w:rsid w:val="005B5FF9"/>
    <w:rsid w:val="005B618E"/>
    <w:rsid w:val="005B6246"/>
    <w:rsid w:val="005B647E"/>
    <w:rsid w:val="005B683E"/>
    <w:rsid w:val="005B6C05"/>
    <w:rsid w:val="005B6D56"/>
    <w:rsid w:val="005B70C8"/>
    <w:rsid w:val="005B71B2"/>
    <w:rsid w:val="005B7319"/>
    <w:rsid w:val="005B75D3"/>
    <w:rsid w:val="005B7B36"/>
    <w:rsid w:val="005B7C1F"/>
    <w:rsid w:val="005C05E3"/>
    <w:rsid w:val="005C0646"/>
    <w:rsid w:val="005C0AEF"/>
    <w:rsid w:val="005C0FC4"/>
    <w:rsid w:val="005C125D"/>
    <w:rsid w:val="005C1306"/>
    <w:rsid w:val="005C17CC"/>
    <w:rsid w:val="005C196B"/>
    <w:rsid w:val="005C1AF1"/>
    <w:rsid w:val="005C1B8B"/>
    <w:rsid w:val="005C1D9A"/>
    <w:rsid w:val="005C1DA0"/>
    <w:rsid w:val="005C2677"/>
    <w:rsid w:val="005C2907"/>
    <w:rsid w:val="005C2E2C"/>
    <w:rsid w:val="005C2E41"/>
    <w:rsid w:val="005C2E93"/>
    <w:rsid w:val="005C333F"/>
    <w:rsid w:val="005C3440"/>
    <w:rsid w:val="005C3490"/>
    <w:rsid w:val="005C34F9"/>
    <w:rsid w:val="005C35F2"/>
    <w:rsid w:val="005C36A5"/>
    <w:rsid w:val="005C371E"/>
    <w:rsid w:val="005C3EE1"/>
    <w:rsid w:val="005C3F03"/>
    <w:rsid w:val="005C3F3E"/>
    <w:rsid w:val="005C4166"/>
    <w:rsid w:val="005C421F"/>
    <w:rsid w:val="005C4330"/>
    <w:rsid w:val="005C44A2"/>
    <w:rsid w:val="005C44E2"/>
    <w:rsid w:val="005C453F"/>
    <w:rsid w:val="005C4A14"/>
    <w:rsid w:val="005C4AF3"/>
    <w:rsid w:val="005C4DE9"/>
    <w:rsid w:val="005C5056"/>
    <w:rsid w:val="005C56F1"/>
    <w:rsid w:val="005C5942"/>
    <w:rsid w:val="005C5D35"/>
    <w:rsid w:val="005C5D38"/>
    <w:rsid w:val="005C5E05"/>
    <w:rsid w:val="005C5F86"/>
    <w:rsid w:val="005C6362"/>
    <w:rsid w:val="005C64E0"/>
    <w:rsid w:val="005C656E"/>
    <w:rsid w:val="005C67EB"/>
    <w:rsid w:val="005C6D18"/>
    <w:rsid w:val="005C6DE6"/>
    <w:rsid w:val="005C73EE"/>
    <w:rsid w:val="005C7633"/>
    <w:rsid w:val="005D001C"/>
    <w:rsid w:val="005D0020"/>
    <w:rsid w:val="005D033E"/>
    <w:rsid w:val="005D039D"/>
    <w:rsid w:val="005D05FA"/>
    <w:rsid w:val="005D09C9"/>
    <w:rsid w:val="005D0CC2"/>
    <w:rsid w:val="005D0EAC"/>
    <w:rsid w:val="005D1414"/>
    <w:rsid w:val="005D15D6"/>
    <w:rsid w:val="005D19C1"/>
    <w:rsid w:val="005D1C19"/>
    <w:rsid w:val="005D1D00"/>
    <w:rsid w:val="005D1DC4"/>
    <w:rsid w:val="005D1DE6"/>
    <w:rsid w:val="005D2137"/>
    <w:rsid w:val="005D22BA"/>
    <w:rsid w:val="005D231A"/>
    <w:rsid w:val="005D23DA"/>
    <w:rsid w:val="005D259F"/>
    <w:rsid w:val="005D25FF"/>
    <w:rsid w:val="005D2A39"/>
    <w:rsid w:val="005D2B21"/>
    <w:rsid w:val="005D2CB5"/>
    <w:rsid w:val="005D2D27"/>
    <w:rsid w:val="005D3082"/>
    <w:rsid w:val="005D326A"/>
    <w:rsid w:val="005D35A3"/>
    <w:rsid w:val="005D36E3"/>
    <w:rsid w:val="005D38B8"/>
    <w:rsid w:val="005D39B7"/>
    <w:rsid w:val="005D3BEC"/>
    <w:rsid w:val="005D3DB2"/>
    <w:rsid w:val="005D4541"/>
    <w:rsid w:val="005D47A5"/>
    <w:rsid w:val="005D493B"/>
    <w:rsid w:val="005D4C52"/>
    <w:rsid w:val="005D4F79"/>
    <w:rsid w:val="005D5042"/>
    <w:rsid w:val="005D521E"/>
    <w:rsid w:val="005D525A"/>
    <w:rsid w:val="005D5A68"/>
    <w:rsid w:val="005D5C2D"/>
    <w:rsid w:val="005D5F8B"/>
    <w:rsid w:val="005D609B"/>
    <w:rsid w:val="005D6313"/>
    <w:rsid w:val="005D650C"/>
    <w:rsid w:val="005D666A"/>
    <w:rsid w:val="005D682A"/>
    <w:rsid w:val="005D6A4A"/>
    <w:rsid w:val="005D6C87"/>
    <w:rsid w:val="005D6E7A"/>
    <w:rsid w:val="005D6FDE"/>
    <w:rsid w:val="005D7290"/>
    <w:rsid w:val="005D72C8"/>
    <w:rsid w:val="005D730A"/>
    <w:rsid w:val="005D74FD"/>
    <w:rsid w:val="005D765A"/>
    <w:rsid w:val="005D7992"/>
    <w:rsid w:val="005D7A01"/>
    <w:rsid w:val="005D7AAC"/>
    <w:rsid w:val="005E0172"/>
    <w:rsid w:val="005E06CA"/>
    <w:rsid w:val="005E085C"/>
    <w:rsid w:val="005E0879"/>
    <w:rsid w:val="005E0CEC"/>
    <w:rsid w:val="005E0F3F"/>
    <w:rsid w:val="005E1850"/>
    <w:rsid w:val="005E1D10"/>
    <w:rsid w:val="005E1EC0"/>
    <w:rsid w:val="005E217C"/>
    <w:rsid w:val="005E27A3"/>
    <w:rsid w:val="005E298E"/>
    <w:rsid w:val="005E2A22"/>
    <w:rsid w:val="005E2A49"/>
    <w:rsid w:val="005E2ACA"/>
    <w:rsid w:val="005E2C58"/>
    <w:rsid w:val="005E351A"/>
    <w:rsid w:val="005E3582"/>
    <w:rsid w:val="005E373A"/>
    <w:rsid w:val="005E3C36"/>
    <w:rsid w:val="005E3CE9"/>
    <w:rsid w:val="005E3D18"/>
    <w:rsid w:val="005E40BF"/>
    <w:rsid w:val="005E41D2"/>
    <w:rsid w:val="005E42AC"/>
    <w:rsid w:val="005E4373"/>
    <w:rsid w:val="005E481B"/>
    <w:rsid w:val="005E4B00"/>
    <w:rsid w:val="005E4D40"/>
    <w:rsid w:val="005E4E70"/>
    <w:rsid w:val="005E51FC"/>
    <w:rsid w:val="005E53EF"/>
    <w:rsid w:val="005E553A"/>
    <w:rsid w:val="005E5796"/>
    <w:rsid w:val="005E58C1"/>
    <w:rsid w:val="005E597B"/>
    <w:rsid w:val="005E5F8F"/>
    <w:rsid w:val="005E64C7"/>
    <w:rsid w:val="005E65CA"/>
    <w:rsid w:val="005E6966"/>
    <w:rsid w:val="005E6AEA"/>
    <w:rsid w:val="005E6AF4"/>
    <w:rsid w:val="005E6C06"/>
    <w:rsid w:val="005E6D8D"/>
    <w:rsid w:val="005E7289"/>
    <w:rsid w:val="005E76CC"/>
    <w:rsid w:val="005E79FB"/>
    <w:rsid w:val="005E7BB3"/>
    <w:rsid w:val="005E7C95"/>
    <w:rsid w:val="005F0073"/>
    <w:rsid w:val="005F0509"/>
    <w:rsid w:val="005F05BF"/>
    <w:rsid w:val="005F1184"/>
    <w:rsid w:val="005F1262"/>
    <w:rsid w:val="005F12B6"/>
    <w:rsid w:val="005F136A"/>
    <w:rsid w:val="005F14F8"/>
    <w:rsid w:val="005F1C4C"/>
    <w:rsid w:val="005F1EE2"/>
    <w:rsid w:val="005F2218"/>
    <w:rsid w:val="005F2297"/>
    <w:rsid w:val="005F274B"/>
    <w:rsid w:val="005F2CF9"/>
    <w:rsid w:val="005F2D8B"/>
    <w:rsid w:val="005F2EE6"/>
    <w:rsid w:val="005F327B"/>
    <w:rsid w:val="005F3526"/>
    <w:rsid w:val="005F3538"/>
    <w:rsid w:val="005F3911"/>
    <w:rsid w:val="005F392F"/>
    <w:rsid w:val="005F3A1F"/>
    <w:rsid w:val="005F4060"/>
    <w:rsid w:val="005F4110"/>
    <w:rsid w:val="005F41E9"/>
    <w:rsid w:val="005F42D2"/>
    <w:rsid w:val="005F43A4"/>
    <w:rsid w:val="005F43DF"/>
    <w:rsid w:val="005F4766"/>
    <w:rsid w:val="005F476B"/>
    <w:rsid w:val="005F4B4D"/>
    <w:rsid w:val="005F4CBA"/>
    <w:rsid w:val="005F4CF9"/>
    <w:rsid w:val="005F4E92"/>
    <w:rsid w:val="005F5392"/>
    <w:rsid w:val="005F554E"/>
    <w:rsid w:val="005F5590"/>
    <w:rsid w:val="005F58CA"/>
    <w:rsid w:val="005F5955"/>
    <w:rsid w:val="005F5B57"/>
    <w:rsid w:val="005F64C1"/>
    <w:rsid w:val="005F680F"/>
    <w:rsid w:val="005F6DA3"/>
    <w:rsid w:val="005F7077"/>
    <w:rsid w:val="005F714C"/>
    <w:rsid w:val="005F7237"/>
    <w:rsid w:val="005F72AF"/>
    <w:rsid w:val="005F7586"/>
    <w:rsid w:val="005F79B5"/>
    <w:rsid w:val="005F7A65"/>
    <w:rsid w:val="005F7C7D"/>
    <w:rsid w:val="005F7CE1"/>
    <w:rsid w:val="0060034B"/>
    <w:rsid w:val="00600394"/>
    <w:rsid w:val="00600DD2"/>
    <w:rsid w:val="00600FF7"/>
    <w:rsid w:val="00601146"/>
    <w:rsid w:val="00601189"/>
    <w:rsid w:val="006011D1"/>
    <w:rsid w:val="0060129A"/>
    <w:rsid w:val="00601467"/>
    <w:rsid w:val="0060165E"/>
    <w:rsid w:val="00601769"/>
    <w:rsid w:val="006019BD"/>
    <w:rsid w:val="00601A7A"/>
    <w:rsid w:val="00601BCE"/>
    <w:rsid w:val="00601C42"/>
    <w:rsid w:val="00601D22"/>
    <w:rsid w:val="00601EE4"/>
    <w:rsid w:val="00601EF0"/>
    <w:rsid w:val="0060203C"/>
    <w:rsid w:val="0060213C"/>
    <w:rsid w:val="006022DC"/>
    <w:rsid w:val="006023A3"/>
    <w:rsid w:val="006026BB"/>
    <w:rsid w:val="00602816"/>
    <w:rsid w:val="006028F4"/>
    <w:rsid w:val="00602C2A"/>
    <w:rsid w:val="00602EA4"/>
    <w:rsid w:val="00602F49"/>
    <w:rsid w:val="006030C2"/>
    <w:rsid w:val="006031F9"/>
    <w:rsid w:val="0060337A"/>
    <w:rsid w:val="006033E0"/>
    <w:rsid w:val="006034BF"/>
    <w:rsid w:val="00603A05"/>
    <w:rsid w:val="00603A71"/>
    <w:rsid w:val="00603B7F"/>
    <w:rsid w:val="00603E5A"/>
    <w:rsid w:val="00604331"/>
    <w:rsid w:val="0060462B"/>
    <w:rsid w:val="00604A19"/>
    <w:rsid w:val="00604AE3"/>
    <w:rsid w:val="00605200"/>
    <w:rsid w:val="00605506"/>
    <w:rsid w:val="00605714"/>
    <w:rsid w:val="0060573B"/>
    <w:rsid w:val="006057EA"/>
    <w:rsid w:val="00605E00"/>
    <w:rsid w:val="00605F42"/>
    <w:rsid w:val="00606106"/>
    <w:rsid w:val="00606462"/>
    <w:rsid w:val="0060673A"/>
    <w:rsid w:val="00606805"/>
    <w:rsid w:val="006068C3"/>
    <w:rsid w:val="00606B87"/>
    <w:rsid w:val="00606DC0"/>
    <w:rsid w:val="006071DC"/>
    <w:rsid w:val="00607585"/>
    <w:rsid w:val="00607C42"/>
    <w:rsid w:val="00607C97"/>
    <w:rsid w:val="00607E0D"/>
    <w:rsid w:val="00607EB3"/>
    <w:rsid w:val="00607FBF"/>
    <w:rsid w:val="00610583"/>
    <w:rsid w:val="0061058E"/>
    <w:rsid w:val="00610684"/>
    <w:rsid w:val="00610D88"/>
    <w:rsid w:val="00611646"/>
    <w:rsid w:val="00611783"/>
    <w:rsid w:val="00611CCA"/>
    <w:rsid w:val="00611E4C"/>
    <w:rsid w:val="00611F77"/>
    <w:rsid w:val="006126AE"/>
    <w:rsid w:val="00612700"/>
    <w:rsid w:val="00612704"/>
    <w:rsid w:val="00612901"/>
    <w:rsid w:val="00612908"/>
    <w:rsid w:val="00612D5F"/>
    <w:rsid w:val="00612DE0"/>
    <w:rsid w:val="00613061"/>
    <w:rsid w:val="00613470"/>
    <w:rsid w:val="0061367E"/>
    <w:rsid w:val="006138E0"/>
    <w:rsid w:val="00613D15"/>
    <w:rsid w:val="00613F44"/>
    <w:rsid w:val="006140F3"/>
    <w:rsid w:val="0061418A"/>
    <w:rsid w:val="006145F6"/>
    <w:rsid w:val="00614735"/>
    <w:rsid w:val="00614737"/>
    <w:rsid w:val="006147B2"/>
    <w:rsid w:val="006149A0"/>
    <w:rsid w:val="00614BC2"/>
    <w:rsid w:val="00614D13"/>
    <w:rsid w:val="00614E6E"/>
    <w:rsid w:val="00614E9A"/>
    <w:rsid w:val="00615643"/>
    <w:rsid w:val="00615784"/>
    <w:rsid w:val="006159C3"/>
    <w:rsid w:val="00615BC3"/>
    <w:rsid w:val="00615C37"/>
    <w:rsid w:val="00615C8E"/>
    <w:rsid w:val="00616299"/>
    <w:rsid w:val="00616667"/>
    <w:rsid w:val="006166F4"/>
    <w:rsid w:val="006167F2"/>
    <w:rsid w:val="006169F0"/>
    <w:rsid w:val="00616A54"/>
    <w:rsid w:val="00616B15"/>
    <w:rsid w:val="00616B79"/>
    <w:rsid w:val="006175D3"/>
    <w:rsid w:val="006177A5"/>
    <w:rsid w:val="00617847"/>
    <w:rsid w:val="00617887"/>
    <w:rsid w:val="00617CC0"/>
    <w:rsid w:val="00617ECF"/>
    <w:rsid w:val="0062018D"/>
    <w:rsid w:val="00620351"/>
    <w:rsid w:val="006203EA"/>
    <w:rsid w:val="006204DD"/>
    <w:rsid w:val="006204EC"/>
    <w:rsid w:val="00620521"/>
    <w:rsid w:val="006205D2"/>
    <w:rsid w:val="00620691"/>
    <w:rsid w:val="006208B5"/>
    <w:rsid w:val="006208C8"/>
    <w:rsid w:val="0062093D"/>
    <w:rsid w:val="00620ABF"/>
    <w:rsid w:val="00620CBA"/>
    <w:rsid w:val="00620D3F"/>
    <w:rsid w:val="00621598"/>
    <w:rsid w:val="00621636"/>
    <w:rsid w:val="00621A2A"/>
    <w:rsid w:val="00621A68"/>
    <w:rsid w:val="00621B05"/>
    <w:rsid w:val="00621D90"/>
    <w:rsid w:val="00621E0B"/>
    <w:rsid w:val="00621ED6"/>
    <w:rsid w:val="00621F80"/>
    <w:rsid w:val="00621F94"/>
    <w:rsid w:val="006224A8"/>
    <w:rsid w:val="006224C3"/>
    <w:rsid w:val="00622753"/>
    <w:rsid w:val="006230E8"/>
    <w:rsid w:val="006231A9"/>
    <w:rsid w:val="0062326A"/>
    <w:rsid w:val="006232C8"/>
    <w:rsid w:val="006239A9"/>
    <w:rsid w:val="00623A9A"/>
    <w:rsid w:val="00623B0F"/>
    <w:rsid w:val="00623E39"/>
    <w:rsid w:val="00623E97"/>
    <w:rsid w:val="00624193"/>
    <w:rsid w:val="006242DC"/>
    <w:rsid w:val="00624382"/>
    <w:rsid w:val="0062441E"/>
    <w:rsid w:val="006248F4"/>
    <w:rsid w:val="00624911"/>
    <w:rsid w:val="00624C39"/>
    <w:rsid w:val="00624CD7"/>
    <w:rsid w:val="00624EBF"/>
    <w:rsid w:val="00624F18"/>
    <w:rsid w:val="00624F77"/>
    <w:rsid w:val="00625078"/>
    <w:rsid w:val="0062521F"/>
    <w:rsid w:val="006257F8"/>
    <w:rsid w:val="00625D09"/>
    <w:rsid w:val="00625E87"/>
    <w:rsid w:val="00625F4A"/>
    <w:rsid w:val="0062606F"/>
    <w:rsid w:val="0062634E"/>
    <w:rsid w:val="0062657E"/>
    <w:rsid w:val="006265C2"/>
    <w:rsid w:val="006266ED"/>
    <w:rsid w:val="0062691F"/>
    <w:rsid w:val="00626C77"/>
    <w:rsid w:val="00626E36"/>
    <w:rsid w:val="00626E4E"/>
    <w:rsid w:val="00626EED"/>
    <w:rsid w:val="00626F66"/>
    <w:rsid w:val="0062718F"/>
    <w:rsid w:val="006273D4"/>
    <w:rsid w:val="006275C1"/>
    <w:rsid w:val="00627A30"/>
    <w:rsid w:val="00627B22"/>
    <w:rsid w:val="00627D8B"/>
    <w:rsid w:val="00627ECA"/>
    <w:rsid w:val="0063043D"/>
    <w:rsid w:val="0063090F"/>
    <w:rsid w:val="00630D45"/>
    <w:rsid w:val="00630D61"/>
    <w:rsid w:val="006311F4"/>
    <w:rsid w:val="00631304"/>
    <w:rsid w:val="00631471"/>
    <w:rsid w:val="0063153A"/>
    <w:rsid w:val="006317BC"/>
    <w:rsid w:val="00631F13"/>
    <w:rsid w:val="00631F23"/>
    <w:rsid w:val="00632144"/>
    <w:rsid w:val="0063267E"/>
    <w:rsid w:val="006327DC"/>
    <w:rsid w:val="00632A89"/>
    <w:rsid w:val="006333EB"/>
    <w:rsid w:val="0063351B"/>
    <w:rsid w:val="00633536"/>
    <w:rsid w:val="00633C45"/>
    <w:rsid w:val="00633D3C"/>
    <w:rsid w:val="00633F47"/>
    <w:rsid w:val="00634461"/>
    <w:rsid w:val="006344E8"/>
    <w:rsid w:val="006345A5"/>
    <w:rsid w:val="00634649"/>
    <w:rsid w:val="006346C1"/>
    <w:rsid w:val="0063470D"/>
    <w:rsid w:val="00634CC2"/>
    <w:rsid w:val="006353E0"/>
    <w:rsid w:val="00635C44"/>
    <w:rsid w:val="00635C8B"/>
    <w:rsid w:val="00635DAE"/>
    <w:rsid w:val="0063616C"/>
    <w:rsid w:val="00636328"/>
    <w:rsid w:val="006368DE"/>
    <w:rsid w:val="006368F6"/>
    <w:rsid w:val="006370FD"/>
    <w:rsid w:val="006371AE"/>
    <w:rsid w:val="0063722B"/>
    <w:rsid w:val="006372BB"/>
    <w:rsid w:val="006372CD"/>
    <w:rsid w:val="006372D4"/>
    <w:rsid w:val="00637315"/>
    <w:rsid w:val="00637B45"/>
    <w:rsid w:val="00637D51"/>
    <w:rsid w:val="00637E12"/>
    <w:rsid w:val="0064017B"/>
    <w:rsid w:val="006401B3"/>
    <w:rsid w:val="0064024F"/>
    <w:rsid w:val="0064051A"/>
    <w:rsid w:val="00640543"/>
    <w:rsid w:val="006406A4"/>
    <w:rsid w:val="006406EA"/>
    <w:rsid w:val="00640B2F"/>
    <w:rsid w:val="00640B43"/>
    <w:rsid w:val="00640D61"/>
    <w:rsid w:val="00640EC8"/>
    <w:rsid w:val="006411C4"/>
    <w:rsid w:val="0064122B"/>
    <w:rsid w:val="0064156E"/>
    <w:rsid w:val="00641623"/>
    <w:rsid w:val="00641926"/>
    <w:rsid w:val="00641950"/>
    <w:rsid w:val="0064195B"/>
    <w:rsid w:val="0064199A"/>
    <w:rsid w:val="00641D0C"/>
    <w:rsid w:val="00641F29"/>
    <w:rsid w:val="0064204D"/>
    <w:rsid w:val="006420F0"/>
    <w:rsid w:val="006422C7"/>
    <w:rsid w:val="00642369"/>
    <w:rsid w:val="0064247C"/>
    <w:rsid w:val="006425A9"/>
    <w:rsid w:val="006426AB"/>
    <w:rsid w:val="006426FE"/>
    <w:rsid w:val="00642B73"/>
    <w:rsid w:val="00642F78"/>
    <w:rsid w:val="00643474"/>
    <w:rsid w:val="006439C4"/>
    <w:rsid w:val="00643AE4"/>
    <w:rsid w:val="00643BD9"/>
    <w:rsid w:val="00643D5D"/>
    <w:rsid w:val="006441C0"/>
    <w:rsid w:val="00644296"/>
    <w:rsid w:val="00644536"/>
    <w:rsid w:val="006446C2"/>
    <w:rsid w:val="00644C65"/>
    <w:rsid w:val="00644C6A"/>
    <w:rsid w:val="00644EB0"/>
    <w:rsid w:val="00645129"/>
    <w:rsid w:val="00645211"/>
    <w:rsid w:val="00645614"/>
    <w:rsid w:val="006458F2"/>
    <w:rsid w:val="0064655D"/>
    <w:rsid w:val="006469FB"/>
    <w:rsid w:val="00646BAE"/>
    <w:rsid w:val="006475CD"/>
    <w:rsid w:val="00647628"/>
    <w:rsid w:val="00647779"/>
    <w:rsid w:val="0064783A"/>
    <w:rsid w:val="00647AAC"/>
    <w:rsid w:val="00647FEE"/>
    <w:rsid w:val="0065003B"/>
    <w:rsid w:val="006502A7"/>
    <w:rsid w:val="0065040B"/>
    <w:rsid w:val="00650444"/>
    <w:rsid w:val="00650620"/>
    <w:rsid w:val="006506B1"/>
    <w:rsid w:val="006507FC"/>
    <w:rsid w:val="00650C7C"/>
    <w:rsid w:val="00650E21"/>
    <w:rsid w:val="00651227"/>
    <w:rsid w:val="0065142D"/>
    <w:rsid w:val="0065157C"/>
    <w:rsid w:val="006516ED"/>
    <w:rsid w:val="006517BD"/>
    <w:rsid w:val="00651872"/>
    <w:rsid w:val="0065187C"/>
    <w:rsid w:val="0065198C"/>
    <w:rsid w:val="006519AF"/>
    <w:rsid w:val="00651B0B"/>
    <w:rsid w:val="00651D87"/>
    <w:rsid w:val="00652013"/>
    <w:rsid w:val="006522F5"/>
    <w:rsid w:val="006523BC"/>
    <w:rsid w:val="006524E2"/>
    <w:rsid w:val="00652624"/>
    <w:rsid w:val="00652663"/>
    <w:rsid w:val="00652B1C"/>
    <w:rsid w:val="00652C66"/>
    <w:rsid w:val="00652D79"/>
    <w:rsid w:val="00652D7D"/>
    <w:rsid w:val="00653369"/>
    <w:rsid w:val="006533BD"/>
    <w:rsid w:val="00653820"/>
    <w:rsid w:val="00653BCB"/>
    <w:rsid w:val="00653F5F"/>
    <w:rsid w:val="00654354"/>
    <w:rsid w:val="006544AB"/>
    <w:rsid w:val="006548D2"/>
    <w:rsid w:val="00654A71"/>
    <w:rsid w:val="00654BD2"/>
    <w:rsid w:val="00654C5A"/>
    <w:rsid w:val="006550E9"/>
    <w:rsid w:val="006552F2"/>
    <w:rsid w:val="00655592"/>
    <w:rsid w:val="006557A6"/>
    <w:rsid w:val="006558CB"/>
    <w:rsid w:val="00655C9D"/>
    <w:rsid w:val="00655F31"/>
    <w:rsid w:val="0065632C"/>
    <w:rsid w:val="006564B4"/>
    <w:rsid w:val="006566CC"/>
    <w:rsid w:val="00656B40"/>
    <w:rsid w:val="00656C25"/>
    <w:rsid w:val="00656CF8"/>
    <w:rsid w:val="00656E8B"/>
    <w:rsid w:val="00656F6A"/>
    <w:rsid w:val="00657066"/>
    <w:rsid w:val="006572BD"/>
    <w:rsid w:val="006573BD"/>
    <w:rsid w:val="006577E3"/>
    <w:rsid w:val="006579FF"/>
    <w:rsid w:val="00657EAC"/>
    <w:rsid w:val="00657F07"/>
    <w:rsid w:val="00660468"/>
    <w:rsid w:val="006606E6"/>
    <w:rsid w:val="006608B4"/>
    <w:rsid w:val="00660BC2"/>
    <w:rsid w:val="00660D29"/>
    <w:rsid w:val="006613D3"/>
    <w:rsid w:val="0066159F"/>
    <w:rsid w:val="00661719"/>
    <w:rsid w:val="00661C1F"/>
    <w:rsid w:val="00661CA9"/>
    <w:rsid w:val="00662052"/>
    <w:rsid w:val="00662283"/>
    <w:rsid w:val="00662886"/>
    <w:rsid w:val="006628E3"/>
    <w:rsid w:val="0066298E"/>
    <w:rsid w:val="00662B6C"/>
    <w:rsid w:val="00662C35"/>
    <w:rsid w:val="00662CEB"/>
    <w:rsid w:val="00662D10"/>
    <w:rsid w:val="00662D68"/>
    <w:rsid w:val="00662F3C"/>
    <w:rsid w:val="00663334"/>
    <w:rsid w:val="0066345E"/>
    <w:rsid w:val="00663717"/>
    <w:rsid w:val="00663762"/>
    <w:rsid w:val="0066390C"/>
    <w:rsid w:val="00663BE3"/>
    <w:rsid w:val="00663C92"/>
    <w:rsid w:val="006641B9"/>
    <w:rsid w:val="00664505"/>
    <w:rsid w:val="00664641"/>
    <w:rsid w:val="006646DD"/>
    <w:rsid w:val="00664719"/>
    <w:rsid w:val="006648C8"/>
    <w:rsid w:val="00664B6C"/>
    <w:rsid w:val="00664F6E"/>
    <w:rsid w:val="00665260"/>
    <w:rsid w:val="006654C9"/>
    <w:rsid w:val="00665502"/>
    <w:rsid w:val="0066554B"/>
    <w:rsid w:val="006656A9"/>
    <w:rsid w:val="00665E1C"/>
    <w:rsid w:val="00665E5C"/>
    <w:rsid w:val="00665FCB"/>
    <w:rsid w:val="00665FFB"/>
    <w:rsid w:val="0066648C"/>
    <w:rsid w:val="0066665A"/>
    <w:rsid w:val="006666F7"/>
    <w:rsid w:val="00666813"/>
    <w:rsid w:val="00666CF7"/>
    <w:rsid w:val="00666DA9"/>
    <w:rsid w:val="00667508"/>
    <w:rsid w:val="00667A43"/>
    <w:rsid w:val="00667D63"/>
    <w:rsid w:val="00667F07"/>
    <w:rsid w:val="00670231"/>
    <w:rsid w:val="00670750"/>
    <w:rsid w:val="00670952"/>
    <w:rsid w:val="00670DEA"/>
    <w:rsid w:val="00670E98"/>
    <w:rsid w:val="00671026"/>
    <w:rsid w:val="0067120A"/>
    <w:rsid w:val="0067123D"/>
    <w:rsid w:val="0067137C"/>
    <w:rsid w:val="00671B02"/>
    <w:rsid w:val="00671D3A"/>
    <w:rsid w:val="00671DD4"/>
    <w:rsid w:val="00671FC5"/>
    <w:rsid w:val="00672385"/>
    <w:rsid w:val="0067288C"/>
    <w:rsid w:val="006728C3"/>
    <w:rsid w:val="00672B31"/>
    <w:rsid w:val="00672BDC"/>
    <w:rsid w:val="00672C78"/>
    <w:rsid w:val="00673291"/>
    <w:rsid w:val="00673356"/>
    <w:rsid w:val="00673491"/>
    <w:rsid w:val="006736E5"/>
    <w:rsid w:val="00673A0B"/>
    <w:rsid w:val="00673BCB"/>
    <w:rsid w:val="00673C76"/>
    <w:rsid w:val="00673E5C"/>
    <w:rsid w:val="00673E6A"/>
    <w:rsid w:val="0067414A"/>
    <w:rsid w:val="006746D9"/>
    <w:rsid w:val="0067479C"/>
    <w:rsid w:val="006749FD"/>
    <w:rsid w:val="00674C64"/>
    <w:rsid w:val="00674D9D"/>
    <w:rsid w:val="00674ED4"/>
    <w:rsid w:val="00674F4D"/>
    <w:rsid w:val="00674F74"/>
    <w:rsid w:val="00675022"/>
    <w:rsid w:val="006755C3"/>
    <w:rsid w:val="0067560A"/>
    <w:rsid w:val="0067579E"/>
    <w:rsid w:val="006757A0"/>
    <w:rsid w:val="00675B2A"/>
    <w:rsid w:val="00675BEE"/>
    <w:rsid w:val="00675C1E"/>
    <w:rsid w:val="00675E2E"/>
    <w:rsid w:val="00675F8A"/>
    <w:rsid w:val="006760CB"/>
    <w:rsid w:val="006767BF"/>
    <w:rsid w:val="00676805"/>
    <w:rsid w:val="00676A83"/>
    <w:rsid w:val="00676A88"/>
    <w:rsid w:val="00676CF4"/>
    <w:rsid w:val="00676D67"/>
    <w:rsid w:val="00676F80"/>
    <w:rsid w:val="00676FDD"/>
    <w:rsid w:val="006774C6"/>
    <w:rsid w:val="006777FA"/>
    <w:rsid w:val="006778B7"/>
    <w:rsid w:val="00677D12"/>
    <w:rsid w:val="00677F6C"/>
    <w:rsid w:val="006800F2"/>
    <w:rsid w:val="00680157"/>
    <w:rsid w:val="00680195"/>
    <w:rsid w:val="00680197"/>
    <w:rsid w:val="006802BD"/>
    <w:rsid w:val="00680302"/>
    <w:rsid w:val="0068038A"/>
    <w:rsid w:val="00680833"/>
    <w:rsid w:val="00680FEE"/>
    <w:rsid w:val="006812C5"/>
    <w:rsid w:val="00682045"/>
    <w:rsid w:val="00682093"/>
    <w:rsid w:val="00682305"/>
    <w:rsid w:val="006825A8"/>
    <w:rsid w:val="006828F1"/>
    <w:rsid w:val="00682A0C"/>
    <w:rsid w:val="00682A92"/>
    <w:rsid w:val="00682CAD"/>
    <w:rsid w:val="00682F29"/>
    <w:rsid w:val="00682FC2"/>
    <w:rsid w:val="00683101"/>
    <w:rsid w:val="00683256"/>
    <w:rsid w:val="00683313"/>
    <w:rsid w:val="00683492"/>
    <w:rsid w:val="00683DF6"/>
    <w:rsid w:val="00683E0C"/>
    <w:rsid w:val="00683F7A"/>
    <w:rsid w:val="00684079"/>
    <w:rsid w:val="00684408"/>
    <w:rsid w:val="00684571"/>
    <w:rsid w:val="00684777"/>
    <w:rsid w:val="00684B49"/>
    <w:rsid w:val="00684B7A"/>
    <w:rsid w:val="00684E1B"/>
    <w:rsid w:val="00685017"/>
    <w:rsid w:val="00685297"/>
    <w:rsid w:val="006853F5"/>
    <w:rsid w:val="006855BD"/>
    <w:rsid w:val="006858D7"/>
    <w:rsid w:val="0068597C"/>
    <w:rsid w:val="00685BB9"/>
    <w:rsid w:val="00685D92"/>
    <w:rsid w:val="00685F38"/>
    <w:rsid w:val="00685FC5"/>
    <w:rsid w:val="00686059"/>
    <w:rsid w:val="00686208"/>
    <w:rsid w:val="006862D5"/>
    <w:rsid w:val="00686782"/>
    <w:rsid w:val="00686900"/>
    <w:rsid w:val="0068695C"/>
    <w:rsid w:val="00686A46"/>
    <w:rsid w:val="00686DD5"/>
    <w:rsid w:val="00687027"/>
    <w:rsid w:val="00687705"/>
    <w:rsid w:val="006877CE"/>
    <w:rsid w:val="006877F6"/>
    <w:rsid w:val="00687A37"/>
    <w:rsid w:val="00687D73"/>
    <w:rsid w:val="006902D2"/>
    <w:rsid w:val="0069055F"/>
    <w:rsid w:val="00690EB2"/>
    <w:rsid w:val="006918EE"/>
    <w:rsid w:val="00691994"/>
    <w:rsid w:val="00691D22"/>
    <w:rsid w:val="006924F2"/>
    <w:rsid w:val="00692507"/>
    <w:rsid w:val="00692787"/>
    <w:rsid w:val="006927A0"/>
    <w:rsid w:val="0069304B"/>
    <w:rsid w:val="00693142"/>
    <w:rsid w:val="0069348B"/>
    <w:rsid w:val="006934F5"/>
    <w:rsid w:val="006935A8"/>
    <w:rsid w:val="00693840"/>
    <w:rsid w:val="00693F66"/>
    <w:rsid w:val="006948D4"/>
    <w:rsid w:val="006948F0"/>
    <w:rsid w:val="00695273"/>
    <w:rsid w:val="00695393"/>
    <w:rsid w:val="006958DF"/>
    <w:rsid w:val="00695927"/>
    <w:rsid w:val="00695980"/>
    <w:rsid w:val="00695C07"/>
    <w:rsid w:val="00695FC6"/>
    <w:rsid w:val="006960D0"/>
    <w:rsid w:val="00696465"/>
    <w:rsid w:val="006965F1"/>
    <w:rsid w:val="00697393"/>
    <w:rsid w:val="006975D4"/>
    <w:rsid w:val="006978CE"/>
    <w:rsid w:val="0069793B"/>
    <w:rsid w:val="00697959"/>
    <w:rsid w:val="00697A23"/>
    <w:rsid w:val="006A011E"/>
    <w:rsid w:val="006A0561"/>
    <w:rsid w:val="006A07C8"/>
    <w:rsid w:val="006A089C"/>
    <w:rsid w:val="006A0909"/>
    <w:rsid w:val="006A0AE3"/>
    <w:rsid w:val="006A0C28"/>
    <w:rsid w:val="006A0DD7"/>
    <w:rsid w:val="006A0FAF"/>
    <w:rsid w:val="006A0FE0"/>
    <w:rsid w:val="006A1004"/>
    <w:rsid w:val="006A15C4"/>
    <w:rsid w:val="006A1741"/>
    <w:rsid w:val="006A1802"/>
    <w:rsid w:val="006A1BEC"/>
    <w:rsid w:val="006A1DE4"/>
    <w:rsid w:val="006A1FAC"/>
    <w:rsid w:val="006A2396"/>
    <w:rsid w:val="006A23D1"/>
    <w:rsid w:val="006A2700"/>
    <w:rsid w:val="006A2710"/>
    <w:rsid w:val="006A27C8"/>
    <w:rsid w:val="006A29A4"/>
    <w:rsid w:val="006A2D80"/>
    <w:rsid w:val="006A35CF"/>
    <w:rsid w:val="006A38C1"/>
    <w:rsid w:val="006A4480"/>
    <w:rsid w:val="006A458E"/>
    <w:rsid w:val="006A465A"/>
    <w:rsid w:val="006A467B"/>
    <w:rsid w:val="006A467E"/>
    <w:rsid w:val="006A4DB7"/>
    <w:rsid w:val="006A4F79"/>
    <w:rsid w:val="006A5015"/>
    <w:rsid w:val="006A5362"/>
    <w:rsid w:val="006A549D"/>
    <w:rsid w:val="006A5728"/>
    <w:rsid w:val="006A58B8"/>
    <w:rsid w:val="006A5933"/>
    <w:rsid w:val="006A6309"/>
    <w:rsid w:val="006A63B7"/>
    <w:rsid w:val="006A64EA"/>
    <w:rsid w:val="006A661A"/>
    <w:rsid w:val="006A6912"/>
    <w:rsid w:val="006A6924"/>
    <w:rsid w:val="006A692A"/>
    <w:rsid w:val="006A6A76"/>
    <w:rsid w:val="006A6B65"/>
    <w:rsid w:val="006A6E79"/>
    <w:rsid w:val="006A7669"/>
    <w:rsid w:val="006A787B"/>
    <w:rsid w:val="006A7A6B"/>
    <w:rsid w:val="006A7CB2"/>
    <w:rsid w:val="006A7D7E"/>
    <w:rsid w:val="006A7E68"/>
    <w:rsid w:val="006A7F36"/>
    <w:rsid w:val="006A7FBA"/>
    <w:rsid w:val="006A7FBC"/>
    <w:rsid w:val="006B003E"/>
    <w:rsid w:val="006B0125"/>
    <w:rsid w:val="006B0212"/>
    <w:rsid w:val="006B03F6"/>
    <w:rsid w:val="006B0748"/>
    <w:rsid w:val="006B0910"/>
    <w:rsid w:val="006B092A"/>
    <w:rsid w:val="006B092C"/>
    <w:rsid w:val="006B0A7F"/>
    <w:rsid w:val="006B0E1E"/>
    <w:rsid w:val="006B1011"/>
    <w:rsid w:val="006B1046"/>
    <w:rsid w:val="006B151F"/>
    <w:rsid w:val="006B1945"/>
    <w:rsid w:val="006B19D0"/>
    <w:rsid w:val="006B1D70"/>
    <w:rsid w:val="006B1F94"/>
    <w:rsid w:val="006B2566"/>
    <w:rsid w:val="006B26DD"/>
    <w:rsid w:val="006B2925"/>
    <w:rsid w:val="006B2BFF"/>
    <w:rsid w:val="006B2D6A"/>
    <w:rsid w:val="006B2D7A"/>
    <w:rsid w:val="006B32B9"/>
    <w:rsid w:val="006B35CD"/>
    <w:rsid w:val="006B39BC"/>
    <w:rsid w:val="006B3E97"/>
    <w:rsid w:val="006B4073"/>
    <w:rsid w:val="006B431D"/>
    <w:rsid w:val="006B4D9E"/>
    <w:rsid w:val="006B4E12"/>
    <w:rsid w:val="006B5138"/>
    <w:rsid w:val="006B539C"/>
    <w:rsid w:val="006B56AA"/>
    <w:rsid w:val="006B56FA"/>
    <w:rsid w:val="006B5F9F"/>
    <w:rsid w:val="006B60E5"/>
    <w:rsid w:val="006B63AD"/>
    <w:rsid w:val="006B641D"/>
    <w:rsid w:val="006B6702"/>
    <w:rsid w:val="006B674C"/>
    <w:rsid w:val="006B694F"/>
    <w:rsid w:val="006B6985"/>
    <w:rsid w:val="006B717C"/>
    <w:rsid w:val="006B745F"/>
    <w:rsid w:val="006B762D"/>
    <w:rsid w:val="006B764A"/>
    <w:rsid w:val="006C0777"/>
    <w:rsid w:val="006C07C2"/>
    <w:rsid w:val="006C0C87"/>
    <w:rsid w:val="006C0D7B"/>
    <w:rsid w:val="006C10AC"/>
    <w:rsid w:val="006C1268"/>
    <w:rsid w:val="006C13E6"/>
    <w:rsid w:val="006C155F"/>
    <w:rsid w:val="006C1BC3"/>
    <w:rsid w:val="006C1F4B"/>
    <w:rsid w:val="006C20FB"/>
    <w:rsid w:val="006C21DE"/>
    <w:rsid w:val="006C2278"/>
    <w:rsid w:val="006C27AC"/>
    <w:rsid w:val="006C2889"/>
    <w:rsid w:val="006C2A3C"/>
    <w:rsid w:val="006C3039"/>
    <w:rsid w:val="006C3168"/>
    <w:rsid w:val="006C333F"/>
    <w:rsid w:val="006C360E"/>
    <w:rsid w:val="006C3CD3"/>
    <w:rsid w:val="006C3E04"/>
    <w:rsid w:val="006C3E96"/>
    <w:rsid w:val="006C4148"/>
    <w:rsid w:val="006C4179"/>
    <w:rsid w:val="006C41D5"/>
    <w:rsid w:val="006C4545"/>
    <w:rsid w:val="006C520E"/>
    <w:rsid w:val="006C56D3"/>
    <w:rsid w:val="006C5AE9"/>
    <w:rsid w:val="006C5C21"/>
    <w:rsid w:val="006C5E06"/>
    <w:rsid w:val="006C5E8E"/>
    <w:rsid w:val="006C61CF"/>
    <w:rsid w:val="006C622E"/>
    <w:rsid w:val="006C6405"/>
    <w:rsid w:val="006C6839"/>
    <w:rsid w:val="006C690C"/>
    <w:rsid w:val="006C6A75"/>
    <w:rsid w:val="006C6CD7"/>
    <w:rsid w:val="006C72B2"/>
    <w:rsid w:val="006C732B"/>
    <w:rsid w:val="006C77B7"/>
    <w:rsid w:val="006C7ABA"/>
    <w:rsid w:val="006D0498"/>
    <w:rsid w:val="006D05AC"/>
    <w:rsid w:val="006D0702"/>
    <w:rsid w:val="006D0AA6"/>
    <w:rsid w:val="006D0D7D"/>
    <w:rsid w:val="006D108C"/>
    <w:rsid w:val="006D1179"/>
    <w:rsid w:val="006D19ED"/>
    <w:rsid w:val="006D1BBE"/>
    <w:rsid w:val="006D1C19"/>
    <w:rsid w:val="006D209A"/>
    <w:rsid w:val="006D2259"/>
    <w:rsid w:val="006D22CB"/>
    <w:rsid w:val="006D2991"/>
    <w:rsid w:val="006D29D3"/>
    <w:rsid w:val="006D2D82"/>
    <w:rsid w:val="006D2F16"/>
    <w:rsid w:val="006D32CD"/>
    <w:rsid w:val="006D32D3"/>
    <w:rsid w:val="006D3538"/>
    <w:rsid w:val="006D356A"/>
    <w:rsid w:val="006D3651"/>
    <w:rsid w:val="006D36B0"/>
    <w:rsid w:val="006D36B8"/>
    <w:rsid w:val="006D3729"/>
    <w:rsid w:val="006D3843"/>
    <w:rsid w:val="006D3AF9"/>
    <w:rsid w:val="006D3D66"/>
    <w:rsid w:val="006D3E9B"/>
    <w:rsid w:val="006D3F73"/>
    <w:rsid w:val="006D41A7"/>
    <w:rsid w:val="006D41DF"/>
    <w:rsid w:val="006D458F"/>
    <w:rsid w:val="006D4AA2"/>
    <w:rsid w:val="006D5378"/>
    <w:rsid w:val="006D5568"/>
    <w:rsid w:val="006D5635"/>
    <w:rsid w:val="006D56C4"/>
    <w:rsid w:val="006D5940"/>
    <w:rsid w:val="006D5BA5"/>
    <w:rsid w:val="006D5EA8"/>
    <w:rsid w:val="006D60D8"/>
    <w:rsid w:val="006D61D4"/>
    <w:rsid w:val="006D6572"/>
    <w:rsid w:val="006D6A60"/>
    <w:rsid w:val="006D6D55"/>
    <w:rsid w:val="006D6E60"/>
    <w:rsid w:val="006D7185"/>
    <w:rsid w:val="006D7409"/>
    <w:rsid w:val="006D7420"/>
    <w:rsid w:val="006D749B"/>
    <w:rsid w:val="006D787D"/>
    <w:rsid w:val="006D7A00"/>
    <w:rsid w:val="006D7FCB"/>
    <w:rsid w:val="006E0349"/>
    <w:rsid w:val="006E061B"/>
    <w:rsid w:val="006E0713"/>
    <w:rsid w:val="006E085F"/>
    <w:rsid w:val="006E0B0C"/>
    <w:rsid w:val="006E0C87"/>
    <w:rsid w:val="006E0F08"/>
    <w:rsid w:val="006E0FB0"/>
    <w:rsid w:val="006E1197"/>
    <w:rsid w:val="006E17FE"/>
    <w:rsid w:val="006E1BA8"/>
    <w:rsid w:val="006E1BF4"/>
    <w:rsid w:val="006E1C2B"/>
    <w:rsid w:val="006E1CA2"/>
    <w:rsid w:val="006E1CB8"/>
    <w:rsid w:val="006E1F08"/>
    <w:rsid w:val="006E22CD"/>
    <w:rsid w:val="006E2738"/>
    <w:rsid w:val="006E2CDB"/>
    <w:rsid w:val="006E315F"/>
    <w:rsid w:val="006E3325"/>
    <w:rsid w:val="006E33F8"/>
    <w:rsid w:val="006E36BD"/>
    <w:rsid w:val="006E3B6F"/>
    <w:rsid w:val="006E3B8A"/>
    <w:rsid w:val="006E3CCA"/>
    <w:rsid w:val="006E4310"/>
    <w:rsid w:val="006E4763"/>
    <w:rsid w:val="006E49E0"/>
    <w:rsid w:val="006E4A5F"/>
    <w:rsid w:val="006E4A84"/>
    <w:rsid w:val="006E5053"/>
    <w:rsid w:val="006E51B5"/>
    <w:rsid w:val="006E5245"/>
    <w:rsid w:val="006E55A5"/>
    <w:rsid w:val="006E56C2"/>
    <w:rsid w:val="006E56DA"/>
    <w:rsid w:val="006E5BBB"/>
    <w:rsid w:val="006E6B19"/>
    <w:rsid w:val="006E6D6E"/>
    <w:rsid w:val="006E7506"/>
    <w:rsid w:val="006E750C"/>
    <w:rsid w:val="006E751D"/>
    <w:rsid w:val="006E780B"/>
    <w:rsid w:val="006E787B"/>
    <w:rsid w:val="006E79BD"/>
    <w:rsid w:val="006E7A05"/>
    <w:rsid w:val="006E7AA3"/>
    <w:rsid w:val="006E7B98"/>
    <w:rsid w:val="006E7CD4"/>
    <w:rsid w:val="006E7D9F"/>
    <w:rsid w:val="006F033A"/>
    <w:rsid w:val="006F0627"/>
    <w:rsid w:val="006F06C2"/>
    <w:rsid w:val="006F0778"/>
    <w:rsid w:val="006F0801"/>
    <w:rsid w:val="006F0BD7"/>
    <w:rsid w:val="006F1088"/>
    <w:rsid w:val="006F10BB"/>
    <w:rsid w:val="006F15C4"/>
    <w:rsid w:val="006F1A0E"/>
    <w:rsid w:val="006F1BB2"/>
    <w:rsid w:val="006F20B5"/>
    <w:rsid w:val="006F253D"/>
    <w:rsid w:val="006F2786"/>
    <w:rsid w:val="006F2F92"/>
    <w:rsid w:val="006F333E"/>
    <w:rsid w:val="006F3A31"/>
    <w:rsid w:val="006F3B3E"/>
    <w:rsid w:val="006F3BC1"/>
    <w:rsid w:val="006F3E65"/>
    <w:rsid w:val="006F446A"/>
    <w:rsid w:val="006F45DB"/>
    <w:rsid w:val="006F4639"/>
    <w:rsid w:val="006F4706"/>
    <w:rsid w:val="006F4927"/>
    <w:rsid w:val="006F49FF"/>
    <w:rsid w:val="006F4A98"/>
    <w:rsid w:val="006F4B76"/>
    <w:rsid w:val="006F516D"/>
    <w:rsid w:val="006F5179"/>
    <w:rsid w:val="006F5228"/>
    <w:rsid w:val="006F530D"/>
    <w:rsid w:val="006F53EA"/>
    <w:rsid w:val="006F5501"/>
    <w:rsid w:val="006F56AB"/>
    <w:rsid w:val="006F5ABB"/>
    <w:rsid w:val="006F5D6C"/>
    <w:rsid w:val="006F5F6A"/>
    <w:rsid w:val="006F5FAC"/>
    <w:rsid w:val="006F665E"/>
    <w:rsid w:val="006F6ACA"/>
    <w:rsid w:val="006F6B1A"/>
    <w:rsid w:val="006F7214"/>
    <w:rsid w:val="006F7258"/>
    <w:rsid w:val="006F73C0"/>
    <w:rsid w:val="006F77F0"/>
    <w:rsid w:val="006F7855"/>
    <w:rsid w:val="006F7B93"/>
    <w:rsid w:val="006F7CF3"/>
    <w:rsid w:val="006F7E39"/>
    <w:rsid w:val="00700025"/>
    <w:rsid w:val="0070009A"/>
    <w:rsid w:val="007001DA"/>
    <w:rsid w:val="00700400"/>
    <w:rsid w:val="007004CE"/>
    <w:rsid w:val="0070136C"/>
    <w:rsid w:val="0070137F"/>
    <w:rsid w:val="00702497"/>
    <w:rsid w:val="007028B8"/>
    <w:rsid w:val="00702C27"/>
    <w:rsid w:val="00702E4A"/>
    <w:rsid w:val="00702FB8"/>
    <w:rsid w:val="00703299"/>
    <w:rsid w:val="007036E0"/>
    <w:rsid w:val="007037D3"/>
    <w:rsid w:val="0070399A"/>
    <w:rsid w:val="00703B1B"/>
    <w:rsid w:val="00703B20"/>
    <w:rsid w:val="00703E23"/>
    <w:rsid w:val="00703E5F"/>
    <w:rsid w:val="00703E89"/>
    <w:rsid w:val="007041FA"/>
    <w:rsid w:val="007042E4"/>
    <w:rsid w:val="00704B3C"/>
    <w:rsid w:val="00704B3E"/>
    <w:rsid w:val="00704DE2"/>
    <w:rsid w:val="0070508A"/>
    <w:rsid w:val="007050D9"/>
    <w:rsid w:val="007056D0"/>
    <w:rsid w:val="00705836"/>
    <w:rsid w:val="0070587C"/>
    <w:rsid w:val="00705915"/>
    <w:rsid w:val="00705A33"/>
    <w:rsid w:val="00705D91"/>
    <w:rsid w:val="0070617F"/>
    <w:rsid w:val="007067FD"/>
    <w:rsid w:val="00706B98"/>
    <w:rsid w:val="00706D19"/>
    <w:rsid w:val="00707046"/>
    <w:rsid w:val="007071C4"/>
    <w:rsid w:val="0070772A"/>
    <w:rsid w:val="00707907"/>
    <w:rsid w:val="00707B91"/>
    <w:rsid w:val="00707C6C"/>
    <w:rsid w:val="00707CD9"/>
    <w:rsid w:val="007103AE"/>
    <w:rsid w:val="007103C7"/>
    <w:rsid w:val="00710559"/>
    <w:rsid w:val="00710734"/>
    <w:rsid w:val="00710A9F"/>
    <w:rsid w:val="007111ED"/>
    <w:rsid w:val="00711265"/>
    <w:rsid w:val="007112B9"/>
    <w:rsid w:val="007117AE"/>
    <w:rsid w:val="00711869"/>
    <w:rsid w:val="00711BD1"/>
    <w:rsid w:val="00711CC4"/>
    <w:rsid w:val="0071204A"/>
    <w:rsid w:val="00712452"/>
    <w:rsid w:val="0071248E"/>
    <w:rsid w:val="007127A9"/>
    <w:rsid w:val="00712A16"/>
    <w:rsid w:val="00712BD9"/>
    <w:rsid w:val="00712CFE"/>
    <w:rsid w:val="00713287"/>
    <w:rsid w:val="00713904"/>
    <w:rsid w:val="00713B02"/>
    <w:rsid w:val="00713C8D"/>
    <w:rsid w:val="00713D13"/>
    <w:rsid w:val="00713D7B"/>
    <w:rsid w:val="00713EB5"/>
    <w:rsid w:val="00713FAE"/>
    <w:rsid w:val="007140E3"/>
    <w:rsid w:val="007141B4"/>
    <w:rsid w:val="00714330"/>
    <w:rsid w:val="0071435E"/>
    <w:rsid w:val="0071452A"/>
    <w:rsid w:val="007146EC"/>
    <w:rsid w:val="0071483D"/>
    <w:rsid w:val="00714840"/>
    <w:rsid w:val="00714AF5"/>
    <w:rsid w:val="00714D51"/>
    <w:rsid w:val="00714FA6"/>
    <w:rsid w:val="0071518C"/>
    <w:rsid w:val="00715270"/>
    <w:rsid w:val="00715416"/>
    <w:rsid w:val="00715739"/>
    <w:rsid w:val="00715AA8"/>
    <w:rsid w:val="00715AC2"/>
    <w:rsid w:val="00715B1E"/>
    <w:rsid w:val="00715D70"/>
    <w:rsid w:val="00715E20"/>
    <w:rsid w:val="007160CA"/>
    <w:rsid w:val="00716158"/>
    <w:rsid w:val="007161AE"/>
    <w:rsid w:val="00716282"/>
    <w:rsid w:val="0071641A"/>
    <w:rsid w:val="00716544"/>
    <w:rsid w:val="00716802"/>
    <w:rsid w:val="007168CF"/>
    <w:rsid w:val="007170BA"/>
    <w:rsid w:val="00717175"/>
    <w:rsid w:val="007176E5"/>
    <w:rsid w:val="007177E3"/>
    <w:rsid w:val="00717B1E"/>
    <w:rsid w:val="00717EEC"/>
    <w:rsid w:val="00720022"/>
    <w:rsid w:val="007202BE"/>
    <w:rsid w:val="0072064A"/>
    <w:rsid w:val="0072073B"/>
    <w:rsid w:val="00720CB4"/>
    <w:rsid w:val="00720D5E"/>
    <w:rsid w:val="00720D81"/>
    <w:rsid w:val="00720E8C"/>
    <w:rsid w:val="00720EED"/>
    <w:rsid w:val="00721096"/>
    <w:rsid w:val="00721138"/>
    <w:rsid w:val="00721140"/>
    <w:rsid w:val="00721313"/>
    <w:rsid w:val="007215F1"/>
    <w:rsid w:val="0072183A"/>
    <w:rsid w:val="00721E4E"/>
    <w:rsid w:val="00721EAD"/>
    <w:rsid w:val="00721EED"/>
    <w:rsid w:val="00721F29"/>
    <w:rsid w:val="00721FA6"/>
    <w:rsid w:val="007220C4"/>
    <w:rsid w:val="007221A0"/>
    <w:rsid w:val="007221D4"/>
    <w:rsid w:val="0072246F"/>
    <w:rsid w:val="00722738"/>
    <w:rsid w:val="00722741"/>
    <w:rsid w:val="00722791"/>
    <w:rsid w:val="007229CC"/>
    <w:rsid w:val="00723013"/>
    <w:rsid w:val="00723073"/>
    <w:rsid w:val="00723129"/>
    <w:rsid w:val="007234B9"/>
    <w:rsid w:val="00723C61"/>
    <w:rsid w:val="00723CA1"/>
    <w:rsid w:val="00723FAE"/>
    <w:rsid w:val="007242D2"/>
    <w:rsid w:val="00724535"/>
    <w:rsid w:val="00724995"/>
    <w:rsid w:val="007249D0"/>
    <w:rsid w:val="00724FB7"/>
    <w:rsid w:val="0072519E"/>
    <w:rsid w:val="0072540F"/>
    <w:rsid w:val="007254B6"/>
    <w:rsid w:val="0072568F"/>
    <w:rsid w:val="00725B34"/>
    <w:rsid w:val="00725C8A"/>
    <w:rsid w:val="00725F57"/>
    <w:rsid w:val="00725FAC"/>
    <w:rsid w:val="00726253"/>
    <w:rsid w:val="007266D4"/>
    <w:rsid w:val="00726B4A"/>
    <w:rsid w:val="00726EDF"/>
    <w:rsid w:val="00726F3D"/>
    <w:rsid w:val="0072713E"/>
    <w:rsid w:val="007272BA"/>
    <w:rsid w:val="007274BC"/>
    <w:rsid w:val="007278DD"/>
    <w:rsid w:val="007278E4"/>
    <w:rsid w:val="00727986"/>
    <w:rsid w:val="00727D71"/>
    <w:rsid w:val="00727DEA"/>
    <w:rsid w:val="00727E32"/>
    <w:rsid w:val="00727ECE"/>
    <w:rsid w:val="00730363"/>
    <w:rsid w:val="00730489"/>
    <w:rsid w:val="007309EE"/>
    <w:rsid w:val="00730A5D"/>
    <w:rsid w:val="00730C18"/>
    <w:rsid w:val="00730E16"/>
    <w:rsid w:val="00730E8B"/>
    <w:rsid w:val="007310D4"/>
    <w:rsid w:val="007314BD"/>
    <w:rsid w:val="00731592"/>
    <w:rsid w:val="00731926"/>
    <w:rsid w:val="00731A73"/>
    <w:rsid w:val="00731E6C"/>
    <w:rsid w:val="00731F5D"/>
    <w:rsid w:val="00732AFB"/>
    <w:rsid w:val="00732BD1"/>
    <w:rsid w:val="00732BF3"/>
    <w:rsid w:val="00733340"/>
    <w:rsid w:val="00733916"/>
    <w:rsid w:val="00733B0E"/>
    <w:rsid w:val="00733CD5"/>
    <w:rsid w:val="00734178"/>
    <w:rsid w:val="00734794"/>
    <w:rsid w:val="00734901"/>
    <w:rsid w:val="00734B90"/>
    <w:rsid w:val="00734FD2"/>
    <w:rsid w:val="00735068"/>
    <w:rsid w:val="00735426"/>
    <w:rsid w:val="0073543C"/>
    <w:rsid w:val="00735563"/>
    <w:rsid w:val="00735839"/>
    <w:rsid w:val="00735B73"/>
    <w:rsid w:val="00735E18"/>
    <w:rsid w:val="007360B2"/>
    <w:rsid w:val="007363C6"/>
    <w:rsid w:val="007364E4"/>
    <w:rsid w:val="0073696F"/>
    <w:rsid w:val="00736ACD"/>
    <w:rsid w:val="00736C9B"/>
    <w:rsid w:val="00736D4D"/>
    <w:rsid w:val="00736DE7"/>
    <w:rsid w:val="0073725B"/>
    <w:rsid w:val="00737399"/>
    <w:rsid w:val="00737446"/>
    <w:rsid w:val="00737582"/>
    <w:rsid w:val="007375CD"/>
    <w:rsid w:val="00737618"/>
    <w:rsid w:val="00740140"/>
    <w:rsid w:val="007401B9"/>
    <w:rsid w:val="00740266"/>
    <w:rsid w:val="0074031E"/>
    <w:rsid w:val="007407B4"/>
    <w:rsid w:val="007407D1"/>
    <w:rsid w:val="007407D8"/>
    <w:rsid w:val="007407E0"/>
    <w:rsid w:val="007409B5"/>
    <w:rsid w:val="007414AD"/>
    <w:rsid w:val="0074189A"/>
    <w:rsid w:val="00741BA8"/>
    <w:rsid w:val="00741D9D"/>
    <w:rsid w:val="00741DF7"/>
    <w:rsid w:val="0074219F"/>
    <w:rsid w:val="00742659"/>
    <w:rsid w:val="00742D24"/>
    <w:rsid w:val="00742FAD"/>
    <w:rsid w:val="0074361C"/>
    <w:rsid w:val="007437AB"/>
    <w:rsid w:val="00743B77"/>
    <w:rsid w:val="00743BA0"/>
    <w:rsid w:val="00744405"/>
    <w:rsid w:val="00744721"/>
    <w:rsid w:val="007451F3"/>
    <w:rsid w:val="007454E2"/>
    <w:rsid w:val="00745693"/>
    <w:rsid w:val="007457C0"/>
    <w:rsid w:val="00745807"/>
    <w:rsid w:val="00745ACB"/>
    <w:rsid w:val="00745B9E"/>
    <w:rsid w:val="00745C41"/>
    <w:rsid w:val="00745DE2"/>
    <w:rsid w:val="00745E5E"/>
    <w:rsid w:val="00745EBB"/>
    <w:rsid w:val="007460CB"/>
    <w:rsid w:val="007460D9"/>
    <w:rsid w:val="007461AF"/>
    <w:rsid w:val="0074654F"/>
    <w:rsid w:val="007465B1"/>
    <w:rsid w:val="00746616"/>
    <w:rsid w:val="00746863"/>
    <w:rsid w:val="0074796D"/>
    <w:rsid w:val="00747E4E"/>
    <w:rsid w:val="0075041B"/>
    <w:rsid w:val="007504EE"/>
    <w:rsid w:val="00750536"/>
    <w:rsid w:val="00750579"/>
    <w:rsid w:val="00750616"/>
    <w:rsid w:val="0075149C"/>
    <w:rsid w:val="00751729"/>
    <w:rsid w:val="0075234E"/>
    <w:rsid w:val="00752657"/>
    <w:rsid w:val="007528CB"/>
    <w:rsid w:val="00752B9F"/>
    <w:rsid w:val="00752E13"/>
    <w:rsid w:val="00752F3E"/>
    <w:rsid w:val="00753358"/>
    <w:rsid w:val="0075395B"/>
    <w:rsid w:val="00754004"/>
    <w:rsid w:val="0075443F"/>
    <w:rsid w:val="00754440"/>
    <w:rsid w:val="0075461F"/>
    <w:rsid w:val="00755008"/>
    <w:rsid w:val="0075551B"/>
    <w:rsid w:val="007556DC"/>
    <w:rsid w:val="0075571A"/>
    <w:rsid w:val="007557AE"/>
    <w:rsid w:val="0075585A"/>
    <w:rsid w:val="00755F0D"/>
    <w:rsid w:val="007565A5"/>
    <w:rsid w:val="007566DC"/>
    <w:rsid w:val="007566E0"/>
    <w:rsid w:val="007568A2"/>
    <w:rsid w:val="00756B64"/>
    <w:rsid w:val="00756C65"/>
    <w:rsid w:val="00756EE6"/>
    <w:rsid w:val="007570C4"/>
    <w:rsid w:val="00757111"/>
    <w:rsid w:val="00757249"/>
    <w:rsid w:val="00757308"/>
    <w:rsid w:val="007575D8"/>
    <w:rsid w:val="007576DF"/>
    <w:rsid w:val="00757776"/>
    <w:rsid w:val="00757934"/>
    <w:rsid w:val="00757988"/>
    <w:rsid w:val="00757BE6"/>
    <w:rsid w:val="00757C0F"/>
    <w:rsid w:val="00757C36"/>
    <w:rsid w:val="00757FEB"/>
    <w:rsid w:val="007609C5"/>
    <w:rsid w:val="00760BCB"/>
    <w:rsid w:val="00760D32"/>
    <w:rsid w:val="00760DAB"/>
    <w:rsid w:val="00760F40"/>
    <w:rsid w:val="007615C5"/>
    <w:rsid w:val="0076164D"/>
    <w:rsid w:val="007617C9"/>
    <w:rsid w:val="00761D0E"/>
    <w:rsid w:val="0076272A"/>
    <w:rsid w:val="00762842"/>
    <w:rsid w:val="007629BD"/>
    <w:rsid w:val="00762A93"/>
    <w:rsid w:val="007633CE"/>
    <w:rsid w:val="0076340D"/>
    <w:rsid w:val="007635D0"/>
    <w:rsid w:val="007636E7"/>
    <w:rsid w:val="0076384B"/>
    <w:rsid w:val="007639BA"/>
    <w:rsid w:val="00763AA7"/>
    <w:rsid w:val="00763CFE"/>
    <w:rsid w:val="00763F57"/>
    <w:rsid w:val="00764157"/>
    <w:rsid w:val="00764712"/>
    <w:rsid w:val="007647F0"/>
    <w:rsid w:val="00764840"/>
    <w:rsid w:val="00764959"/>
    <w:rsid w:val="00764A6A"/>
    <w:rsid w:val="00764C76"/>
    <w:rsid w:val="00764D89"/>
    <w:rsid w:val="00765044"/>
    <w:rsid w:val="0076505B"/>
    <w:rsid w:val="00765171"/>
    <w:rsid w:val="00765323"/>
    <w:rsid w:val="00765393"/>
    <w:rsid w:val="0076557D"/>
    <w:rsid w:val="00765886"/>
    <w:rsid w:val="007658E0"/>
    <w:rsid w:val="00765ACD"/>
    <w:rsid w:val="00765E46"/>
    <w:rsid w:val="0076611A"/>
    <w:rsid w:val="0076628A"/>
    <w:rsid w:val="0076628E"/>
    <w:rsid w:val="0076689D"/>
    <w:rsid w:val="00766B7C"/>
    <w:rsid w:val="00766DDC"/>
    <w:rsid w:val="007674E3"/>
    <w:rsid w:val="00767645"/>
    <w:rsid w:val="007700DD"/>
    <w:rsid w:val="007701FB"/>
    <w:rsid w:val="007702C8"/>
    <w:rsid w:val="007706B4"/>
    <w:rsid w:val="007706EA"/>
    <w:rsid w:val="00770BF2"/>
    <w:rsid w:val="00770C98"/>
    <w:rsid w:val="00770CC1"/>
    <w:rsid w:val="00770D1C"/>
    <w:rsid w:val="00771B8B"/>
    <w:rsid w:val="00771C82"/>
    <w:rsid w:val="00772177"/>
    <w:rsid w:val="00772612"/>
    <w:rsid w:val="007726E5"/>
    <w:rsid w:val="00772701"/>
    <w:rsid w:val="00772A41"/>
    <w:rsid w:val="00772CB0"/>
    <w:rsid w:val="00772CB5"/>
    <w:rsid w:val="00772D2D"/>
    <w:rsid w:val="00772DAB"/>
    <w:rsid w:val="00772F52"/>
    <w:rsid w:val="00773085"/>
    <w:rsid w:val="0077379E"/>
    <w:rsid w:val="007737FF"/>
    <w:rsid w:val="00773884"/>
    <w:rsid w:val="007739B1"/>
    <w:rsid w:val="00773E41"/>
    <w:rsid w:val="0077435C"/>
    <w:rsid w:val="00774ECB"/>
    <w:rsid w:val="0077566C"/>
    <w:rsid w:val="00775945"/>
    <w:rsid w:val="00775AE3"/>
    <w:rsid w:val="00775B6E"/>
    <w:rsid w:val="00775D3E"/>
    <w:rsid w:val="00776573"/>
    <w:rsid w:val="007767BC"/>
    <w:rsid w:val="0077698F"/>
    <w:rsid w:val="00776BD4"/>
    <w:rsid w:val="00776F26"/>
    <w:rsid w:val="007772C1"/>
    <w:rsid w:val="00777527"/>
    <w:rsid w:val="007779AC"/>
    <w:rsid w:val="00780195"/>
    <w:rsid w:val="00780283"/>
    <w:rsid w:val="0078032E"/>
    <w:rsid w:val="00780691"/>
    <w:rsid w:val="00780936"/>
    <w:rsid w:val="00780AE8"/>
    <w:rsid w:val="00780C85"/>
    <w:rsid w:val="00780F6F"/>
    <w:rsid w:val="00780FBD"/>
    <w:rsid w:val="0078129A"/>
    <w:rsid w:val="00781362"/>
    <w:rsid w:val="007814FC"/>
    <w:rsid w:val="00781823"/>
    <w:rsid w:val="00781D60"/>
    <w:rsid w:val="00781E74"/>
    <w:rsid w:val="0078202F"/>
    <w:rsid w:val="00782228"/>
    <w:rsid w:val="00782496"/>
    <w:rsid w:val="00782968"/>
    <w:rsid w:val="00782C08"/>
    <w:rsid w:val="00783008"/>
    <w:rsid w:val="00783033"/>
    <w:rsid w:val="0078312E"/>
    <w:rsid w:val="0078328A"/>
    <w:rsid w:val="007832C2"/>
    <w:rsid w:val="00783755"/>
    <w:rsid w:val="00783846"/>
    <w:rsid w:val="007839E0"/>
    <w:rsid w:val="007839E3"/>
    <w:rsid w:val="00783A00"/>
    <w:rsid w:val="00783A5B"/>
    <w:rsid w:val="00783EE0"/>
    <w:rsid w:val="00783FA8"/>
    <w:rsid w:val="007844AE"/>
    <w:rsid w:val="0078513A"/>
    <w:rsid w:val="007855CE"/>
    <w:rsid w:val="00785803"/>
    <w:rsid w:val="00785B0A"/>
    <w:rsid w:val="00785B92"/>
    <w:rsid w:val="00786463"/>
    <w:rsid w:val="00786746"/>
    <w:rsid w:val="00786C99"/>
    <w:rsid w:val="00786EA3"/>
    <w:rsid w:val="0078720F"/>
    <w:rsid w:val="007873A1"/>
    <w:rsid w:val="007873B4"/>
    <w:rsid w:val="00787740"/>
    <w:rsid w:val="00787B6D"/>
    <w:rsid w:val="00787BBA"/>
    <w:rsid w:val="00787C81"/>
    <w:rsid w:val="00787F79"/>
    <w:rsid w:val="00790027"/>
    <w:rsid w:val="0079045A"/>
    <w:rsid w:val="00790EDB"/>
    <w:rsid w:val="00791032"/>
    <w:rsid w:val="0079130B"/>
    <w:rsid w:val="00791505"/>
    <w:rsid w:val="00791795"/>
    <w:rsid w:val="00791E25"/>
    <w:rsid w:val="00791E2D"/>
    <w:rsid w:val="00791E88"/>
    <w:rsid w:val="0079200A"/>
    <w:rsid w:val="007923DD"/>
    <w:rsid w:val="00792560"/>
    <w:rsid w:val="00792597"/>
    <w:rsid w:val="00792668"/>
    <w:rsid w:val="007926C3"/>
    <w:rsid w:val="00792B5E"/>
    <w:rsid w:val="00792D59"/>
    <w:rsid w:val="0079381B"/>
    <w:rsid w:val="00793937"/>
    <w:rsid w:val="007939E4"/>
    <w:rsid w:val="00793A1B"/>
    <w:rsid w:val="00793C42"/>
    <w:rsid w:val="00793DD5"/>
    <w:rsid w:val="00794364"/>
    <w:rsid w:val="0079457F"/>
    <w:rsid w:val="00794996"/>
    <w:rsid w:val="00794C5A"/>
    <w:rsid w:val="00794CD8"/>
    <w:rsid w:val="00794F9B"/>
    <w:rsid w:val="00794FA1"/>
    <w:rsid w:val="00794FCE"/>
    <w:rsid w:val="0079543F"/>
    <w:rsid w:val="007956B7"/>
    <w:rsid w:val="0079577E"/>
    <w:rsid w:val="00795808"/>
    <w:rsid w:val="00795D1E"/>
    <w:rsid w:val="007961E7"/>
    <w:rsid w:val="007962EC"/>
    <w:rsid w:val="00796403"/>
    <w:rsid w:val="007964D1"/>
    <w:rsid w:val="00796542"/>
    <w:rsid w:val="0079689D"/>
    <w:rsid w:val="00796DCD"/>
    <w:rsid w:val="00796E17"/>
    <w:rsid w:val="00796FE2"/>
    <w:rsid w:val="00797073"/>
    <w:rsid w:val="007970C2"/>
    <w:rsid w:val="00797890"/>
    <w:rsid w:val="00797A37"/>
    <w:rsid w:val="00797CFF"/>
    <w:rsid w:val="007A0791"/>
    <w:rsid w:val="007A0A2C"/>
    <w:rsid w:val="007A0A66"/>
    <w:rsid w:val="007A10DD"/>
    <w:rsid w:val="007A11B8"/>
    <w:rsid w:val="007A11F7"/>
    <w:rsid w:val="007A1393"/>
    <w:rsid w:val="007A1D62"/>
    <w:rsid w:val="007A1F22"/>
    <w:rsid w:val="007A216B"/>
    <w:rsid w:val="007A2B61"/>
    <w:rsid w:val="007A2C78"/>
    <w:rsid w:val="007A3190"/>
    <w:rsid w:val="007A31AE"/>
    <w:rsid w:val="007A3405"/>
    <w:rsid w:val="007A3564"/>
    <w:rsid w:val="007A3BBC"/>
    <w:rsid w:val="007A409A"/>
    <w:rsid w:val="007A41DD"/>
    <w:rsid w:val="007A4573"/>
    <w:rsid w:val="007A477E"/>
    <w:rsid w:val="007A4C2B"/>
    <w:rsid w:val="007A4EA8"/>
    <w:rsid w:val="007A52EE"/>
    <w:rsid w:val="007A5405"/>
    <w:rsid w:val="007A573D"/>
    <w:rsid w:val="007A5B68"/>
    <w:rsid w:val="007A5EF1"/>
    <w:rsid w:val="007A5FC8"/>
    <w:rsid w:val="007A6130"/>
    <w:rsid w:val="007A62E6"/>
    <w:rsid w:val="007A672F"/>
    <w:rsid w:val="007A6E75"/>
    <w:rsid w:val="007A6ED6"/>
    <w:rsid w:val="007A72D1"/>
    <w:rsid w:val="007A7451"/>
    <w:rsid w:val="007A75B1"/>
    <w:rsid w:val="007A788A"/>
    <w:rsid w:val="007A7AEC"/>
    <w:rsid w:val="007A7C17"/>
    <w:rsid w:val="007A7EF2"/>
    <w:rsid w:val="007A7F53"/>
    <w:rsid w:val="007B0136"/>
    <w:rsid w:val="007B0172"/>
    <w:rsid w:val="007B01B2"/>
    <w:rsid w:val="007B030B"/>
    <w:rsid w:val="007B0C83"/>
    <w:rsid w:val="007B0CC7"/>
    <w:rsid w:val="007B0D55"/>
    <w:rsid w:val="007B1325"/>
    <w:rsid w:val="007B1403"/>
    <w:rsid w:val="007B1586"/>
    <w:rsid w:val="007B1DA1"/>
    <w:rsid w:val="007B2004"/>
    <w:rsid w:val="007B2595"/>
    <w:rsid w:val="007B264A"/>
    <w:rsid w:val="007B26D2"/>
    <w:rsid w:val="007B2988"/>
    <w:rsid w:val="007B2AA3"/>
    <w:rsid w:val="007B2B97"/>
    <w:rsid w:val="007B2BCE"/>
    <w:rsid w:val="007B2D05"/>
    <w:rsid w:val="007B2EA7"/>
    <w:rsid w:val="007B2FFF"/>
    <w:rsid w:val="007B3301"/>
    <w:rsid w:val="007B3589"/>
    <w:rsid w:val="007B3916"/>
    <w:rsid w:val="007B3CA9"/>
    <w:rsid w:val="007B3D55"/>
    <w:rsid w:val="007B3DE8"/>
    <w:rsid w:val="007B3F7D"/>
    <w:rsid w:val="007B3F95"/>
    <w:rsid w:val="007B417A"/>
    <w:rsid w:val="007B42C5"/>
    <w:rsid w:val="007B43EC"/>
    <w:rsid w:val="007B4435"/>
    <w:rsid w:val="007B44C6"/>
    <w:rsid w:val="007B47CA"/>
    <w:rsid w:val="007B4943"/>
    <w:rsid w:val="007B4B63"/>
    <w:rsid w:val="007B4CB0"/>
    <w:rsid w:val="007B4ED6"/>
    <w:rsid w:val="007B50E6"/>
    <w:rsid w:val="007B527E"/>
    <w:rsid w:val="007B53F0"/>
    <w:rsid w:val="007B5656"/>
    <w:rsid w:val="007B5747"/>
    <w:rsid w:val="007B5768"/>
    <w:rsid w:val="007B5D37"/>
    <w:rsid w:val="007B6603"/>
    <w:rsid w:val="007B6A16"/>
    <w:rsid w:val="007B6A76"/>
    <w:rsid w:val="007B6AD9"/>
    <w:rsid w:val="007B6C95"/>
    <w:rsid w:val="007B7090"/>
    <w:rsid w:val="007B7173"/>
    <w:rsid w:val="007B71DA"/>
    <w:rsid w:val="007B72B5"/>
    <w:rsid w:val="007B76DF"/>
    <w:rsid w:val="007B7AAF"/>
    <w:rsid w:val="007B7C3B"/>
    <w:rsid w:val="007B7DF3"/>
    <w:rsid w:val="007B7EE0"/>
    <w:rsid w:val="007B7FC8"/>
    <w:rsid w:val="007C01CA"/>
    <w:rsid w:val="007C0589"/>
    <w:rsid w:val="007C05E7"/>
    <w:rsid w:val="007C06D5"/>
    <w:rsid w:val="007C0843"/>
    <w:rsid w:val="007C0BB4"/>
    <w:rsid w:val="007C0DA3"/>
    <w:rsid w:val="007C10E8"/>
    <w:rsid w:val="007C162B"/>
    <w:rsid w:val="007C1981"/>
    <w:rsid w:val="007C1C3B"/>
    <w:rsid w:val="007C1DF6"/>
    <w:rsid w:val="007C1DF9"/>
    <w:rsid w:val="007C1F30"/>
    <w:rsid w:val="007C1F70"/>
    <w:rsid w:val="007C22CC"/>
    <w:rsid w:val="007C23AF"/>
    <w:rsid w:val="007C2630"/>
    <w:rsid w:val="007C2C46"/>
    <w:rsid w:val="007C2E80"/>
    <w:rsid w:val="007C3038"/>
    <w:rsid w:val="007C30CE"/>
    <w:rsid w:val="007C32DC"/>
    <w:rsid w:val="007C330B"/>
    <w:rsid w:val="007C335B"/>
    <w:rsid w:val="007C3643"/>
    <w:rsid w:val="007C3AB8"/>
    <w:rsid w:val="007C3AD8"/>
    <w:rsid w:val="007C3BA2"/>
    <w:rsid w:val="007C4028"/>
    <w:rsid w:val="007C4493"/>
    <w:rsid w:val="007C45B2"/>
    <w:rsid w:val="007C4768"/>
    <w:rsid w:val="007C4918"/>
    <w:rsid w:val="007C4C1E"/>
    <w:rsid w:val="007C4E22"/>
    <w:rsid w:val="007C4EF4"/>
    <w:rsid w:val="007C58E3"/>
    <w:rsid w:val="007C5E69"/>
    <w:rsid w:val="007C66EB"/>
    <w:rsid w:val="007C6806"/>
    <w:rsid w:val="007C6A25"/>
    <w:rsid w:val="007C6E15"/>
    <w:rsid w:val="007C71B4"/>
    <w:rsid w:val="007C7503"/>
    <w:rsid w:val="007C7519"/>
    <w:rsid w:val="007C783A"/>
    <w:rsid w:val="007C7A4B"/>
    <w:rsid w:val="007C7BF7"/>
    <w:rsid w:val="007C7DB7"/>
    <w:rsid w:val="007D00B4"/>
    <w:rsid w:val="007D0588"/>
    <w:rsid w:val="007D07BF"/>
    <w:rsid w:val="007D082A"/>
    <w:rsid w:val="007D099D"/>
    <w:rsid w:val="007D0E33"/>
    <w:rsid w:val="007D0EFB"/>
    <w:rsid w:val="007D1195"/>
    <w:rsid w:val="007D11ED"/>
    <w:rsid w:val="007D1263"/>
    <w:rsid w:val="007D12AD"/>
    <w:rsid w:val="007D1921"/>
    <w:rsid w:val="007D19B6"/>
    <w:rsid w:val="007D1BF7"/>
    <w:rsid w:val="007D1F51"/>
    <w:rsid w:val="007D2136"/>
    <w:rsid w:val="007D2261"/>
    <w:rsid w:val="007D2425"/>
    <w:rsid w:val="007D2862"/>
    <w:rsid w:val="007D2B85"/>
    <w:rsid w:val="007D2D1D"/>
    <w:rsid w:val="007D2DCD"/>
    <w:rsid w:val="007D3013"/>
    <w:rsid w:val="007D333B"/>
    <w:rsid w:val="007D347F"/>
    <w:rsid w:val="007D3918"/>
    <w:rsid w:val="007D3A93"/>
    <w:rsid w:val="007D3B48"/>
    <w:rsid w:val="007D3DAA"/>
    <w:rsid w:val="007D4282"/>
    <w:rsid w:val="007D4AF3"/>
    <w:rsid w:val="007D4D6A"/>
    <w:rsid w:val="007D4F1A"/>
    <w:rsid w:val="007D4F52"/>
    <w:rsid w:val="007D53EC"/>
    <w:rsid w:val="007D58CB"/>
    <w:rsid w:val="007D593E"/>
    <w:rsid w:val="007D5956"/>
    <w:rsid w:val="007D5DE2"/>
    <w:rsid w:val="007D5E0C"/>
    <w:rsid w:val="007D5E5C"/>
    <w:rsid w:val="007D5F23"/>
    <w:rsid w:val="007D607D"/>
    <w:rsid w:val="007D63D5"/>
    <w:rsid w:val="007D68CE"/>
    <w:rsid w:val="007D6DB5"/>
    <w:rsid w:val="007D6E67"/>
    <w:rsid w:val="007D6EFC"/>
    <w:rsid w:val="007D6F35"/>
    <w:rsid w:val="007D6FA1"/>
    <w:rsid w:val="007D7005"/>
    <w:rsid w:val="007D7669"/>
    <w:rsid w:val="007D76F4"/>
    <w:rsid w:val="007D785C"/>
    <w:rsid w:val="007D7C7F"/>
    <w:rsid w:val="007D7F1B"/>
    <w:rsid w:val="007D7F5C"/>
    <w:rsid w:val="007E05EF"/>
    <w:rsid w:val="007E0690"/>
    <w:rsid w:val="007E0876"/>
    <w:rsid w:val="007E0A91"/>
    <w:rsid w:val="007E0B02"/>
    <w:rsid w:val="007E0C54"/>
    <w:rsid w:val="007E0C68"/>
    <w:rsid w:val="007E0CEB"/>
    <w:rsid w:val="007E11CD"/>
    <w:rsid w:val="007E1219"/>
    <w:rsid w:val="007E164B"/>
    <w:rsid w:val="007E1763"/>
    <w:rsid w:val="007E185E"/>
    <w:rsid w:val="007E1BF2"/>
    <w:rsid w:val="007E2147"/>
    <w:rsid w:val="007E26CA"/>
    <w:rsid w:val="007E29A0"/>
    <w:rsid w:val="007E2CD7"/>
    <w:rsid w:val="007E3148"/>
    <w:rsid w:val="007E3795"/>
    <w:rsid w:val="007E387E"/>
    <w:rsid w:val="007E4360"/>
    <w:rsid w:val="007E43D8"/>
    <w:rsid w:val="007E45E1"/>
    <w:rsid w:val="007E4794"/>
    <w:rsid w:val="007E4B60"/>
    <w:rsid w:val="007E4E59"/>
    <w:rsid w:val="007E524B"/>
    <w:rsid w:val="007E5734"/>
    <w:rsid w:val="007E5749"/>
    <w:rsid w:val="007E5B15"/>
    <w:rsid w:val="007E5C22"/>
    <w:rsid w:val="007E5CB0"/>
    <w:rsid w:val="007E5E09"/>
    <w:rsid w:val="007E646E"/>
    <w:rsid w:val="007E67AB"/>
    <w:rsid w:val="007E6CB5"/>
    <w:rsid w:val="007E6CCB"/>
    <w:rsid w:val="007E6D6A"/>
    <w:rsid w:val="007E6E75"/>
    <w:rsid w:val="007E71F9"/>
    <w:rsid w:val="007E7489"/>
    <w:rsid w:val="007E7625"/>
    <w:rsid w:val="007E76DF"/>
    <w:rsid w:val="007E79E5"/>
    <w:rsid w:val="007E7E57"/>
    <w:rsid w:val="007E7F41"/>
    <w:rsid w:val="007F0182"/>
    <w:rsid w:val="007F031F"/>
    <w:rsid w:val="007F054E"/>
    <w:rsid w:val="007F0823"/>
    <w:rsid w:val="007F09E2"/>
    <w:rsid w:val="007F0EF4"/>
    <w:rsid w:val="007F15D1"/>
    <w:rsid w:val="007F1613"/>
    <w:rsid w:val="007F1A5F"/>
    <w:rsid w:val="007F2404"/>
    <w:rsid w:val="007F253D"/>
    <w:rsid w:val="007F254C"/>
    <w:rsid w:val="007F26F9"/>
    <w:rsid w:val="007F2809"/>
    <w:rsid w:val="007F284F"/>
    <w:rsid w:val="007F327B"/>
    <w:rsid w:val="007F37C3"/>
    <w:rsid w:val="007F3BEF"/>
    <w:rsid w:val="007F3D1B"/>
    <w:rsid w:val="007F41E7"/>
    <w:rsid w:val="007F4375"/>
    <w:rsid w:val="007F46BE"/>
    <w:rsid w:val="007F48A7"/>
    <w:rsid w:val="007F4C18"/>
    <w:rsid w:val="007F4D48"/>
    <w:rsid w:val="007F5274"/>
    <w:rsid w:val="007F52BC"/>
    <w:rsid w:val="007F53CB"/>
    <w:rsid w:val="007F5491"/>
    <w:rsid w:val="007F5AD5"/>
    <w:rsid w:val="007F5D16"/>
    <w:rsid w:val="007F6099"/>
    <w:rsid w:val="007F610C"/>
    <w:rsid w:val="007F63EC"/>
    <w:rsid w:val="007F6431"/>
    <w:rsid w:val="007F65A8"/>
    <w:rsid w:val="007F6633"/>
    <w:rsid w:val="007F668D"/>
    <w:rsid w:val="007F6962"/>
    <w:rsid w:val="007F6CCC"/>
    <w:rsid w:val="007F7035"/>
    <w:rsid w:val="007F7078"/>
    <w:rsid w:val="007F7644"/>
    <w:rsid w:val="007F7CB6"/>
    <w:rsid w:val="007F7DE9"/>
    <w:rsid w:val="007F7EFA"/>
    <w:rsid w:val="008004D2"/>
    <w:rsid w:val="0080074F"/>
    <w:rsid w:val="00800C43"/>
    <w:rsid w:val="00800D9A"/>
    <w:rsid w:val="00800EAD"/>
    <w:rsid w:val="00800FB6"/>
    <w:rsid w:val="008022CA"/>
    <w:rsid w:val="00802685"/>
    <w:rsid w:val="00802A04"/>
    <w:rsid w:val="00802CC4"/>
    <w:rsid w:val="00802D48"/>
    <w:rsid w:val="00802F1D"/>
    <w:rsid w:val="00803014"/>
    <w:rsid w:val="00803393"/>
    <w:rsid w:val="0080396E"/>
    <w:rsid w:val="008039ED"/>
    <w:rsid w:val="00803C63"/>
    <w:rsid w:val="0080400F"/>
    <w:rsid w:val="0080470D"/>
    <w:rsid w:val="0080484C"/>
    <w:rsid w:val="00804DBB"/>
    <w:rsid w:val="00805028"/>
    <w:rsid w:val="00805090"/>
    <w:rsid w:val="008050D9"/>
    <w:rsid w:val="0080513C"/>
    <w:rsid w:val="00805886"/>
    <w:rsid w:val="008059B5"/>
    <w:rsid w:val="00805A48"/>
    <w:rsid w:val="00805C9E"/>
    <w:rsid w:val="00805CB3"/>
    <w:rsid w:val="00805D43"/>
    <w:rsid w:val="00805E66"/>
    <w:rsid w:val="0080605E"/>
    <w:rsid w:val="00806209"/>
    <w:rsid w:val="0080634B"/>
    <w:rsid w:val="008065C5"/>
    <w:rsid w:val="008066E4"/>
    <w:rsid w:val="00806C75"/>
    <w:rsid w:val="00806DD2"/>
    <w:rsid w:val="00806E41"/>
    <w:rsid w:val="00806FD1"/>
    <w:rsid w:val="00807475"/>
    <w:rsid w:val="008079F1"/>
    <w:rsid w:val="00807B33"/>
    <w:rsid w:val="00807D0C"/>
    <w:rsid w:val="00807D56"/>
    <w:rsid w:val="00807E90"/>
    <w:rsid w:val="008101EF"/>
    <w:rsid w:val="008101F0"/>
    <w:rsid w:val="00810500"/>
    <w:rsid w:val="0081076A"/>
    <w:rsid w:val="00810968"/>
    <w:rsid w:val="00810C34"/>
    <w:rsid w:val="00810D8B"/>
    <w:rsid w:val="00810DCA"/>
    <w:rsid w:val="00810E59"/>
    <w:rsid w:val="00810EB5"/>
    <w:rsid w:val="00811421"/>
    <w:rsid w:val="00811976"/>
    <w:rsid w:val="0081198D"/>
    <w:rsid w:val="00811B0E"/>
    <w:rsid w:val="00811CC7"/>
    <w:rsid w:val="00811E27"/>
    <w:rsid w:val="00812929"/>
    <w:rsid w:val="00812A13"/>
    <w:rsid w:val="008132CF"/>
    <w:rsid w:val="008137D1"/>
    <w:rsid w:val="0081391B"/>
    <w:rsid w:val="00813CBD"/>
    <w:rsid w:val="00813D33"/>
    <w:rsid w:val="00813E8F"/>
    <w:rsid w:val="00813F7C"/>
    <w:rsid w:val="00814094"/>
    <w:rsid w:val="00814210"/>
    <w:rsid w:val="008142AC"/>
    <w:rsid w:val="00814773"/>
    <w:rsid w:val="00814C91"/>
    <w:rsid w:val="00814D1F"/>
    <w:rsid w:val="00814D8F"/>
    <w:rsid w:val="00814DE5"/>
    <w:rsid w:val="00814E40"/>
    <w:rsid w:val="00814F29"/>
    <w:rsid w:val="00814FCF"/>
    <w:rsid w:val="00815347"/>
    <w:rsid w:val="00815661"/>
    <w:rsid w:val="008157B1"/>
    <w:rsid w:val="00815A83"/>
    <w:rsid w:val="00815F94"/>
    <w:rsid w:val="00816111"/>
    <w:rsid w:val="00816115"/>
    <w:rsid w:val="008166B1"/>
    <w:rsid w:val="0081670F"/>
    <w:rsid w:val="00816A6A"/>
    <w:rsid w:val="00816B9C"/>
    <w:rsid w:val="00816D4A"/>
    <w:rsid w:val="00816E88"/>
    <w:rsid w:val="008170D8"/>
    <w:rsid w:val="008170F9"/>
    <w:rsid w:val="008171B1"/>
    <w:rsid w:val="008172DC"/>
    <w:rsid w:val="008172E3"/>
    <w:rsid w:val="00817441"/>
    <w:rsid w:val="008179D1"/>
    <w:rsid w:val="00817C60"/>
    <w:rsid w:val="00817E75"/>
    <w:rsid w:val="00817F03"/>
    <w:rsid w:val="00820086"/>
    <w:rsid w:val="008201F1"/>
    <w:rsid w:val="00820460"/>
    <w:rsid w:val="008208E1"/>
    <w:rsid w:val="00820AC9"/>
    <w:rsid w:val="00820FED"/>
    <w:rsid w:val="00821A8C"/>
    <w:rsid w:val="00821B77"/>
    <w:rsid w:val="00821C1D"/>
    <w:rsid w:val="00821CFF"/>
    <w:rsid w:val="008221C1"/>
    <w:rsid w:val="008222A7"/>
    <w:rsid w:val="0082233C"/>
    <w:rsid w:val="0082249F"/>
    <w:rsid w:val="008227BF"/>
    <w:rsid w:val="00822956"/>
    <w:rsid w:val="00822E7C"/>
    <w:rsid w:val="00822FD3"/>
    <w:rsid w:val="00823438"/>
    <w:rsid w:val="0082355C"/>
    <w:rsid w:val="0082385D"/>
    <w:rsid w:val="008239F9"/>
    <w:rsid w:val="00823C17"/>
    <w:rsid w:val="00823CAB"/>
    <w:rsid w:val="00823D2C"/>
    <w:rsid w:val="00823F1A"/>
    <w:rsid w:val="0082405E"/>
    <w:rsid w:val="00824084"/>
    <w:rsid w:val="008243A2"/>
    <w:rsid w:val="00824421"/>
    <w:rsid w:val="008254D6"/>
    <w:rsid w:val="00825A9A"/>
    <w:rsid w:val="00826295"/>
    <w:rsid w:val="00826600"/>
    <w:rsid w:val="0082666F"/>
    <w:rsid w:val="008266F6"/>
    <w:rsid w:val="00827211"/>
    <w:rsid w:val="00827638"/>
    <w:rsid w:val="008276A5"/>
    <w:rsid w:val="00827B31"/>
    <w:rsid w:val="00827DB8"/>
    <w:rsid w:val="00830584"/>
    <w:rsid w:val="008306FD"/>
    <w:rsid w:val="00830F24"/>
    <w:rsid w:val="0083153A"/>
    <w:rsid w:val="00831665"/>
    <w:rsid w:val="00831901"/>
    <w:rsid w:val="00831A0D"/>
    <w:rsid w:val="00831B9C"/>
    <w:rsid w:val="00831D0D"/>
    <w:rsid w:val="00831F6B"/>
    <w:rsid w:val="008320A5"/>
    <w:rsid w:val="008328D5"/>
    <w:rsid w:val="00832BAC"/>
    <w:rsid w:val="00832EBE"/>
    <w:rsid w:val="00832ED3"/>
    <w:rsid w:val="0083384B"/>
    <w:rsid w:val="00833A52"/>
    <w:rsid w:val="00833B00"/>
    <w:rsid w:val="00833C71"/>
    <w:rsid w:val="00833CE1"/>
    <w:rsid w:val="0083414D"/>
    <w:rsid w:val="00834228"/>
    <w:rsid w:val="00834426"/>
    <w:rsid w:val="00834606"/>
    <w:rsid w:val="0083462F"/>
    <w:rsid w:val="00834820"/>
    <w:rsid w:val="00834A8B"/>
    <w:rsid w:val="00835238"/>
    <w:rsid w:val="0083531E"/>
    <w:rsid w:val="0083564C"/>
    <w:rsid w:val="00835DE3"/>
    <w:rsid w:val="00835EA3"/>
    <w:rsid w:val="00835F69"/>
    <w:rsid w:val="0083622E"/>
    <w:rsid w:val="00836331"/>
    <w:rsid w:val="008366F3"/>
    <w:rsid w:val="00836BEB"/>
    <w:rsid w:val="00836C0C"/>
    <w:rsid w:val="00836E8A"/>
    <w:rsid w:val="00836EF2"/>
    <w:rsid w:val="00836FD0"/>
    <w:rsid w:val="00837391"/>
    <w:rsid w:val="0083749B"/>
    <w:rsid w:val="008375E3"/>
    <w:rsid w:val="00837652"/>
    <w:rsid w:val="00837724"/>
    <w:rsid w:val="00837821"/>
    <w:rsid w:val="008379E2"/>
    <w:rsid w:val="0084068F"/>
    <w:rsid w:val="00840701"/>
    <w:rsid w:val="00840CDE"/>
    <w:rsid w:val="00840DC4"/>
    <w:rsid w:val="00840F8C"/>
    <w:rsid w:val="00841060"/>
    <w:rsid w:val="008411FC"/>
    <w:rsid w:val="00841392"/>
    <w:rsid w:val="008413CB"/>
    <w:rsid w:val="008413FB"/>
    <w:rsid w:val="008415AB"/>
    <w:rsid w:val="00841765"/>
    <w:rsid w:val="0084192A"/>
    <w:rsid w:val="00841B0B"/>
    <w:rsid w:val="00841C9F"/>
    <w:rsid w:val="00841CD7"/>
    <w:rsid w:val="00841E7E"/>
    <w:rsid w:val="00841E9E"/>
    <w:rsid w:val="00842013"/>
    <w:rsid w:val="0084210B"/>
    <w:rsid w:val="00842274"/>
    <w:rsid w:val="008427AC"/>
    <w:rsid w:val="00842941"/>
    <w:rsid w:val="00842DE7"/>
    <w:rsid w:val="00842E0D"/>
    <w:rsid w:val="00842F8D"/>
    <w:rsid w:val="00842FD8"/>
    <w:rsid w:val="008431CB"/>
    <w:rsid w:val="0084358B"/>
    <w:rsid w:val="008436AF"/>
    <w:rsid w:val="008436B6"/>
    <w:rsid w:val="008437BC"/>
    <w:rsid w:val="00843864"/>
    <w:rsid w:val="008438A7"/>
    <w:rsid w:val="00843AC6"/>
    <w:rsid w:val="00843CB9"/>
    <w:rsid w:val="0084427D"/>
    <w:rsid w:val="008442A3"/>
    <w:rsid w:val="0084430E"/>
    <w:rsid w:val="0084441A"/>
    <w:rsid w:val="00844791"/>
    <w:rsid w:val="00844A0D"/>
    <w:rsid w:val="00844B6F"/>
    <w:rsid w:val="00844BFF"/>
    <w:rsid w:val="00844CA7"/>
    <w:rsid w:val="00844DCE"/>
    <w:rsid w:val="00844DF6"/>
    <w:rsid w:val="00844F0A"/>
    <w:rsid w:val="00844F47"/>
    <w:rsid w:val="00845091"/>
    <w:rsid w:val="00845268"/>
    <w:rsid w:val="0084562A"/>
    <w:rsid w:val="00845716"/>
    <w:rsid w:val="008458F8"/>
    <w:rsid w:val="008459C5"/>
    <w:rsid w:val="00845AAC"/>
    <w:rsid w:val="00845B4E"/>
    <w:rsid w:val="00845E45"/>
    <w:rsid w:val="00846148"/>
    <w:rsid w:val="00846820"/>
    <w:rsid w:val="00846A46"/>
    <w:rsid w:val="00846E78"/>
    <w:rsid w:val="00846FAC"/>
    <w:rsid w:val="00847145"/>
    <w:rsid w:val="0084755C"/>
    <w:rsid w:val="008476B8"/>
    <w:rsid w:val="008476F2"/>
    <w:rsid w:val="008478B6"/>
    <w:rsid w:val="00847B0E"/>
    <w:rsid w:val="00847F6D"/>
    <w:rsid w:val="008500BE"/>
    <w:rsid w:val="008500F1"/>
    <w:rsid w:val="008503C2"/>
    <w:rsid w:val="00850537"/>
    <w:rsid w:val="0085063C"/>
    <w:rsid w:val="0085075A"/>
    <w:rsid w:val="00850792"/>
    <w:rsid w:val="00850A05"/>
    <w:rsid w:val="00850A79"/>
    <w:rsid w:val="00850DB0"/>
    <w:rsid w:val="008519FC"/>
    <w:rsid w:val="00851A23"/>
    <w:rsid w:val="00851EF4"/>
    <w:rsid w:val="00851FEF"/>
    <w:rsid w:val="0085202E"/>
    <w:rsid w:val="00852053"/>
    <w:rsid w:val="00852245"/>
    <w:rsid w:val="00852296"/>
    <w:rsid w:val="008522A3"/>
    <w:rsid w:val="008522E7"/>
    <w:rsid w:val="00852423"/>
    <w:rsid w:val="00853230"/>
    <w:rsid w:val="0085323D"/>
    <w:rsid w:val="0085333D"/>
    <w:rsid w:val="008533B1"/>
    <w:rsid w:val="0085355F"/>
    <w:rsid w:val="00853588"/>
    <w:rsid w:val="0085364C"/>
    <w:rsid w:val="0085404E"/>
    <w:rsid w:val="008543B8"/>
    <w:rsid w:val="00854406"/>
    <w:rsid w:val="0085440E"/>
    <w:rsid w:val="00854B98"/>
    <w:rsid w:val="00855056"/>
    <w:rsid w:val="008559F8"/>
    <w:rsid w:val="00855A37"/>
    <w:rsid w:val="00855B92"/>
    <w:rsid w:val="00855EF4"/>
    <w:rsid w:val="0085604B"/>
    <w:rsid w:val="0085610C"/>
    <w:rsid w:val="0085624F"/>
    <w:rsid w:val="008563E0"/>
    <w:rsid w:val="00856449"/>
    <w:rsid w:val="008565A3"/>
    <w:rsid w:val="0085663D"/>
    <w:rsid w:val="00856A19"/>
    <w:rsid w:val="00856B9C"/>
    <w:rsid w:val="00856EA3"/>
    <w:rsid w:val="008571DA"/>
    <w:rsid w:val="0085739D"/>
    <w:rsid w:val="00857473"/>
    <w:rsid w:val="0085760C"/>
    <w:rsid w:val="00857A3C"/>
    <w:rsid w:val="00857BF3"/>
    <w:rsid w:val="008601AD"/>
    <w:rsid w:val="00860573"/>
    <w:rsid w:val="0086074D"/>
    <w:rsid w:val="00860756"/>
    <w:rsid w:val="00860A8D"/>
    <w:rsid w:val="00860C15"/>
    <w:rsid w:val="00860E88"/>
    <w:rsid w:val="00860F4B"/>
    <w:rsid w:val="00861005"/>
    <w:rsid w:val="0086104D"/>
    <w:rsid w:val="008610B5"/>
    <w:rsid w:val="00861344"/>
    <w:rsid w:val="00861562"/>
    <w:rsid w:val="0086164B"/>
    <w:rsid w:val="0086175E"/>
    <w:rsid w:val="00861C4B"/>
    <w:rsid w:val="00861DFA"/>
    <w:rsid w:val="0086299B"/>
    <w:rsid w:val="00862ADF"/>
    <w:rsid w:val="00862D4A"/>
    <w:rsid w:val="00862E5E"/>
    <w:rsid w:val="00862EBC"/>
    <w:rsid w:val="00862F38"/>
    <w:rsid w:val="00863065"/>
    <w:rsid w:val="0086347E"/>
    <w:rsid w:val="0086379B"/>
    <w:rsid w:val="00863ACA"/>
    <w:rsid w:val="00863B05"/>
    <w:rsid w:val="00863ED3"/>
    <w:rsid w:val="00863F56"/>
    <w:rsid w:val="0086408B"/>
    <w:rsid w:val="0086473C"/>
    <w:rsid w:val="008648A3"/>
    <w:rsid w:val="00864C84"/>
    <w:rsid w:val="00864CF7"/>
    <w:rsid w:val="00864FB8"/>
    <w:rsid w:val="00865147"/>
    <w:rsid w:val="0086521D"/>
    <w:rsid w:val="008654AA"/>
    <w:rsid w:val="0086555D"/>
    <w:rsid w:val="008656D2"/>
    <w:rsid w:val="00865888"/>
    <w:rsid w:val="00865941"/>
    <w:rsid w:val="00865B54"/>
    <w:rsid w:val="00865C44"/>
    <w:rsid w:val="00865FB1"/>
    <w:rsid w:val="00866377"/>
    <w:rsid w:val="00866A27"/>
    <w:rsid w:val="00866C0D"/>
    <w:rsid w:val="00866CA7"/>
    <w:rsid w:val="00866DA9"/>
    <w:rsid w:val="00867173"/>
    <w:rsid w:val="0086720F"/>
    <w:rsid w:val="00867745"/>
    <w:rsid w:val="00867846"/>
    <w:rsid w:val="00867AFD"/>
    <w:rsid w:val="00867B64"/>
    <w:rsid w:val="00867E2F"/>
    <w:rsid w:val="0087021A"/>
    <w:rsid w:val="0087036B"/>
    <w:rsid w:val="0087062B"/>
    <w:rsid w:val="008706FF"/>
    <w:rsid w:val="00870728"/>
    <w:rsid w:val="0087080C"/>
    <w:rsid w:val="00870CFE"/>
    <w:rsid w:val="00870E8C"/>
    <w:rsid w:val="00871028"/>
    <w:rsid w:val="00871043"/>
    <w:rsid w:val="00871128"/>
    <w:rsid w:val="008711D8"/>
    <w:rsid w:val="0087152C"/>
    <w:rsid w:val="00871552"/>
    <w:rsid w:val="00871791"/>
    <w:rsid w:val="00871AD7"/>
    <w:rsid w:val="00871B19"/>
    <w:rsid w:val="00871E9C"/>
    <w:rsid w:val="00871F29"/>
    <w:rsid w:val="00872726"/>
    <w:rsid w:val="00872A47"/>
    <w:rsid w:val="00872D06"/>
    <w:rsid w:val="00872EF7"/>
    <w:rsid w:val="0087305C"/>
    <w:rsid w:val="00873084"/>
    <w:rsid w:val="008731F5"/>
    <w:rsid w:val="008733E0"/>
    <w:rsid w:val="0087351B"/>
    <w:rsid w:val="008735F3"/>
    <w:rsid w:val="0087374D"/>
    <w:rsid w:val="008739FF"/>
    <w:rsid w:val="00874224"/>
    <w:rsid w:val="00874359"/>
    <w:rsid w:val="008746CE"/>
    <w:rsid w:val="0087483D"/>
    <w:rsid w:val="00874CE5"/>
    <w:rsid w:val="00874D79"/>
    <w:rsid w:val="008756DA"/>
    <w:rsid w:val="008757AB"/>
    <w:rsid w:val="0087596E"/>
    <w:rsid w:val="00875AC2"/>
    <w:rsid w:val="008763BC"/>
    <w:rsid w:val="008764B7"/>
    <w:rsid w:val="008766CF"/>
    <w:rsid w:val="00876748"/>
    <w:rsid w:val="008769A7"/>
    <w:rsid w:val="00876E76"/>
    <w:rsid w:val="0087768B"/>
    <w:rsid w:val="0087783A"/>
    <w:rsid w:val="00877C69"/>
    <w:rsid w:val="00877CD5"/>
    <w:rsid w:val="00877E83"/>
    <w:rsid w:val="00877FBB"/>
    <w:rsid w:val="0088022B"/>
    <w:rsid w:val="008805AA"/>
    <w:rsid w:val="00880738"/>
    <w:rsid w:val="00880AA5"/>
    <w:rsid w:val="00880C71"/>
    <w:rsid w:val="00880CD9"/>
    <w:rsid w:val="00880E8F"/>
    <w:rsid w:val="00880EEB"/>
    <w:rsid w:val="00880EF9"/>
    <w:rsid w:val="00880FEC"/>
    <w:rsid w:val="00881018"/>
    <w:rsid w:val="00881127"/>
    <w:rsid w:val="0088121F"/>
    <w:rsid w:val="0088184F"/>
    <w:rsid w:val="008818FC"/>
    <w:rsid w:val="00881993"/>
    <w:rsid w:val="00881E3F"/>
    <w:rsid w:val="00882536"/>
    <w:rsid w:val="008826BD"/>
    <w:rsid w:val="008827BB"/>
    <w:rsid w:val="00882977"/>
    <w:rsid w:val="00882AD3"/>
    <w:rsid w:val="00882B05"/>
    <w:rsid w:val="00882B80"/>
    <w:rsid w:val="00883132"/>
    <w:rsid w:val="0088326B"/>
    <w:rsid w:val="008834FA"/>
    <w:rsid w:val="00883591"/>
    <w:rsid w:val="008835E9"/>
    <w:rsid w:val="00883A2C"/>
    <w:rsid w:val="00883D72"/>
    <w:rsid w:val="00883F96"/>
    <w:rsid w:val="00883FEC"/>
    <w:rsid w:val="00884D8E"/>
    <w:rsid w:val="00884E78"/>
    <w:rsid w:val="00884FAA"/>
    <w:rsid w:val="00885428"/>
    <w:rsid w:val="0088551D"/>
    <w:rsid w:val="008855C9"/>
    <w:rsid w:val="008856CE"/>
    <w:rsid w:val="00885920"/>
    <w:rsid w:val="00885977"/>
    <w:rsid w:val="00885E80"/>
    <w:rsid w:val="00885EE3"/>
    <w:rsid w:val="00885F1E"/>
    <w:rsid w:val="0088634E"/>
    <w:rsid w:val="008863B3"/>
    <w:rsid w:val="008864B7"/>
    <w:rsid w:val="0088667F"/>
    <w:rsid w:val="00886934"/>
    <w:rsid w:val="00886EA6"/>
    <w:rsid w:val="00887332"/>
    <w:rsid w:val="0088737C"/>
    <w:rsid w:val="008873C8"/>
    <w:rsid w:val="0088747A"/>
    <w:rsid w:val="00887774"/>
    <w:rsid w:val="00887C59"/>
    <w:rsid w:val="00887D2A"/>
    <w:rsid w:val="00887F88"/>
    <w:rsid w:val="008900A8"/>
    <w:rsid w:val="008901C0"/>
    <w:rsid w:val="00890EB2"/>
    <w:rsid w:val="00891019"/>
    <w:rsid w:val="00891536"/>
    <w:rsid w:val="00891E55"/>
    <w:rsid w:val="00891EC1"/>
    <w:rsid w:val="00891FAA"/>
    <w:rsid w:val="008926C3"/>
    <w:rsid w:val="00892723"/>
    <w:rsid w:val="008929FF"/>
    <w:rsid w:val="00892B4C"/>
    <w:rsid w:val="00892C61"/>
    <w:rsid w:val="00893015"/>
    <w:rsid w:val="0089311E"/>
    <w:rsid w:val="008932D3"/>
    <w:rsid w:val="0089348F"/>
    <w:rsid w:val="008934F1"/>
    <w:rsid w:val="008935B1"/>
    <w:rsid w:val="0089378C"/>
    <w:rsid w:val="00893847"/>
    <w:rsid w:val="00893BB9"/>
    <w:rsid w:val="00893EBB"/>
    <w:rsid w:val="008941FE"/>
    <w:rsid w:val="008945D6"/>
    <w:rsid w:val="008945EC"/>
    <w:rsid w:val="00894749"/>
    <w:rsid w:val="00894837"/>
    <w:rsid w:val="0089484E"/>
    <w:rsid w:val="008949F9"/>
    <w:rsid w:val="00894F26"/>
    <w:rsid w:val="008956AD"/>
    <w:rsid w:val="00895BF9"/>
    <w:rsid w:val="00895EFC"/>
    <w:rsid w:val="00895FD3"/>
    <w:rsid w:val="00896020"/>
    <w:rsid w:val="0089631B"/>
    <w:rsid w:val="00896428"/>
    <w:rsid w:val="008964B4"/>
    <w:rsid w:val="008964B5"/>
    <w:rsid w:val="00896A61"/>
    <w:rsid w:val="00896B16"/>
    <w:rsid w:val="00896D62"/>
    <w:rsid w:val="00896F5B"/>
    <w:rsid w:val="00896F7C"/>
    <w:rsid w:val="0089710F"/>
    <w:rsid w:val="008971EB"/>
    <w:rsid w:val="00897470"/>
    <w:rsid w:val="008975B5"/>
    <w:rsid w:val="0089760C"/>
    <w:rsid w:val="008976AD"/>
    <w:rsid w:val="00897704"/>
    <w:rsid w:val="0089777F"/>
    <w:rsid w:val="0089794D"/>
    <w:rsid w:val="008A02F8"/>
    <w:rsid w:val="008A0626"/>
    <w:rsid w:val="008A0A84"/>
    <w:rsid w:val="008A0FF8"/>
    <w:rsid w:val="008A1098"/>
    <w:rsid w:val="008A1D93"/>
    <w:rsid w:val="008A1F9C"/>
    <w:rsid w:val="008A2262"/>
    <w:rsid w:val="008A2956"/>
    <w:rsid w:val="008A2A6C"/>
    <w:rsid w:val="008A2A7C"/>
    <w:rsid w:val="008A2F79"/>
    <w:rsid w:val="008A321D"/>
    <w:rsid w:val="008A3333"/>
    <w:rsid w:val="008A34C9"/>
    <w:rsid w:val="008A36A5"/>
    <w:rsid w:val="008A3F74"/>
    <w:rsid w:val="008A4069"/>
    <w:rsid w:val="008A4201"/>
    <w:rsid w:val="008A4284"/>
    <w:rsid w:val="008A454F"/>
    <w:rsid w:val="008A4B92"/>
    <w:rsid w:val="008A5171"/>
    <w:rsid w:val="008A519A"/>
    <w:rsid w:val="008A55BF"/>
    <w:rsid w:val="008A5C24"/>
    <w:rsid w:val="008A5CEC"/>
    <w:rsid w:val="008A5D89"/>
    <w:rsid w:val="008A5E89"/>
    <w:rsid w:val="008A5ECF"/>
    <w:rsid w:val="008A62A1"/>
    <w:rsid w:val="008A634F"/>
    <w:rsid w:val="008A636E"/>
    <w:rsid w:val="008A67DF"/>
    <w:rsid w:val="008A6D73"/>
    <w:rsid w:val="008A6E71"/>
    <w:rsid w:val="008A7000"/>
    <w:rsid w:val="008A7331"/>
    <w:rsid w:val="008A7E7B"/>
    <w:rsid w:val="008A7EA3"/>
    <w:rsid w:val="008B024F"/>
    <w:rsid w:val="008B04ED"/>
    <w:rsid w:val="008B0747"/>
    <w:rsid w:val="008B0803"/>
    <w:rsid w:val="008B08A3"/>
    <w:rsid w:val="008B0EDB"/>
    <w:rsid w:val="008B0FDD"/>
    <w:rsid w:val="008B1055"/>
    <w:rsid w:val="008B1067"/>
    <w:rsid w:val="008B141A"/>
    <w:rsid w:val="008B15EF"/>
    <w:rsid w:val="008B1A36"/>
    <w:rsid w:val="008B1B0F"/>
    <w:rsid w:val="008B1B77"/>
    <w:rsid w:val="008B1DF0"/>
    <w:rsid w:val="008B2344"/>
    <w:rsid w:val="008B2E76"/>
    <w:rsid w:val="008B3215"/>
    <w:rsid w:val="008B32D3"/>
    <w:rsid w:val="008B3574"/>
    <w:rsid w:val="008B3583"/>
    <w:rsid w:val="008B35B7"/>
    <w:rsid w:val="008B365C"/>
    <w:rsid w:val="008B3881"/>
    <w:rsid w:val="008B3CEB"/>
    <w:rsid w:val="008B3D4A"/>
    <w:rsid w:val="008B3D57"/>
    <w:rsid w:val="008B401F"/>
    <w:rsid w:val="008B4038"/>
    <w:rsid w:val="008B4227"/>
    <w:rsid w:val="008B44CA"/>
    <w:rsid w:val="008B483B"/>
    <w:rsid w:val="008B4D13"/>
    <w:rsid w:val="008B4E24"/>
    <w:rsid w:val="008B4E5A"/>
    <w:rsid w:val="008B5046"/>
    <w:rsid w:val="008B5129"/>
    <w:rsid w:val="008B521B"/>
    <w:rsid w:val="008B5860"/>
    <w:rsid w:val="008B5863"/>
    <w:rsid w:val="008B65E3"/>
    <w:rsid w:val="008B6957"/>
    <w:rsid w:val="008B6991"/>
    <w:rsid w:val="008B6992"/>
    <w:rsid w:val="008B6F14"/>
    <w:rsid w:val="008B7015"/>
    <w:rsid w:val="008B70BC"/>
    <w:rsid w:val="008B70F0"/>
    <w:rsid w:val="008B73B9"/>
    <w:rsid w:val="008B73FA"/>
    <w:rsid w:val="008B7462"/>
    <w:rsid w:val="008B759D"/>
    <w:rsid w:val="008B7B44"/>
    <w:rsid w:val="008B7E91"/>
    <w:rsid w:val="008B7E9E"/>
    <w:rsid w:val="008C0326"/>
    <w:rsid w:val="008C041E"/>
    <w:rsid w:val="008C0434"/>
    <w:rsid w:val="008C1011"/>
    <w:rsid w:val="008C108F"/>
    <w:rsid w:val="008C12E1"/>
    <w:rsid w:val="008C17A9"/>
    <w:rsid w:val="008C1838"/>
    <w:rsid w:val="008C18BA"/>
    <w:rsid w:val="008C19D0"/>
    <w:rsid w:val="008C1D2E"/>
    <w:rsid w:val="008C1D2F"/>
    <w:rsid w:val="008C1E54"/>
    <w:rsid w:val="008C20CD"/>
    <w:rsid w:val="008C220A"/>
    <w:rsid w:val="008C24EB"/>
    <w:rsid w:val="008C2525"/>
    <w:rsid w:val="008C2655"/>
    <w:rsid w:val="008C2690"/>
    <w:rsid w:val="008C28EA"/>
    <w:rsid w:val="008C2D86"/>
    <w:rsid w:val="008C2DAC"/>
    <w:rsid w:val="008C34F1"/>
    <w:rsid w:val="008C3800"/>
    <w:rsid w:val="008C38C3"/>
    <w:rsid w:val="008C3B62"/>
    <w:rsid w:val="008C3D11"/>
    <w:rsid w:val="008C3D6F"/>
    <w:rsid w:val="008C3FB6"/>
    <w:rsid w:val="008C40AC"/>
    <w:rsid w:val="008C47D0"/>
    <w:rsid w:val="008C4C71"/>
    <w:rsid w:val="008C514F"/>
    <w:rsid w:val="008C5403"/>
    <w:rsid w:val="008C541B"/>
    <w:rsid w:val="008C5A87"/>
    <w:rsid w:val="008C5C3F"/>
    <w:rsid w:val="008C6122"/>
    <w:rsid w:val="008C62F3"/>
    <w:rsid w:val="008C65A9"/>
    <w:rsid w:val="008C66C6"/>
    <w:rsid w:val="008C68F2"/>
    <w:rsid w:val="008C6AB8"/>
    <w:rsid w:val="008C6C3D"/>
    <w:rsid w:val="008C6C4F"/>
    <w:rsid w:val="008C7049"/>
    <w:rsid w:val="008C704A"/>
    <w:rsid w:val="008C725B"/>
    <w:rsid w:val="008C7328"/>
    <w:rsid w:val="008C749C"/>
    <w:rsid w:val="008C768D"/>
    <w:rsid w:val="008C79CF"/>
    <w:rsid w:val="008C7A25"/>
    <w:rsid w:val="008C7A55"/>
    <w:rsid w:val="008C7AB3"/>
    <w:rsid w:val="008C7C35"/>
    <w:rsid w:val="008C7CD1"/>
    <w:rsid w:val="008C7E08"/>
    <w:rsid w:val="008C7E0D"/>
    <w:rsid w:val="008C7ECF"/>
    <w:rsid w:val="008D015C"/>
    <w:rsid w:val="008D02E7"/>
    <w:rsid w:val="008D02EF"/>
    <w:rsid w:val="008D042E"/>
    <w:rsid w:val="008D0563"/>
    <w:rsid w:val="008D05CC"/>
    <w:rsid w:val="008D0651"/>
    <w:rsid w:val="008D06E7"/>
    <w:rsid w:val="008D09A7"/>
    <w:rsid w:val="008D0BDD"/>
    <w:rsid w:val="008D0F56"/>
    <w:rsid w:val="008D118B"/>
    <w:rsid w:val="008D1632"/>
    <w:rsid w:val="008D1699"/>
    <w:rsid w:val="008D1747"/>
    <w:rsid w:val="008D1E17"/>
    <w:rsid w:val="008D2093"/>
    <w:rsid w:val="008D2482"/>
    <w:rsid w:val="008D2522"/>
    <w:rsid w:val="008D2895"/>
    <w:rsid w:val="008D2CC3"/>
    <w:rsid w:val="008D320D"/>
    <w:rsid w:val="008D34E4"/>
    <w:rsid w:val="008D36BC"/>
    <w:rsid w:val="008D37C1"/>
    <w:rsid w:val="008D37CF"/>
    <w:rsid w:val="008D38F8"/>
    <w:rsid w:val="008D3DC5"/>
    <w:rsid w:val="008D3E82"/>
    <w:rsid w:val="008D3EB6"/>
    <w:rsid w:val="008D421E"/>
    <w:rsid w:val="008D424A"/>
    <w:rsid w:val="008D4587"/>
    <w:rsid w:val="008D4978"/>
    <w:rsid w:val="008D49DA"/>
    <w:rsid w:val="008D4A0D"/>
    <w:rsid w:val="008D4D31"/>
    <w:rsid w:val="008D4DA3"/>
    <w:rsid w:val="008D5212"/>
    <w:rsid w:val="008D521A"/>
    <w:rsid w:val="008D5418"/>
    <w:rsid w:val="008D5887"/>
    <w:rsid w:val="008D5B83"/>
    <w:rsid w:val="008D5C25"/>
    <w:rsid w:val="008D5DC1"/>
    <w:rsid w:val="008D5FCD"/>
    <w:rsid w:val="008D678E"/>
    <w:rsid w:val="008D6882"/>
    <w:rsid w:val="008D6EB9"/>
    <w:rsid w:val="008D6FBA"/>
    <w:rsid w:val="008D71EE"/>
    <w:rsid w:val="008D7484"/>
    <w:rsid w:val="008D75B2"/>
    <w:rsid w:val="008D76B0"/>
    <w:rsid w:val="008D7B4A"/>
    <w:rsid w:val="008D7DD7"/>
    <w:rsid w:val="008D7F39"/>
    <w:rsid w:val="008E0014"/>
    <w:rsid w:val="008E0062"/>
    <w:rsid w:val="008E00C4"/>
    <w:rsid w:val="008E00DD"/>
    <w:rsid w:val="008E0429"/>
    <w:rsid w:val="008E0473"/>
    <w:rsid w:val="008E047E"/>
    <w:rsid w:val="008E07A1"/>
    <w:rsid w:val="008E097D"/>
    <w:rsid w:val="008E0C58"/>
    <w:rsid w:val="008E1246"/>
    <w:rsid w:val="008E1260"/>
    <w:rsid w:val="008E19E6"/>
    <w:rsid w:val="008E1D15"/>
    <w:rsid w:val="008E1EDD"/>
    <w:rsid w:val="008E25CB"/>
    <w:rsid w:val="008E2A24"/>
    <w:rsid w:val="008E2B15"/>
    <w:rsid w:val="008E2F05"/>
    <w:rsid w:val="008E2F5C"/>
    <w:rsid w:val="008E3058"/>
    <w:rsid w:val="008E3561"/>
    <w:rsid w:val="008E36D2"/>
    <w:rsid w:val="008E39E0"/>
    <w:rsid w:val="008E3B99"/>
    <w:rsid w:val="008E3BBC"/>
    <w:rsid w:val="008E3D32"/>
    <w:rsid w:val="008E3D67"/>
    <w:rsid w:val="008E3E61"/>
    <w:rsid w:val="008E4798"/>
    <w:rsid w:val="008E48CF"/>
    <w:rsid w:val="008E4C3B"/>
    <w:rsid w:val="008E4F08"/>
    <w:rsid w:val="008E509A"/>
    <w:rsid w:val="008E5405"/>
    <w:rsid w:val="008E5468"/>
    <w:rsid w:val="008E54D6"/>
    <w:rsid w:val="008E553A"/>
    <w:rsid w:val="008E55C2"/>
    <w:rsid w:val="008E579A"/>
    <w:rsid w:val="008E58BC"/>
    <w:rsid w:val="008E58DD"/>
    <w:rsid w:val="008E5BCA"/>
    <w:rsid w:val="008E5F78"/>
    <w:rsid w:val="008E641A"/>
    <w:rsid w:val="008E664E"/>
    <w:rsid w:val="008E6A21"/>
    <w:rsid w:val="008E6B82"/>
    <w:rsid w:val="008E6B91"/>
    <w:rsid w:val="008E6BEF"/>
    <w:rsid w:val="008E6C8E"/>
    <w:rsid w:val="008E7061"/>
    <w:rsid w:val="008E7106"/>
    <w:rsid w:val="008E7374"/>
    <w:rsid w:val="008E7811"/>
    <w:rsid w:val="008E7C6F"/>
    <w:rsid w:val="008E7EA0"/>
    <w:rsid w:val="008F001E"/>
    <w:rsid w:val="008F01BC"/>
    <w:rsid w:val="008F0554"/>
    <w:rsid w:val="008F056D"/>
    <w:rsid w:val="008F058E"/>
    <w:rsid w:val="008F06C8"/>
    <w:rsid w:val="008F0A03"/>
    <w:rsid w:val="008F0B4D"/>
    <w:rsid w:val="008F0CB9"/>
    <w:rsid w:val="008F0DAA"/>
    <w:rsid w:val="008F1096"/>
    <w:rsid w:val="008F10A9"/>
    <w:rsid w:val="008F1455"/>
    <w:rsid w:val="008F15D4"/>
    <w:rsid w:val="008F1765"/>
    <w:rsid w:val="008F2189"/>
    <w:rsid w:val="008F2297"/>
    <w:rsid w:val="008F23E5"/>
    <w:rsid w:val="008F25FE"/>
    <w:rsid w:val="008F2795"/>
    <w:rsid w:val="008F2AC1"/>
    <w:rsid w:val="008F2FF2"/>
    <w:rsid w:val="008F3040"/>
    <w:rsid w:val="008F312D"/>
    <w:rsid w:val="008F3311"/>
    <w:rsid w:val="008F3364"/>
    <w:rsid w:val="008F3383"/>
    <w:rsid w:val="008F34D0"/>
    <w:rsid w:val="008F3D1F"/>
    <w:rsid w:val="008F3DE7"/>
    <w:rsid w:val="008F406B"/>
    <w:rsid w:val="008F46D0"/>
    <w:rsid w:val="008F4726"/>
    <w:rsid w:val="008F487E"/>
    <w:rsid w:val="008F4979"/>
    <w:rsid w:val="008F4CF5"/>
    <w:rsid w:val="008F5010"/>
    <w:rsid w:val="008F510E"/>
    <w:rsid w:val="008F543F"/>
    <w:rsid w:val="008F56EC"/>
    <w:rsid w:val="008F5A37"/>
    <w:rsid w:val="008F5B92"/>
    <w:rsid w:val="008F5DAD"/>
    <w:rsid w:val="008F603F"/>
    <w:rsid w:val="008F75B8"/>
    <w:rsid w:val="008F75EC"/>
    <w:rsid w:val="008F7782"/>
    <w:rsid w:val="008F7870"/>
    <w:rsid w:val="008F79B4"/>
    <w:rsid w:val="008F7A55"/>
    <w:rsid w:val="00900005"/>
    <w:rsid w:val="00900015"/>
    <w:rsid w:val="00900700"/>
    <w:rsid w:val="009007F9"/>
    <w:rsid w:val="0090092A"/>
    <w:rsid w:val="00900DCA"/>
    <w:rsid w:val="00900DD3"/>
    <w:rsid w:val="009013B8"/>
    <w:rsid w:val="0090147D"/>
    <w:rsid w:val="009014A4"/>
    <w:rsid w:val="009015F4"/>
    <w:rsid w:val="00901841"/>
    <w:rsid w:val="00901976"/>
    <w:rsid w:val="00901D12"/>
    <w:rsid w:val="00901F2C"/>
    <w:rsid w:val="00901F9E"/>
    <w:rsid w:val="00901FFB"/>
    <w:rsid w:val="0090215F"/>
    <w:rsid w:val="00902404"/>
    <w:rsid w:val="009030DD"/>
    <w:rsid w:val="0090325B"/>
    <w:rsid w:val="009033D8"/>
    <w:rsid w:val="00903BD9"/>
    <w:rsid w:val="00903C31"/>
    <w:rsid w:val="00903E60"/>
    <w:rsid w:val="00904103"/>
    <w:rsid w:val="00904178"/>
    <w:rsid w:val="00904180"/>
    <w:rsid w:val="00904255"/>
    <w:rsid w:val="00904290"/>
    <w:rsid w:val="0090449B"/>
    <w:rsid w:val="0090457D"/>
    <w:rsid w:val="00904706"/>
    <w:rsid w:val="00904A8B"/>
    <w:rsid w:val="00904B35"/>
    <w:rsid w:val="00904FBE"/>
    <w:rsid w:val="00905237"/>
    <w:rsid w:val="009055C1"/>
    <w:rsid w:val="00905B56"/>
    <w:rsid w:val="00905FE6"/>
    <w:rsid w:val="009060B3"/>
    <w:rsid w:val="0090635B"/>
    <w:rsid w:val="009065A9"/>
    <w:rsid w:val="00906617"/>
    <w:rsid w:val="00906860"/>
    <w:rsid w:val="00906F39"/>
    <w:rsid w:val="0091030F"/>
    <w:rsid w:val="00910AC7"/>
    <w:rsid w:val="00910D0A"/>
    <w:rsid w:val="00910E69"/>
    <w:rsid w:val="00910EB1"/>
    <w:rsid w:val="0091118D"/>
    <w:rsid w:val="00911408"/>
    <w:rsid w:val="00911848"/>
    <w:rsid w:val="00911F20"/>
    <w:rsid w:val="0091202D"/>
    <w:rsid w:val="00912194"/>
    <w:rsid w:val="0091245A"/>
    <w:rsid w:val="00912619"/>
    <w:rsid w:val="009126CD"/>
    <w:rsid w:val="009128DF"/>
    <w:rsid w:val="00912A84"/>
    <w:rsid w:val="00912C13"/>
    <w:rsid w:val="0091308A"/>
    <w:rsid w:val="00913264"/>
    <w:rsid w:val="00913917"/>
    <w:rsid w:val="00913922"/>
    <w:rsid w:val="00913B0A"/>
    <w:rsid w:val="00913DE4"/>
    <w:rsid w:val="009146C7"/>
    <w:rsid w:val="0091475F"/>
    <w:rsid w:val="009147C1"/>
    <w:rsid w:val="009148C7"/>
    <w:rsid w:val="00914EB1"/>
    <w:rsid w:val="009152AF"/>
    <w:rsid w:val="0091535C"/>
    <w:rsid w:val="00915849"/>
    <w:rsid w:val="00915E8A"/>
    <w:rsid w:val="00915EBB"/>
    <w:rsid w:val="00915F56"/>
    <w:rsid w:val="00915F5F"/>
    <w:rsid w:val="00915FC5"/>
    <w:rsid w:val="0091647F"/>
    <w:rsid w:val="0091663A"/>
    <w:rsid w:val="00916800"/>
    <w:rsid w:val="0091703F"/>
    <w:rsid w:val="00917751"/>
    <w:rsid w:val="009178E1"/>
    <w:rsid w:val="00917CD5"/>
    <w:rsid w:val="00917ED4"/>
    <w:rsid w:val="009201D5"/>
    <w:rsid w:val="00920AEF"/>
    <w:rsid w:val="00920BBB"/>
    <w:rsid w:val="00920C89"/>
    <w:rsid w:val="00920D2B"/>
    <w:rsid w:val="00920E21"/>
    <w:rsid w:val="00920E49"/>
    <w:rsid w:val="00921080"/>
    <w:rsid w:val="009211F4"/>
    <w:rsid w:val="0092129D"/>
    <w:rsid w:val="009213FF"/>
    <w:rsid w:val="009216C5"/>
    <w:rsid w:val="00921BCE"/>
    <w:rsid w:val="00921CA9"/>
    <w:rsid w:val="00921D65"/>
    <w:rsid w:val="00921D69"/>
    <w:rsid w:val="00921E73"/>
    <w:rsid w:val="00921E79"/>
    <w:rsid w:val="00921F53"/>
    <w:rsid w:val="0092245F"/>
    <w:rsid w:val="00922644"/>
    <w:rsid w:val="00922707"/>
    <w:rsid w:val="0092271E"/>
    <w:rsid w:val="00922AA9"/>
    <w:rsid w:val="00922B73"/>
    <w:rsid w:val="00922CB9"/>
    <w:rsid w:val="00922D11"/>
    <w:rsid w:val="00922F50"/>
    <w:rsid w:val="009230CB"/>
    <w:rsid w:val="00923174"/>
    <w:rsid w:val="00923355"/>
    <w:rsid w:val="00923400"/>
    <w:rsid w:val="0092354E"/>
    <w:rsid w:val="00923D0A"/>
    <w:rsid w:val="00923D83"/>
    <w:rsid w:val="00923D8F"/>
    <w:rsid w:val="009241E3"/>
    <w:rsid w:val="00924310"/>
    <w:rsid w:val="00924718"/>
    <w:rsid w:val="009248C5"/>
    <w:rsid w:val="00924A47"/>
    <w:rsid w:val="00924D97"/>
    <w:rsid w:val="00925012"/>
    <w:rsid w:val="009250B3"/>
    <w:rsid w:val="009250C0"/>
    <w:rsid w:val="00925EC6"/>
    <w:rsid w:val="0092610D"/>
    <w:rsid w:val="00926412"/>
    <w:rsid w:val="00926603"/>
    <w:rsid w:val="00926703"/>
    <w:rsid w:val="0092680F"/>
    <w:rsid w:val="00926A5C"/>
    <w:rsid w:val="00926AB2"/>
    <w:rsid w:val="00926F18"/>
    <w:rsid w:val="00926F64"/>
    <w:rsid w:val="009277E7"/>
    <w:rsid w:val="00927D65"/>
    <w:rsid w:val="00930115"/>
    <w:rsid w:val="0093021C"/>
    <w:rsid w:val="00930468"/>
    <w:rsid w:val="00930765"/>
    <w:rsid w:val="009307A2"/>
    <w:rsid w:val="009307BD"/>
    <w:rsid w:val="00930CB7"/>
    <w:rsid w:val="00930CDF"/>
    <w:rsid w:val="00930DA4"/>
    <w:rsid w:val="00930E56"/>
    <w:rsid w:val="00931114"/>
    <w:rsid w:val="00931DBD"/>
    <w:rsid w:val="00931F64"/>
    <w:rsid w:val="00932620"/>
    <w:rsid w:val="0093292B"/>
    <w:rsid w:val="00932A8C"/>
    <w:rsid w:val="00932C04"/>
    <w:rsid w:val="00932FB3"/>
    <w:rsid w:val="00933AA8"/>
    <w:rsid w:val="00933B12"/>
    <w:rsid w:val="00933D54"/>
    <w:rsid w:val="00933E64"/>
    <w:rsid w:val="00934016"/>
    <w:rsid w:val="00934082"/>
    <w:rsid w:val="00934512"/>
    <w:rsid w:val="009345FC"/>
    <w:rsid w:val="009346E1"/>
    <w:rsid w:val="009347A8"/>
    <w:rsid w:val="00934944"/>
    <w:rsid w:val="00934CB0"/>
    <w:rsid w:val="00934E61"/>
    <w:rsid w:val="009350D9"/>
    <w:rsid w:val="0093521E"/>
    <w:rsid w:val="00935D80"/>
    <w:rsid w:val="0093629B"/>
    <w:rsid w:val="009362B7"/>
    <w:rsid w:val="009365A2"/>
    <w:rsid w:val="00936823"/>
    <w:rsid w:val="00936ADC"/>
    <w:rsid w:val="00936D95"/>
    <w:rsid w:val="00936FB6"/>
    <w:rsid w:val="00936FC1"/>
    <w:rsid w:val="00937044"/>
    <w:rsid w:val="00937494"/>
    <w:rsid w:val="00937D5D"/>
    <w:rsid w:val="00937FC8"/>
    <w:rsid w:val="0094067A"/>
    <w:rsid w:val="00940684"/>
    <w:rsid w:val="00940707"/>
    <w:rsid w:val="00940D27"/>
    <w:rsid w:val="00940F49"/>
    <w:rsid w:val="00941006"/>
    <w:rsid w:val="009413E6"/>
    <w:rsid w:val="0094150A"/>
    <w:rsid w:val="0094184D"/>
    <w:rsid w:val="00941871"/>
    <w:rsid w:val="00941A7C"/>
    <w:rsid w:val="0094208E"/>
    <w:rsid w:val="009421DC"/>
    <w:rsid w:val="00942256"/>
    <w:rsid w:val="00942274"/>
    <w:rsid w:val="00942514"/>
    <w:rsid w:val="00942644"/>
    <w:rsid w:val="00942731"/>
    <w:rsid w:val="00943013"/>
    <w:rsid w:val="009430B6"/>
    <w:rsid w:val="00943124"/>
    <w:rsid w:val="009433A8"/>
    <w:rsid w:val="009434D0"/>
    <w:rsid w:val="00943BBD"/>
    <w:rsid w:val="00943CFA"/>
    <w:rsid w:val="00943EDF"/>
    <w:rsid w:val="009448E1"/>
    <w:rsid w:val="00944C40"/>
    <w:rsid w:val="00944E56"/>
    <w:rsid w:val="00944EDE"/>
    <w:rsid w:val="009450D0"/>
    <w:rsid w:val="0094536F"/>
    <w:rsid w:val="0094562A"/>
    <w:rsid w:val="0094574A"/>
    <w:rsid w:val="00945908"/>
    <w:rsid w:val="00946204"/>
    <w:rsid w:val="009463FE"/>
    <w:rsid w:val="00946423"/>
    <w:rsid w:val="0094657A"/>
    <w:rsid w:val="00946700"/>
    <w:rsid w:val="00946780"/>
    <w:rsid w:val="00946948"/>
    <w:rsid w:val="00946F66"/>
    <w:rsid w:val="0094707B"/>
    <w:rsid w:val="0094711B"/>
    <w:rsid w:val="00947186"/>
    <w:rsid w:val="009471F0"/>
    <w:rsid w:val="0094732B"/>
    <w:rsid w:val="0094769A"/>
    <w:rsid w:val="009476F4"/>
    <w:rsid w:val="00947985"/>
    <w:rsid w:val="00947B88"/>
    <w:rsid w:val="00947E33"/>
    <w:rsid w:val="0095020E"/>
    <w:rsid w:val="0095030B"/>
    <w:rsid w:val="00950D22"/>
    <w:rsid w:val="00951178"/>
    <w:rsid w:val="009511E2"/>
    <w:rsid w:val="009512C6"/>
    <w:rsid w:val="009514A4"/>
    <w:rsid w:val="00951689"/>
    <w:rsid w:val="009522BF"/>
    <w:rsid w:val="00952462"/>
    <w:rsid w:val="009525AD"/>
    <w:rsid w:val="00952BDA"/>
    <w:rsid w:val="00952DBF"/>
    <w:rsid w:val="00953872"/>
    <w:rsid w:val="00953AA2"/>
    <w:rsid w:val="00953C1E"/>
    <w:rsid w:val="009540BC"/>
    <w:rsid w:val="00954AB3"/>
    <w:rsid w:val="009550A7"/>
    <w:rsid w:val="0095523B"/>
    <w:rsid w:val="00955265"/>
    <w:rsid w:val="0095550C"/>
    <w:rsid w:val="009556C7"/>
    <w:rsid w:val="00955D07"/>
    <w:rsid w:val="00955FDA"/>
    <w:rsid w:val="0095624D"/>
    <w:rsid w:val="0095647B"/>
    <w:rsid w:val="0095681A"/>
    <w:rsid w:val="0095690E"/>
    <w:rsid w:val="00956AE0"/>
    <w:rsid w:val="00956BFB"/>
    <w:rsid w:val="00956CB1"/>
    <w:rsid w:val="00956D41"/>
    <w:rsid w:val="00957032"/>
    <w:rsid w:val="009570F8"/>
    <w:rsid w:val="009571B2"/>
    <w:rsid w:val="00957499"/>
    <w:rsid w:val="00957822"/>
    <w:rsid w:val="00957B58"/>
    <w:rsid w:val="00957E6C"/>
    <w:rsid w:val="00960253"/>
    <w:rsid w:val="009602E1"/>
    <w:rsid w:val="00960611"/>
    <w:rsid w:val="00960CC9"/>
    <w:rsid w:val="009617FE"/>
    <w:rsid w:val="00961F0F"/>
    <w:rsid w:val="009622F1"/>
    <w:rsid w:val="00962777"/>
    <w:rsid w:val="00962BA3"/>
    <w:rsid w:val="00962DE4"/>
    <w:rsid w:val="00963894"/>
    <w:rsid w:val="00963D9C"/>
    <w:rsid w:val="00963FF2"/>
    <w:rsid w:val="00964140"/>
    <w:rsid w:val="009649A3"/>
    <w:rsid w:val="00964AA4"/>
    <w:rsid w:val="00964B0A"/>
    <w:rsid w:val="00964B75"/>
    <w:rsid w:val="00964DFA"/>
    <w:rsid w:val="00964F1B"/>
    <w:rsid w:val="009651AC"/>
    <w:rsid w:val="009653B3"/>
    <w:rsid w:val="009655C3"/>
    <w:rsid w:val="0096577F"/>
    <w:rsid w:val="00965826"/>
    <w:rsid w:val="0096582D"/>
    <w:rsid w:val="009659A5"/>
    <w:rsid w:val="00965ACB"/>
    <w:rsid w:val="00965BA1"/>
    <w:rsid w:val="00965E8E"/>
    <w:rsid w:val="00965F66"/>
    <w:rsid w:val="009661F6"/>
    <w:rsid w:val="00966442"/>
    <w:rsid w:val="009666D7"/>
    <w:rsid w:val="00966A55"/>
    <w:rsid w:val="00966C97"/>
    <w:rsid w:val="00966CAC"/>
    <w:rsid w:val="00966E70"/>
    <w:rsid w:val="00967008"/>
    <w:rsid w:val="00967126"/>
    <w:rsid w:val="009671A9"/>
    <w:rsid w:val="0096734F"/>
    <w:rsid w:val="00967564"/>
    <w:rsid w:val="0096763F"/>
    <w:rsid w:val="0096777F"/>
    <w:rsid w:val="0096778A"/>
    <w:rsid w:val="009679DA"/>
    <w:rsid w:val="00967A4B"/>
    <w:rsid w:val="009703E9"/>
    <w:rsid w:val="0097056C"/>
    <w:rsid w:val="00970591"/>
    <w:rsid w:val="009707C7"/>
    <w:rsid w:val="00970A97"/>
    <w:rsid w:val="00970EA2"/>
    <w:rsid w:val="00970EDF"/>
    <w:rsid w:val="00971347"/>
    <w:rsid w:val="009713F8"/>
    <w:rsid w:val="00971B08"/>
    <w:rsid w:val="00971ED0"/>
    <w:rsid w:val="00971F85"/>
    <w:rsid w:val="0097200A"/>
    <w:rsid w:val="009725F4"/>
    <w:rsid w:val="00972664"/>
    <w:rsid w:val="009727DA"/>
    <w:rsid w:val="00972825"/>
    <w:rsid w:val="00972AAB"/>
    <w:rsid w:val="00972BBB"/>
    <w:rsid w:val="00972FF5"/>
    <w:rsid w:val="00973173"/>
    <w:rsid w:val="0097317D"/>
    <w:rsid w:val="00973875"/>
    <w:rsid w:val="00973A6A"/>
    <w:rsid w:val="00973AB0"/>
    <w:rsid w:val="00973AE8"/>
    <w:rsid w:val="00973D6B"/>
    <w:rsid w:val="00973DEA"/>
    <w:rsid w:val="00973E0E"/>
    <w:rsid w:val="00974005"/>
    <w:rsid w:val="009741FB"/>
    <w:rsid w:val="0097442D"/>
    <w:rsid w:val="009744B6"/>
    <w:rsid w:val="009747EA"/>
    <w:rsid w:val="00974D3C"/>
    <w:rsid w:val="00974E09"/>
    <w:rsid w:val="00974F2A"/>
    <w:rsid w:val="0097546F"/>
    <w:rsid w:val="0097559B"/>
    <w:rsid w:val="0097564E"/>
    <w:rsid w:val="00975A17"/>
    <w:rsid w:val="00975A61"/>
    <w:rsid w:val="00975D48"/>
    <w:rsid w:val="00975DA9"/>
    <w:rsid w:val="00975DCF"/>
    <w:rsid w:val="00975E1D"/>
    <w:rsid w:val="00975E54"/>
    <w:rsid w:val="00975EBB"/>
    <w:rsid w:val="0097630E"/>
    <w:rsid w:val="009766D8"/>
    <w:rsid w:val="00976863"/>
    <w:rsid w:val="0097710A"/>
    <w:rsid w:val="009773FA"/>
    <w:rsid w:val="00977587"/>
    <w:rsid w:val="0097787A"/>
    <w:rsid w:val="009778CA"/>
    <w:rsid w:val="00977B3D"/>
    <w:rsid w:val="00977EA9"/>
    <w:rsid w:val="00977F35"/>
    <w:rsid w:val="00980083"/>
    <w:rsid w:val="00980134"/>
    <w:rsid w:val="00980AE6"/>
    <w:rsid w:val="00980B95"/>
    <w:rsid w:val="00980C99"/>
    <w:rsid w:val="00981093"/>
    <w:rsid w:val="009811BE"/>
    <w:rsid w:val="0098173F"/>
    <w:rsid w:val="0098196F"/>
    <w:rsid w:val="009819CD"/>
    <w:rsid w:val="00981F3D"/>
    <w:rsid w:val="0098200D"/>
    <w:rsid w:val="00982011"/>
    <w:rsid w:val="0098237C"/>
    <w:rsid w:val="00982593"/>
    <w:rsid w:val="0098281F"/>
    <w:rsid w:val="0098286B"/>
    <w:rsid w:val="00982D70"/>
    <w:rsid w:val="00983178"/>
    <w:rsid w:val="009832C3"/>
    <w:rsid w:val="009840C1"/>
    <w:rsid w:val="009842B9"/>
    <w:rsid w:val="009847F2"/>
    <w:rsid w:val="0098495C"/>
    <w:rsid w:val="009849A7"/>
    <w:rsid w:val="00984B01"/>
    <w:rsid w:val="00984B1C"/>
    <w:rsid w:val="00984DB4"/>
    <w:rsid w:val="00984DE9"/>
    <w:rsid w:val="00984DF5"/>
    <w:rsid w:val="00985107"/>
    <w:rsid w:val="0098515A"/>
    <w:rsid w:val="009852EB"/>
    <w:rsid w:val="00985413"/>
    <w:rsid w:val="0098556A"/>
    <w:rsid w:val="00985700"/>
    <w:rsid w:val="00985779"/>
    <w:rsid w:val="00985870"/>
    <w:rsid w:val="00985D79"/>
    <w:rsid w:val="009862FE"/>
    <w:rsid w:val="009863BD"/>
    <w:rsid w:val="009864C7"/>
    <w:rsid w:val="009867C9"/>
    <w:rsid w:val="00986848"/>
    <w:rsid w:val="00986B89"/>
    <w:rsid w:val="00986E49"/>
    <w:rsid w:val="00986F23"/>
    <w:rsid w:val="00986F46"/>
    <w:rsid w:val="00987063"/>
    <w:rsid w:val="0098750C"/>
    <w:rsid w:val="00987BDF"/>
    <w:rsid w:val="00987CDA"/>
    <w:rsid w:val="00987CE1"/>
    <w:rsid w:val="00990087"/>
    <w:rsid w:val="00990181"/>
    <w:rsid w:val="009901DB"/>
    <w:rsid w:val="009903BE"/>
    <w:rsid w:val="0099043D"/>
    <w:rsid w:val="009905E3"/>
    <w:rsid w:val="009908C3"/>
    <w:rsid w:val="00990FC1"/>
    <w:rsid w:val="009911EB"/>
    <w:rsid w:val="009915AE"/>
    <w:rsid w:val="009916CB"/>
    <w:rsid w:val="00991A41"/>
    <w:rsid w:val="00991AB3"/>
    <w:rsid w:val="00991DC6"/>
    <w:rsid w:val="00991E79"/>
    <w:rsid w:val="009921B1"/>
    <w:rsid w:val="0099241C"/>
    <w:rsid w:val="009925A7"/>
    <w:rsid w:val="009926E1"/>
    <w:rsid w:val="0099272E"/>
    <w:rsid w:val="00992A58"/>
    <w:rsid w:val="00992B46"/>
    <w:rsid w:val="00992F17"/>
    <w:rsid w:val="00993057"/>
    <w:rsid w:val="009930E0"/>
    <w:rsid w:val="00993421"/>
    <w:rsid w:val="009936A5"/>
    <w:rsid w:val="009936D4"/>
    <w:rsid w:val="009938BC"/>
    <w:rsid w:val="009938C7"/>
    <w:rsid w:val="00993D26"/>
    <w:rsid w:val="00993EF7"/>
    <w:rsid w:val="00994338"/>
    <w:rsid w:val="0099450B"/>
    <w:rsid w:val="00994839"/>
    <w:rsid w:val="00994AF3"/>
    <w:rsid w:val="00994C08"/>
    <w:rsid w:val="00994C1C"/>
    <w:rsid w:val="00994C45"/>
    <w:rsid w:val="00994C8F"/>
    <w:rsid w:val="0099525F"/>
    <w:rsid w:val="00995339"/>
    <w:rsid w:val="00995487"/>
    <w:rsid w:val="00995A6C"/>
    <w:rsid w:val="00995C64"/>
    <w:rsid w:val="00995D3E"/>
    <w:rsid w:val="00996026"/>
    <w:rsid w:val="00996677"/>
    <w:rsid w:val="0099677D"/>
    <w:rsid w:val="009968DC"/>
    <w:rsid w:val="00996DD9"/>
    <w:rsid w:val="0099704F"/>
    <w:rsid w:val="00997265"/>
    <w:rsid w:val="0099748D"/>
    <w:rsid w:val="0099749F"/>
    <w:rsid w:val="0099752C"/>
    <w:rsid w:val="0099785F"/>
    <w:rsid w:val="00997C1E"/>
    <w:rsid w:val="00997F2E"/>
    <w:rsid w:val="009A00FF"/>
    <w:rsid w:val="009A019A"/>
    <w:rsid w:val="009A0563"/>
    <w:rsid w:val="009A06A7"/>
    <w:rsid w:val="009A06B7"/>
    <w:rsid w:val="009A0781"/>
    <w:rsid w:val="009A0AE0"/>
    <w:rsid w:val="009A0CFE"/>
    <w:rsid w:val="009A0D5F"/>
    <w:rsid w:val="009A0F34"/>
    <w:rsid w:val="009A0F6A"/>
    <w:rsid w:val="009A1038"/>
    <w:rsid w:val="009A19B2"/>
    <w:rsid w:val="009A1A40"/>
    <w:rsid w:val="009A1C3E"/>
    <w:rsid w:val="009A1DA9"/>
    <w:rsid w:val="009A1ED7"/>
    <w:rsid w:val="009A20E0"/>
    <w:rsid w:val="009A21D4"/>
    <w:rsid w:val="009A2206"/>
    <w:rsid w:val="009A2243"/>
    <w:rsid w:val="009A2680"/>
    <w:rsid w:val="009A2A0C"/>
    <w:rsid w:val="009A2B64"/>
    <w:rsid w:val="009A2E9A"/>
    <w:rsid w:val="009A2EBF"/>
    <w:rsid w:val="009A3245"/>
    <w:rsid w:val="009A3486"/>
    <w:rsid w:val="009A35FA"/>
    <w:rsid w:val="009A392B"/>
    <w:rsid w:val="009A3D7A"/>
    <w:rsid w:val="009A4A15"/>
    <w:rsid w:val="009A4AE4"/>
    <w:rsid w:val="009A5102"/>
    <w:rsid w:val="009A5108"/>
    <w:rsid w:val="009A5442"/>
    <w:rsid w:val="009A5978"/>
    <w:rsid w:val="009A5D12"/>
    <w:rsid w:val="009A5D7E"/>
    <w:rsid w:val="009A6078"/>
    <w:rsid w:val="009A6193"/>
    <w:rsid w:val="009A6518"/>
    <w:rsid w:val="009A6528"/>
    <w:rsid w:val="009A7134"/>
    <w:rsid w:val="009A7273"/>
    <w:rsid w:val="009A7384"/>
    <w:rsid w:val="009A76FC"/>
    <w:rsid w:val="009A77D6"/>
    <w:rsid w:val="009A79FF"/>
    <w:rsid w:val="009A7A73"/>
    <w:rsid w:val="009B00D7"/>
    <w:rsid w:val="009B0410"/>
    <w:rsid w:val="009B05A2"/>
    <w:rsid w:val="009B0605"/>
    <w:rsid w:val="009B080C"/>
    <w:rsid w:val="009B08F0"/>
    <w:rsid w:val="009B0920"/>
    <w:rsid w:val="009B0929"/>
    <w:rsid w:val="009B0BC9"/>
    <w:rsid w:val="009B0BCC"/>
    <w:rsid w:val="009B0FDF"/>
    <w:rsid w:val="009B1302"/>
    <w:rsid w:val="009B1304"/>
    <w:rsid w:val="009B150D"/>
    <w:rsid w:val="009B162F"/>
    <w:rsid w:val="009B1884"/>
    <w:rsid w:val="009B1B2D"/>
    <w:rsid w:val="009B1B7F"/>
    <w:rsid w:val="009B26AE"/>
    <w:rsid w:val="009B2C4A"/>
    <w:rsid w:val="009B2DD8"/>
    <w:rsid w:val="009B3237"/>
    <w:rsid w:val="009B333C"/>
    <w:rsid w:val="009B342F"/>
    <w:rsid w:val="009B3552"/>
    <w:rsid w:val="009B3743"/>
    <w:rsid w:val="009B3783"/>
    <w:rsid w:val="009B3B44"/>
    <w:rsid w:val="009B437A"/>
    <w:rsid w:val="009B45E6"/>
    <w:rsid w:val="009B47B7"/>
    <w:rsid w:val="009B47D5"/>
    <w:rsid w:val="009B4812"/>
    <w:rsid w:val="009B4A73"/>
    <w:rsid w:val="009B4A78"/>
    <w:rsid w:val="009B5177"/>
    <w:rsid w:val="009B51D0"/>
    <w:rsid w:val="009B5267"/>
    <w:rsid w:val="009B554A"/>
    <w:rsid w:val="009B5665"/>
    <w:rsid w:val="009B5A67"/>
    <w:rsid w:val="009B5DDE"/>
    <w:rsid w:val="009B6031"/>
    <w:rsid w:val="009B606E"/>
    <w:rsid w:val="009B6113"/>
    <w:rsid w:val="009B6127"/>
    <w:rsid w:val="009B626C"/>
    <w:rsid w:val="009B64B9"/>
    <w:rsid w:val="009B699D"/>
    <w:rsid w:val="009B6A6B"/>
    <w:rsid w:val="009B6B0A"/>
    <w:rsid w:val="009B6D0B"/>
    <w:rsid w:val="009B7166"/>
    <w:rsid w:val="009B7346"/>
    <w:rsid w:val="009B743D"/>
    <w:rsid w:val="009B7460"/>
    <w:rsid w:val="009B75F0"/>
    <w:rsid w:val="009B76C6"/>
    <w:rsid w:val="009B7930"/>
    <w:rsid w:val="009B794E"/>
    <w:rsid w:val="009B7B85"/>
    <w:rsid w:val="009B7E55"/>
    <w:rsid w:val="009C02FC"/>
    <w:rsid w:val="009C04E4"/>
    <w:rsid w:val="009C05AA"/>
    <w:rsid w:val="009C0691"/>
    <w:rsid w:val="009C0753"/>
    <w:rsid w:val="009C0764"/>
    <w:rsid w:val="009C0A2A"/>
    <w:rsid w:val="009C10EA"/>
    <w:rsid w:val="009C16FF"/>
    <w:rsid w:val="009C23BD"/>
    <w:rsid w:val="009C29E4"/>
    <w:rsid w:val="009C2A09"/>
    <w:rsid w:val="009C2B82"/>
    <w:rsid w:val="009C2E2D"/>
    <w:rsid w:val="009C3039"/>
    <w:rsid w:val="009C31B5"/>
    <w:rsid w:val="009C33EA"/>
    <w:rsid w:val="009C3404"/>
    <w:rsid w:val="009C37DD"/>
    <w:rsid w:val="009C380F"/>
    <w:rsid w:val="009C3AA0"/>
    <w:rsid w:val="009C3C7F"/>
    <w:rsid w:val="009C3D71"/>
    <w:rsid w:val="009C3ECD"/>
    <w:rsid w:val="009C4337"/>
    <w:rsid w:val="009C484D"/>
    <w:rsid w:val="009C4CA4"/>
    <w:rsid w:val="009C545C"/>
    <w:rsid w:val="009C551C"/>
    <w:rsid w:val="009C55AF"/>
    <w:rsid w:val="009C55CD"/>
    <w:rsid w:val="009C5677"/>
    <w:rsid w:val="009C5914"/>
    <w:rsid w:val="009C5A22"/>
    <w:rsid w:val="009C5E0B"/>
    <w:rsid w:val="009C5E84"/>
    <w:rsid w:val="009C61C4"/>
    <w:rsid w:val="009C636E"/>
    <w:rsid w:val="009C644B"/>
    <w:rsid w:val="009C66FD"/>
    <w:rsid w:val="009C6A7E"/>
    <w:rsid w:val="009C6CC7"/>
    <w:rsid w:val="009C6DC9"/>
    <w:rsid w:val="009C6E38"/>
    <w:rsid w:val="009C6F3B"/>
    <w:rsid w:val="009C6F88"/>
    <w:rsid w:val="009C6FD4"/>
    <w:rsid w:val="009C709E"/>
    <w:rsid w:val="009C782E"/>
    <w:rsid w:val="009D0058"/>
    <w:rsid w:val="009D0195"/>
    <w:rsid w:val="009D0316"/>
    <w:rsid w:val="009D04FD"/>
    <w:rsid w:val="009D0547"/>
    <w:rsid w:val="009D08CC"/>
    <w:rsid w:val="009D09BE"/>
    <w:rsid w:val="009D0AD1"/>
    <w:rsid w:val="009D0B3F"/>
    <w:rsid w:val="009D0D73"/>
    <w:rsid w:val="009D104F"/>
    <w:rsid w:val="009D10A0"/>
    <w:rsid w:val="009D11FA"/>
    <w:rsid w:val="009D188E"/>
    <w:rsid w:val="009D1A3E"/>
    <w:rsid w:val="009D1B26"/>
    <w:rsid w:val="009D1EE1"/>
    <w:rsid w:val="009D23CC"/>
    <w:rsid w:val="009D242A"/>
    <w:rsid w:val="009D2596"/>
    <w:rsid w:val="009D27D7"/>
    <w:rsid w:val="009D280A"/>
    <w:rsid w:val="009D2BDC"/>
    <w:rsid w:val="009D2C18"/>
    <w:rsid w:val="009D2D79"/>
    <w:rsid w:val="009D311D"/>
    <w:rsid w:val="009D3192"/>
    <w:rsid w:val="009D3797"/>
    <w:rsid w:val="009D39F2"/>
    <w:rsid w:val="009D3A86"/>
    <w:rsid w:val="009D3DEF"/>
    <w:rsid w:val="009D4075"/>
    <w:rsid w:val="009D42A0"/>
    <w:rsid w:val="009D42F0"/>
    <w:rsid w:val="009D4B40"/>
    <w:rsid w:val="009D5130"/>
    <w:rsid w:val="009D5143"/>
    <w:rsid w:val="009D517D"/>
    <w:rsid w:val="009D5262"/>
    <w:rsid w:val="009D5362"/>
    <w:rsid w:val="009D5370"/>
    <w:rsid w:val="009D5412"/>
    <w:rsid w:val="009D555E"/>
    <w:rsid w:val="009D557E"/>
    <w:rsid w:val="009D5638"/>
    <w:rsid w:val="009D5A2A"/>
    <w:rsid w:val="009D5D3B"/>
    <w:rsid w:val="009D5F4B"/>
    <w:rsid w:val="009D6184"/>
    <w:rsid w:val="009D6567"/>
    <w:rsid w:val="009D65B8"/>
    <w:rsid w:val="009D65CE"/>
    <w:rsid w:val="009D66A8"/>
    <w:rsid w:val="009D6C6C"/>
    <w:rsid w:val="009D6F26"/>
    <w:rsid w:val="009D7231"/>
    <w:rsid w:val="009D75AD"/>
    <w:rsid w:val="009D76C6"/>
    <w:rsid w:val="009D77DC"/>
    <w:rsid w:val="009D7DAF"/>
    <w:rsid w:val="009E0011"/>
    <w:rsid w:val="009E00EA"/>
    <w:rsid w:val="009E0AFE"/>
    <w:rsid w:val="009E0D23"/>
    <w:rsid w:val="009E0D49"/>
    <w:rsid w:val="009E0DF5"/>
    <w:rsid w:val="009E0EA8"/>
    <w:rsid w:val="009E0F4B"/>
    <w:rsid w:val="009E1096"/>
    <w:rsid w:val="009E1221"/>
    <w:rsid w:val="009E1404"/>
    <w:rsid w:val="009E18ED"/>
    <w:rsid w:val="009E1AE2"/>
    <w:rsid w:val="009E1DE7"/>
    <w:rsid w:val="009E1E13"/>
    <w:rsid w:val="009E1E8E"/>
    <w:rsid w:val="009E1F3F"/>
    <w:rsid w:val="009E20FB"/>
    <w:rsid w:val="009E2220"/>
    <w:rsid w:val="009E2266"/>
    <w:rsid w:val="009E2347"/>
    <w:rsid w:val="009E23EA"/>
    <w:rsid w:val="009E253A"/>
    <w:rsid w:val="009E2612"/>
    <w:rsid w:val="009E277D"/>
    <w:rsid w:val="009E27A9"/>
    <w:rsid w:val="009E2875"/>
    <w:rsid w:val="009E2AA8"/>
    <w:rsid w:val="009E2C5A"/>
    <w:rsid w:val="009E3264"/>
    <w:rsid w:val="009E345F"/>
    <w:rsid w:val="009E3509"/>
    <w:rsid w:val="009E3A13"/>
    <w:rsid w:val="009E3D77"/>
    <w:rsid w:val="009E40A4"/>
    <w:rsid w:val="009E41BA"/>
    <w:rsid w:val="009E4239"/>
    <w:rsid w:val="009E42A9"/>
    <w:rsid w:val="009E4399"/>
    <w:rsid w:val="009E480C"/>
    <w:rsid w:val="009E4A45"/>
    <w:rsid w:val="009E4DA6"/>
    <w:rsid w:val="009E4E77"/>
    <w:rsid w:val="009E4F81"/>
    <w:rsid w:val="009E50AB"/>
    <w:rsid w:val="009E591D"/>
    <w:rsid w:val="009E5C42"/>
    <w:rsid w:val="009E5D4F"/>
    <w:rsid w:val="009E601F"/>
    <w:rsid w:val="009E6D95"/>
    <w:rsid w:val="009E6F5F"/>
    <w:rsid w:val="009E7003"/>
    <w:rsid w:val="009E7183"/>
    <w:rsid w:val="009E73EF"/>
    <w:rsid w:val="009E7B22"/>
    <w:rsid w:val="009E7CF3"/>
    <w:rsid w:val="009E7E91"/>
    <w:rsid w:val="009F0986"/>
    <w:rsid w:val="009F0CF9"/>
    <w:rsid w:val="009F0D8D"/>
    <w:rsid w:val="009F0E6D"/>
    <w:rsid w:val="009F0E7E"/>
    <w:rsid w:val="009F1391"/>
    <w:rsid w:val="009F13EA"/>
    <w:rsid w:val="009F165C"/>
    <w:rsid w:val="009F16CB"/>
    <w:rsid w:val="009F19CC"/>
    <w:rsid w:val="009F1EB6"/>
    <w:rsid w:val="009F202C"/>
    <w:rsid w:val="009F2549"/>
    <w:rsid w:val="009F2814"/>
    <w:rsid w:val="009F2D15"/>
    <w:rsid w:val="009F2D3A"/>
    <w:rsid w:val="009F2FD4"/>
    <w:rsid w:val="009F3193"/>
    <w:rsid w:val="009F335F"/>
    <w:rsid w:val="009F3484"/>
    <w:rsid w:val="009F359D"/>
    <w:rsid w:val="009F399D"/>
    <w:rsid w:val="009F3A50"/>
    <w:rsid w:val="009F3B9A"/>
    <w:rsid w:val="009F3E2A"/>
    <w:rsid w:val="009F3FB0"/>
    <w:rsid w:val="009F4004"/>
    <w:rsid w:val="009F408F"/>
    <w:rsid w:val="009F4360"/>
    <w:rsid w:val="009F4420"/>
    <w:rsid w:val="009F451E"/>
    <w:rsid w:val="009F4521"/>
    <w:rsid w:val="009F4900"/>
    <w:rsid w:val="009F49B6"/>
    <w:rsid w:val="009F4ABD"/>
    <w:rsid w:val="009F4BC9"/>
    <w:rsid w:val="009F4CCB"/>
    <w:rsid w:val="009F532A"/>
    <w:rsid w:val="009F5470"/>
    <w:rsid w:val="009F54D8"/>
    <w:rsid w:val="009F56B3"/>
    <w:rsid w:val="009F5818"/>
    <w:rsid w:val="009F5884"/>
    <w:rsid w:val="009F5A3F"/>
    <w:rsid w:val="009F5A7D"/>
    <w:rsid w:val="009F5F12"/>
    <w:rsid w:val="009F600A"/>
    <w:rsid w:val="009F6116"/>
    <w:rsid w:val="009F64D6"/>
    <w:rsid w:val="009F64F6"/>
    <w:rsid w:val="009F6616"/>
    <w:rsid w:val="009F696D"/>
    <w:rsid w:val="009F71E2"/>
    <w:rsid w:val="009F74C0"/>
    <w:rsid w:val="009F758C"/>
    <w:rsid w:val="009F75FC"/>
    <w:rsid w:val="009F7671"/>
    <w:rsid w:val="009F7A82"/>
    <w:rsid w:val="009F7B33"/>
    <w:rsid w:val="009F7C07"/>
    <w:rsid w:val="009F7E0B"/>
    <w:rsid w:val="00A00036"/>
    <w:rsid w:val="00A00417"/>
    <w:rsid w:val="00A007B7"/>
    <w:rsid w:val="00A00ADA"/>
    <w:rsid w:val="00A00C0E"/>
    <w:rsid w:val="00A00F93"/>
    <w:rsid w:val="00A0115F"/>
    <w:rsid w:val="00A0155E"/>
    <w:rsid w:val="00A017B0"/>
    <w:rsid w:val="00A01C27"/>
    <w:rsid w:val="00A01EC2"/>
    <w:rsid w:val="00A01F2B"/>
    <w:rsid w:val="00A01F32"/>
    <w:rsid w:val="00A028BA"/>
    <w:rsid w:val="00A0299D"/>
    <w:rsid w:val="00A03325"/>
    <w:rsid w:val="00A03571"/>
    <w:rsid w:val="00A0363D"/>
    <w:rsid w:val="00A03AAC"/>
    <w:rsid w:val="00A03D96"/>
    <w:rsid w:val="00A03EEC"/>
    <w:rsid w:val="00A0437E"/>
    <w:rsid w:val="00A04388"/>
    <w:rsid w:val="00A043F7"/>
    <w:rsid w:val="00A04644"/>
    <w:rsid w:val="00A04AB5"/>
    <w:rsid w:val="00A04E7C"/>
    <w:rsid w:val="00A04F2E"/>
    <w:rsid w:val="00A0501B"/>
    <w:rsid w:val="00A05A17"/>
    <w:rsid w:val="00A05A8F"/>
    <w:rsid w:val="00A05B2C"/>
    <w:rsid w:val="00A05B7C"/>
    <w:rsid w:val="00A05CFB"/>
    <w:rsid w:val="00A05D55"/>
    <w:rsid w:val="00A05D78"/>
    <w:rsid w:val="00A05E41"/>
    <w:rsid w:val="00A05EEA"/>
    <w:rsid w:val="00A06039"/>
    <w:rsid w:val="00A0607B"/>
    <w:rsid w:val="00A065A9"/>
    <w:rsid w:val="00A066D8"/>
    <w:rsid w:val="00A06A84"/>
    <w:rsid w:val="00A06B89"/>
    <w:rsid w:val="00A06D8A"/>
    <w:rsid w:val="00A06DCE"/>
    <w:rsid w:val="00A06E10"/>
    <w:rsid w:val="00A071CA"/>
    <w:rsid w:val="00A103FE"/>
    <w:rsid w:val="00A1042F"/>
    <w:rsid w:val="00A104C6"/>
    <w:rsid w:val="00A106E8"/>
    <w:rsid w:val="00A1076D"/>
    <w:rsid w:val="00A10C5B"/>
    <w:rsid w:val="00A10C7B"/>
    <w:rsid w:val="00A10DA2"/>
    <w:rsid w:val="00A11613"/>
    <w:rsid w:val="00A11896"/>
    <w:rsid w:val="00A11B23"/>
    <w:rsid w:val="00A11B97"/>
    <w:rsid w:val="00A11BD2"/>
    <w:rsid w:val="00A11E76"/>
    <w:rsid w:val="00A11E93"/>
    <w:rsid w:val="00A12100"/>
    <w:rsid w:val="00A12617"/>
    <w:rsid w:val="00A12687"/>
    <w:rsid w:val="00A12741"/>
    <w:rsid w:val="00A12893"/>
    <w:rsid w:val="00A128F5"/>
    <w:rsid w:val="00A12F7E"/>
    <w:rsid w:val="00A130B7"/>
    <w:rsid w:val="00A130E2"/>
    <w:rsid w:val="00A131F1"/>
    <w:rsid w:val="00A13356"/>
    <w:rsid w:val="00A1373F"/>
    <w:rsid w:val="00A13A85"/>
    <w:rsid w:val="00A13EF2"/>
    <w:rsid w:val="00A13FB8"/>
    <w:rsid w:val="00A14004"/>
    <w:rsid w:val="00A14124"/>
    <w:rsid w:val="00A1416D"/>
    <w:rsid w:val="00A141B7"/>
    <w:rsid w:val="00A14343"/>
    <w:rsid w:val="00A14600"/>
    <w:rsid w:val="00A1464F"/>
    <w:rsid w:val="00A1473D"/>
    <w:rsid w:val="00A149E3"/>
    <w:rsid w:val="00A1509E"/>
    <w:rsid w:val="00A150E7"/>
    <w:rsid w:val="00A1550A"/>
    <w:rsid w:val="00A156E0"/>
    <w:rsid w:val="00A15958"/>
    <w:rsid w:val="00A15A8A"/>
    <w:rsid w:val="00A15C18"/>
    <w:rsid w:val="00A15C43"/>
    <w:rsid w:val="00A160C0"/>
    <w:rsid w:val="00A16273"/>
    <w:rsid w:val="00A165C0"/>
    <w:rsid w:val="00A16760"/>
    <w:rsid w:val="00A16A87"/>
    <w:rsid w:val="00A16F6F"/>
    <w:rsid w:val="00A172E1"/>
    <w:rsid w:val="00A1755C"/>
    <w:rsid w:val="00A17D50"/>
    <w:rsid w:val="00A17E29"/>
    <w:rsid w:val="00A17E43"/>
    <w:rsid w:val="00A200F2"/>
    <w:rsid w:val="00A20111"/>
    <w:rsid w:val="00A2015A"/>
    <w:rsid w:val="00A203B2"/>
    <w:rsid w:val="00A20704"/>
    <w:rsid w:val="00A20954"/>
    <w:rsid w:val="00A20A57"/>
    <w:rsid w:val="00A20AE6"/>
    <w:rsid w:val="00A20AF9"/>
    <w:rsid w:val="00A212F2"/>
    <w:rsid w:val="00A2133A"/>
    <w:rsid w:val="00A2187F"/>
    <w:rsid w:val="00A219EB"/>
    <w:rsid w:val="00A21A04"/>
    <w:rsid w:val="00A221A7"/>
    <w:rsid w:val="00A2222B"/>
    <w:rsid w:val="00A2227A"/>
    <w:rsid w:val="00A22683"/>
    <w:rsid w:val="00A226DC"/>
    <w:rsid w:val="00A2295A"/>
    <w:rsid w:val="00A2298E"/>
    <w:rsid w:val="00A22A60"/>
    <w:rsid w:val="00A22C33"/>
    <w:rsid w:val="00A22EB5"/>
    <w:rsid w:val="00A23169"/>
    <w:rsid w:val="00A23449"/>
    <w:rsid w:val="00A237D5"/>
    <w:rsid w:val="00A2398C"/>
    <w:rsid w:val="00A239D5"/>
    <w:rsid w:val="00A23F86"/>
    <w:rsid w:val="00A2426F"/>
    <w:rsid w:val="00A242FE"/>
    <w:rsid w:val="00A243DE"/>
    <w:rsid w:val="00A2446D"/>
    <w:rsid w:val="00A24520"/>
    <w:rsid w:val="00A24874"/>
    <w:rsid w:val="00A249FD"/>
    <w:rsid w:val="00A24B32"/>
    <w:rsid w:val="00A24D4A"/>
    <w:rsid w:val="00A24D4D"/>
    <w:rsid w:val="00A251C6"/>
    <w:rsid w:val="00A2542A"/>
    <w:rsid w:val="00A25762"/>
    <w:rsid w:val="00A25B75"/>
    <w:rsid w:val="00A25E6B"/>
    <w:rsid w:val="00A262E9"/>
    <w:rsid w:val="00A263BB"/>
    <w:rsid w:val="00A269CB"/>
    <w:rsid w:val="00A26A64"/>
    <w:rsid w:val="00A26AC7"/>
    <w:rsid w:val="00A26F3A"/>
    <w:rsid w:val="00A27112"/>
    <w:rsid w:val="00A27C58"/>
    <w:rsid w:val="00A27E75"/>
    <w:rsid w:val="00A3005B"/>
    <w:rsid w:val="00A308CE"/>
    <w:rsid w:val="00A30AAE"/>
    <w:rsid w:val="00A3104C"/>
    <w:rsid w:val="00A314D2"/>
    <w:rsid w:val="00A3158D"/>
    <w:rsid w:val="00A31A80"/>
    <w:rsid w:val="00A31BC5"/>
    <w:rsid w:val="00A31DCF"/>
    <w:rsid w:val="00A32B39"/>
    <w:rsid w:val="00A32BAB"/>
    <w:rsid w:val="00A32CDF"/>
    <w:rsid w:val="00A333DE"/>
    <w:rsid w:val="00A337D7"/>
    <w:rsid w:val="00A33936"/>
    <w:rsid w:val="00A33BEC"/>
    <w:rsid w:val="00A33DEA"/>
    <w:rsid w:val="00A33E6E"/>
    <w:rsid w:val="00A34519"/>
    <w:rsid w:val="00A3483A"/>
    <w:rsid w:val="00A349E3"/>
    <w:rsid w:val="00A34A7D"/>
    <w:rsid w:val="00A34CD8"/>
    <w:rsid w:val="00A34FBE"/>
    <w:rsid w:val="00A350FD"/>
    <w:rsid w:val="00A353BC"/>
    <w:rsid w:val="00A35548"/>
    <w:rsid w:val="00A35642"/>
    <w:rsid w:val="00A3564C"/>
    <w:rsid w:val="00A358F2"/>
    <w:rsid w:val="00A35996"/>
    <w:rsid w:val="00A35B12"/>
    <w:rsid w:val="00A35B36"/>
    <w:rsid w:val="00A35DAC"/>
    <w:rsid w:val="00A35F47"/>
    <w:rsid w:val="00A35F86"/>
    <w:rsid w:val="00A36223"/>
    <w:rsid w:val="00A36399"/>
    <w:rsid w:val="00A36726"/>
    <w:rsid w:val="00A36743"/>
    <w:rsid w:val="00A369C2"/>
    <w:rsid w:val="00A36D56"/>
    <w:rsid w:val="00A370EF"/>
    <w:rsid w:val="00A37303"/>
    <w:rsid w:val="00A3799E"/>
    <w:rsid w:val="00A379AD"/>
    <w:rsid w:val="00A400EA"/>
    <w:rsid w:val="00A40597"/>
    <w:rsid w:val="00A405EA"/>
    <w:rsid w:val="00A406B6"/>
    <w:rsid w:val="00A40836"/>
    <w:rsid w:val="00A40B8C"/>
    <w:rsid w:val="00A40B94"/>
    <w:rsid w:val="00A40BC3"/>
    <w:rsid w:val="00A40D4F"/>
    <w:rsid w:val="00A40E4F"/>
    <w:rsid w:val="00A40EA9"/>
    <w:rsid w:val="00A41250"/>
    <w:rsid w:val="00A413C7"/>
    <w:rsid w:val="00A41433"/>
    <w:rsid w:val="00A4153B"/>
    <w:rsid w:val="00A41667"/>
    <w:rsid w:val="00A4173D"/>
    <w:rsid w:val="00A41788"/>
    <w:rsid w:val="00A418BB"/>
    <w:rsid w:val="00A41BD5"/>
    <w:rsid w:val="00A41DA8"/>
    <w:rsid w:val="00A41FE6"/>
    <w:rsid w:val="00A4209F"/>
    <w:rsid w:val="00A420B7"/>
    <w:rsid w:val="00A42398"/>
    <w:rsid w:val="00A4255A"/>
    <w:rsid w:val="00A4256C"/>
    <w:rsid w:val="00A425AC"/>
    <w:rsid w:val="00A42851"/>
    <w:rsid w:val="00A42A20"/>
    <w:rsid w:val="00A42B2C"/>
    <w:rsid w:val="00A42B70"/>
    <w:rsid w:val="00A42C2D"/>
    <w:rsid w:val="00A42DA0"/>
    <w:rsid w:val="00A42F19"/>
    <w:rsid w:val="00A42F59"/>
    <w:rsid w:val="00A43655"/>
    <w:rsid w:val="00A43665"/>
    <w:rsid w:val="00A43A63"/>
    <w:rsid w:val="00A43AB4"/>
    <w:rsid w:val="00A43DC7"/>
    <w:rsid w:val="00A43E96"/>
    <w:rsid w:val="00A441BA"/>
    <w:rsid w:val="00A44702"/>
    <w:rsid w:val="00A4481F"/>
    <w:rsid w:val="00A448AA"/>
    <w:rsid w:val="00A4493A"/>
    <w:rsid w:val="00A44AD0"/>
    <w:rsid w:val="00A44C68"/>
    <w:rsid w:val="00A450BB"/>
    <w:rsid w:val="00A45533"/>
    <w:rsid w:val="00A456A3"/>
    <w:rsid w:val="00A4589C"/>
    <w:rsid w:val="00A45A96"/>
    <w:rsid w:val="00A45F0D"/>
    <w:rsid w:val="00A45F38"/>
    <w:rsid w:val="00A463D2"/>
    <w:rsid w:val="00A468A8"/>
    <w:rsid w:val="00A46C28"/>
    <w:rsid w:val="00A471E7"/>
    <w:rsid w:val="00A479FD"/>
    <w:rsid w:val="00A47C9A"/>
    <w:rsid w:val="00A47CA6"/>
    <w:rsid w:val="00A47D66"/>
    <w:rsid w:val="00A47FE4"/>
    <w:rsid w:val="00A50585"/>
    <w:rsid w:val="00A506DE"/>
    <w:rsid w:val="00A50979"/>
    <w:rsid w:val="00A509FD"/>
    <w:rsid w:val="00A50AF1"/>
    <w:rsid w:val="00A510BA"/>
    <w:rsid w:val="00A5195E"/>
    <w:rsid w:val="00A51EA8"/>
    <w:rsid w:val="00A52433"/>
    <w:rsid w:val="00A526CE"/>
    <w:rsid w:val="00A528CC"/>
    <w:rsid w:val="00A5293F"/>
    <w:rsid w:val="00A52A6A"/>
    <w:rsid w:val="00A52CBD"/>
    <w:rsid w:val="00A52E23"/>
    <w:rsid w:val="00A533E9"/>
    <w:rsid w:val="00A535B1"/>
    <w:rsid w:val="00A5384D"/>
    <w:rsid w:val="00A53974"/>
    <w:rsid w:val="00A539BF"/>
    <w:rsid w:val="00A539C8"/>
    <w:rsid w:val="00A53E21"/>
    <w:rsid w:val="00A53EC5"/>
    <w:rsid w:val="00A53FFB"/>
    <w:rsid w:val="00A54052"/>
    <w:rsid w:val="00A5408E"/>
    <w:rsid w:val="00A541C6"/>
    <w:rsid w:val="00A543DB"/>
    <w:rsid w:val="00A5449D"/>
    <w:rsid w:val="00A5450D"/>
    <w:rsid w:val="00A5458A"/>
    <w:rsid w:val="00A5468A"/>
    <w:rsid w:val="00A5483A"/>
    <w:rsid w:val="00A548CF"/>
    <w:rsid w:val="00A54978"/>
    <w:rsid w:val="00A54B63"/>
    <w:rsid w:val="00A552AC"/>
    <w:rsid w:val="00A558E9"/>
    <w:rsid w:val="00A55B6F"/>
    <w:rsid w:val="00A55C95"/>
    <w:rsid w:val="00A55F57"/>
    <w:rsid w:val="00A563FA"/>
    <w:rsid w:val="00A56471"/>
    <w:rsid w:val="00A564E5"/>
    <w:rsid w:val="00A5655F"/>
    <w:rsid w:val="00A565B5"/>
    <w:rsid w:val="00A56978"/>
    <w:rsid w:val="00A56D62"/>
    <w:rsid w:val="00A56F3F"/>
    <w:rsid w:val="00A57166"/>
    <w:rsid w:val="00A57208"/>
    <w:rsid w:val="00A573EC"/>
    <w:rsid w:val="00A57590"/>
    <w:rsid w:val="00A575B2"/>
    <w:rsid w:val="00A5761B"/>
    <w:rsid w:val="00A577FB"/>
    <w:rsid w:val="00A57820"/>
    <w:rsid w:val="00A578B0"/>
    <w:rsid w:val="00A57BD3"/>
    <w:rsid w:val="00A57D61"/>
    <w:rsid w:val="00A57EAE"/>
    <w:rsid w:val="00A57FF1"/>
    <w:rsid w:val="00A6009F"/>
    <w:rsid w:val="00A601CE"/>
    <w:rsid w:val="00A60924"/>
    <w:rsid w:val="00A60E82"/>
    <w:rsid w:val="00A61352"/>
    <w:rsid w:val="00A613DC"/>
    <w:rsid w:val="00A61474"/>
    <w:rsid w:val="00A6162A"/>
    <w:rsid w:val="00A61699"/>
    <w:rsid w:val="00A61930"/>
    <w:rsid w:val="00A61943"/>
    <w:rsid w:val="00A61A64"/>
    <w:rsid w:val="00A61CD4"/>
    <w:rsid w:val="00A61D2B"/>
    <w:rsid w:val="00A61FC1"/>
    <w:rsid w:val="00A62217"/>
    <w:rsid w:val="00A622E6"/>
    <w:rsid w:val="00A62368"/>
    <w:rsid w:val="00A62979"/>
    <w:rsid w:val="00A62DED"/>
    <w:rsid w:val="00A62FF3"/>
    <w:rsid w:val="00A63029"/>
    <w:rsid w:val="00A63299"/>
    <w:rsid w:val="00A63744"/>
    <w:rsid w:val="00A63B5D"/>
    <w:rsid w:val="00A63CA2"/>
    <w:rsid w:val="00A63D00"/>
    <w:rsid w:val="00A63E4A"/>
    <w:rsid w:val="00A63FFA"/>
    <w:rsid w:val="00A6443E"/>
    <w:rsid w:val="00A644F6"/>
    <w:rsid w:val="00A648DF"/>
    <w:rsid w:val="00A64C14"/>
    <w:rsid w:val="00A64FE9"/>
    <w:rsid w:val="00A65526"/>
    <w:rsid w:val="00A6554B"/>
    <w:rsid w:val="00A656E6"/>
    <w:rsid w:val="00A65976"/>
    <w:rsid w:val="00A659E1"/>
    <w:rsid w:val="00A65B86"/>
    <w:rsid w:val="00A65C3B"/>
    <w:rsid w:val="00A65CA3"/>
    <w:rsid w:val="00A65D09"/>
    <w:rsid w:val="00A65E91"/>
    <w:rsid w:val="00A66164"/>
    <w:rsid w:val="00A66280"/>
    <w:rsid w:val="00A66303"/>
    <w:rsid w:val="00A6662F"/>
    <w:rsid w:val="00A667A5"/>
    <w:rsid w:val="00A66B54"/>
    <w:rsid w:val="00A66CA7"/>
    <w:rsid w:val="00A67002"/>
    <w:rsid w:val="00A671FC"/>
    <w:rsid w:val="00A675E7"/>
    <w:rsid w:val="00A676F8"/>
    <w:rsid w:val="00A67747"/>
    <w:rsid w:val="00A67780"/>
    <w:rsid w:val="00A6782D"/>
    <w:rsid w:val="00A6783C"/>
    <w:rsid w:val="00A67948"/>
    <w:rsid w:val="00A67CDA"/>
    <w:rsid w:val="00A67F9B"/>
    <w:rsid w:val="00A701A1"/>
    <w:rsid w:val="00A7033A"/>
    <w:rsid w:val="00A70476"/>
    <w:rsid w:val="00A70518"/>
    <w:rsid w:val="00A7069E"/>
    <w:rsid w:val="00A7082C"/>
    <w:rsid w:val="00A70985"/>
    <w:rsid w:val="00A70E6F"/>
    <w:rsid w:val="00A711D6"/>
    <w:rsid w:val="00A713FE"/>
    <w:rsid w:val="00A7170E"/>
    <w:rsid w:val="00A71A05"/>
    <w:rsid w:val="00A71B39"/>
    <w:rsid w:val="00A71CE7"/>
    <w:rsid w:val="00A71E38"/>
    <w:rsid w:val="00A71E93"/>
    <w:rsid w:val="00A7212D"/>
    <w:rsid w:val="00A723B2"/>
    <w:rsid w:val="00A7282E"/>
    <w:rsid w:val="00A728D1"/>
    <w:rsid w:val="00A73017"/>
    <w:rsid w:val="00A7340D"/>
    <w:rsid w:val="00A7360F"/>
    <w:rsid w:val="00A7398B"/>
    <w:rsid w:val="00A73D63"/>
    <w:rsid w:val="00A73E45"/>
    <w:rsid w:val="00A73E65"/>
    <w:rsid w:val="00A73FCA"/>
    <w:rsid w:val="00A74053"/>
    <w:rsid w:val="00A74255"/>
    <w:rsid w:val="00A74686"/>
    <w:rsid w:val="00A747EF"/>
    <w:rsid w:val="00A74DAE"/>
    <w:rsid w:val="00A74DF3"/>
    <w:rsid w:val="00A74E1B"/>
    <w:rsid w:val="00A74EF8"/>
    <w:rsid w:val="00A751DE"/>
    <w:rsid w:val="00A7537F"/>
    <w:rsid w:val="00A757A2"/>
    <w:rsid w:val="00A75856"/>
    <w:rsid w:val="00A75B41"/>
    <w:rsid w:val="00A75BD4"/>
    <w:rsid w:val="00A75E06"/>
    <w:rsid w:val="00A75EA1"/>
    <w:rsid w:val="00A7614B"/>
    <w:rsid w:val="00A76B60"/>
    <w:rsid w:val="00A76B8E"/>
    <w:rsid w:val="00A76BCC"/>
    <w:rsid w:val="00A77062"/>
    <w:rsid w:val="00A77096"/>
    <w:rsid w:val="00A77157"/>
    <w:rsid w:val="00A773B4"/>
    <w:rsid w:val="00A77703"/>
    <w:rsid w:val="00A7771E"/>
    <w:rsid w:val="00A77949"/>
    <w:rsid w:val="00A80156"/>
    <w:rsid w:val="00A80511"/>
    <w:rsid w:val="00A80861"/>
    <w:rsid w:val="00A8119A"/>
    <w:rsid w:val="00A8185A"/>
    <w:rsid w:val="00A8196D"/>
    <w:rsid w:val="00A81D17"/>
    <w:rsid w:val="00A81D88"/>
    <w:rsid w:val="00A82091"/>
    <w:rsid w:val="00A82162"/>
    <w:rsid w:val="00A82355"/>
    <w:rsid w:val="00A82437"/>
    <w:rsid w:val="00A82491"/>
    <w:rsid w:val="00A825C4"/>
    <w:rsid w:val="00A82805"/>
    <w:rsid w:val="00A828AE"/>
    <w:rsid w:val="00A82923"/>
    <w:rsid w:val="00A82C76"/>
    <w:rsid w:val="00A82C7A"/>
    <w:rsid w:val="00A82FE1"/>
    <w:rsid w:val="00A83123"/>
    <w:rsid w:val="00A8320F"/>
    <w:rsid w:val="00A83321"/>
    <w:rsid w:val="00A83757"/>
    <w:rsid w:val="00A83775"/>
    <w:rsid w:val="00A83825"/>
    <w:rsid w:val="00A83826"/>
    <w:rsid w:val="00A8386E"/>
    <w:rsid w:val="00A83BB4"/>
    <w:rsid w:val="00A83FDB"/>
    <w:rsid w:val="00A84221"/>
    <w:rsid w:val="00A84344"/>
    <w:rsid w:val="00A848F9"/>
    <w:rsid w:val="00A84B08"/>
    <w:rsid w:val="00A85123"/>
    <w:rsid w:val="00A8512A"/>
    <w:rsid w:val="00A85163"/>
    <w:rsid w:val="00A851E3"/>
    <w:rsid w:val="00A85354"/>
    <w:rsid w:val="00A853D6"/>
    <w:rsid w:val="00A859CA"/>
    <w:rsid w:val="00A85D2A"/>
    <w:rsid w:val="00A86B59"/>
    <w:rsid w:val="00A86BDE"/>
    <w:rsid w:val="00A87271"/>
    <w:rsid w:val="00A873C3"/>
    <w:rsid w:val="00A873F5"/>
    <w:rsid w:val="00A8765F"/>
    <w:rsid w:val="00A8795A"/>
    <w:rsid w:val="00A87EE2"/>
    <w:rsid w:val="00A902E1"/>
    <w:rsid w:val="00A903E3"/>
    <w:rsid w:val="00A9061F"/>
    <w:rsid w:val="00A9094C"/>
    <w:rsid w:val="00A90A10"/>
    <w:rsid w:val="00A90E9A"/>
    <w:rsid w:val="00A914AA"/>
    <w:rsid w:val="00A91A32"/>
    <w:rsid w:val="00A91D45"/>
    <w:rsid w:val="00A9206F"/>
    <w:rsid w:val="00A92184"/>
    <w:rsid w:val="00A92AD7"/>
    <w:rsid w:val="00A92B68"/>
    <w:rsid w:val="00A93171"/>
    <w:rsid w:val="00A9327E"/>
    <w:rsid w:val="00A93533"/>
    <w:rsid w:val="00A935CF"/>
    <w:rsid w:val="00A936B9"/>
    <w:rsid w:val="00A937FD"/>
    <w:rsid w:val="00A93A02"/>
    <w:rsid w:val="00A93BB5"/>
    <w:rsid w:val="00A93C08"/>
    <w:rsid w:val="00A93CF6"/>
    <w:rsid w:val="00A93FB9"/>
    <w:rsid w:val="00A94001"/>
    <w:rsid w:val="00A940C2"/>
    <w:rsid w:val="00A94206"/>
    <w:rsid w:val="00A942AA"/>
    <w:rsid w:val="00A943F3"/>
    <w:rsid w:val="00A947A8"/>
    <w:rsid w:val="00A94B0B"/>
    <w:rsid w:val="00A94FE7"/>
    <w:rsid w:val="00A950DB"/>
    <w:rsid w:val="00A95263"/>
    <w:rsid w:val="00A952D3"/>
    <w:rsid w:val="00A95683"/>
    <w:rsid w:val="00A9569B"/>
    <w:rsid w:val="00A95A90"/>
    <w:rsid w:val="00A95C60"/>
    <w:rsid w:val="00A95D3C"/>
    <w:rsid w:val="00A961E4"/>
    <w:rsid w:val="00A9624D"/>
    <w:rsid w:val="00A96BB0"/>
    <w:rsid w:val="00A96D87"/>
    <w:rsid w:val="00A96F1F"/>
    <w:rsid w:val="00A96F7C"/>
    <w:rsid w:val="00A97406"/>
    <w:rsid w:val="00A976D4"/>
    <w:rsid w:val="00A97AA5"/>
    <w:rsid w:val="00A97F66"/>
    <w:rsid w:val="00A97FE6"/>
    <w:rsid w:val="00AA0047"/>
    <w:rsid w:val="00AA03C8"/>
    <w:rsid w:val="00AA083A"/>
    <w:rsid w:val="00AA0FB3"/>
    <w:rsid w:val="00AA11D4"/>
    <w:rsid w:val="00AA1349"/>
    <w:rsid w:val="00AA1560"/>
    <w:rsid w:val="00AA18FA"/>
    <w:rsid w:val="00AA1A7E"/>
    <w:rsid w:val="00AA1B6F"/>
    <w:rsid w:val="00AA1C3B"/>
    <w:rsid w:val="00AA1DB9"/>
    <w:rsid w:val="00AA21B7"/>
    <w:rsid w:val="00AA2307"/>
    <w:rsid w:val="00AA23E7"/>
    <w:rsid w:val="00AA2415"/>
    <w:rsid w:val="00AA2912"/>
    <w:rsid w:val="00AA2AB0"/>
    <w:rsid w:val="00AA2BF6"/>
    <w:rsid w:val="00AA2FF5"/>
    <w:rsid w:val="00AA346E"/>
    <w:rsid w:val="00AA38A5"/>
    <w:rsid w:val="00AA3C4D"/>
    <w:rsid w:val="00AA3D1B"/>
    <w:rsid w:val="00AA3D89"/>
    <w:rsid w:val="00AA3F39"/>
    <w:rsid w:val="00AA42C4"/>
    <w:rsid w:val="00AA4897"/>
    <w:rsid w:val="00AA4A32"/>
    <w:rsid w:val="00AA4B64"/>
    <w:rsid w:val="00AA4D4F"/>
    <w:rsid w:val="00AA5CB7"/>
    <w:rsid w:val="00AA5EA3"/>
    <w:rsid w:val="00AA674C"/>
    <w:rsid w:val="00AA69CF"/>
    <w:rsid w:val="00AA6B54"/>
    <w:rsid w:val="00AA6BFD"/>
    <w:rsid w:val="00AA7429"/>
    <w:rsid w:val="00AA77A7"/>
    <w:rsid w:val="00AA77CD"/>
    <w:rsid w:val="00AA7E53"/>
    <w:rsid w:val="00AA7F1D"/>
    <w:rsid w:val="00AA7F41"/>
    <w:rsid w:val="00AA7F69"/>
    <w:rsid w:val="00AA7F78"/>
    <w:rsid w:val="00AB04F4"/>
    <w:rsid w:val="00AB0686"/>
    <w:rsid w:val="00AB070B"/>
    <w:rsid w:val="00AB0734"/>
    <w:rsid w:val="00AB0761"/>
    <w:rsid w:val="00AB0963"/>
    <w:rsid w:val="00AB0A67"/>
    <w:rsid w:val="00AB0C4A"/>
    <w:rsid w:val="00AB0E32"/>
    <w:rsid w:val="00AB0F99"/>
    <w:rsid w:val="00AB0FFF"/>
    <w:rsid w:val="00AB16E0"/>
    <w:rsid w:val="00AB1A03"/>
    <w:rsid w:val="00AB1C00"/>
    <w:rsid w:val="00AB1C1C"/>
    <w:rsid w:val="00AB1C5A"/>
    <w:rsid w:val="00AB2410"/>
    <w:rsid w:val="00AB2655"/>
    <w:rsid w:val="00AB2982"/>
    <w:rsid w:val="00AB29E2"/>
    <w:rsid w:val="00AB2A2F"/>
    <w:rsid w:val="00AB2CB2"/>
    <w:rsid w:val="00AB2DDE"/>
    <w:rsid w:val="00AB2F01"/>
    <w:rsid w:val="00AB2F70"/>
    <w:rsid w:val="00AB30AE"/>
    <w:rsid w:val="00AB3998"/>
    <w:rsid w:val="00AB4097"/>
    <w:rsid w:val="00AB409F"/>
    <w:rsid w:val="00AB4405"/>
    <w:rsid w:val="00AB4908"/>
    <w:rsid w:val="00AB4B6F"/>
    <w:rsid w:val="00AB4B7B"/>
    <w:rsid w:val="00AB4D54"/>
    <w:rsid w:val="00AB5057"/>
    <w:rsid w:val="00AB52CF"/>
    <w:rsid w:val="00AB5374"/>
    <w:rsid w:val="00AB5CA4"/>
    <w:rsid w:val="00AB5E08"/>
    <w:rsid w:val="00AB5E1B"/>
    <w:rsid w:val="00AB5F32"/>
    <w:rsid w:val="00AB616B"/>
    <w:rsid w:val="00AB6178"/>
    <w:rsid w:val="00AB6216"/>
    <w:rsid w:val="00AB64F7"/>
    <w:rsid w:val="00AB6571"/>
    <w:rsid w:val="00AB65A1"/>
    <w:rsid w:val="00AB68B5"/>
    <w:rsid w:val="00AB6B70"/>
    <w:rsid w:val="00AB6C10"/>
    <w:rsid w:val="00AB6C46"/>
    <w:rsid w:val="00AB6E43"/>
    <w:rsid w:val="00AB6E6B"/>
    <w:rsid w:val="00AB6F75"/>
    <w:rsid w:val="00AB7104"/>
    <w:rsid w:val="00AB7A7C"/>
    <w:rsid w:val="00AB7A7D"/>
    <w:rsid w:val="00AB7F14"/>
    <w:rsid w:val="00AC01BE"/>
    <w:rsid w:val="00AC0416"/>
    <w:rsid w:val="00AC052F"/>
    <w:rsid w:val="00AC09F1"/>
    <w:rsid w:val="00AC0A74"/>
    <w:rsid w:val="00AC0C5E"/>
    <w:rsid w:val="00AC0CC8"/>
    <w:rsid w:val="00AC0D89"/>
    <w:rsid w:val="00AC0F79"/>
    <w:rsid w:val="00AC136E"/>
    <w:rsid w:val="00AC156A"/>
    <w:rsid w:val="00AC179E"/>
    <w:rsid w:val="00AC1825"/>
    <w:rsid w:val="00AC1AF0"/>
    <w:rsid w:val="00AC1C21"/>
    <w:rsid w:val="00AC1CCD"/>
    <w:rsid w:val="00AC1F5C"/>
    <w:rsid w:val="00AC2016"/>
    <w:rsid w:val="00AC20A9"/>
    <w:rsid w:val="00AC2467"/>
    <w:rsid w:val="00AC27CC"/>
    <w:rsid w:val="00AC28FB"/>
    <w:rsid w:val="00AC29B1"/>
    <w:rsid w:val="00AC2E18"/>
    <w:rsid w:val="00AC3158"/>
    <w:rsid w:val="00AC3160"/>
    <w:rsid w:val="00AC3162"/>
    <w:rsid w:val="00AC352E"/>
    <w:rsid w:val="00AC4036"/>
    <w:rsid w:val="00AC449E"/>
    <w:rsid w:val="00AC450A"/>
    <w:rsid w:val="00AC48E8"/>
    <w:rsid w:val="00AC4A6F"/>
    <w:rsid w:val="00AC4B1A"/>
    <w:rsid w:val="00AC4EB1"/>
    <w:rsid w:val="00AC509B"/>
    <w:rsid w:val="00AC50CD"/>
    <w:rsid w:val="00AC52C1"/>
    <w:rsid w:val="00AC5606"/>
    <w:rsid w:val="00AC59FB"/>
    <w:rsid w:val="00AC5DA2"/>
    <w:rsid w:val="00AC64B3"/>
    <w:rsid w:val="00AC656A"/>
    <w:rsid w:val="00AC6605"/>
    <w:rsid w:val="00AC692B"/>
    <w:rsid w:val="00AC6AEC"/>
    <w:rsid w:val="00AC6DC6"/>
    <w:rsid w:val="00AC6DD4"/>
    <w:rsid w:val="00AC6FE0"/>
    <w:rsid w:val="00AC71FA"/>
    <w:rsid w:val="00AC7562"/>
    <w:rsid w:val="00AC765B"/>
    <w:rsid w:val="00AC76CB"/>
    <w:rsid w:val="00AC7770"/>
    <w:rsid w:val="00AC7CE6"/>
    <w:rsid w:val="00AC7CEA"/>
    <w:rsid w:val="00AD0263"/>
    <w:rsid w:val="00AD0588"/>
    <w:rsid w:val="00AD0639"/>
    <w:rsid w:val="00AD0775"/>
    <w:rsid w:val="00AD07A3"/>
    <w:rsid w:val="00AD180D"/>
    <w:rsid w:val="00AD1995"/>
    <w:rsid w:val="00AD1C4C"/>
    <w:rsid w:val="00AD20D5"/>
    <w:rsid w:val="00AD2250"/>
    <w:rsid w:val="00AD2327"/>
    <w:rsid w:val="00AD2574"/>
    <w:rsid w:val="00AD280E"/>
    <w:rsid w:val="00AD2846"/>
    <w:rsid w:val="00AD2B0F"/>
    <w:rsid w:val="00AD2ED5"/>
    <w:rsid w:val="00AD30B3"/>
    <w:rsid w:val="00AD310F"/>
    <w:rsid w:val="00AD3175"/>
    <w:rsid w:val="00AD31F6"/>
    <w:rsid w:val="00AD3397"/>
    <w:rsid w:val="00AD3515"/>
    <w:rsid w:val="00AD3839"/>
    <w:rsid w:val="00AD387D"/>
    <w:rsid w:val="00AD3C45"/>
    <w:rsid w:val="00AD3F3D"/>
    <w:rsid w:val="00AD40B9"/>
    <w:rsid w:val="00AD40CC"/>
    <w:rsid w:val="00AD41E9"/>
    <w:rsid w:val="00AD42A8"/>
    <w:rsid w:val="00AD4395"/>
    <w:rsid w:val="00AD45F0"/>
    <w:rsid w:val="00AD47A6"/>
    <w:rsid w:val="00AD4AA4"/>
    <w:rsid w:val="00AD50B7"/>
    <w:rsid w:val="00AD516E"/>
    <w:rsid w:val="00AD5476"/>
    <w:rsid w:val="00AD5695"/>
    <w:rsid w:val="00AD5698"/>
    <w:rsid w:val="00AD5A66"/>
    <w:rsid w:val="00AD5D48"/>
    <w:rsid w:val="00AD61B3"/>
    <w:rsid w:val="00AD6AC5"/>
    <w:rsid w:val="00AD6C44"/>
    <w:rsid w:val="00AD709A"/>
    <w:rsid w:val="00AD71BE"/>
    <w:rsid w:val="00AD7271"/>
    <w:rsid w:val="00AD727E"/>
    <w:rsid w:val="00AD72B3"/>
    <w:rsid w:val="00AD744C"/>
    <w:rsid w:val="00AD7842"/>
    <w:rsid w:val="00AD7897"/>
    <w:rsid w:val="00AD7959"/>
    <w:rsid w:val="00AD7A15"/>
    <w:rsid w:val="00AD7B58"/>
    <w:rsid w:val="00AE002A"/>
    <w:rsid w:val="00AE0395"/>
    <w:rsid w:val="00AE060B"/>
    <w:rsid w:val="00AE0860"/>
    <w:rsid w:val="00AE092C"/>
    <w:rsid w:val="00AE0D49"/>
    <w:rsid w:val="00AE0E78"/>
    <w:rsid w:val="00AE101D"/>
    <w:rsid w:val="00AE11CD"/>
    <w:rsid w:val="00AE13B0"/>
    <w:rsid w:val="00AE1473"/>
    <w:rsid w:val="00AE1477"/>
    <w:rsid w:val="00AE1594"/>
    <w:rsid w:val="00AE1A83"/>
    <w:rsid w:val="00AE1BD3"/>
    <w:rsid w:val="00AE1D3A"/>
    <w:rsid w:val="00AE1F54"/>
    <w:rsid w:val="00AE20E5"/>
    <w:rsid w:val="00AE22AB"/>
    <w:rsid w:val="00AE2493"/>
    <w:rsid w:val="00AE2554"/>
    <w:rsid w:val="00AE2601"/>
    <w:rsid w:val="00AE287E"/>
    <w:rsid w:val="00AE2C85"/>
    <w:rsid w:val="00AE2E5F"/>
    <w:rsid w:val="00AE33FF"/>
    <w:rsid w:val="00AE3B63"/>
    <w:rsid w:val="00AE3C28"/>
    <w:rsid w:val="00AE43BD"/>
    <w:rsid w:val="00AE4442"/>
    <w:rsid w:val="00AE4493"/>
    <w:rsid w:val="00AE45E1"/>
    <w:rsid w:val="00AE47F0"/>
    <w:rsid w:val="00AE4846"/>
    <w:rsid w:val="00AE48B7"/>
    <w:rsid w:val="00AE49FF"/>
    <w:rsid w:val="00AE4C50"/>
    <w:rsid w:val="00AE4FEB"/>
    <w:rsid w:val="00AE50BE"/>
    <w:rsid w:val="00AE5485"/>
    <w:rsid w:val="00AE54CB"/>
    <w:rsid w:val="00AE574C"/>
    <w:rsid w:val="00AE58E7"/>
    <w:rsid w:val="00AE59C5"/>
    <w:rsid w:val="00AE5B77"/>
    <w:rsid w:val="00AE5C33"/>
    <w:rsid w:val="00AE5F79"/>
    <w:rsid w:val="00AE64EF"/>
    <w:rsid w:val="00AE66D9"/>
    <w:rsid w:val="00AE67C3"/>
    <w:rsid w:val="00AE68E7"/>
    <w:rsid w:val="00AE6950"/>
    <w:rsid w:val="00AE6AA5"/>
    <w:rsid w:val="00AE70F6"/>
    <w:rsid w:val="00AE7145"/>
    <w:rsid w:val="00AE7261"/>
    <w:rsid w:val="00AE72D6"/>
    <w:rsid w:val="00AE7344"/>
    <w:rsid w:val="00AE7725"/>
    <w:rsid w:val="00AE7B3C"/>
    <w:rsid w:val="00AE7CB0"/>
    <w:rsid w:val="00AE7D65"/>
    <w:rsid w:val="00AE7F5B"/>
    <w:rsid w:val="00AF000D"/>
    <w:rsid w:val="00AF0119"/>
    <w:rsid w:val="00AF061D"/>
    <w:rsid w:val="00AF087D"/>
    <w:rsid w:val="00AF0F28"/>
    <w:rsid w:val="00AF11C7"/>
    <w:rsid w:val="00AF14BC"/>
    <w:rsid w:val="00AF1545"/>
    <w:rsid w:val="00AF1829"/>
    <w:rsid w:val="00AF1AE6"/>
    <w:rsid w:val="00AF1EB8"/>
    <w:rsid w:val="00AF2065"/>
    <w:rsid w:val="00AF213A"/>
    <w:rsid w:val="00AF2540"/>
    <w:rsid w:val="00AF2B06"/>
    <w:rsid w:val="00AF2B82"/>
    <w:rsid w:val="00AF2CA2"/>
    <w:rsid w:val="00AF2D0F"/>
    <w:rsid w:val="00AF3411"/>
    <w:rsid w:val="00AF3783"/>
    <w:rsid w:val="00AF3A34"/>
    <w:rsid w:val="00AF3E3B"/>
    <w:rsid w:val="00AF3FA7"/>
    <w:rsid w:val="00AF4080"/>
    <w:rsid w:val="00AF45AB"/>
    <w:rsid w:val="00AF4604"/>
    <w:rsid w:val="00AF494D"/>
    <w:rsid w:val="00AF4980"/>
    <w:rsid w:val="00AF4A6B"/>
    <w:rsid w:val="00AF4CF0"/>
    <w:rsid w:val="00AF4EC3"/>
    <w:rsid w:val="00AF4FB9"/>
    <w:rsid w:val="00AF51EB"/>
    <w:rsid w:val="00AF5969"/>
    <w:rsid w:val="00AF5ABA"/>
    <w:rsid w:val="00AF5BCE"/>
    <w:rsid w:val="00AF5EE4"/>
    <w:rsid w:val="00AF607A"/>
    <w:rsid w:val="00AF61C3"/>
    <w:rsid w:val="00AF61C8"/>
    <w:rsid w:val="00AF6290"/>
    <w:rsid w:val="00AF6298"/>
    <w:rsid w:val="00AF681B"/>
    <w:rsid w:val="00AF6A43"/>
    <w:rsid w:val="00AF6E49"/>
    <w:rsid w:val="00AF6F7E"/>
    <w:rsid w:val="00AF70A8"/>
    <w:rsid w:val="00AF71A7"/>
    <w:rsid w:val="00AF7558"/>
    <w:rsid w:val="00AF765C"/>
    <w:rsid w:val="00AF76BE"/>
    <w:rsid w:val="00AF78E3"/>
    <w:rsid w:val="00B0010D"/>
    <w:rsid w:val="00B00570"/>
    <w:rsid w:val="00B00682"/>
    <w:rsid w:val="00B008D3"/>
    <w:rsid w:val="00B00A35"/>
    <w:rsid w:val="00B00B9F"/>
    <w:rsid w:val="00B00C41"/>
    <w:rsid w:val="00B00DEF"/>
    <w:rsid w:val="00B00FEF"/>
    <w:rsid w:val="00B01178"/>
    <w:rsid w:val="00B01522"/>
    <w:rsid w:val="00B0160E"/>
    <w:rsid w:val="00B0172A"/>
    <w:rsid w:val="00B01760"/>
    <w:rsid w:val="00B01B02"/>
    <w:rsid w:val="00B01B38"/>
    <w:rsid w:val="00B01B83"/>
    <w:rsid w:val="00B01D76"/>
    <w:rsid w:val="00B01E9D"/>
    <w:rsid w:val="00B01EFC"/>
    <w:rsid w:val="00B0237D"/>
    <w:rsid w:val="00B02518"/>
    <w:rsid w:val="00B025A9"/>
    <w:rsid w:val="00B0278F"/>
    <w:rsid w:val="00B0280D"/>
    <w:rsid w:val="00B03501"/>
    <w:rsid w:val="00B036FC"/>
    <w:rsid w:val="00B037FF"/>
    <w:rsid w:val="00B038CC"/>
    <w:rsid w:val="00B0396A"/>
    <w:rsid w:val="00B039A3"/>
    <w:rsid w:val="00B039AF"/>
    <w:rsid w:val="00B03A80"/>
    <w:rsid w:val="00B03C7E"/>
    <w:rsid w:val="00B03F16"/>
    <w:rsid w:val="00B044F9"/>
    <w:rsid w:val="00B04540"/>
    <w:rsid w:val="00B047C5"/>
    <w:rsid w:val="00B0496B"/>
    <w:rsid w:val="00B04E81"/>
    <w:rsid w:val="00B0507D"/>
    <w:rsid w:val="00B050FE"/>
    <w:rsid w:val="00B053C6"/>
    <w:rsid w:val="00B056AB"/>
    <w:rsid w:val="00B06177"/>
    <w:rsid w:val="00B0639D"/>
    <w:rsid w:val="00B06727"/>
    <w:rsid w:val="00B06C48"/>
    <w:rsid w:val="00B06CDC"/>
    <w:rsid w:val="00B071A9"/>
    <w:rsid w:val="00B076B4"/>
    <w:rsid w:val="00B077F3"/>
    <w:rsid w:val="00B0785C"/>
    <w:rsid w:val="00B07896"/>
    <w:rsid w:val="00B07A04"/>
    <w:rsid w:val="00B07A3D"/>
    <w:rsid w:val="00B07C5F"/>
    <w:rsid w:val="00B07DBE"/>
    <w:rsid w:val="00B1010E"/>
    <w:rsid w:val="00B103C1"/>
    <w:rsid w:val="00B105C5"/>
    <w:rsid w:val="00B107DF"/>
    <w:rsid w:val="00B10C80"/>
    <w:rsid w:val="00B10D8F"/>
    <w:rsid w:val="00B10F1C"/>
    <w:rsid w:val="00B114F0"/>
    <w:rsid w:val="00B1191B"/>
    <w:rsid w:val="00B11920"/>
    <w:rsid w:val="00B11A9B"/>
    <w:rsid w:val="00B11BA0"/>
    <w:rsid w:val="00B11DF6"/>
    <w:rsid w:val="00B11FD6"/>
    <w:rsid w:val="00B12226"/>
    <w:rsid w:val="00B12621"/>
    <w:rsid w:val="00B1268C"/>
    <w:rsid w:val="00B12723"/>
    <w:rsid w:val="00B129A3"/>
    <w:rsid w:val="00B12B68"/>
    <w:rsid w:val="00B13340"/>
    <w:rsid w:val="00B134A6"/>
    <w:rsid w:val="00B136BB"/>
    <w:rsid w:val="00B13B0D"/>
    <w:rsid w:val="00B13B27"/>
    <w:rsid w:val="00B13BF2"/>
    <w:rsid w:val="00B13C7A"/>
    <w:rsid w:val="00B13EA0"/>
    <w:rsid w:val="00B13F56"/>
    <w:rsid w:val="00B14265"/>
    <w:rsid w:val="00B144EF"/>
    <w:rsid w:val="00B147EA"/>
    <w:rsid w:val="00B14817"/>
    <w:rsid w:val="00B14962"/>
    <w:rsid w:val="00B14D45"/>
    <w:rsid w:val="00B14F33"/>
    <w:rsid w:val="00B14F47"/>
    <w:rsid w:val="00B1527B"/>
    <w:rsid w:val="00B152A0"/>
    <w:rsid w:val="00B152BC"/>
    <w:rsid w:val="00B15360"/>
    <w:rsid w:val="00B1563A"/>
    <w:rsid w:val="00B1575B"/>
    <w:rsid w:val="00B15A18"/>
    <w:rsid w:val="00B15B52"/>
    <w:rsid w:val="00B15E2E"/>
    <w:rsid w:val="00B15E96"/>
    <w:rsid w:val="00B16127"/>
    <w:rsid w:val="00B1634B"/>
    <w:rsid w:val="00B16388"/>
    <w:rsid w:val="00B16790"/>
    <w:rsid w:val="00B16844"/>
    <w:rsid w:val="00B16F12"/>
    <w:rsid w:val="00B17679"/>
    <w:rsid w:val="00B17BF2"/>
    <w:rsid w:val="00B17DA2"/>
    <w:rsid w:val="00B201D7"/>
    <w:rsid w:val="00B20207"/>
    <w:rsid w:val="00B206F2"/>
    <w:rsid w:val="00B209D9"/>
    <w:rsid w:val="00B20A05"/>
    <w:rsid w:val="00B213B5"/>
    <w:rsid w:val="00B215A6"/>
    <w:rsid w:val="00B216F3"/>
    <w:rsid w:val="00B21FD1"/>
    <w:rsid w:val="00B22427"/>
    <w:rsid w:val="00B2256E"/>
    <w:rsid w:val="00B225E8"/>
    <w:rsid w:val="00B22998"/>
    <w:rsid w:val="00B22D94"/>
    <w:rsid w:val="00B23061"/>
    <w:rsid w:val="00B2327F"/>
    <w:rsid w:val="00B23327"/>
    <w:rsid w:val="00B234FF"/>
    <w:rsid w:val="00B23889"/>
    <w:rsid w:val="00B23B70"/>
    <w:rsid w:val="00B23F22"/>
    <w:rsid w:val="00B23F6A"/>
    <w:rsid w:val="00B240D1"/>
    <w:rsid w:val="00B24200"/>
    <w:rsid w:val="00B24243"/>
    <w:rsid w:val="00B244B8"/>
    <w:rsid w:val="00B24935"/>
    <w:rsid w:val="00B24C21"/>
    <w:rsid w:val="00B24E0A"/>
    <w:rsid w:val="00B24F21"/>
    <w:rsid w:val="00B250D2"/>
    <w:rsid w:val="00B253A0"/>
    <w:rsid w:val="00B255B8"/>
    <w:rsid w:val="00B25A17"/>
    <w:rsid w:val="00B25A8D"/>
    <w:rsid w:val="00B25AF6"/>
    <w:rsid w:val="00B25B1A"/>
    <w:rsid w:val="00B25CBD"/>
    <w:rsid w:val="00B25D40"/>
    <w:rsid w:val="00B25E28"/>
    <w:rsid w:val="00B25E81"/>
    <w:rsid w:val="00B26323"/>
    <w:rsid w:val="00B2643E"/>
    <w:rsid w:val="00B26462"/>
    <w:rsid w:val="00B2656E"/>
    <w:rsid w:val="00B26881"/>
    <w:rsid w:val="00B26B36"/>
    <w:rsid w:val="00B26D63"/>
    <w:rsid w:val="00B26EF0"/>
    <w:rsid w:val="00B2722C"/>
    <w:rsid w:val="00B27318"/>
    <w:rsid w:val="00B27320"/>
    <w:rsid w:val="00B27488"/>
    <w:rsid w:val="00B27626"/>
    <w:rsid w:val="00B2763F"/>
    <w:rsid w:val="00B278A7"/>
    <w:rsid w:val="00B27D6F"/>
    <w:rsid w:val="00B27DFD"/>
    <w:rsid w:val="00B27E47"/>
    <w:rsid w:val="00B305B9"/>
    <w:rsid w:val="00B306CB"/>
    <w:rsid w:val="00B30EDB"/>
    <w:rsid w:val="00B310EF"/>
    <w:rsid w:val="00B31110"/>
    <w:rsid w:val="00B31537"/>
    <w:rsid w:val="00B315AD"/>
    <w:rsid w:val="00B31DC4"/>
    <w:rsid w:val="00B32229"/>
    <w:rsid w:val="00B32720"/>
    <w:rsid w:val="00B328BE"/>
    <w:rsid w:val="00B32A46"/>
    <w:rsid w:val="00B32E8B"/>
    <w:rsid w:val="00B331B5"/>
    <w:rsid w:val="00B33362"/>
    <w:rsid w:val="00B33546"/>
    <w:rsid w:val="00B340AC"/>
    <w:rsid w:val="00B3416D"/>
    <w:rsid w:val="00B344CE"/>
    <w:rsid w:val="00B3495B"/>
    <w:rsid w:val="00B34AC3"/>
    <w:rsid w:val="00B34CFE"/>
    <w:rsid w:val="00B34FF6"/>
    <w:rsid w:val="00B350CB"/>
    <w:rsid w:val="00B351CA"/>
    <w:rsid w:val="00B353E9"/>
    <w:rsid w:val="00B35B3D"/>
    <w:rsid w:val="00B35C69"/>
    <w:rsid w:val="00B35EDC"/>
    <w:rsid w:val="00B366FF"/>
    <w:rsid w:val="00B36759"/>
    <w:rsid w:val="00B36CE1"/>
    <w:rsid w:val="00B36E08"/>
    <w:rsid w:val="00B36EB0"/>
    <w:rsid w:val="00B37209"/>
    <w:rsid w:val="00B37661"/>
    <w:rsid w:val="00B37697"/>
    <w:rsid w:val="00B377FF"/>
    <w:rsid w:val="00B37854"/>
    <w:rsid w:val="00B37920"/>
    <w:rsid w:val="00B37F16"/>
    <w:rsid w:val="00B4017A"/>
    <w:rsid w:val="00B4081C"/>
    <w:rsid w:val="00B40AF0"/>
    <w:rsid w:val="00B40B22"/>
    <w:rsid w:val="00B40B84"/>
    <w:rsid w:val="00B40DA9"/>
    <w:rsid w:val="00B41494"/>
    <w:rsid w:val="00B4179B"/>
    <w:rsid w:val="00B418C0"/>
    <w:rsid w:val="00B418DC"/>
    <w:rsid w:val="00B419FD"/>
    <w:rsid w:val="00B41E95"/>
    <w:rsid w:val="00B42013"/>
    <w:rsid w:val="00B4273D"/>
    <w:rsid w:val="00B428C1"/>
    <w:rsid w:val="00B429D9"/>
    <w:rsid w:val="00B42D39"/>
    <w:rsid w:val="00B42E22"/>
    <w:rsid w:val="00B42FE7"/>
    <w:rsid w:val="00B43230"/>
    <w:rsid w:val="00B436A1"/>
    <w:rsid w:val="00B43AFB"/>
    <w:rsid w:val="00B43BE5"/>
    <w:rsid w:val="00B43FAE"/>
    <w:rsid w:val="00B44155"/>
    <w:rsid w:val="00B4442A"/>
    <w:rsid w:val="00B444C4"/>
    <w:rsid w:val="00B447B3"/>
    <w:rsid w:val="00B44853"/>
    <w:rsid w:val="00B44D75"/>
    <w:rsid w:val="00B44E0B"/>
    <w:rsid w:val="00B451E3"/>
    <w:rsid w:val="00B45272"/>
    <w:rsid w:val="00B45455"/>
    <w:rsid w:val="00B45A82"/>
    <w:rsid w:val="00B45C4F"/>
    <w:rsid w:val="00B45DAD"/>
    <w:rsid w:val="00B45DB1"/>
    <w:rsid w:val="00B45E40"/>
    <w:rsid w:val="00B4601B"/>
    <w:rsid w:val="00B46305"/>
    <w:rsid w:val="00B46383"/>
    <w:rsid w:val="00B46440"/>
    <w:rsid w:val="00B466EC"/>
    <w:rsid w:val="00B46888"/>
    <w:rsid w:val="00B468AE"/>
    <w:rsid w:val="00B4690F"/>
    <w:rsid w:val="00B46A7B"/>
    <w:rsid w:val="00B46C8C"/>
    <w:rsid w:val="00B46CDF"/>
    <w:rsid w:val="00B46D86"/>
    <w:rsid w:val="00B47972"/>
    <w:rsid w:val="00B47D80"/>
    <w:rsid w:val="00B47E24"/>
    <w:rsid w:val="00B50168"/>
    <w:rsid w:val="00B50281"/>
    <w:rsid w:val="00B502E0"/>
    <w:rsid w:val="00B50428"/>
    <w:rsid w:val="00B5045D"/>
    <w:rsid w:val="00B504C4"/>
    <w:rsid w:val="00B50720"/>
    <w:rsid w:val="00B507E3"/>
    <w:rsid w:val="00B50B96"/>
    <w:rsid w:val="00B514FA"/>
    <w:rsid w:val="00B515B7"/>
    <w:rsid w:val="00B516C1"/>
    <w:rsid w:val="00B518EB"/>
    <w:rsid w:val="00B51983"/>
    <w:rsid w:val="00B51A07"/>
    <w:rsid w:val="00B51AF9"/>
    <w:rsid w:val="00B51AFC"/>
    <w:rsid w:val="00B51E2D"/>
    <w:rsid w:val="00B51E3F"/>
    <w:rsid w:val="00B5249A"/>
    <w:rsid w:val="00B5265A"/>
    <w:rsid w:val="00B52738"/>
    <w:rsid w:val="00B52977"/>
    <w:rsid w:val="00B52D32"/>
    <w:rsid w:val="00B52E65"/>
    <w:rsid w:val="00B52FA0"/>
    <w:rsid w:val="00B53045"/>
    <w:rsid w:val="00B53069"/>
    <w:rsid w:val="00B530E1"/>
    <w:rsid w:val="00B53EBA"/>
    <w:rsid w:val="00B541A3"/>
    <w:rsid w:val="00B54389"/>
    <w:rsid w:val="00B543C7"/>
    <w:rsid w:val="00B54512"/>
    <w:rsid w:val="00B5467D"/>
    <w:rsid w:val="00B546BE"/>
    <w:rsid w:val="00B54796"/>
    <w:rsid w:val="00B5485F"/>
    <w:rsid w:val="00B54AFC"/>
    <w:rsid w:val="00B54B1B"/>
    <w:rsid w:val="00B54B44"/>
    <w:rsid w:val="00B54D99"/>
    <w:rsid w:val="00B54F9A"/>
    <w:rsid w:val="00B55159"/>
    <w:rsid w:val="00B5533D"/>
    <w:rsid w:val="00B55573"/>
    <w:rsid w:val="00B55A81"/>
    <w:rsid w:val="00B55EDB"/>
    <w:rsid w:val="00B560ED"/>
    <w:rsid w:val="00B56468"/>
    <w:rsid w:val="00B568D1"/>
    <w:rsid w:val="00B568F8"/>
    <w:rsid w:val="00B56995"/>
    <w:rsid w:val="00B56DB0"/>
    <w:rsid w:val="00B56DF9"/>
    <w:rsid w:val="00B56ECC"/>
    <w:rsid w:val="00B56F22"/>
    <w:rsid w:val="00B57193"/>
    <w:rsid w:val="00B5726F"/>
    <w:rsid w:val="00B572B1"/>
    <w:rsid w:val="00B572D2"/>
    <w:rsid w:val="00B5743D"/>
    <w:rsid w:val="00B57546"/>
    <w:rsid w:val="00B576B2"/>
    <w:rsid w:val="00B576CE"/>
    <w:rsid w:val="00B57867"/>
    <w:rsid w:val="00B57AA5"/>
    <w:rsid w:val="00B57C3B"/>
    <w:rsid w:val="00B57E46"/>
    <w:rsid w:val="00B57F63"/>
    <w:rsid w:val="00B60177"/>
    <w:rsid w:val="00B604C5"/>
    <w:rsid w:val="00B604C9"/>
    <w:rsid w:val="00B608EC"/>
    <w:rsid w:val="00B6093C"/>
    <w:rsid w:val="00B60ADC"/>
    <w:rsid w:val="00B60C9C"/>
    <w:rsid w:val="00B60CF7"/>
    <w:rsid w:val="00B60EB6"/>
    <w:rsid w:val="00B610E2"/>
    <w:rsid w:val="00B6123E"/>
    <w:rsid w:val="00B615C1"/>
    <w:rsid w:val="00B618D4"/>
    <w:rsid w:val="00B61B89"/>
    <w:rsid w:val="00B61BFB"/>
    <w:rsid w:val="00B61CFE"/>
    <w:rsid w:val="00B61E4E"/>
    <w:rsid w:val="00B6248D"/>
    <w:rsid w:val="00B629F9"/>
    <w:rsid w:val="00B62D21"/>
    <w:rsid w:val="00B62D58"/>
    <w:rsid w:val="00B63015"/>
    <w:rsid w:val="00B63024"/>
    <w:rsid w:val="00B6309B"/>
    <w:rsid w:val="00B63341"/>
    <w:rsid w:val="00B634E0"/>
    <w:rsid w:val="00B6386A"/>
    <w:rsid w:val="00B6388B"/>
    <w:rsid w:val="00B63DB8"/>
    <w:rsid w:val="00B63E17"/>
    <w:rsid w:val="00B63E70"/>
    <w:rsid w:val="00B64000"/>
    <w:rsid w:val="00B642D8"/>
    <w:rsid w:val="00B6446C"/>
    <w:rsid w:val="00B6469F"/>
    <w:rsid w:val="00B64962"/>
    <w:rsid w:val="00B64B6B"/>
    <w:rsid w:val="00B64BD5"/>
    <w:rsid w:val="00B650C7"/>
    <w:rsid w:val="00B65283"/>
    <w:rsid w:val="00B652FC"/>
    <w:rsid w:val="00B654B3"/>
    <w:rsid w:val="00B65BBB"/>
    <w:rsid w:val="00B65C35"/>
    <w:rsid w:val="00B6637E"/>
    <w:rsid w:val="00B66420"/>
    <w:rsid w:val="00B665C2"/>
    <w:rsid w:val="00B665D6"/>
    <w:rsid w:val="00B66A5C"/>
    <w:rsid w:val="00B66EBF"/>
    <w:rsid w:val="00B67010"/>
    <w:rsid w:val="00B6715C"/>
    <w:rsid w:val="00B671B8"/>
    <w:rsid w:val="00B67335"/>
    <w:rsid w:val="00B673BD"/>
    <w:rsid w:val="00B6744A"/>
    <w:rsid w:val="00B6798F"/>
    <w:rsid w:val="00B679C9"/>
    <w:rsid w:val="00B67B42"/>
    <w:rsid w:val="00B67C78"/>
    <w:rsid w:val="00B67DF9"/>
    <w:rsid w:val="00B70114"/>
    <w:rsid w:val="00B70333"/>
    <w:rsid w:val="00B70810"/>
    <w:rsid w:val="00B70FDD"/>
    <w:rsid w:val="00B7123E"/>
    <w:rsid w:val="00B713A6"/>
    <w:rsid w:val="00B71B70"/>
    <w:rsid w:val="00B71BA1"/>
    <w:rsid w:val="00B71CED"/>
    <w:rsid w:val="00B71D08"/>
    <w:rsid w:val="00B71D9A"/>
    <w:rsid w:val="00B71ED9"/>
    <w:rsid w:val="00B72022"/>
    <w:rsid w:val="00B72419"/>
    <w:rsid w:val="00B72C09"/>
    <w:rsid w:val="00B72CAB"/>
    <w:rsid w:val="00B732A7"/>
    <w:rsid w:val="00B732EC"/>
    <w:rsid w:val="00B73661"/>
    <w:rsid w:val="00B73934"/>
    <w:rsid w:val="00B73A26"/>
    <w:rsid w:val="00B73F52"/>
    <w:rsid w:val="00B73F9E"/>
    <w:rsid w:val="00B7404B"/>
    <w:rsid w:val="00B74480"/>
    <w:rsid w:val="00B74F69"/>
    <w:rsid w:val="00B75065"/>
    <w:rsid w:val="00B75097"/>
    <w:rsid w:val="00B751B4"/>
    <w:rsid w:val="00B751DF"/>
    <w:rsid w:val="00B751E1"/>
    <w:rsid w:val="00B75437"/>
    <w:rsid w:val="00B75AD4"/>
    <w:rsid w:val="00B76285"/>
    <w:rsid w:val="00B76B05"/>
    <w:rsid w:val="00B76E24"/>
    <w:rsid w:val="00B76E80"/>
    <w:rsid w:val="00B77062"/>
    <w:rsid w:val="00B771AD"/>
    <w:rsid w:val="00B772B7"/>
    <w:rsid w:val="00B772F2"/>
    <w:rsid w:val="00B7740E"/>
    <w:rsid w:val="00B775E4"/>
    <w:rsid w:val="00B7770A"/>
    <w:rsid w:val="00B778FD"/>
    <w:rsid w:val="00B77BE1"/>
    <w:rsid w:val="00B80198"/>
    <w:rsid w:val="00B805C0"/>
    <w:rsid w:val="00B8069E"/>
    <w:rsid w:val="00B809BC"/>
    <w:rsid w:val="00B80DB4"/>
    <w:rsid w:val="00B80E22"/>
    <w:rsid w:val="00B80EC3"/>
    <w:rsid w:val="00B81304"/>
    <w:rsid w:val="00B8131E"/>
    <w:rsid w:val="00B8139B"/>
    <w:rsid w:val="00B814A1"/>
    <w:rsid w:val="00B814FC"/>
    <w:rsid w:val="00B81B03"/>
    <w:rsid w:val="00B82130"/>
    <w:rsid w:val="00B8232D"/>
    <w:rsid w:val="00B826A7"/>
    <w:rsid w:val="00B826CF"/>
    <w:rsid w:val="00B82907"/>
    <w:rsid w:val="00B82A36"/>
    <w:rsid w:val="00B83016"/>
    <w:rsid w:val="00B8305A"/>
    <w:rsid w:val="00B8382D"/>
    <w:rsid w:val="00B8439C"/>
    <w:rsid w:val="00B847FB"/>
    <w:rsid w:val="00B849B6"/>
    <w:rsid w:val="00B84AC7"/>
    <w:rsid w:val="00B84C68"/>
    <w:rsid w:val="00B84ECA"/>
    <w:rsid w:val="00B850A3"/>
    <w:rsid w:val="00B8542D"/>
    <w:rsid w:val="00B854B8"/>
    <w:rsid w:val="00B8576B"/>
    <w:rsid w:val="00B85888"/>
    <w:rsid w:val="00B85BE0"/>
    <w:rsid w:val="00B85C25"/>
    <w:rsid w:val="00B85DDD"/>
    <w:rsid w:val="00B85E9E"/>
    <w:rsid w:val="00B86136"/>
    <w:rsid w:val="00B86246"/>
    <w:rsid w:val="00B86341"/>
    <w:rsid w:val="00B866E4"/>
    <w:rsid w:val="00B868BB"/>
    <w:rsid w:val="00B86C15"/>
    <w:rsid w:val="00B8738F"/>
    <w:rsid w:val="00B87470"/>
    <w:rsid w:val="00B874DA"/>
    <w:rsid w:val="00B8784F"/>
    <w:rsid w:val="00B87A61"/>
    <w:rsid w:val="00B87BFF"/>
    <w:rsid w:val="00B87CDE"/>
    <w:rsid w:val="00B87DAE"/>
    <w:rsid w:val="00B87E19"/>
    <w:rsid w:val="00B9007E"/>
    <w:rsid w:val="00B900FA"/>
    <w:rsid w:val="00B901D7"/>
    <w:rsid w:val="00B9028B"/>
    <w:rsid w:val="00B90CD6"/>
    <w:rsid w:val="00B910D7"/>
    <w:rsid w:val="00B916F7"/>
    <w:rsid w:val="00B9173E"/>
    <w:rsid w:val="00B91A6B"/>
    <w:rsid w:val="00B91B54"/>
    <w:rsid w:val="00B91E8B"/>
    <w:rsid w:val="00B91FCE"/>
    <w:rsid w:val="00B92079"/>
    <w:rsid w:val="00B92335"/>
    <w:rsid w:val="00B92A89"/>
    <w:rsid w:val="00B92B03"/>
    <w:rsid w:val="00B92F74"/>
    <w:rsid w:val="00B92FED"/>
    <w:rsid w:val="00B93B56"/>
    <w:rsid w:val="00B93BBF"/>
    <w:rsid w:val="00B93FCA"/>
    <w:rsid w:val="00B942C4"/>
    <w:rsid w:val="00B942E5"/>
    <w:rsid w:val="00B94852"/>
    <w:rsid w:val="00B949B4"/>
    <w:rsid w:val="00B95AAA"/>
    <w:rsid w:val="00B95DF3"/>
    <w:rsid w:val="00B9630D"/>
    <w:rsid w:val="00B966AE"/>
    <w:rsid w:val="00B9677B"/>
    <w:rsid w:val="00B967F0"/>
    <w:rsid w:val="00B96832"/>
    <w:rsid w:val="00B96B9A"/>
    <w:rsid w:val="00B97443"/>
    <w:rsid w:val="00B974F0"/>
    <w:rsid w:val="00B9752E"/>
    <w:rsid w:val="00B97659"/>
    <w:rsid w:val="00B978D1"/>
    <w:rsid w:val="00B978D6"/>
    <w:rsid w:val="00BA00F0"/>
    <w:rsid w:val="00BA036D"/>
    <w:rsid w:val="00BA089E"/>
    <w:rsid w:val="00BA0B7F"/>
    <w:rsid w:val="00BA10F3"/>
    <w:rsid w:val="00BA116C"/>
    <w:rsid w:val="00BA11AC"/>
    <w:rsid w:val="00BA1294"/>
    <w:rsid w:val="00BA12DA"/>
    <w:rsid w:val="00BA166D"/>
    <w:rsid w:val="00BA1B02"/>
    <w:rsid w:val="00BA1BB6"/>
    <w:rsid w:val="00BA1E8F"/>
    <w:rsid w:val="00BA202A"/>
    <w:rsid w:val="00BA20B9"/>
    <w:rsid w:val="00BA2792"/>
    <w:rsid w:val="00BA283A"/>
    <w:rsid w:val="00BA28FE"/>
    <w:rsid w:val="00BA29A1"/>
    <w:rsid w:val="00BA2B48"/>
    <w:rsid w:val="00BA2F50"/>
    <w:rsid w:val="00BA4060"/>
    <w:rsid w:val="00BA44BE"/>
    <w:rsid w:val="00BA460C"/>
    <w:rsid w:val="00BA484E"/>
    <w:rsid w:val="00BA4929"/>
    <w:rsid w:val="00BA4DE4"/>
    <w:rsid w:val="00BA4F03"/>
    <w:rsid w:val="00BA5069"/>
    <w:rsid w:val="00BA50C7"/>
    <w:rsid w:val="00BA51DF"/>
    <w:rsid w:val="00BA558C"/>
    <w:rsid w:val="00BA55C6"/>
    <w:rsid w:val="00BA5997"/>
    <w:rsid w:val="00BA5A79"/>
    <w:rsid w:val="00BA5CFB"/>
    <w:rsid w:val="00BA60C5"/>
    <w:rsid w:val="00BA64D6"/>
    <w:rsid w:val="00BA678E"/>
    <w:rsid w:val="00BA6815"/>
    <w:rsid w:val="00BA6DFE"/>
    <w:rsid w:val="00BA6F21"/>
    <w:rsid w:val="00BA74FF"/>
    <w:rsid w:val="00BA788F"/>
    <w:rsid w:val="00BA79C7"/>
    <w:rsid w:val="00BA7E4F"/>
    <w:rsid w:val="00BB00AA"/>
    <w:rsid w:val="00BB00AE"/>
    <w:rsid w:val="00BB0165"/>
    <w:rsid w:val="00BB0476"/>
    <w:rsid w:val="00BB0AA5"/>
    <w:rsid w:val="00BB0FA7"/>
    <w:rsid w:val="00BB11F5"/>
    <w:rsid w:val="00BB131B"/>
    <w:rsid w:val="00BB157C"/>
    <w:rsid w:val="00BB1734"/>
    <w:rsid w:val="00BB177A"/>
    <w:rsid w:val="00BB1942"/>
    <w:rsid w:val="00BB1A0C"/>
    <w:rsid w:val="00BB1E7E"/>
    <w:rsid w:val="00BB20E7"/>
    <w:rsid w:val="00BB24FC"/>
    <w:rsid w:val="00BB26E8"/>
    <w:rsid w:val="00BB281A"/>
    <w:rsid w:val="00BB2B67"/>
    <w:rsid w:val="00BB2F17"/>
    <w:rsid w:val="00BB32D9"/>
    <w:rsid w:val="00BB39F0"/>
    <w:rsid w:val="00BB3B2F"/>
    <w:rsid w:val="00BB3D9D"/>
    <w:rsid w:val="00BB3E3D"/>
    <w:rsid w:val="00BB41E2"/>
    <w:rsid w:val="00BB49A1"/>
    <w:rsid w:val="00BB4C8D"/>
    <w:rsid w:val="00BB502F"/>
    <w:rsid w:val="00BB51D3"/>
    <w:rsid w:val="00BB532C"/>
    <w:rsid w:val="00BB5359"/>
    <w:rsid w:val="00BB5556"/>
    <w:rsid w:val="00BB5E6D"/>
    <w:rsid w:val="00BB60CB"/>
    <w:rsid w:val="00BB626A"/>
    <w:rsid w:val="00BB6686"/>
    <w:rsid w:val="00BB66FD"/>
    <w:rsid w:val="00BB6791"/>
    <w:rsid w:val="00BB67FB"/>
    <w:rsid w:val="00BB6874"/>
    <w:rsid w:val="00BB6BAB"/>
    <w:rsid w:val="00BB6C8E"/>
    <w:rsid w:val="00BB7057"/>
    <w:rsid w:val="00BB7A4B"/>
    <w:rsid w:val="00BB7D30"/>
    <w:rsid w:val="00BB7EA3"/>
    <w:rsid w:val="00BC0173"/>
    <w:rsid w:val="00BC039F"/>
    <w:rsid w:val="00BC03D7"/>
    <w:rsid w:val="00BC04D9"/>
    <w:rsid w:val="00BC0591"/>
    <w:rsid w:val="00BC0923"/>
    <w:rsid w:val="00BC0A57"/>
    <w:rsid w:val="00BC0BB3"/>
    <w:rsid w:val="00BC0D54"/>
    <w:rsid w:val="00BC0FD8"/>
    <w:rsid w:val="00BC11E4"/>
    <w:rsid w:val="00BC139B"/>
    <w:rsid w:val="00BC14D6"/>
    <w:rsid w:val="00BC16D5"/>
    <w:rsid w:val="00BC177C"/>
    <w:rsid w:val="00BC190B"/>
    <w:rsid w:val="00BC2084"/>
    <w:rsid w:val="00BC22CE"/>
    <w:rsid w:val="00BC2336"/>
    <w:rsid w:val="00BC27BD"/>
    <w:rsid w:val="00BC2979"/>
    <w:rsid w:val="00BC2DF4"/>
    <w:rsid w:val="00BC2E51"/>
    <w:rsid w:val="00BC3A17"/>
    <w:rsid w:val="00BC400A"/>
    <w:rsid w:val="00BC41E9"/>
    <w:rsid w:val="00BC4A4D"/>
    <w:rsid w:val="00BC4C8D"/>
    <w:rsid w:val="00BC4EF8"/>
    <w:rsid w:val="00BC5003"/>
    <w:rsid w:val="00BC50D6"/>
    <w:rsid w:val="00BC558B"/>
    <w:rsid w:val="00BC5A54"/>
    <w:rsid w:val="00BC5B20"/>
    <w:rsid w:val="00BC5C0F"/>
    <w:rsid w:val="00BC5D0C"/>
    <w:rsid w:val="00BC5F60"/>
    <w:rsid w:val="00BC6501"/>
    <w:rsid w:val="00BC6832"/>
    <w:rsid w:val="00BC6D01"/>
    <w:rsid w:val="00BC6D0F"/>
    <w:rsid w:val="00BC6E25"/>
    <w:rsid w:val="00BC71AE"/>
    <w:rsid w:val="00BC7264"/>
    <w:rsid w:val="00BC738E"/>
    <w:rsid w:val="00BC75D9"/>
    <w:rsid w:val="00BC78BF"/>
    <w:rsid w:val="00BC7917"/>
    <w:rsid w:val="00BC7B4C"/>
    <w:rsid w:val="00BC7E69"/>
    <w:rsid w:val="00BC7EDB"/>
    <w:rsid w:val="00BD0102"/>
    <w:rsid w:val="00BD01A9"/>
    <w:rsid w:val="00BD05DA"/>
    <w:rsid w:val="00BD066D"/>
    <w:rsid w:val="00BD107C"/>
    <w:rsid w:val="00BD10F7"/>
    <w:rsid w:val="00BD1167"/>
    <w:rsid w:val="00BD139A"/>
    <w:rsid w:val="00BD13AD"/>
    <w:rsid w:val="00BD1516"/>
    <w:rsid w:val="00BD18E2"/>
    <w:rsid w:val="00BD18E8"/>
    <w:rsid w:val="00BD195A"/>
    <w:rsid w:val="00BD1C0E"/>
    <w:rsid w:val="00BD203A"/>
    <w:rsid w:val="00BD20B6"/>
    <w:rsid w:val="00BD21B6"/>
    <w:rsid w:val="00BD21BA"/>
    <w:rsid w:val="00BD220A"/>
    <w:rsid w:val="00BD223B"/>
    <w:rsid w:val="00BD23D6"/>
    <w:rsid w:val="00BD2883"/>
    <w:rsid w:val="00BD28C0"/>
    <w:rsid w:val="00BD2A3E"/>
    <w:rsid w:val="00BD2BAD"/>
    <w:rsid w:val="00BD2ED7"/>
    <w:rsid w:val="00BD2FE4"/>
    <w:rsid w:val="00BD301B"/>
    <w:rsid w:val="00BD38EF"/>
    <w:rsid w:val="00BD3BD3"/>
    <w:rsid w:val="00BD3DD9"/>
    <w:rsid w:val="00BD3F22"/>
    <w:rsid w:val="00BD4150"/>
    <w:rsid w:val="00BD46A3"/>
    <w:rsid w:val="00BD4C9A"/>
    <w:rsid w:val="00BD4FF6"/>
    <w:rsid w:val="00BD5253"/>
    <w:rsid w:val="00BD572E"/>
    <w:rsid w:val="00BD587D"/>
    <w:rsid w:val="00BD58AA"/>
    <w:rsid w:val="00BD5ABB"/>
    <w:rsid w:val="00BD5FEE"/>
    <w:rsid w:val="00BD69AC"/>
    <w:rsid w:val="00BD6A37"/>
    <w:rsid w:val="00BD6A80"/>
    <w:rsid w:val="00BD6B0A"/>
    <w:rsid w:val="00BD6DCA"/>
    <w:rsid w:val="00BD730D"/>
    <w:rsid w:val="00BD7440"/>
    <w:rsid w:val="00BD776C"/>
    <w:rsid w:val="00BD78ED"/>
    <w:rsid w:val="00BD7902"/>
    <w:rsid w:val="00BD7BB5"/>
    <w:rsid w:val="00BD7C91"/>
    <w:rsid w:val="00BD7E63"/>
    <w:rsid w:val="00BD7FE2"/>
    <w:rsid w:val="00BE005B"/>
    <w:rsid w:val="00BE04F4"/>
    <w:rsid w:val="00BE0676"/>
    <w:rsid w:val="00BE075A"/>
    <w:rsid w:val="00BE0D35"/>
    <w:rsid w:val="00BE0D6B"/>
    <w:rsid w:val="00BE0F9E"/>
    <w:rsid w:val="00BE1512"/>
    <w:rsid w:val="00BE1744"/>
    <w:rsid w:val="00BE1861"/>
    <w:rsid w:val="00BE1BFC"/>
    <w:rsid w:val="00BE1E84"/>
    <w:rsid w:val="00BE1F21"/>
    <w:rsid w:val="00BE20EE"/>
    <w:rsid w:val="00BE2201"/>
    <w:rsid w:val="00BE236F"/>
    <w:rsid w:val="00BE293C"/>
    <w:rsid w:val="00BE366A"/>
    <w:rsid w:val="00BE3CF8"/>
    <w:rsid w:val="00BE3E6A"/>
    <w:rsid w:val="00BE404C"/>
    <w:rsid w:val="00BE4561"/>
    <w:rsid w:val="00BE462A"/>
    <w:rsid w:val="00BE462E"/>
    <w:rsid w:val="00BE4686"/>
    <w:rsid w:val="00BE49E6"/>
    <w:rsid w:val="00BE4A99"/>
    <w:rsid w:val="00BE4B61"/>
    <w:rsid w:val="00BE5009"/>
    <w:rsid w:val="00BE5232"/>
    <w:rsid w:val="00BE53C0"/>
    <w:rsid w:val="00BE5526"/>
    <w:rsid w:val="00BE5988"/>
    <w:rsid w:val="00BE5B7E"/>
    <w:rsid w:val="00BE5E69"/>
    <w:rsid w:val="00BE5E98"/>
    <w:rsid w:val="00BE62CE"/>
    <w:rsid w:val="00BE6602"/>
    <w:rsid w:val="00BE669C"/>
    <w:rsid w:val="00BE6A81"/>
    <w:rsid w:val="00BE6B33"/>
    <w:rsid w:val="00BE70FA"/>
    <w:rsid w:val="00BE73BE"/>
    <w:rsid w:val="00BE76F7"/>
    <w:rsid w:val="00BE79FF"/>
    <w:rsid w:val="00BF02A4"/>
    <w:rsid w:val="00BF03FE"/>
    <w:rsid w:val="00BF0548"/>
    <w:rsid w:val="00BF0559"/>
    <w:rsid w:val="00BF086E"/>
    <w:rsid w:val="00BF0FC3"/>
    <w:rsid w:val="00BF10A1"/>
    <w:rsid w:val="00BF12B4"/>
    <w:rsid w:val="00BF1588"/>
    <w:rsid w:val="00BF15BB"/>
    <w:rsid w:val="00BF20CB"/>
    <w:rsid w:val="00BF2A14"/>
    <w:rsid w:val="00BF2DD8"/>
    <w:rsid w:val="00BF2F9E"/>
    <w:rsid w:val="00BF3454"/>
    <w:rsid w:val="00BF37CB"/>
    <w:rsid w:val="00BF3B0F"/>
    <w:rsid w:val="00BF3BDB"/>
    <w:rsid w:val="00BF3CA8"/>
    <w:rsid w:val="00BF3E36"/>
    <w:rsid w:val="00BF3EC2"/>
    <w:rsid w:val="00BF43FD"/>
    <w:rsid w:val="00BF444E"/>
    <w:rsid w:val="00BF4861"/>
    <w:rsid w:val="00BF4C4C"/>
    <w:rsid w:val="00BF4E60"/>
    <w:rsid w:val="00BF518E"/>
    <w:rsid w:val="00BF51E5"/>
    <w:rsid w:val="00BF5267"/>
    <w:rsid w:val="00BF5373"/>
    <w:rsid w:val="00BF5415"/>
    <w:rsid w:val="00BF5F2D"/>
    <w:rsid w:val="00BF5F45"/>
    <w:rsid w:val="00BF6174"/>
    <w:rsid w:val="00BF6348"/>
    <w:rsid w:val="00BF64FE"/>
    <w:rsid w:val="00BF6541"/>
    <w:rsid w:val="00BF6549"/>
    <w:rsid w:val="00BF66CC"/>
    <w:rsid w:val="00BF6D57"/>
    <w:rsid w:val="00BF6EC1"/>
    <w:rsid w:val="00BF6FD9"/>
    <w:rsid w:val="00BF70C1"/>
    <w:rsid w:val="00BF73D5"/>
    <w:rsid w:val="00BF75EA"/>
    <w:rsid w:val="00BF7735"/>
    <w:rsid w:val="00BF7B55"/>
    <w:rsid w:val="00BF7BFA"/>
    <w:rsid w:val="00C000C7"/>
    <w:rsid w:val="00C001AF"/>
    <w:rsid w:val="00C00342"/>
    <w:rsid w:val="00C00371"/>
    <w:rsid w:val="00C004EC"/>
    <w:rsid w:val="00C0065E"/>
    <w:rsid w:val="00C00987"/>
    <w:rsid w:val="00C00C21"/>
    <w:rsid w:val="00C00FA0"/>
    <w:rsid w:val="00C01116"/>
    <w:rsid w:val="00C0144D"/>
    <w:rsid w:val="00C0172A"/>
    <w:rsid w:val="00C0192C"/>
    <w:rsid w:val="00C01C07"/>
    <w:rsid w:val="00C01FC8"/>
    <w:rsid w:val="00C02427"/>
    <w:rsid w:val="00C02739"/>
    <w:rsid w:val="00C02A1D"/>
    <w:rsid w:val="00C02B59"/>
    <w:rsid w:val="00C02E1E"/>
    <w:rsid w:val="00C0320A"/>
    <w:rsid w:val="00C03269"/>
    <w:rsid w:val="00C03355"/>
    <w:rsid w:val="00C03AAC"/>
    <w:rsid w:val="00C03C34"/>
    <w:rsid w:val="00C03C96"/>
    <w:rsid w:val="00C03D94"/>
    <w:rsid w:val="00C03E45"/>
    <w:rsid w:val="00C0404E"/>
    <w:rsid w:val="00C04324"/>
    <w:rsid w:val="00C04819"/>
    <w:rsid w:val="00C04838"/>
    <w:rsid w:val="00C04AD2"/>
    <w:rsid w:val="00C04DEF"/>
    <w:rsid w:val="00C04E76"/>
    <w:rsid w:val="00C05025"/>
    <w:rsid w:val="00C050F1"/>
    <w:rsid w:val="00C0534E"/>
    <w:rsid w:val="00C059C6"/>
    <w:rsid w:val="00C05A4B"/>
    <w:rsid w:val="00C05D06"/>
    <w:rsid w:val="00C05EDF"/>
    <w:rsid w:val="00C064AB"/>
    <w:rsid w:val="00C06AFC"/>
    <w:rsid w:val="00C06E3A"/>
    <w:rsid w:val="00C06EE8"/>
    <w:rsid w:val="00C0714A"/>
    <w:rsid w:val="00C078D7"/>
    <w:rsid w:val="00C07A13"/>
    <w:rsid w:val="00C07D00"/>
    <w:rsid w:val="00C07DFE"/>
    <w:rsid w:val="00C07E56"/>
    <w:rsid w:val="00C07F31"/>
    <w:rsid w:val="00C1008F"/>
    <w:rsid w:val="00C1015A"/>
    <w:rsid w:val="00C102FB"/>
    <w:rsid w:val="00C1068C"/>
    <w:rsid w:val="00C106BE"/>
    <w:rsid w:val="00C10784"/>
    <w:rsid w:val="00C1079A"/>
    <w:rsid w:val="00C10D4D"/>
    <w:rsid w:val="00C11123"/>
    <w:rsid w:val="00C11199"/>
    <w:rsid w:val="00C114D2"/>
    <w:rsid w:val="00C11547"/>
    <w:rsid w:val="00C117F2"/>
    <w:rsid w:val="00C11826"/>
    <w:rsid w:val="00C11C42"/>
    <w:rsid w:val="00C11DA5"/>
    <w:rsid w:val="00C11E79"/>
    <w:rsid w:val="00C11EA2"/>
    <w:rsid w:val="00C12162"/>
    <w:rsid w:val="00C12449"/>
    <w:rsid w:val="00C12968"/>
    <w:rsid w:val="00C129A5"/>
    <w:rsid w:val="00C12B9D"/>
    <w:rsid w:val="00C12CCC"/>
    <w:rsid w:val="00C12D7C"/>
    <w:rsid w:val="00C12FA9"/>
    <w:rsid w:val="00C13371"/>
    <w:rsid w:val="00C133C7"/>
    <w:rsid w:val="00C13416"/>
    <w:rsid w:val="00C134D7"/>
    <w:rsid w:val="00C136DA"/>
    <w:rsid w:val="00C13ECA"/>
    <w:rsid w:val="00C140C1"/>
    <w:rsid w:val="00C142E6"/>
    <w:rsid w:val="00C143AD"/>
    <w:rsid w:val="00C14582"/>
    <w:rsid w:val="00C14A2F"/>
    <w:rsid w:val="00C15091"/>
    <w:rsid w:val="00C1517C"/>
    <w:rsid w:val="00C15536"/>
    <w:rsid w:val="00C155F5"/>
    <w:rsid w:val="00C155F8"/>
    <w:rsid w:val="00C15A70"/>
    <w:rsid w:val="00C15A7C"/>
    <w:rsid w:val="00C15B8E"/>
    <w:rsid w:val="00C15DC5"/>
    <w:rsid w:val="00C15F4A"/>
    <w:rsid w:val="00C16062"/>
    <w:rsid w:val="00C16223"/>
    <w:rsid w:val="00C16230"/>
    <w:rsid w:val="00C162B8"/>
    <w:rsid w:val="00C16340"/>
    <w:rsid w:val="00C16560"/>
    <w:rsid w:val="00C169B0"/>
    <w:rsid w:val="00C169D0"/>
    <w:rsid w:val="00C16B3A"/>
    <w:rsid w:val="00C17127"/>
    <w:rsid w:val="00C173A8"/>
    <w:rsid w:val="00C1784B"/>
    <w:rsid w:val="00C179E7"/>
    <w:rsid w:val="00C17EA5"/>
    <w:rsid w:val="00C2004B"/>
    <w:rsid w:val="00C20232"/>
    <w:rsid w:val="00C205C4"/>
    <w:rsid w:val="00C209E5"/>
    <w:rsid w:val="00C20D2C"/>
    <w:rsid w:val="00C20D8F"/>
    <w:rsid w:val="00C2124E"/>
    <w:rsid w:val="00C215AC"/>
    <w:rsid w:val="00C216BC"/>
    <w:rsid w:val="00C216E9"/>
    <w:rsid w:val="00C2193B"/>
    <w:rsid w:val="00C219A4"/>
    <w:rsid w:val="00C21AC7"/>
    <w:rsid w:val="00C21CA9"/>
    <w:rsid w:val="00C21CD6"/>
    <w:rsid w:val="00C21DB5"/>
    <w:rsid w:val="00C226B1"/>
    <w:rsid w:val="00C22741"/>
    <w:rsid w:val="00C2280A"/>
    <w:rsid w:val="00C22984"/>
    <w:rsid w:val="00C22AE5"/>
    <w:rsid w:val="00C230A6"/>
    <w:rsid w:val="00C23104"/>
    <w:rsid w:val="00C237D8"/>
    <w:rsid w:val="00C2395F"/>
    <w:rsid w:val="00C23BA5"/>
    <w:rsid w:val="00C23D38"/>
    <w:rsid w:val="00C241E2"/>
    <w:rsid w:val="00C248D7"/>
    <w:rsid w:val="00C250C1"/>
    <w:rsid w:val="00C25414"/>
    <w:rsid w:val="00C25619"/>
    <w:rsid w:val="00C258B3"/>
    <w:rsid w:val="00C25D30"/>
    <w:rsid w:val="00C25E11"/>
    <w:rsid w:val="00C26206"/>
    <w:rsid w:val="00C26431"/>
    <w:rsid w:val="00C2698B"/>
    <w:rsid w:val="00C26BC0"/>
    <w:rsid w:val="00C26DDC"/>
    <w:rsid w:val="00C27129"/>
    <w:rsid w:val="00C27152"/>
    <w:rsid w:val="00C27213"/>
    <w:rsid w:val="00C27417"/>
    <w:rsid w:val="00C27442"/>
    <w:rsid w:val="00C27B4D"/>
    <w:rsid w:val="00C27CCA"/>
    <w:rsid w:val="00C27D93"/>
    <w:rsid w:val="00C27E71"/>
    <w:rsid w:val="00C302D3"/>
    <w:rsid w:val="00C304BA"/>
    <w:rsid w:val="00C3053B"/>
    <w:rsid w:val="00C30611"/>
    <w:rsid w:val="00C308E3"/>
    <w:rsid w:val="00C309BD"/>
    <w:rsid w:val="00C30CF3"/>
    <w:rsid w:val="00C3148D"/>
    <w:rsid w:val="00C31AEC"/>
    <w:rsid w:val="00C31C8B"/>
    <w:rsid w:val="00C31DBC"/>
    <w:rsid w:val="00C31DEC"/>
    <w:rsid w:val="00C31EF8"/>
    <w:rsid w:val="00C31F11"/>
    <w:rsid w:val="00C323CD"/>
    <w:rsid w:val="00C325EE"/>
    <w:rsid w:val="00C32622"/>
    <w:rsid w:val="00C32739"/>
    <w:rsid w:val="00C327E8"/>
    <w:rsid w:val="00C32953"/>
    <w:rsid w:val="00C32E0A"/>
    <w:rsid w:val="00C3304D"/>
    <w:rsid w:val="00C332C1"/>
    <w:rsid w:val="00C33362"/>
    <w:rsid w:val="00C336A6"/>
    <w:rsid w:val="00C33787"/>
    <w:rsid w:val="00C338D4"/>
    <w:rsid w:val="00C33A6D"/>
    <w:rsid w:val="00C33B30"/>
    <w:rsid w:val="00C33B70"/>
    <w:rsid w:val="00C33DFB"/>
    <w:rsid w:val="00C33F05"/>
    <w:rsid w:val="00C34135"/>
    <w:rsid w:val="00C341EE"/>
    <w:rsid w:val="00C34295"/>
    <w:rsid w:val="00C342CF"/>
    <w:rsid w:val="00C3467F"/>
    <w:rsid w:val="00C34856"/>
    <w:rsid w:val="00C348BF"/>
    <w:rsid w:val="00C34F92"/>
    <w:rsid w:val="00C353C9"/>
    <w:rsid w:val="00C35440"/>
    <w:rsid w:val="00C354D4"/>
    <w:rsid w:val="00C3590D"/>
    <w:rsid w:val="00C35CDC"/>
    <w:rsid w:val="00C35E1C"/>
    <w:rsid w:val="00C361DD"/>
    <w:rsid w:val="00C3647B"/>
    <w:rsid w:val="00C36C23"/>
    <w:rsid w:val="00C36C28"/>
    <w:rsid w:val="00C370DC"/>
    <w:rsid w:val="00C371CE"/>
    <w:rsid w:val="00C37353"/>
    <w:rsid w:val="00C373C9"/>
    <w:rsid w:val="00C37435"/>
    <w:rsid w:val="00C377C8"/>
    <w:rsid w:val="00C403A4"/>
    <w:rsid w:val="00C406C7"/>
    <w:rsid w:val="00C40794"/>
    <w:rsid w:val="00C407AC"/>
    <w:rsid w:val="00C40990"/>
    <w:rsid w:val="00C40D80"/>
    <w:rsid w:val="00C40D9C"/>
    <w:rsid w:val="00C41046"/>
    <w:rsid w:val="00C41430"/>
    <w:rsid w:val="00C416BA"/>
    <w:rsid w:val="00C41887"/>
    <w:rsid w:val="00C418D8"/>
    <w:rsid w:val="00C41F3D"/>
    <w:rsid w:val="00C422C4"/>
    <w:rsid w:val="00C42400"/>
    <w:rsid w:val="00C428A6"/>
    <w:rsid w:val="00C42A85"/>
    <w:rsid w:val="00C42E50"/>
    <w:rsid w:val="00C4313B"/>
    <w:rsid w:val="00C4319B"/>
    <w:rsid w:val="00C432D6"/>
    <w:rsid w:val="00C43430"/>
    <w:rsid w:val="00C43483"/>
    <w:rsid w:val="00C436BB"/>
    <w:rsid w:val="00C43BF3"/>
    <w:rsid w:val="00C43E70"/>
    <w:rsid w:val="00C43EF2"/>
    <w:rsid w:val="00C44131"/>
    <w:rsid w:val="00C441F3"/>
    <w:rsid w:val="00C4450D"/>
    <w:rsid w:val="00C4458A"/>
    <w:rsid w:val="00C44736"/>
    <w:rsid w:val="00C44763"/>
    <w:rsid w:val="00C44801"/>
    <w:rsid w:val="00C449C6"/>
    <w:rsid w:val="00C44BBD"/>
    <w:rsid w:val="00C44F6E"/>
    <w:rsid w:val="00C45663"/>
    <w:rsid w:val="00C456DD"/>
    <w:rsid w:val="00C458D5"/>
    <w:rsid w:val="00C459B6"/>
    <w:rsid w:val="00C45B86"/>
    <w:rsid w:val="00C45DED"/>
    <w:rsid w:val="00C45E19"/>
    <w:rsid w:val="00C45F14"/>
    <w:rsid w:val="00C46371"/>
    <w:rsid w:val="00C464D6"/>
    <w:rsid w:val="00C46670"/>
    <w:rsid w:val="00C466CC"/>
    <w:rsid w:val="00C46B00"/>
    <w:rsid w:val="00C46BF9"/>
    <w:rsid w:val="00C46E8C"/>
    <w:rsid w:val="00C47039"/>
    <w:rsid w:val="00C47077"/>
    <w:rsid w:val="00C47215"/>
    <w:rsid w:val="00C4765A"/>
    <w:rsid w:val="00C476D7"/>
    <w:rsid w:val="00C47A85"/>
    <w:rsid w:val="00C5008F"/>
    <w:rsid w:val="00C502B6"/>
    <w:rsid w:val="00C50373"/>
    <w:rsid w:val="00C50555"/>
    <w:rsid w:val="00C50CB9"/>
    <w:rsid w:val="00C50FC2"/>
    <w:rsid w:val="00C5129E"/>
    <w:rsid w:val="00C51789"/>
    <w:rsid w:val="00C518E3"/>
    <w:rsid w:val="00C51A4A"/>
    <w:rsid w:val="00C52363"/>
    <w:rsid w:val="00C52375"/>
    <w:rsid w:val="00C52B59"/>
    <w:rsid w:val="00C52BB0"/>
    <w:rsid w:val="00C52F73"/>
    <w:rsid w:val="00C53062"/>
    <w:rsid w:val="00C53142"/>
    <w:rsid w:val="00C5375A"/>
    <w:rsid w:val="00C53763"/>
    <w:rsid w:val="00C53909"/>
    <w:rsid w:val="00C53A59"/>
    <w:rsid w:val="00C53D36"/>
    <w:rsid w:val="00C53F16"/>
    <w:rsid w:val="00C54A27"/>
    <w:rsid w:val="00C54DA3"/>
    <w:rsid w:val="00C54EE2"/>
    <w:rsid w:val="00C54F15"/>
    <w:rsid w:val="00C551D2"/>
    <w:rsid w:val="00C55369"/>
    <w:rsid w:val="00C554FE"/>
    <w:rsid w:val="00C55BD7"/>
    <w:rsid w:val="00C55CA5"/>
    <w:rsid w:val="00C563CB"/>
    <w:rsid w:val="00C564BA"/>
    <w:rsid w:val="00C566E3"/>
    <w:rsid w:val="00C56735"/>
    <w:rsid w:val="00C56A6C"/>
    <w:rsid w:val="00C56C1E"/>
    <w:rsid w:val="00C56D42"/>
    <w:rsid w:val="00C56DAB"/>
    <w:rsid w:val="00C56DED"/>
    <w:rsid w:val="00C56F41"/>
    <w:rsid w:val="00C5728C"/>
    <w:rsid w:val="00C576A1"/>
    <w:rsid w:val="00C57708"/>
    <w:rsid w:val="00C57875"/>
    <w:rsid w:val="00C5791C"/>
    <w:rsid w:val="00C57D85"/>
    <w:rsid w:val="00C57D92"/>
    <w:rsid w:val="00C57E03"/>
    <w:rsid w:val="00C6005B"/>
    <w:rsid w:val="00C60258"/>
    <w:rsid w:val="00C60296"/>
    <w:rsid w:val="00C60328"/>
    <w:rsid w:val="00C60446"/>
    <w:rsid w:val="00C605B4"/>
    <w:rsid w:val="00C60B28"/>
    <w:rsid w:val="00C60D91"/>
    <w:rsid w:val="00C61089"/>
    <w:rsid w:val="00C611B2"/>
    <w:rsid w:val="00C611B9"/>
    <w:rsid w:val="00C61725"/>
    <w:rsid w:val="00C61938"/>
    <w:rsid w:val="00C61AFF"/>
    <w:rsid w:val="00C61E50"/>
    <w:rsid w:val="00C6208C"/>
    <w:rsid w:val="00C621C1"/>
    <w:rsid w:val="00C621DB"/>
    <w:rsid w:val="00C62978"/>
    <w:rsid w:val="00C62CEE"/>
    <w:rsid w:val="00C633A8"/>
    <w:rsid w:val="00C63418"/>
    <w:rsid w:val="00C63463"/>
    <w:rsid w:val="00C634A3"/>
    <w:rsid w:val="00C635F9"/>
    <w:rsid w:val="00C63632"/>
    <w:rsid w:val="00C63748"/>
    <w:rsid w:val="00C637A5"/>
    <w:rsid w:val="00C63829"/>
    <w:rsid w:val="00C63BE3"/>
    <w:rsid w:val="00C63D1D"/>
    <w:rsid w:val="00C64006"/>
    <w:rsid w:val="00C64046"/>
    <w:rsid w:val="00C64123"/>
    <w:rsid w:val="00C64160"/>
    <w:rsid w:val="00C641ED"/>
    <w:rsid w:val="00C64425"/>
    <w:rsid w:val="00C6468E"/>
    <w:rsid w:val="00C6478C"/>
    <w:rsid w:val="00C649CD"/>
    <w:rsid w:val="00C64ACB"/>
    <w:rsid w:val="00C64B2C"/>
    <w:rsid w:val="00C64DEC"/>
    <w:rsid w:val="00C65047"/>
    <w:rsid w:val="00C650EC"/>
    <w:rsid w:val="00C65127"/>
    <w:rsid w:val="00C651D5"/>
    <w:rsid w:val="00C65337"/>
    <w:rsid w:val="00C65AA6"/>
    <w:rsid w:val="00C65DE6"/>
    <w:rsid w:val="00C65FAB"/>
    <w:rsid w:val="00C6615B"/>
    <w:rsid w:val="00C664FE"/>
    <w:rsid w:val="00C665D4"/>
    <w:rsid w:val="00C66D39"/>
    <w:rsid w:val="00C6701C"/>
    <w:rsid w:val="00C67347"/>
    <w:rsid w:val="00C67419"/>
    <w:rsid w:val="00C67516"/>
    <w:rsid w:val="00C6776C"/>
    <w:rsid w:val="00C677E4"/>
    <w:rsid w:val="00C67B1C"/>
    <w:rsid w:val="00C67D1B"/>
    <w:rsid w:val="00C67EF9"/>
    <w:rsid w:val="00C67F26"/>
    <w:rsid w:val="00C704F9"/>
    <w:rsid w:val="00C708F2"/>
    <w:rsid w:val="00C709E5"/>
    <w:rsid w:val="00C70B05"/>
    <w:rsid w:val="00C70ED2"/>
    <w:rsid w:val="00C710DA"/>
    <w:rsid w:val="00C71444"/>
    <w:rsid w:val="00C718B9"/>
    <w:rsid w:val="00C71C52"/>
    <w:rsid w:val="00C71C7E"/>
    <w:rsid w:val="00C71E80"/>
    <w:rsid w:val="00C71EEE"/>
    <w:rsid w:val="00C72076"/>
    <w:rsid w:val="00C725DD"/>
    <w:rsid w:val="00C72829"/>
    <w:rsid w:val="00C72A47"/>
    <w:rsid w:val="00C72C73"/>
    <w:rsid w:val="00C72CA0"/>
    <w:rsid w:val="00C7322E"/>
    <w:rsid w:val="00C73AED"/>
    <w:rsid w:val="00C73B43"/>
    <w:rsid w:val="00C73F95"/>
    <w:rsid w:val="00C74225"/>
    <w:rsid w:val="00C74254"/>
    <w:rsid w:val="00C74744"/>
    <w:rsid w:val="00C748DA"/>
    <w:rsid w:val="00C748E0"/>
    <w:rsid w:val="00C7496E"/>
    <w:rsid w:val="00C74CE1"/>
    <w:rsid w:val="00C74F4C"/>
    <w:rsid w:val="00C75067"/>
    <w:rsid w:val="00C75714"/>
    <w:rsid w:val="00C75AC0"/>
    <w:rsid w:val="00C75EBB"/>
    <w:rsid w:val="00C762AC"/>
    <w:rsid w:val="00C7634E"/>
    <w:rsid w:val="00C76544"/>
    <w:rsid w:val="00C7697A"/>
    <w:rsid w:val="00C76A5E"/>
    <w:rsid w:val="00C76AD6"/>
    <w:rsid w:val="00C772E0"/>
    <w:rsid w:val="00C77697"/>
    <w:rsid w:val="00C777ED"/>
    <w:rsid w:val="00C77881"/>
    <w:rsid w:val="00C779C9"/>
    <w:rsid w:val="00C77CC4"/>
    <w:rsid w:val="00C77D1F"/>
    <w:rsid w:val="00C77E62"/>
    <w:rsid w:val="00C8013A"/>
    <w:rsid w:val="00C80179"/>
    <w:rsid w:val="00C8034B"/>
    <w:rsid w:val="00C80555"/>
    <w:rsid w:val="00C8077D"/>
    <w:rsid w:val="00C80ECB"/>
    <w:rsid w:val="00C81E49"/>
    <w:rsid w:val="00C82120"/>
    <w:rsid w:val="00C82268"/>
    <w:rsid w:val="00C8229D"/>
    <w:rsid w:val="00C8237D"/>
    <w:rsid w:val="00C826DF"/>
    <w:rsid w:val="00C82828"/>
    <w:rsid w:val="00C82A3B"/>
    <w:rsid w:val="00C82E99"/>
    <w:rsid w:val="00C82F6F"/>
    <w:rsid w:val="00C830D3"/>
    <w:rsid w:val="00C833AE"/>
    <w:rsid w:val="00C838F6"/>
    <w:rsid w:val="00C8398E"/>
    <w:rsid w:val="00C84360"/>
    <w:rsid w:val="00C84539"/>
    <w:rsid w:val="00C845E7"/>
    <w:rsid w:val="00C84C70"/>
    <w:rsid w:val="00C84CD6"/>
    <w:rsid w:val="00C850C0"/>
    <w:rsid w:val="00C853E8"/>
    <w:rsid w:val="00C8598B"/>
    <w:rsid w:val="00C85B9D"/>
    <w:rsid w:val="00C85C79"/>
    <w:rsid w:val="00C85DD1"/>
    <w:rsid w:val="00C8661F"/>
    <w:rsid w:val="00C869EC"/>
    <w:rsid w:val="00C86A20"/>
    <w:rsid w:val="00C86A22"/>
    <w:rsid w:val="00C86B01"/>
    <w:rsid w:val="00C86B60"/>
    <w:rsid w:val="00C86C8F"/>
    <w:rsid w:val="00C870DE"/>
    <w:rsid w:val="00C871C5"/>
    <w:rsid w:val="00C872F1"/>
    <w:rsid w:val="00C873DB"/>
    <w:rsid w:val="00C873E5"/>
    <w:rsid w:val="00C876C0"/>
    <w:rsid w:val="00C87878"/>
    <w:rsid w:val="00C87A74"/>
    <w:rsid w:val="00C87AE8"/>
    <w:rsid w:val="00C87BCB"/>
    <w:rsid w:val="00C87F7E"/>
    <w:rsid w:val="00C902F8"/>
    <w:rsid w:val="00C907AF"/>
    <w:rsid w:val="00C90962"/>
    <w:rsid w:val="00C90AA5"/>
    <w:rsid w:val="00C90DC0"/>
    <w:rsid w:val="00C90DFA"/>
    <w:rsid w:val="00C90E73"/>
    <w:rsid w:val="00C90EAB"/>
    <w:rsid w:val="00C91508"/>
    <w:rsid w:val="00C916DE"/>
    <w:rsid w:val="00C917AF"/>
    <w:rsid w:val="00C91A51"/>
    <w:rsid w:val="00C9220E"/>
    <w:rsid w:val="00C922CF"/>
    <w:rsid w:val="00C9258D"/>
    <w:rsid w:val="00C926AF"/>
    <w:rsid w:val="00C92871"/>
    <w:rsid w:val="00C929FF"/>
    <w:rsid w:val="00C92B64"/>
    <w:rsid w:val="00C92E12"/>
    <w:rsid w:val="00C931A4"/>
    <w:rsid w:val="00C937C0"/>
    <w:rsid w:val="00C939FA"/>
    <w:rsid w:val="00C93E0F"/>
    <w:rsid w:val="00C94126"/>
    <w:rsid w:val="00C94995"/>
    <w:rsid w:val="00C94B3C"/>
    <w:rsid w:val="00C950F5"/>
    <w:rsid w:val="00C951FC"/>
    <w:rsid w:val="00C953E3"/>
    <w:rsid w:val="00C9556E"/>
    <w:rsid w:val="00C9575D"/>
    <w:rsid w:val="00C95980"/>
    <w:rsid w:val="00C95ABE"/>
    <w:rsid w:val="00C95C62"/>
    <w:rsid w:val="00C95D61"/>
    <w:rsid w:val="00C96383"/>
    <w:rsid w:val="00C9639B"/>
    <w:rsid w:val="00C96416"/>
    <w:rsid w:val="00C966AC"/>
    <w:rsid w:val="00C966DC"/>
    <w:rsid w:val="00C970CF"/>
    <w:rsid w:val="00C970F5"/>
    <w:rsid w:val="00C972AB"/>
    <w:rsid w:val="00C972B3"/>
    <w:rsid w:val="00C97321"/>
    <w:rsid w:val="00C9786A"/>
    <w:rsid w:val="00C97A11"/>
    <w:rsid w:val="00C97A5E"/>
    <w:rsid w:val="00C97BB2"/>
    <w:rsid w:val="00CA0067"/>
    <w:rsid w:val="00CA01F1"/>
    <w:rsid w:val="00CA04A7"/>
    <w:rsid w:val="00CA05D2"/>
    <w:rsid w:val="00CA0625"/>
    <w:rsid w:val="00CA08DE"/>
    <w:rsid w:val="00CA0BF3"/>
    <w:rsid w:val="00CA0E5D"/>
    <w:rsid w:val="00CA13DC"/>
    <w:rsid w:val="00CA1646"/>
    <w:rsid w:val="00CA1A79"/>
    <w:rsid w:val="00CA1C96"/>
    <w:rsid w:val="00CA1D8B"/>
    <w:rsid w:val="00CA261B"/>
    <w:rsid w:val="00CA282A"/>
    <w:rsid w:val="00CA2B83"/>
    <w:rsid w:val="00CA2C72"/>
    <w:rsid w:val="00CA3106"/>
    <w:rsid w:val="00CA3FB0"/>
    <w:rsid w:val="00CA43BD"/>
    <w:rsid w:val="00CA43F8"/>
    <w:rsid w:val="00CA43FC"/>
    <w:rsid w:val="00CA4420"/>
    <w:rsid w:val="00CA4806"/>
    <w:rsid w:val="00CA49E7"/>
    <w:rsid w:val="00CA4BF9"/>
    <w:rsid w:val="00CA4C67"/>
    <w:rsid w:val="00CA4E05"/>
    <w:rsid w:val="00CA4FA8"/>
    <w:rsid w:val="00CA4FD2"/>
    <w:rsid w:val="00CA52AA"/>
    <w:rsid w:val="00CA55AA"/>
    <w:rsid w:val="00CA57C9"/>
    <w:rsid w:val="00CA5957"/>
    <w:rsid w:val="00CA5BBA"/>
    <w:rsid w:val="00CA5E95"/>
    <w:rsid w:val="00CA5EBC"/>
    <w:rsid w:val="00CA6144"/>
    <w:rsid w:val="00CA67E6"/>
    <w:rsid w:val="00CA681F"/>
    <w:rsid w:val="00CA6C45"/>
    <w:rsid w:val="00CA6D89"/>
    <w:rsid w:val="00CA70EA"/>
    <w:rsid w:val="00CA747A"/>
    <w:rsid w:val="00CA7685"/>
    <w:rsid w:val="00CA7AF4"/>
    <w:rsid w:val="00CA7BD8"/>
    <w:rsid w:val="00CA7D65"/>
    <w:rsid w:val="00CA7D7B"/>
    <w:rsid w:val="00CA7DDE"/>
    <w:rsid w:val="00CA7FAA"/>
    <w:rsid w:val="00CB00AB"/>
    <w:rsid w:val="00CB022F"/>
    <w:rsid w:val="00CB0497"/>
    <w:rsid w:val="00CB04B7"/>
    <w:rsid w:val="00CB08B7"/>
    <w:rsid w:val="00CB0B12"/>
    <w:rsid w:val="00CB0FC2"/>
    <w:rsid w:val="00CB1538"/>
    <w:rsid w:val="00CB184E"/>
    <w:rsid w:val="00CB1AED"/>
    <w:rsid w:val="00CB1DCE"/>
    <w:rsid w:val="00CB1F94"/>
    <w:rsid w:val="00CB2027"/>
    <w:rsid w:val="00CB2175"/>
    <w:rsid w:val="00CB22AF"/>
    <w:rsid w:val="00CB2674"/>
    <w:rsid w:val="00CB278D"/>
    <w:rsid w:val="00CB288E"/>
    <w:rsid w:val="00CB2FBE"/>
    <w:rsid w:val="00CB3062"/>
    <w:rsid w:val="00CB34EE"/>
    <w:rsid w:val="00CB3965"/>
    <w:rsid w:val="00CB39E6"/>
    <w:rsid w:val="00CB3EED"/>
    <w:rsid w:val="00CB4015"/>
    <w:rsid w:val="00CB4096"/>
    <w:rsid w:val="00CB43E3"/>
    <w:rsid w:val="00CB4660"/>
    <w:rsid w:val="00CB4D18"/>
    <w:rsid w:val="00CB4D87"/>
    <w:rsid w:val="00CB4DF6"/>
    <w:rsid w:val="00CB4E16"/>
    <w:rsid w:val="00CB4F38"/>
    <w:rsid w:val="00CB5033"/>
    <w:rsid w:val="00CB53FF"/>
    <w:rsid w:val="00CB540D"/>
    <w:rsid w:val="00CB549C"/>
    <w:rsid w:val="00CB5736"/>
    <w:rsid w:val="00CB576A"/>
    <w:rsid w:val="00CB5A4D"/>
    <w:rsid w:val="00CB5A93"/>
    <w:rsid w:val="00CB61C1"/>
    <w:rsid w:val="00CB6329"/>
    <w:rsid w:val="00CB641D"/>
    <w:rsid w:val="00CB648A"/>
    <w:rsid w:val="00CB65AA"/>
    <w:rsid w:val="00CB66B9"/>
    <w:rsid w:val="00CB66DC"/>
    <w:rsid w:val="00CB6838"/>
    <w:rsid w:val="00CB6B05"/>
    <w:rsid w:val="00CB7E85"/>
    <w:rsid w:val="00CB7F5A"/>
    <w:rsid w:val="00CB7FAE"/>
    <w:rsid w:val="00CC0268"/>
    <w:rsid w:val="00CC057A"/>
    <w:rsid w:val="00CC0657"/>
    <w:rsid w:val="00CC0893"/>
    <w:rsid w:val="00CC0F50"/>
    <w:rsid w:val="00CC0FC7"/>
    <w:rsid w:val="00CC1206"/>
    <w:rsid w:val="00CC1408"/>
    <w:rsid w:val="00CC188E"/>
    <w:rsid w:val="00CC19D5"/>
    <w:rsid w:val="00CC1CC8"/>
    <w:rsid w:val="00CC1E59"/>
    <w:rsid w:val="00CC1F38"/>
    <w:rsid w:val="00CC2111"/>
    <w:rsid w:val="00CC2501"/>
    <w:rsid w:val="00CC25E0"/>
    <w:rsid w:val="00CC267F"/>
    <w:rsid w:val="00CC28AE"/>
    <w:rsid w:val="00CC2DD0"/>
    <w:rsid w:val="00CC3091"/>
    <w:rsid w:val="00CC3269"/>
    <w:rsid w:val="00CC33B6"/>
    <w:rsid w:val="00CC3799"/>
    <w:rsid w:val="00CC3968"/>
    <w:rsid w:val="00CC39A3"/>
    <w:rsid w:val="00CC3BD3"/>
    <w:rsid w:val="00CC3D60"/>
    <w:rsid w:val="00CC4070"/>
    <w:rsid w:val="00CC4518"/>
    <w:rsid w:val="00CC454C"/>
    <w:rsid w:val="00CC4585"/>
    <w:rsid w:val="00CC4686"/>
    <w:rsid w:val="00CC470F"/>
    <w:rsid w:val="00CC47F4"/>
    <w:rsid w:val="00CC4D2B"/>
    <w:rsid w:val="00CC4F08"/>
    <w:rsid w:val="00CC50A1"/>
    <w:rsid w:val="00CC5157"/>
    <w:rsid w:val="00CC535D"/>
    <w:rsid w:val="00CC5580"/>
    <w:rsid w:val="00CC5B2F"/>
    <w:rsid w:val="00CC5DC1"/>
    <w:rsid w:val="00CC5FA5"/>
    <w:rsid w:val="00CC6051"/>
    <w:rsid w:val="00CC6298"/>
    <w:rsid w:val="00CC6737"/>
    <w:rsid w:val="00CC68DB"/>
    <w:rsid w:val="00CC6AFF"/>
    <w:rsid w:val="00CC6C6A"/>
    <w:rsid w:val="00CC6DA1"/>
    <w:rsid w:val="00CC726C"/>
    <w:rsid w:val="00CC730F"/>
    <w:rsid w:val="00CC7471"/>
    <w:rsid w:val="00CC763B"/>
    <w:rsid w:val="00CC7BFD"/>
    <w:rsid w:val="00CC7DB9"/>
    <w:rsid w:val="00CC7EAA"/>
    <w:rsid w:val="00CD029F"/>
    <w:rsid w:val="00CD03BC"/>
    <w:rsid w:val="00CD0579"/>
    <w:rsid w:val="00CD07B8"/>
    <w:rsid w:val="00CD0915"/>
    <w:rsid w:val="00CD0C01"/>
    <w:rsid w:val="00CD106A"/>
    <w:rsid w:val="00CD18D8"/>
    <w:rsid w:val="00CD194D"/>
    <w:rsid w:val="00CD1968"/>
    <w:rsid w:val="00CD1C3F"/>
    <w:rsid w:val="00CD1DFE"/>
    <w:rsid w:val="00CD1E2C"/>
    <w:rsid w:val="00CD2124"/>
    <w:rsid w:val="00CD21DD"/>
    <w:rsid w:val="00CD21E8"/>
    <w:rsid w:val="00CD21EB"/>
    <w:rsid w:val="00CD2669"/>
    <w:rsid w:val="00CD26F4"/>
    <w:rsid w:val="00CD28D1"/>
    <w:rsid w:val="00CD28F6"/>
    <w:rsid w:val="00CD29B2"/>
    <w:rsid w:val="00CD2C1F"/>
    <w:rsid w:val="00CD30C8"/>
    <w:rsid w:val="00CD3145"/>
    <w:rsid w:val="00CD33C4"/>
    <w:rsid w:val="00CD3C75"/>
    <w:rsid w:val="00CD3CF0"/>
    <w:rsid w:val="00CD3E45"/>
    <w:rsid w:val="00CD4126"/>
    <w:rsid w:val="00CD416A"/>
    <w:rsid w:val="00CD41B0"/>
    <w:rsid w:val="00CD43B4"/>
    <w:rsid w:val="00CD48C4"/>
    <w:rsid w:val="00CD4F39"/>
    <w:rsid w:val="00CD518C"/>
    <w:rsid w:val="00CD5382"/>
    <w:rsid w:val="00CD54DF"/>
    <w:rsid w:val="00CD56D8"/>
    <w:rsid w:val="00CD5CAF"/>
    <w:rsid w:val="00CD5FBD"/>
    <w:rsid w:val="00CD617C"/>
    <w:rsid w:val="00CD6536"/>
    <w:rsid w:val="00CD6552"/>
    <w:rsid w:val="00CD69EC"/>
    <w:rsid w:val="00CD6BB7"/>
    <w:rsid w:val="00CD70F3"/>
    <w:rsid w:val="00CD7130"/>
    <w:rsid w:val="00CD72E7"/>
    <w:rsid w:val="00CD733A"/>
    <w:rsid w:val="00CD75D1"/>
    <w:rsid w:val="00CD7646"/>
    <w:rsid w:val="00CD7844"/>
    <w:rsid w:val="00CD7A58"/>
    <w:rsid w:val="00CD7D1D"/>
    <w:rsid w:val="00CD7FB3"/>
    <w:rsid w:val="00CE0141"/>
    <w:rsid w:val="00CE0804"/>
    <w:rsid w:val="00CE0BEE"/>
    <w:rsid w:val="00CE0C30"/>
    <w:rsid w:val="00CE0C4C"/>
    <w:rsid w:val="00CE0E24"/>
    <w:rsid w:val="00CE0FC7"/>
    <w:rsid w:val="00CE0FDD"/>
    <w:rsid w:val="00CE1360"/>
    <w:rsid w:val="00CE1BE3"/>
    <w:rsid w:val="00CE1D76"/>
    <w:rsid w:val="00CE2292"/>
    <w:rsid w:val="00CE2349"/>
    <w:rsid w:val="00CE2475"/>
    <w:rsid w:val="00CE247F"/>
    <w:rsid w:val="00CE25E2"/>
    <w:rsid w:val="00CE25FF"/>
    <w:rsid w:val="00CE26B3"/>
    <w:rsid w:val="00CE2922"/>
    <w:rsid w:val="00CE296A"/>
    <w:rsid w:val="00CE2A5C"/>
    <w:rsid w:val="00CE2C3B"/>
    <w:rsid w:val="00CE2D24"/>
    <w:rsid w:val="00CE2E79"/>
    <w:rsid w:val="00CE2F45"/>
    <w:rsid w:val="00CE3280"/>
    <w:rsid w:val="00CE37A6"/>
    <w:rsid w:val="00CE40DA"/>
    <w:rsid w:val="00CE44D6"/>
    <w:rsid w:val="00CE455E"/>
    <w:rsid w:val="00CE4725"/>
    <w:rsid w:val="00CE4746"/>
    <w:rsid w:val="00CE48F2"/>
    <w:rsid w:val="00CE4F6F"/>
    <w:rsid w:val="00CE5142"/>
    <w:rsid w:val="00CE56D5"/>
    <w:rsid w:val="00CE5965"/>
    <w:rsid w:val="00CE59E7"/>
    <w:rsid w:val="00CE5B4D"/>
    <w:rsid w:val="00CE5BE4"/>
    <w:rsid w:val="00CE6008"/>
    <w:rsid w:val="00CE61D5"/>
    <w:rsid w:val="00CE66DE"/>
    <w:rsid w:val="00CE6833"/>
    <w:rsid w:val="00CE68C0"/>
    <w:rsid w:val="00CE6A32"/>
    <w:rsid w:val="00CE6A86"/>
    <w:rsid w:val="00CE6D20"/>
    <w:rsid w:val="00CE7066"/>
    <w:rsid w:val="00CE71AA"/>
    <w:rsid w:val="00CE71EE"/>
    <w:rsid w:val="00CE729F"/>
    <w:rsid w:val="00CE75BB"/>
    <w:rsid w:val="00CE76D8"/>
    <w:rsid w:val="00CE7F32"/>
    <w:rsid w:val="00CF0038"/>
    <w:rsid w:val="00CF0556"/>
    <w:rsid w:val="00CF0DC0"/>
    <w:rsid w:val="00CF0E96"/>
    <w:rsid w:val="00CF0FF2"/>
    <w:rsid w:val="00CF1C7A"/>
    <w:rsid w:val="00CF1D6F"/>
    <w:rsid w:val="00CF218C"/>
    <w:rsid w:val="00CF2810"/>
    <w:rsid w:val="00CF2B4A"/>
    <w:rsid w:val="00CF2CD5"/>
    <w:rsid w:val="00CF2D93"/>
    <w:rsid w:val="00CF2DDC"/>
    <w:rsid w:val="00CF2E53"/>
    <w:rsid w:val="00CF2F83"/>
    <w:rsid w:val="00CF32A5"/>
    <w:rsid w:val="00CF3348"/>
    <w:rsid w:val="00CF3A2B"/>
    <w:rsid w:val="00CF3D61"/>
    <w:rsid w:val="00CF425C"/>
    <w:rsid w:val="00CF4618"/>
    <w:rsid w:val="00CF4A30"/>
    <w:rsid w:val="00CF4AAA"/>
    <w:rsid w:val="00CF4B96"/>
    <w:rsid w:val="00CF4BFF"/>
    <w:rsid w:val="00CF4D05"/>
    <w:rsid w:val="00CF4D85"/>
    <w:rsid w:val="00CF50AD"/>
    <w:rsid w:val="00CF50AE"/>
    <w:rsid w:val="00CF51E1"/>
    <w:rsid w:val="00CF549C"/>
    <w:rsid w:val="00CF586B"/>
    <w:rsid w:val="00CF5AA3"/>
    <w:rsid w:val="00CF5C87"/>
    <w:rsid w:val="00CF5D7C"/>
    <w:rsid w:val="00CF5DD8"/>
    <w:rsid w:val="00CF60AC"/>
    <w:rsid w:val="00CF69C2"/>
    <w:rsid w:val="00CF6F1A"/>
    <w:rsid w:val="00CF70FB"/>
    <w:rsid w:val="00CF7147"/>
    <w:rsid w:val="00CF716A"/>
    <w:rsid w:val="00CF7287"/>
    <w:rsid w:val="00D000AC"/>
    <w:rsid w:val="00D001AB"/>
    <w:rsid w:val="00D00262"/>
    <w:rsid w:val="00D006E1"/>
    <w:rsid w:val="00D0088B"/>
    <w:rsid w:val="00D00B99"/>
    <w:rsid w:val="00D00D4C"/>
    <w:rsid w:val="00D01133"/>
    <w:rsid w:val="00D011CB"/>
    <w:rsid w:val="00D012AD"/>
    <w:rsid w:val="00D0172C"/>
    <w:rsid w:val="00D018D4"/>
    <w:rsid w:val="00D01BDB"/>
    <w:rsid w:val="00D02341"/>
    <w:rsid w:val="00D0251D"/>
    <w:rsid w:val="00D025E7"/>
    <w:rsid w:val="00D02ADE"/>
    <w:rsid w:val="00D02BA2"/>
    <w:rsid w:val="00D02EC0"/>
    <w:rsid w:val="00D02EE4"/>
    <w:rsid w:val="00D0323A"/>
    <w:rsid w:val="00D0343E"/>
    <w:rsid w:val="00D035BA"/>
    <w:rsid w:val="00D03F58"/>
    <w:rsid w:val="00D040CE"/>
    <w:rsid w:val="00D041EF"/>
    <w:rsid w:val="00D04255"/>
    <w:rsid w:val="00D0432B"/>
    <w:rsid w:val="00D04608"/>
    <w:rsid w:val="00D048A8"/>
    <w:rsid w:val="00D04981"/>
    <w:rsid w:val="00D04E44"/>
    <w:rsid w:val="00D04FCF"/>
    <w:rsid w:val="00D05356"/>
    <w:rsid w:val="00D055A6"/>
    <w:rsid w:val="00D057AF"/>
    <w:rsid w:val="00D05967"/>
    <w:rsid w:val="00D05A7F"/>
    <w:rsid w:val="00D05AB5"/>
    <w:rsid w:val="00D05C42"/>
    <w:rsid w:val="00D05D5A"/>
    <w:rsid w:val="00D05F62"/>
    <w:rsid w:val="00D061B0"/>
    <w:rsid w:val="00D064D3"/>
    <w:rsid w:val="00D06628"/>
    <w:rsid w:val="00D0692E"/>
    <w:rsid w:val="00D06962"/>
    <w:rsid w:val="00D073FA"/>
    <w:rsid w:val="00D0768B"/>
    <w:rsid w:val="00D076A4"/>
    <w:rsid w:val="00D077AD"/>
    <w:rsid w:val="00D07FBC"/>
    <w:rsid w:val="00D1049A"/>
    <w:rsid w:val="00D10622"/>
    <w:rsid w:val="00D106A7"/>
    <w:rsid w:val="00D1091E"/>
    <w:rsid w:val="00D10A23"/>
    <w:rsid w:val="00D10A32"/>
    <w:rsid w:val="00D10EA1"/>
    <w:rsid w:val="00D11304"/>
    <w:rsid w:val="00D11871"/>
    <w:rsid w:val="00D11930"/>
    <w:rsid w:val="00D120A6"/>
    <w:rsid w:val="00D124A8"/>
    <w:rsid w:val="00D127C7"/>
    <w:rsid w:val="00D12917"/>
    <w:rsid w:val="00D12A38"/>
    <w:rsid w:val="00D12C1A"/>
    <w:rsid w:val="00D131A4"/>
    <w:rsid w:val="00D131D2"/>
    <w:rsid w:val="00D131F5"/>
    <w:rsid w:val="00D13271"/>
    <w:rsid w:val="00D13304"/>
    <w:rsid w:val="00D13625"/>
    <w:rsid w:val="00D13664"/>
    <w:rsid w:val="00D137E6"/>
    <w:rsid w:val="00D137EE"/>
    <w:rsid w:val="00D13868"/>
    <w:rsid w:val="00D13FA4"/>
    <w:rsid w:val="00D14005"/>
    <w:rsid w:val="00D14078"/>
    <w:rsid w:val="00D1425B"/>
    <w:rsid w:val="00D142C8"/>
    <w:rsid w:val="00D1438B"/>
    <w:rsid w:val="00D146FF"/>
    <w:rsid w:val="00D147BD"/>
    <w:rsid w:val="00D14CAB"/>
    <w:rsid w:val="00D14CE1"/>
    <w:rsid w:val="00D15227"/>
    <w:rsid w:val="00D1551A"/>
    <w:rsid w:val="00D157B8"/>
    <w:rsid w:val="00D15900"/>
    <w:rsid w:val="00D15A8B"/>
    <w:rsid w:val="00D15E1E"/>
    <w:rsid w:val="00D15E84"/>
    <w:rsid w:val="00D162AF"/>
    <w:rsid w:val="00D164E5"/>
    <w:rsid w:val="00D16618"/>
    <w:rsid w:val="00D16635"/>
    <w:rsid w:val="00D16A9E"/>
    <w:rsid w:val="00D16D63"/>
    <w:rsid w:val="00D16DF7"/>
    <w:rsid w:val="00D170E3"/>
    <w:rsid w:val="00D17174"/>
    <w:rsid w:val="00D17787"/>
    <w:rsid w:val="00D17A05"/>
    <w:rsid w:val="00D20329"/>
    <w:rsid w:val="00D20433"/>
    <w:rsid w:val="00D2088E"/>
    <w:rsid w:val="00D20A7C"/>
    <w:rsid w:val="00D2120B"/>
    <w:rsid w:val="00D21252"/>
    <w:rsid w:val="00D21274"/>
    <w:rsid w:val="00D21616"/>
    <w:rsid w:val="00D216B9"/>
    <w:rsid w:val="00D21807"/>
    <w:rsid w:val="00D21B16"/>
    <w:rsid w:val="00D21BB5"/>
    <w:rsid w:val="00D21C41"/>
    <w:rsid w:val="00D21C99"/>
    <w:rsid w:val="00D21E3A"/>
    <w:rsid w:val="00D21E68"/>
    <w:rsid w:val="00D2231F"/>
    <w:rsid w:val="00D2254D"/>
    <w:rsid w:val="00D2257A"/>
    <w:rsid w:val="00D225ED"/>
    <w:rsid w:val="00D226B3"/>
    <w:rsid w:val="00D22A8F"/>
    <w:rsid w:val="00D22C25"/>
    <w:rsid w:val="00D22FFA"/>
    <w:rsid w:val="00D23117"/>
    <w:rsid w:val="00D2328F"/>
    <w:rsid w:val="00D23484"/>
    <w:rsid w:val="00D236F5"/>
    <w:rsid w:val="00D238B2"/>
    <w:rsid w:val="00D23A06"/>
    <w:rsid w:val="00D23A65"/>
    <w:rsid w:val="00D23F45"/>
    <w:rsid w:val="00D23F83"/>
    <w:rsid w:val="00D24BA1"/>
    <w:rsid w:val="00D24CF0"/>
    <w:rsid w:val="00D25179"/>
    <w:rsid w:val="00D2520B"/>
    <w:rsid w:val="00D2535F"/>
    <w:rsid w:val="00D25541"/>
    <w:rsid w:val="00D25665"/>
    <w:rsid w:val="00D25750"/>
    <w:rsid w:val="00D257B2"/>
    <w:rsid w:val="00D25949"/>
    <w:rsid w:val="00D25DA8"/>
    <w:rsid w:val="00D25E37"/>
    <w:rsid w:val="00D2603F"/>
    <w:rsid w:val="00D2612F"/>
    <w:rsid w:val="00D266ED"/>
    <w:rsid w:val="00D26775"/>
    <w:rsid w:val="00D26886"/>
    <w:rsid w:val="00D26C86"/>
    <w:rsid w:val="00D26CE6"/>
    <w:rsid w:val="00D26E53"/>
    <w:rsid w:val="00D27440"/>
    <w:rsid w:val="00D2774F"/>
    <w:rsid w:val="00D27871"/>
    <w:rsid w:val="00D27999"/>
    <w:rsid w:val="00D279FC"/>
    <w:rsid w:val="00D27CE7"/>
    <w:rsid w:val="00D27E95"/>
    <w:rsid w:val="00D27ED4"/>
    <w:rsid w:val="00D27F80"/>
    <w:rsid w:val="00D3072A"/>
    <w:rsid w:val="00D308FA"/>
    <w:rsid w:val="00D30D62"/>
    <w:rsid w:val="00D30D6A"/>
    <w:rsid w:val="00D31508"/>
    <w:rsid w:val="00D316DE"/>
    <w:rsid w:val="00D3178D"/>
    <w:rsid w:val="00D3188B"/>
    <w:rsid w:val="00D31A37"/>
    <w:rsid w:val="00D31ACE"/>
    <w:rsid w:val="00D31BD9"/>
    <w:rsid w:val="00D31D7D"/>
    <w:rsid w:val="00D31DA3"/>
    <w:rsid w:val="00D31E8C"/>
    <w:rsid w:val="00D31EFD"/>
    <w:rsid w:val="00D3201A"/>
    <w:rsid w:val="00D323BE"/>
    <w:rsid w:val="00D331AC"/>
    <w:rsid w:val="00D33534"/>
    <w:rsid w:val="00D33846"/>
    <w:rsid w:val="00D3444A"/>
    <w:rsid w:val="00D34519"/>
    <w:rsid w:val="00D347F3"/>
    <w:rsid w:val="00D349FB"/>
    <w:rsid w:val="00D34A51"/>
    <w:rsid w:val="00D34B06"/>
    <w:rsid w:val="00D34B6C"/>
    <w:rsid w:val="00D34CD7"/>
    <w:rsid w:val="00D34D7E"/>
    <w:rsid w:val="00D35003"/>
    <w:rsid w:val="00D351FB"/>
    <w:rsid w:val="00D35258"/>
    <w:rsid w:val="00D3557F"/>
    <w:rsid w:val="00D35618"/>
    <w:rsid w:val="00D35C22"/>
    <w:rsid w:val="00D35DA6"/>
    <w:rsid w:val="00D35EFE"/>
    <w:rsid w:val="00D36266"/>
    <w:rsid w:val="00D36567"/>
    <w:rsid w:val="00D36607"/>
    <w:rsid w:val="00D368A8"/>
    <w:rsid w:val="00D36B88"/>
    <w:rsid w:val="00D3726E"/>
    <w:rsid w:val="00D3730A"/>
    <w:rsid w:val="00D37549"/>
    <w:rsid w:val="00D377E5"/>
    <w:rsid w:val="00D37ABE"/>
    <w:rsid w:val="00D37BF5"/>
    <w:rsid w:val="00D37FD6"/>
    <w:rsid w:val="00D40125"/>
    <w:rsid w:val="00D40588"/>
    <w:rsid w:val="00D405BD"/>
    <w:rsid w:val="00D41259"/>
    <w:rsid w:val="00D414B0"/>
    <w:rsid w:val="00D41594"/>
    <w:rsid w:val="00D41902"/>
    <w:rsid w:val="00D419A2"/>
    <w:rsid w:val="00D41A07"/>
    <w:rsid w:val="00D41A4B"/>
    <w:rsid w:val="00D41BA8"/>
    <w:rsid w:val="00D41BE7"/>
    <w:rsid w:val="00D41C38"/>
    <w:rsid w:val="00D41E65"/>
    <w:rsid w:val="00D41F21"/>
    <w:rsid w:val="00D424F0"/>
    <w:rsid w:val="00D42E8C"/>
    <w:rsid w:val="00D43E36"/>
    <w:rsid w:val="00D43ED9"/>
    <w:rsid w:val="00D43F3A"/>
    <w:rsid w:val="00D4429D"/>
    <w:rsid w:val="00D4459C"/>
    <w:rsid w:val="00D445AC"/>
    <w:rsid w:val="00D4478B"/>
    <w:rsid w:val="00D449E1"/>
    <w:rsid w:val="00D44DE4"/>
    <w:rsid w:val="00D4517B"/>
    <w:rsid w:val="00D451B0"/>
    <w:rsid w:val="00D45720"/>
    <w:rsid w:val="00D45741"/>
    <w:rsid w:val="00D4576D"/>
    <w:rsid w:val="00D45804"/>
    <w:rsid w:val="00D4585D"/>
    <w:rsid w:val="00D45926"/>
    <w:rsid w:val="00D459C1"/>
    <w:rsid w:val="00D45B16"/>
    <w:rsid w:val="00D45DF4"/>
    <w:rsid w:val="00D46041"/>
    <w:rsid w:val="00D46CB5"/>
    <w:rsid w:val="00D47669"/>
    <w:rsid w:val="00D476B1"/>
    <w:rsid w:val="00D4784E"/>
    <w:rsid w:val="00D47D16"/>
    <w:rsid w:val="00D47DA8"/>
    <w:rsid w:val="00D47E0C"/>
    <w:rsid w:val="00D47E83"/>
    <w:rsid w:val="00D47E8D"/>
    <w:rsid w:val="00D47FC3"/>
    <w:rsid w:val="00D500F7"/>
    <w:rsid w:val="00D51156"/>
    <w:rsid w:val="00D5155A"/>
    <w:rsid w:val="00D515DC"/>
    <w:rsid w:val="00D51E69"/>
    <w:rsid w:val="00D520CF"/>
    <w:rsid w:val="00D520EB"/>
    <w:rsid w:val="00D522A1"/>
    <w:rsid w:val="00D52729"/>
    <w:rsid w:val="00D52AB0"/>
    <w:rsid w:val="00D52B6C"/>
    <w:rsid w:val="00D52BE2"/>
    <w:rsid w:val="00D5308C"/>
    <w:rsid w:val="00D53481"/>
    <w:rsid w:val="00D538A7"/>
    <w:rsid w:val="00D5396C"/>
    <w:rsid w:val="00D5397D"/>
    <w:rsid w:val="00D53B71"/>
    <w:rsid w:val="00D5424F"/>
    <w:rsid w:val="00D5438A"/>
    <w:rsid w:val="00D54491"/>
    <w:rsid w:val="00D54547"/>
    <w:rsid w:val="00D54732"/>
    <w:rsid w:val="00D54943"/>
    <w:rsid w:val="00D55027"/>
    <w:rsid w:val="00D55071"/>
    <w:rsid w:val="00D553BD"/>
    <w:rsid w:val="00D55751"/>
    <w:rsid w:val="00D55770"/>
    <w:rsid w:val="00D55F4C"/>
    <w:rsid w:val="00D56758"/>
    <w:rsid w:val="00D56787"/>
    <w:rsid w:val="00D5679F"/>
    <w:rsid w:val="00D569C0"/>
    <w:rsid w:val="00D56CEA"/>
    <w:rsid w:val="00D56E8D"/>
    <w:rsid w:val="00D57353"/>
    <w:rsid w:val="00D573D6"/>
    <w:rsid w:val="00D5748C"/>
    <w:rsid w:val="00D5749F"/>
    <w:rsid w:val="00D57804"/>
    <w:rsid w:val="00D578EC"/>
    <w:rsid w:val="00D57AEA"/>
    <w:rsid w:val="00D57CA0"/>
    <w:rsid w:val="00D57EAE"/>
    <w:rsid w:val="00D6086A"/>
    <w:rsid w:val="00D60A8B"/>
    <w:rsid w:val="00D60B33"/>
    <w:rsid w:val="00D60DCD"/>
    <w:rsid w:val="00D61045"/>
    <w:rsid w:val="00D617CA"/>
    <w:rsid w:val="00D617DA"/>
    <w:rsid w:val="00D61814"/>
    <w:rsid w:val="00D61D28"/>
    <w:rsid w:val="00D61D84"/>
    <w:rsid w:val="00D6274A"/>
    <w:rsid w:val="00D627AC"/>
    <w:rsid w:val="00D62C0D"/>
    <w:rsid w:val="00D6351B"/>
    <w:rsid w:val="00D63609"/>
    <w:rsid w:val="00D636AF"/>
    <w:rsid w:val="00D638AE"/>
    <w:rsid w:val="00D63ADF"/>
    <w:rsid w:val="00D640EE"/>
    <w:rsid w:val="00D64273"/>
    <w:rsid w:val="00D642DC"/>
    <w:rsid w:val="00D64690"/>
    <w:rsid w:val="00D6485E"/>
    <w:rsid w:val="00D650CD"/>
    <w:rsid w:val="00D6546C"/>
    <w:rsid w:val="00D6556A"/>
    <w:rsid w:val="00D65AC0"/>
    <w:rsid w:val="00D65FF2"/>
    <w:rsid w:val="00D662E2"/>
    <w:rsid w:val="00D663EA"/>
    <w:rsid w:val="00D6688F"/>
    <w:rsid w:val="00D66898"/>
    <w:rsid w:val="00D668A4"/>
    <w:rsid w:val="00D66AB8"/>
    <w:rsid w:val="00D66BD3"/>
    <w:rsid w:val="00D66C70"/>
    <w:rsid w:val="00D66D9E"/>
    <w:rsid w:val="00D67040"/>
    <w:rsid w:val="00D6716B"/>
    <w:rsid w:val="00D67275"/>
    <w:rsid w:val="00D673E6"/>
    <w:rsid w:val="00D67688"/>
    <w:rsid w:val="00D67760"/>
    <w:rsid w:val="00D67780"/>
    <w:rsid w:val="00D67980"/>
    <w:rsid w:val="00D679C6"/>
    <w:rsid w:val="00D702F5"/>
    <w:rsid w:val="00D703BB"/>
    <w:rsid w:val="00D704E7"/>
    <w:rsid w:val="00D70585"/>
    <w:rsid w:val="00D70884"/>
    <w:rsid w:val="00D708CB"/>
    <w:rsid w:val="00D709A6"/>
    <w:rsid w:val="00D709D5"/>
    <w:rsid w:val="00D70F00"/>
    <w:rsid w:val="00D70FEB"/>
    <w:rsid w:val="00D71011"/>
    <w:rsid w:val="00D71175"/>
    <w:rsid w:val="00D713AE"/>
    <w:rsid w:val="00D71840"/>
    <w:rsid w:val="00D718D4"/>
    <w:rsid w:val="00D71AEB"/>
    <w:rsid w:val="00D71D52"/>
    <w:rsid w:val="00D71D7F"/>
    <w:rsid w:val="00D720DF"/>
    <w:rsid w:val="00D72326"/>
    <w:rsid w:val="00D726DD"/>
    <w:rsid w:val="00D72903"/>
    <w:rsid w:val="00D72909"/>
    <w:rsid w:val="00D72D50"/>
    <w:rsid w:val="00D72DD4"/>
    <w:rsid w:val="00D72F36"/>
    <w:rsid w:val="00D738A4"/>
    <w:rsid w:val="00D73932"/>
    <w:rsid w:val="00D73BE9"/>
    <w:rsid w:val="00D73C4F"/>
    <w:rsid w:val="00D74007"/>
    <w:rsid w:val="00D74303"/>
    <w:rsid w:val="00D74432"/>
    <w:rsid w:val="00D745B1"/>
    <w:rsid w:val="00D74604"/>
    <w:rsid w:val="00D7461B"/>
    <w:rsid w:val="00D74A58"/>
    <w:rsid w:val="00D74A7D"/>
    <w:rsid w:val="00D74B06"/>
    <w:rsid w:val="00D74E07"/>
    <w:rsid w:val="00D75032"/>
    <w:rsid w:val="00D75D76"/>
    <w:rsid w:val="00D7622A"/>
    <w:rsid w:val="00D7662B"/>
    <w:rsid w:val="00D76749"/>
    <w:rsid w:val="00D76C75"/>
    <w:rsid w:val="00D76FA0"/>
    <w:rsid w:val="00D7780A"/>
    <w:rsid w:val="00D779A7"/>
    <w:rsid w:val="00D77B6B"/>
    <w:rsid w:val="00D77C31"/>
    <w:rsid w:val="00D77F34"/>
    <w:rsid w:val="00D77FE8"/>
    <w:rsid w:val="00D80A06"/>
    <w:rsid w:val="00D80E3A"/>
    <w:rsid w:val="00D811DF"/>
    <w:rsid w:val="00D814D6"/>
    <w:rsid w:val="00D817CE"/>
    <w:rsid w:val="00D81A5D"/>
    <w:rsid w:val="00D81A8A"/>
    <w:rsid w:val="00D82A4F"/>
    <w:rsid w:val="00D82F1F"/>
    <w:rsid w:val="00D83514"/>
    <w:rsid w:val="00D83552"/>
    <w:rsid w:val="00D83571"/>
    <w:rsid w:val="00D837CC"/>
    <w:rsid w:val="00D83E9E"/>
    <w:rsid w:val="00D841B2"/>
    <w:rsid w:val="00D8462C"/>
    <w:rsid w:val="00D84637"/>
    <w:rsid w:val="00D84780"/>
    <w:rsid w:val="00D8479D"/>
    <w:rsid w:val="00D84891"/>
    <w:rsid w:val="00D8490E"/>
    <w:rsid w:val="00D84FB7"/>
    <w:rsid w:val="00D85602"/>
    <w:rsid w:val="00D856ED"/>
    <w:rsid w:val="00D85BAD"/>
    <w:rsid w:val="00D86409"/>
    <w:rsid w:val="00D86553"/>
    <w:rsid w:val="00D8658E"/>
    <w:rsid w:val="00D86964"/>
    <w:rsid w:val="00D86ADE"/>
    <w:rsid w:val="00D86E5F"/>
    <w:rsid w:val="00D86F36"/>
    <w:rsid w:val="00D87491"/>
    <w:rsid w:val="00D87525"/>
    <w:rsid w:val="00D87607"/>
    <w:rsid w:val="00D878F7"/>
    <w:rsid w:val="00D900BE"/>
    <w:rsid w:val="00D903E8"/>
    <w:rsid w:val="00D904D4"/>
    <w:rsid w:val="00D906D2"/>
    <w:rsid w:val="00D906F3"/>
    <w:rsid w:val="00D90795"/>
    <w:rsid w:val="00D907B7"/>
    <w:rsid w:val="00D90865"/>
    <w:rsid w:val="00D90AAB"/>
    <w:rsid w:val="00D90D10"/>
    <w:rsid w:val="00D90DA4"/>
    <w:rsid w:val="00D90DEA"/>
    <w:rsid w:val="00D90F18"/>
    <w:rsid w:val="00D911E2"/>
    <w:rsid w:val="00D91370"/>
    <w:rsid w:val="00D91394"/>
    <w:rsid w:val="00D91623"/>
    <w:rsid w:val="00D91951"/>
    <w:rsid w:val="00D91A5E"/>
    <w:rsid w:val="00D92171"/>
    <w:rsid w:val="00D9234C"/>
    <w:rsid w:val="00D92B1E"/>
    <w:rsid w:val="00D92C81"/>
    <w:rsid w:val="00D92E9A"/>
    <w:rsid w:val="00D92F4F"/>
    <w:rsid w:val="00D9307B"/>
    <w:rsid w:val="00D930D1"/>
    <w:rsid w:val="00D93253"/>
    <w:rsid w:val="00D93296"/>
    <w:rsid w:val="00D9344C"/>
    <w:rsid w:val="00D934F1"/>
    <w:rsid w:val="00D93505"/>
    <w:rsid w:val="00D93545"/>
    <w:rsid w:val="00D93A26"/>
    <w:rsid w:val="00D9410C"/>
    <w:rsid w:val="00D94281"/>
    <w:rsid w:val="00D9457C"/>
    <w:rsid w:val="00D945D7"/>
    <w:rsid w:val="00D947A9"/>
    <w:rsid w:val="00D949FB"/>
    <w:rsid w:val="00D94AEC"/>
    <w:rsid w:val="00D9504B"/>
    <w:rsid w:val="00D9522C"/>
    <w:rsid w:val="00D95315"/>
    <w:rsid w:val="00D95629"/>
    <w:rsid w:val="00D95768"/>
    <w:rsid w:val="00D95853"/>
    <w:rsid w:val="00D95FCF"/>
    <w:rsid w:val="00D9691E"/>
    <w:rsid w:val="00D96AF9"/>
    <w:rsid w:val="00D97023"/>
    <w:rsid w:val="00D974CB"/>
    <w:rsid w:val="00D97548"/>
    <w:rsid w:val="00D9761D"/>
    <w:rsid w:val="00D9771E"/>
    <w:rsid w:val="00D97937"/>
    <w:rsid w:val="00D97943"/>
    <w:rsid w:val="00D97ABF"/>
    <w:rsid w:val="00D97B24"/>
    <w:rsid w:val="00D97B25"/>
    <w:rsid w:val="00D97E99"/>
    <w:rsid w:val="00D97F3C"/>
    <w:rsid w:val="00D97FB9"/>
    <w:rsid w:val="00DA00A7"/>
    <w:rsid w:val="00DA01CE"/>
    <w:rsid w:val="00DA0326"/>
    <w:rsid w:val="00DA043C"/>
    <w:rsid w:val="00DA0B09"/>
    <w:rsid w:val="00DA0E37"/>
    <w:rsid w:val="00DA0F4B"/>
    <w:rsid w:val="00DA0FA7"/>
    <w:rsid w:val="00DA120B"/>
    <w:rsid w:val="00DA145F"/>
    <w:rsid w:val="00DA167A"/>
    <w:rsid w:val="00DA194F"/>
    <w:rsid w:val="00DA1D7B"/>
    <w:rsid w:val="00DA2297"/>
    <w:rsid w:val="00DA2589"/>
    <w:rsid w:val="00DA27FB"/>
    <w:rsid w:val="00DA29AB"/>
    <w:rsid w:val="00DA2E8E"/>
    <w:rsid w:val="00DA2FC9"/>
    <w:rsid w:val="00DA3298"/>
    <w:rsid w:val="00DA3712"/>
    <w:rsid w:val="00DA38F5"/>
    <w:rsid w:val="00DA3C78"/>
    <w:rsid w:val="00DA3EA2"/>
    <w:rsid w:val="00DA3FEB"/>
    <w:rsid w:val="00DA4333"/>
    <w:rsid w:val="00DA4412"/>
    <w:rsid w:val="00DA4703"/>
    <w:rsid w:val="00DA4740"/>
    <w:rsid w:val="00DA49FB"/>
    <w:rsid w:val="00DA4C46"/>
    <w:rsid w:val="00DA4D76"/>
    <w:rsid w:val="00DA5418"/>
    <w:rsid w:val="00DA552B"/>
    <w:rsid w:val="00DA5586"/>
    <w:rsid w:val="00DA5811"/>
    <w:rsid w:val="00DA6009"/>
    <w:rsid w:val="00DA6015"/>
    <w:rsid w:val="00DA6145"/>
    <w:rsid w:val="00DA615D"/>
    <w:rsid w:val="00DA626E"/>
    <w:rsid w:val="00DA639F"/>
    <w:rsid w:val="00DA63B5"/>
    <w:rsid w:val="00DA65E1"/>
    <w:rsid w:val="00DA6A9B"/>
    <w:rsid w:val="00DA70BF"/>
    <w:rsid w:val="00DA7366"/>
    <w:rsid w:val="00DA7472"/>
    <w:rsid w:val="00DA752A"/>
    <w:rsid w:val="00DA7CB2"/>
    <w:rsid w:val="00DB0117"/>
    <w:rsid w:val="00DB05C4"/>
    <w:rsid w:val="00DB06B0"/>
    <w:rsid w:val="00DB06D8"/>
    <w:rsid w:val="00DB0CB1"/>
    <w:rsid w:val="00DB0CDB"/>
    <w:rsid w:val="00DB0F0E"/>
    <w:rsid w:val="00DB108A"/>
    <w:rsid w:val="00DB169D"/>
    <w:rsid w:val="00DB16A9"/>
    <w:rsid w:val="00DB16B3"/>
    <w:rsid w:val="00DB1890"/>
    <w:rsid w:val="00DB19C3"/>
    <w:rsid w:val="00DB1AAD"/>
    <w:rsid w:val="00DB1BA6"/>
    <w:rsid w:val="00DB2742"/>
    <w:rsid w:val="00DB29BB"/>
    <w:rsid w:val="00DB2FC1"/>
    <w:rsid w:val="00DB3211"/>
    <w:rsid w:val="00DB32D2"/>
    <w:rsid w:val="00DB33B2"/>
    <w:rsid w:val="00DB364F"/>
    <w:rsid w:val="00DB36F2"/>
    <w:rsid w:val="00DB3817"/>
    <w:rsid w:val="00DB3C61"/>
    <w:rsid w:val="00DB3EDD"/>
    <w:rsid w:val="00DB432C"/>
    <w:rsid w:val="00DB46D8"/>
    <w:rsid w:val="00DB47EE"/>
    <w:rsid w:val="00DB4836"/>
    <w:rsid w:val="00DB4A80"/>
    <w:rsid w:val="00DB4D1A"/>
    <w:rsid w:val="00DB4E84"/>
    <w:rsid w:val="00DB5201"/>
    <w:rsid w:val="00DB5926"/>
    <w:rsid w:val="00DB5955"/>
    <w:rsid w:val="00DB5C6D"/>
    <w:rsid w:val="00DB5E18"/>
    <w:rsid w:val="00DB6165"/>
    <w:rsid w:val="00DB63BE"/>
    <w:rsid w:val="00DB6429"/>
    <w:rsid w:val="00DB64E9"/>
    <w:rsid w:val="00DB6630"/>
    <w:rsid w:val="00DB6B0E"/>
    <w:rsid w:val="00DB6E14"/>
    <w:rsid w:val="00DB70CC"/>
    <w:rsid w:val="00DB71B7"/>
    <w:rsid w:val="00DB7200"/>
    <w:rsid w:val="00DB7CAC"/>
    <w:rsid w:val="00DB7F30"/>
    <w:rsid w:val="00DC008E"/>
    <w:rsid w:val="00DC016B"/>
    <w:rsid w:val="00DC06E1"/>
    <w:rsid w:val="00DC0944"/>
    <w:rsid w:val="00DC1107"/>
    <w:rsid w:val="00DC112D"/>
    <w:rsid w:val="00DC12AA"/>
    <w:rsid w:val="00DC136B"/>
    <w:rsid w:val="00DC14D0"/>
    <w:rsid w:val="00DC1649"/>
    <w:rsid w:val="00DC16A9"/>
    <w:rsid w:val="00DC16D9"/>
    <w:rsid w:val="00DC1726"/>
    <w:rsid w:val="00DC180B"/>
    <w:rsid w:val="00DC18BD"/>
    <w:rsid w:val="00DC1C25"/>
    <w:rsid w:val="00DC1D76"/>
    <w:rsid w:val="00DC1FC1"/>
    <w:rsid w:val="00DC202A"/>
    <w:rsid w:val="00DC2189"/>
    <w:rsid w:val="00DC2211"/>
    <w:rsid w:val="00DC2417"/>
    <w:rsid w:val="00DC271D"/>
    <w:rsid w:val="00DC2B8E"/>
    <w:rsid w:val="00DC35F6"/>
    <w:rsid w:val="00DC3C80"/>
    <w:rsid w:val="00DC3E35"/>
    <w:rsid w:val="00DC4014"/>
    <w:rsid w:val="00DC402F"/>
    <w:rsid w:val="00DC42A5"/>
    <w:rsid w:val="00DC4AC7"/>
    <w:rsid w:val="00DC4B68"/>
    <w:rsid w:val="00DC5198"/>
    <w:rsid w:val="00DC5328"/>
    <w:rsid w:val="00DC5423"/>
    <w:rsid w:val="00DC5727"/>
    <w:rsid w:val="00DC5CC6"/>
    <w:rsid w:val="00DC5E17"/>
    <w:rsid w:val="00DC6075"/>
    <w:rsid w:val="00DC6080"/>
    <w:rsid w:val="00DC6214"/>
    <w:rsid w:val="00DC62F8"/>
    <w:rsid w:val="00DC6780"/>
    <w:rsid w:val="00DC6966"/>
    <w:rsid w:val="00DC6C7A"/>
    <w:rsid w:val="00DC6DC7"/>
    <w:rsid w:val="00DC6E33"/>
    <w:rsid w:val="00DC7166"/>
    <w:rsid w:val="00DC732B"/>
    <w:rsid w:val="00DC7354"/>
    <w:rsid w:val="00DC7577"/>
    <w:rsid w:val="00DC7E92"/>
    <w:rsid w:val="00DD0465"/>
    <w:rsid w:val="00DD09D1"/>
    <w:rsid w:val="00DD0BE0"/>
    <w:rsid w:val="00DD0C4B"/>
    <w:rsid w:val="00DD0DAB"/>
    <w:rsid w:val="00DD12E9"/>
    <w:rsid w:val="00DD14EE"/>
    <w:rsid w:val="00DD1558"/>
    <w:rsid w:val="00DD16E3"/>
    <w:rsid w:val="00DD1A3C"/>
    <w:rsid w:val="00DD2143"/>
    <w:rsid w:val="00DD21B4"/>
    <w:rsid w:val="00DD2D3D"/>
    <w:rsid w:val="00DD2D48"/>
    <w:rsid w:val="00DD2EBF"/>
    <w:rsid w:val="00DD3611"/>
    <w:rsid w:val="00DD36E4"/>
    <w:rsid w:val="00DD3739"/>
    <w:rsid w:val="00DD38DB"/>
    <w:rsid w:val="00DD38FC"/>
    <w:rsid w:val="00DD3910"/>
    <w:rsid w:val="00DD3BCA"/>
    <w:rsid w:val="00DD3E1A"/>
    <w:rsid w:val="00DD3E34"/>
    <w:rsid w:val="00DD442B"/>
    <w:rsid w:val="00DD4C68"/>
    <w:rsid w:val="00DD4D9A"/>
    <w:rsid w:val="00DD4F71"/>
    <w:rsid w:val="00DD5116"/>
    <w:rsid w:val="00DD51A9"/>
    <w:rsid w:val="00DD527E"/>
    <w:rsid w:val="00DD5292"/>
    <w:rsid w:val="00DD538D"/>
    <w:rsid w:val="00DD53F4"/>
    <w:rsid w:val="00DD56F4"/>
    <w:rsid w:val="00DD577E"/>
    <w:rsid w:val="00DD58E8"/>
    <w:rsid w:val="00DD5A0E"/>
    <w:rsid w:val="00DD5FA2"/>
    <w:rsid w:val="00DD62DD"/>
    <w:rsid w:val="00DD6381"/>
    <w:rsid w:val="00DD6589"/>
    <w:rsid w:val="00DD664C"/>
    <w:rsid w:val="00DD6991"/>
    <w:rsid w:val="00DD6D2D"/>
    <w:rsid w:val="00DD6FCE"/>
    <w:rsid w:val="00DD7017"/>
    <w:rsid w:val="00DD71D3"/>
    <w:rsid w:val="00DD72B9"/>
    <w:rsid w:val="00DD768A"/>
    <w:rsid w:val="00DD7832"/>
    <w:rsid w:val="00DD7A6F"/>
    <w:rsid w:val="00DD7CAD"/>
    <w:rsid w:val="00DD7DD3"/>
    <w:rsid w:val="00DD7E31"/>
    <w:rsid w:val="00DD7EE9"/>
    <w:rsid w:val="00DE0444"/>
    <w:rsid w:val="00DE060A"/>
    <w:rsid w:val="00DE0634"/>
    <w:rsid w:val="00DE0873"/>
    <w:rsid w:val="00DE0EE2"/>
    <w:rsid w:val="00DE0FE0"/>
    <w:rsid w:val="00DE1288"/>
    <w:rsid w:val="00DE1370"/>
    <w:rsid w:val="00DE14BD"/>
    <w:rsid w:val="00DE14C6"/>
    <w:rsid w:val="00DE1586"/>
    <w:rsid w:val="00DE1B23"/>
    <w:rsid w:val="00DE22A4"/>
    <w:rsid w:val="00DE22BB"/>
    <w:rsid w:val="00DE2429"/>
    <w:rsid w:val="00DE2AD0"/>
    <w:rsid w:val="00DE2CA0"/>
    <w:rsid w:val="00DE2FAE"/>
    <w:rsid w:val="00DE3239"/>
    <w:rsid w:val="00DE3384"/>
    <w:rsid w:val="00DE3556"/>
    <w:rsid w:val="00DE37AA"/>
    <w:rsid w:val="00DE3D78"/>
    <w:rsid w:val="00DE3E51"/>
    <w:rsid w:val="00DE3E53"/>
    <w:rsid w:val="00DE43AD"/>
    <w:rsid w:val="00DE43B4"/>
    <w:rsid w:val="00DE451C"/>
    <w:rsid w:val="00DE4E16"/>
    <w:rsid w:val="00DE5196"/>
    <w:rsid w:val="00DE555C"/>
    <w:rsid w:val="00DE5705"/>
    <w:rsid w:val="00DE5775"/>
    <w:rsid w:val="00DE57C3"/>
    <w:rsid w:val="00DE5952"/>
    <w:rsid w:val="00DE5FEB"/>
    <w:rsid w:val="00DE601C"/>
    <w:rsid w:val="00DE6104"/>
    <w:rsid w:val="00DE620D"/>
    <w:rsid w:val="00DE63A2"/>
    <w:rsid w:val="00DE64DB"/>
    <w:rsid w:val="00DE6593"/>
    <w:rsid w:val="00DE66DB"/>
    <w:rsid w:val="00DE6B71"/>
    <w:rsid w:val="00DE6C6F"/>
    <w:rsid w:val="00DE729D"/>
    <w:rsid w:val="00DE776A"/>
    <w:rsid w:val="00DE78F1"/>
    <w:rsid w:val="00DE7934"/>
    <w:rsid w:val="00DE7E97"/>
    <w:rsid w:val="00DF0171"/>
    <w:rsid w:val="00DF0504"/>
    <w:rsid w:val="00DF0622"/>
    <w:rsid w:val="00DF06E9"/>
    <w:rsid w:val="00DF0A4D"/>
    <w:rsid w:val="00DF0A57"/>
    <w:rsid w:val="00DF1200"/>
    <w:rsid w:val="00DF1D3F"/>
    <w:rsid w:val="00DF1EE6"/>
    <w:rsid w:val="00DF1EEA"/>
    <w:rsid w:val="00DF20C7"/>
    <w:rsid w:val="00DF21DE"/>
    <w:rsid w:val="00DF2ACB"/>
    <w:rsid w:val="00DF2B0F"/>
    <w:rsid w:val="00DF2B41"/>
    <w:rsid w:val="00DF2B6A"/>
    <w:rsid w:val="00DF2D0F"/>
    <w:rsid w:val="00DF2ED9"/>
    <w:rsid w:val="00DF3196"/>
    <w:rsid w:val="00DF3454"/>
    <w:rsid w:val="00DF3BCE"/>
    <w:rsid w:val="00DF4848"/>
    <w:rsid w:val="00DF4FFA"/>
    <w:rsid w:val="00DF505A"/>
    <w:rsid w:val="00DF521D"/>
    <w:rsid w:val="00DF54C6"/>
    <w:rsid w:val="00DF5601"/>
    <w:rsid w:val="00DF5633"/>
    <w:rsid w:val="00DF5767"/>
    <w:rsid w:val="00DF5984"/>
    <w:rsid w:val="00DF59DD"/>
    <w:rsid w:val="00DF5BD9"/>
    <w:rsid w:val="00DF62F2"/>
    <w:rsid w:val="00DF6694"/>
    <w:rsid w:val="00DF675A"/>
    <w:rsid w:val="00DF6E7A"/>
    <w:rsid w:val="00DF726F"/>
    <w:rsid w:val="00DF7272"/>
    <w:rsid w:val="00DF73A1"/>
    <w:rsid w:val="00DF75E0"/>
    <w:rsid w:val="00DF799A"/>
    <w:rsid w:val="00DF7F3B"/>
    <w:rsid w:val="00E00063"/>
    <w:rsid w:val="00E0039A"/>
    <w:rsid w:val="00E00600"/>
    <w:rsid w:val="00E006F4"/>
    <w:rsid w:val="00E011E3"/>
    <w:rsid w:val="00E01618"/>
    <w:rsid w:val="00E0162B"/>
    <w:rsid w:val="00E01BC4"/>
    <w:rsid w:val="00E01CB3"/>
    <w:rsid w:val="00E01FB8"/>
    <w:rsid w:val="00E02172"/>
    <w:rsid w:val="00E023D2"/>
    <w:rsid w:val="00E026CC"/>
    <w:rsid w:val="00E02F06"/>
    <w:rsid w:val="00E034C3"/>
    <w:rsid w:val="00E03684"/>
    <w:rsid w:val="00E036EE"/>
    <w:rsid w:val="00E038B8"/>
    <w:rsid w:val="00E03E7A"/>
    <w:rsid w:val="00E041E9"/>
    <w:rsid w:val="00E04E79"/>
    <w:rsid w:val="00E04E93"/>
    <w:rsid w:val="00E05179"/>
    <w:rsid w:val="00E0519F"/>
    <w:rsid w:val="00E057B6"/>
    <w:rsid w:val="00E05884"/>
    <w:rsid w:val="00E059A3"/>
    <w:rsid w:val="00E05CBC"/>
    <w:rsid w:val="00E05E25"/>
    <w:rsid w:val="00E05F20"/>
    <w:rsid w:val="00E0610C"/>
    <w:rsid w:val="00E062AF"/>
    <w:rsid w:val="00E06320"/>
    <w:rsid w:val="00E06496"/>
    <w:rsid w:val="00E06600"/>
    <w:rsid w:val="00E06939"/>
    <w:rsid w:val="00E069B7"/>
    <w:rsid w:val="00E06BD7"/>
    <w:rsid w:val="00E06D05"/>
    <w:rsid w:val="00E0713C"/>
    <w:rsid w:val="00E074D1"/>
    <w:rsid w:val="00E0758A"/>
    <w:rsid w:val="00E078D1"/>
    <w:rsid w:val="00E079C8"/>
    <w:rsid w:val="00E079FB"/>
    <w:rsid w:val="00E07AD2"/>
    <w:rsid w:val="00E07D01"/>
    <w:rsid w:val="00E07DF1"/>
    <w:rsid w:val="00E10016"/>
    <w:rsid w:val="00E102B5"/>
    <w:rsid w:val="00E10430"/>
    <w:rsid w:val="00E10463"/>
    <w:rsid w:val="00E106F5"/>
    <w:rsid w:val="00E10859"/>
    <w:rsid w:val="00E10CDC"/>
    <w:rsid w:val="00E10CF3"/>
    <w:rsid w:val="00E10FFC"/>
    <w:rsid w:val="00E113CC"/>
    <w:rsid w:val="00E11AC6"/>
    <w:rsid w:val="00E11E6C"/>
    <w:rsid w:val="00E11EE1"/>
    <w:rsid w:val="00E1233E"/>
    <w:rsid w:val="00E1239E"/>
    <w:rsid w:val="00E126E3"/>
    <w:rsid w:val="00E12756"/>
    <w:rsid w:val="00E12845"/>
    <w:rsid w:val="00E1292F"/>
    <w:rsid w:val="00E12A3D"/>
    <w:rsid w:val="00E12D53"/>
    <w:rsid w:val="00E12E1C"/>
    <w:rsid w:val="00E1304C"/>
    <w:rsid w:val="00E1313D"/>
    <w:rsid w:val="00E131D8"/>
    <w:rsid w:val="00E135C3"/>
    <w:rsid w:val="00E1375D"/>
    <w:rsid w:val="00E13A83"/>
    <w:rsid w:val="00E13CEE"/>
    <w:rsid w:val="00E13D51"/>
    <w:rsid w:val="00E1401C"/>
    <w:rsid w:val="00E1429C"/>
    <w:rsid w:val="00E14340"/>
    <w:rsid w:val="00E14605"/>
    <w:rsid w:val="00E1476F"/>
    <w:rsid w:val="00E147C1"/>
    <w:rsid w:val="00E148A4"/>
    <w:rsid w:val="00E14D0B"/>
    <w:rsid w:val="00E14D2C"/>
    <w:rsid w:val="00E14E0C"/>
    <w:rsid w:val="00E14ECD"/>
    <w:rsid w:val="00E14FC2"/>
    <w:rsid w:val="00E157C9"/>
    <w:rsid w:val="00E1585E"/>
    <w:rsid w:val="00E1593E"/>
    <w:rsid w:val="00E15963"/>
    <w:rsid w:val="00E15A70"/>
    <w:rsid w:val="00E15B55"/>
    <w:rsid w:val="00E15C51"/>
    <w:rsid w:val="00E15DF8"/>
    <w:rsid w:val="00E15E99"/>
    <w:rsid w:val="00E16073"/>
    <w:rsid w:val="00E16318"/>
    <w:rsid w:val="00E16350"/>
    <w:rsid w:val="00E16505"/>
    <w:rsid w:val="00E16551"/>
    <w:rsid w:val="00E167AF"/>
    <w:rsid w:val="00E16A48"/>
    <w:rsid w:val="00E16BCD"/>
    <w:rsid w:val="00E16C03"/>
    <w:rsid w:val="00E16EBD"/>
    <w:rsid w:val="00E16ED0"/>
    <w:rsid w:val="00E16FF3"/>
    <w:rsid w:val="00E170DD"/>
    <w:rsid w:val="00E1728D"/>
    <w:rsid w:val="00E1740B"/>
    <w:rsid w:val="00E1744A"/>
    <w:rsid w:val="00E17891"/>
    <w:rsid w:val="00E179EA"/>
    <w:rsid w:val="00E17A95"/>
    <w:rsid w:val="00E17E21"/>
    <w:rsid w:val="00E17EEB"/>
    <w:rsid w:val="00E200D3"/>
    <w:rsid w:val="00E2029F"/>
    <w:rsid w:val="00E204D0"/>
    <w:rsid w:val="00E20593"/>
    <w:rsid w:val="00E205C3"/>
    <w:rsid w:val="00E207AB"/>
    <w:rsid w:val="00E209F1"/>
    <w:rsid w:val="00E20A08"/>
    <w:rsid w:val="00E20BB5"/>
    <w:rsid w:val="00E20E86"/>
    <w:rsid w:val="00E2106A"/>
    <w:rsid w:val="00E2114E"/>
    <w:rsid w:val="00E211D4"/>
    <w:rsid w:val="00E21202"/>
    <w:rsid w:val="00E2133E"/>
    <w:rsid w:val="00E21391"/>
    <w:rsid w:val="00E21AFA"/>
    <w:rsid w:val="00E21D4E"/>
    <w:rsid w:val="00E21D64"/>
    <w:rsid w:val="00E220AD"/>
    <w:rsid w:val="00E22160"/>
    <w:rsid w:val="00E22387"/>
    <w:rsid w:val="00E224E4"/>
    <w:rsid w:val="00E22C27"/>
    <w:rsid w:val="00E22F2B"/>
    <w:rsid w:val="00E237DD"/>
    <w:rsid w:val="00E237F2"/>
    <w:rsid w:val="00E240A7"/>
    <w:rsid w:val="00E240EC"/>
    <w:rsid w:val="00E2431F"/>
    <w:rsid w:val="00E2474D"/>
    <w:rsid w:val="00E24776"/>
    <w:rsid w:val="00E252B4"/>
    <w:rsid w:val="00E25788"/>
    <w:rsid w:val="00E2581E"/>
    <w:rsid w:val="00E25CAE"/>
    <w:rsid w:val="00E26232"/>
    <w:rsid w:val="00E2657F"/>
    <w:rsid w:val="00E26727"/>
    <w:rsid w:val="00E268AA"/>
    <w:rsid w:val="00E26B9D"/>
    <w:rsid w:val="00E26BAE"/>
    <w:rsid w:val="00E26E31"/>
    <w:rsid w:val="00E26E8B"/>
    <w:rsid w:val="00E2704C"/>
    <w:rsid w:val="00E27393"/>
    <w:rsid w:val="00E27824"/>
    <w:rsid w:val="00E278D0"/>
    <w:rsid w:val="00E27AB8"/>
    <w:rsid w:val="00E27D38"/>
    <w:rsid w:val="00E27E4E"/>
    <w:rsid w:val="00E30245"/>
    <w:rsid w:val="00E302E8"/>
    <w:rsid w:val="00E30477"/>
    <w:rsid w:val="00E3061D"/>
    <w:rsid w:val="00E309DE"/>
    <w:rsid w:val="00E30B0B"/>
    <w:rsid w:val="00E30E08"/>
    <w:rsid w:val="00E31040"/>
    <w:rsid w:val="00E310CC"/>
    <w:rsid w:val="00E312AA"/>
    <w:rsid w:val="00E31654"/>
    <w:rsid w:val="00E319AB"/>
    <w:rsid w:val="00E31A0E"/>
    <w:rsid w:val="00E31B58"/>
    <w:rsid w:val="00E31E4B"/>
    <w:rsid w:val="00E31E5D"/>
    <w:rsid w:val="00E32294"/>
    <w:rsid w:val="00E32711"/>
    <w:rsid w:val="00E327C5"/>
    <w:rsid w:val="00E32A11"/>
    <w:rsid w:val="00E32B18"/>
    <w:rsid w:val="00E32B5A"/>
    <w:rsid w:val="00E32C57"/>
    <w:rsid w:val="00E33096"/>
    <w:rsid w:val="00E33368"/>
    <w:rsid w:val="00E33444"/>
    <w:rsid w:val="00E33686"/>
    <w:rsid w:val="00E33A47"/>
    <w:rsid w:val="00E33B45"/>
    <w:rsid w:val="00E33DD0"/>
    <w:rsid w:val="00E33EA2"/>
    <w:rsid w:val="00E33F66"/>
    <w:rsid w:val="00E34173"/>
    <w:rsid w:val="00E34309"/>
    <w:rsid w:val="00E3447B"/>
    <w:rsid w:val="00E344F1"/>
    <w:rsid w:val="00E346F3"/>
    <w:rsid w:val="00E34AFA"/>
    <w:rsid w:val="00E34F30"/>
    <w:rsid w:val="00E34FCF"/>
    <w:rsid w:val="00E352F1"/>
    <w:rsid w:val="00E357AF"/>
    <w:rsid w:val="00E3584B"/>
    <w:rsid w:val="00E35A1F"/>
    <w:rsid w:val="00E35F6D"/>
    <w:rsid w:val="00E36171"/>
    <w:rsid w:val="00E36379"/>
    <w:rsid w:val="00E365FE"/>
    <w:rsid w:val="00E36E02"/>
    <w:rsid w:val="00E3713A"/>
    <w:rsid w:val="00E37702"/>
    <w:rsid w:val="00E37B76"/>
    <w:rsid w:val="00E37BD1"/>
    <w:rsid w:val="00E37D41"/>
    <w:rsid w:val="00E37D9C"/>
    <w:rsid w:val="00E37DCD"/>
    <w:rsid w:val="00E37E50"/>
    <w:rsid w:val="00E40360"/>
    <w:rsid w:val="00E403D5"/>
    <w:rsid w:val="00E409B8"/>
    <w:rsid w:val="00E40BD7"/>
    <w:rsid w:val="00E40FFB"/>
    <w:rsid w:val="00E41124"/>
    <w:rsid w:val="00E415E4"/>
    <w:rsid w:val="00E416DF"/>
    <w:rsid w:val="00E41729"/>
    <w:rsid w:val="00E41B84"/>
    <w:rsid w:val="00E41C7D"/>
    <w:rsid w:val="00E41D56"/>
    <w:rsid w:val="00E41EDD"/>
    <w:rsid w:val="00E41F75"/>
    <w:rsid w:val="00E42125"/>
    <w:rsid w:val="00E422DC"/>
    <w:rsid w:val="00E427E6"/>
    <w:rsid w:val="00E42869"/>
    <w:rsid w:val="00E428D9"/>
    <w:rsid w:val="00E428E2"/>
    <w:rsid w:val="00E4296B"/>
    <w:rsid w:val="00E42D9A"/>
    <w:rsid w:val="00E42D9E"/>
    <w:rsid w:val="00E42E0F"/>
    <w:rsid w:val="00E43075"/>
    <w:rsid w:val="00E432EE"/>
    <w:rsid w:val="00E4340B"/>
    <w:rsid w:val="00E439A0"/>
    <w:rsid w:val="00E439DA"/>
    <w:rsid w:val="00E43A77"/>
    <w:rsid w:val="00E43D94"/>
    <w:rsid w:val="00E43E7D"/>
    <w:rsid w:val="00E43EE0"/>
    <w:rsid w:val="00E44090"/>
    <w:rsid w:val="00E440D9"/>
    <w:rsid w:val="00E442D7"/>
    <w:rsid w:val="00E443C7"/>
    <w:rsid w:val="00E44463"/>
    <w:rsid w:val="00E44472"/>
    <w:rsid w:val="00E445C1"/>
    <w:rsid w:val="00E44EA1"/>
    <w:rsid w:val="00E44F07"/>
    <w:rsid w:val="00E45086"/>
    <w:rsid w:val="00E456C6"/>
    <w:rsid w:val="00E45832"/>
    <w:rsid w:val="00E4592A"/>
    <w:rsid w:val="00E45F5A"/>
    <w:rsid w:val="00E4615D"/>
    <w:rsid w:val="00E4618D"/>
    <w:rsid w:val="00E46226"/>
    <w:rsid w:val="00E465C9"/>
    <w:rsid w:val="00E46813"/>
    <w:rsid w:val="00E468D1"/>
    <w:rsid w:val="00E46BC4"/>
    <w:rsid w:val="00E46CA3"/>
    <w:rsid w:val="00E46D9B"/>
    <w:rsid w:val="00E47350"/>
    <w:rsid w:val="00E475DB"/>
    <w:rsid w:val="00E47803"/>
    <w:rsid w:val="00E47830"/>
    <w:rsid w:val="00E479A1"/>
    <w:rsid w:val="00E47AAB"/>
    <w:rsid w:val="00E47BF0"/>
    <w:rsid w:val="00E47C6B"/>
    <w:rsid w:val="00E47F9C"/>
    <w:rsid w:val="00E50458"/>
    <w:rsid w:val="00E50523"/>
    <w:rsid w:val="00E50635"/>
    <w:rsid w:val="00E506F9"/>
    <w:rsid w:val="00E50F6F"/>
    <w:rsid w:val="00E51169"/>
    <w:rsid w:val="00E5116E"/>
    <w:rsid w:val="00E513AA"/>
    <w:rsid w:val="00E513D3"/>
    <w:rsid w:val="00E517B6"/>
    <w:rsid w:val="00E51AE0"/>
    <w:rsid w:val="00E51E0F"/>
    <w:rsid w:val="00E5205D"/>
    <w:rsid w:val="00E52077"/>
    <w:rsid w:val="00E524A9"/>
    <w:rsid w:val="00E524AE"/>
    <w:rsid w:val="00E5254F"/>
    <w:rsid w:val="00E525FC"/>
    <w:rsid w:val="00E52623"/>
    <w:rsid w:val="00E52662"/>
    <w:rsid w:val="00E5280C"/>
    <w:rsid w:val="00E52B75"/>
    <w:rsid w:val="00E52BEC"/>
    <w:rsid w:val="00E52D30"/>
    <w:rsid w:val="00E52FA6"/>
    <w:rsid w:val="00E532C3"/>
    <w:rsid w:val="00E532E0"/>
    <w:rsid w:val="00E533D7"/>
    <w:rsid w:val="00E53621"/>
    <w:rsid w:val="00E536F6"/>
    <w:rsid w:val="00E537B7"/>
    <w:rsid w:val="00E53B19"/>
    <w:rsid w:val="00E53D09"/>
    <w:rsid w:val="00E53D5A"/>
    <w:rsid w:val="00E53F45"/>
    <w:rsid w:val="00E541C3"/>
    <w:rsid w:val="00E543A8"/>
    <w:rsid w:val="00E5475F"/>
    <w:rsid w:val="00E54AC4"/>
    <w:rsid w:val="00E54AE7"/>
    <w:rsid w:val="00E54B1C"/>
    <w:rsid w:val="00E5502E"/>
    <w:rsid w:val="00E552F5"/>
    <w:rsid w:val="00E556B1"/>
    <w:rsid w:val="00E55B96"/>
    <w:rsid w:val="00E55E67"/>
    <w:rsid w:val="00E55FDF"/>
    <w:rsid w:val="00E56658"/>
    <w:rsid w:val="00E56A3B"/>
    <w:rsid w:val="00E56B16"/>
    <w:rsid w:val="00E56B45"/>
    <w:rsid w:val="00E56B9C"/>
    <w:rsid w:val="00E56CF1"/>
    <w:rsid w:val="00E56DCB"/>
    <w:rsid w:val="00E56E54"/>
    <w:rsid w:val="00E56FE8"/>
    <w:rsid w:val="00E57259"/>
    <w:rsid w:val="00E5786D"/>
    <w:rsid w:val="00E57952"/>
    <w:rsid w:val="00E579A3"/>
    <w:rsid w:val="00E579C3"/>
    <w:rsid w:val="00E57B44"/>
    <w:rsid w:val="00E57C12"/>
    <w:rsid w:val="00E57C2F"/>
    <w:rsid w:val="00E57CDA"/>
    <w:rsid w:val="00E57D6A"/>
    <w:rsid w:val="00E57D8D"/>
    <w:rsid w:val="00E57F34"/>
    <w:rsid w:val="00E60059"/>
    <w:rsid w:val="00E60754"/>
    <w:rsid w:val="00E6083B"/>
    <w:rsid w:val="00E61164"/>
    <w:rsid w:val="00E61223"/>
    <w:rsid w:val="00E61421"/>
    <w:rsid w:val="00E61E4C"/>
    <w:rsid w:val="00E61FF4"/>
    <w:rsid w:val="00E62029"/>
    <w:rsid w:val="00E62063"/>
    <w:rsid w:val="00E620CB"/>
    <w:rsid w:val="00E62284"/>
    <w:rsid w:val="00E622D2"/>
    <w:rsid w:val="00E623B6"/>
    <w:rsid w:val="00E6255E"/>
    <w:rsid w:val="00E6255F"/>
    <w:rsid w:val="00E62618"/>
    <w:rsid w:val="00E627AA"/>
    <w:rsid w:val="00E62A66"/>
    <w:rsid w:val="00E62B50"/>
    <w:rsid w:val="00E62DB8"/>
    <w:rsid w:val="00E62E49"/>
    <w:rsid w:val="00E62EC1"/>
    <w:rsid w:val="00E62FCF"/>
    <w:rsid w:val="00E63135"/>
    <w:rsid w:val="00E6322D"/>
    <w:rsid w:val="00E6330D"/>
    <w:rsid w:val="00E63512"/>
    <w:rsid w:val="00E63CBB"/>
    <w:rsid w:val="00E63E2A"/>
    <w:rsid w:val="00E64131"/>
    <w:rsid w:val="00E64170"/>
    <w:rsid w:val="00E643A9"/>
    <w:rsid w:val="00E64500"/>
    <w:rsid w:val="00E64526"/>
    <w:rsid w:val="00E6463A"/>
    <w:rsid w:val="00E64AB4"/>
    <w:rsid w:val="00E64BBF"/>
    <w:rsid w:val="00E65208"/>
    <w:rsid w:val="00E65336"/>
    <w:rsid w:val="00E65AEF"/>
    <w:rsid w:val="00E65C60"/>
    <w:rsid w:val="00E65D71"/>
    <w:rsid w:val="00E66552"/>
    <w:rsid w:val="00E66C3C"/>
    <w:rsid w:val="00E67850"/>
    <w:rsid w:val="00E6785F"/>
    <w:rsid w:val="00E6787E"/>
    <w:rsid w:val="00E6790B"/>
    <w:rsid w:val="00E67A98"/>
    <w:rsid w:val="00E70531"/>
    <w:rsid w:val="00E70701"/>
    <w:rsid w:val="00E70BDE"/>
    <w:rsid w:val="00E71003"/>
    <w:rsid w:val="00E710B2"/>
    <w:rsid w:val="00E714CE"/>
    <w:rsid w:val="00E71880"/>
    <w:rsid w:val="00E71951"/>
    <w:rsid w:val="00E719C1"/>
    <w:rsid w:val="00E71A2E"/>
    <w:rsid w:val="00E71AE1"/>
    <w:rsid w:val="00E723DC"/>
    <w:rsid w:val="00E725C7"/>
    <w:rsid w:val="00E725FF"/>
    <w:rsid w:val="00E72724"/>
    <w:rsid w:val="00E72C67"/>
    <w:rsid w:val="00E72F49"/>
    <w:rsid w:val="00E7304E"/>
    <w:rsid w:val="00E730A8"/>
    <w:rsid w:val="00E73514"/>
    <w:rsid w:val="00E73711"/>
    <w:rsid w:val="00E73735"/>
    <w:rsid w:val="00E739B4"/>
    <w:rsid w:val="00E7409F"/>
    <w:rsid w:val="00E743E8"/>
    <w:rsid w:val="00E7459E"/>
    <w:rsid w:val="00E74917"/>
    <w:rsid w:val="00E7493C"/>
    <w:rsid w:val="00E74D53"/>
    <w:rsid w:val="00E74F9C"/>
    <w:rsid w:val="00E7533B"/>
    <w:rsid w:val="00E754EB"/>
    <w:rsid w:val="00E75608"/>
    <w:rsid w:val="00E75929"/>
    <w:rsid w:val="00E75E4F"/>
    <w:rsid w:val="00E7615C"/>
    <w:rsid w:val="00E763C4"/>
    <w:rsid w:val="00E763FC"/>
    <w:rsid w:val="00E76554"/>
    <w:rsid w:val="00E769E6"/>
    <w:rsid w:val="00E76B00"/>
    <w:rsid w:val="00E76BCD"/>
    <w:rsid w:val="00E76D03"/>
    <w:rsid w:val="00E773D3"/>
    <w:rsid w:val="00E77444"/>
    <w:rsid w:val="00E7778B"/>
    <w:rsid w:val="00E77905"/>
    <w:rsid w:val="00E77F0C"/>
    <w:rsid w:val="00E804B9"/>
    <w:rsid w:val="00E8063B"/>
    <w:rsid w:val="00E807DC"/>
    <w:rsid w:val="00E80BF2"/>
    <w:rsid w:val="00E80CE2"/>
    <w:rsid w:val="00E8102A"/>
    <w:rsid w:val="00E810FA"/>
    <w:rsid w:val="00E81231"/>
    <w:rsid w:val="00E81566"/>
    <w:rsid w:val="00E81831"/>
    <w:rsid w:val="00E81D8A"/>
    <w:rsid w:val="00E82071"/>
    <w:rsid w:val="00E82321"/>
    <w:rsid w:val="00E82337"/>
    <w:rsid w:val="00E8289D"/>
    <w:rsid w:val="00E8291A"/>
    <w:rsid w:val="00E829F8"/>
    <w:rsid w:val="00E82A7E"/>
    <w:rsid w:val="00E82F91"/>
    <w:rsid w:val="00E832C4"/>
    <w:rsid w:val="00E833F9"/>
    <w:rsid w:val="00E835F3"/>
    <w:rsid w:val="00E8369B"/>
    <w:rsid w:val="00E83A4C"/>
    <w:rsid w:val="00E83ADD"/>
    <w:rsid w:val="00E842AD"/>
    <w:rsid w:val="00E8460E"/>
    <w:rsid w:val="00E846BF"/>
    <w:rsid w:val="00E84856"/>
    <w:rsid w:val="00E848E4"/>
    <w:rsid w:val="00E8498B"/>
    <w:rsid w:val="00E84A36"/>
    <w:rsid w:val="00E84C2A"/>
    <w:rsid w:val="00E84C90"/>
    <w:rsid w:val="00E84F73"/>
    <w:rsid w:val="00E851E8"/>
    <w:rsid w:val="00E85730"/>
    <w:rsid w:val="00E859DA"/>
    <w:rsid w:val="00E85C80"/>
    <w:rsid w:val="00E85D43"/>
    <w:rsid w:val="00E85E2C"/>
    <w:rsid w:val="00E85FB4"/>
    <w:rsid w:val="00E8603B"/>
    <w:rsid w:val="00E863C7"/>
    <w:rsid w:val="00E8642B"/>
    <w:rsid w:val="00E866AC"/>
    <w:rsid w:val="00E86D5E"/>
    <w:rsid w:val="00E86E33"/>
    <w:rsid w:val="00E872D9"/>
    <w:rsid w:val="00E87372"/>
    <w:rsid w:val="00E873A3"/>
    <w:rsid w:val="00E873EF"/>
    <w:rsid w:val="00E87784"/>
    <w:rsid w:val="00E87BBD"/>
    <w:rsid w:val="00E87E2D"/>
    <w:rsid w:val="00E90590"/>
    <w:rsid w:val="00E909F4"/>
    <w:rsid w:val="00E90AB0"/>
    <w:rsid w:val="00E90E5C"/>
    <w:rsid w:val="00E91362"/>
    <w:rsid w:val="00E913C2"/>
    <w:rsid w:val="00E9141A"/>
    <w:rsid w:val="00E917F5"/>
    <w:rsid w:val="00E91804"/>
    <w:rsid w:val="00E91A78"/>
    <w:rsid w:val="00E91BA0"/>
    <w:rsid w:val="00E91DD9"/>
    <w:rsid w:val="00E91E37"/>
    <w:rsid w:val="00E91F95"/>
    <w:rsid w:val="00E9239E"/>
    <w:rsid w:val="00E92550"/>
    <w:rsid w:val="00E9287B"/>
    <w:rsid w:val="00E92A8F"/>
    <w:rsid w:val="00E92FE1"/>
    <w:rsid w:val="00E9339D"/>
    <w:rsid w:val="00E94B49"/>
    <w:rsid w:val="00E94BB8"/>
    <w:rsid w:val="00E94FBD"/>
    <w:rsid w:val="00E9506A"/>
    <w:rsid w:val="00E9534D"/>
    <w:rsid w:val="00E9553A"/>
    <w:rsid w:val="00E958D8"/>
    <w:rsid w:val="00E95C37"/>
    <w:rsid w:val="00E95FA6"/>
    <w:rsid w:val="00E9618B"/>
    <w:rsid w:val="00E961C7"/>
    <w:rsid w:val="00E9639B"/>
    <w:rsid w:val="00E966AE"/>
    <w:rsid w:val="00E96B67"/>
    <w:rsid w:val="00E96CC1"/>
    <w:rsid w:val="00E97127"/>
    <w:rsid w:val="00E97207"/>
    <w:rsid w:val="00E97BE4"/>
    <w:rsid w:val="00E97C4A"/>
    <w:rsid w:val="00EA0343"/>
    <w:rsid w:val="00EA03BE"/>
    <w:rsid w:val="00EA0D17"/>
    <w:rsid w:val="00EA0DB9"/>
    <w:rsid w:val="00EA0F0D"/>
    <w:rsid w:val="00EA1119"/>
    <w:rsid w:val="00EA17BF"/>
    <w:rsid w:val="00EA192B"/>
    <w:rsid w:val="00EA2377"/>
    <w:rsid w:val="00EA2602"/>
    <w:rsid w:val="00EA2693"/>
    <w:rsid w:val="00EA2718"/>
    <w:rsid w:val="00EA2C15"/>
    <w:rsid w:val="00EA2C81"/>
    <w:rsid w:val="00EA2CFB"/>
    <w:rsid w:val="00EA2DC1"/>
    <w:rsid w:val="00EA3164"/>
    <w:rsid w:val="00EA338F"/>
    <w:rsid w:val="00EA36C9"/>
    <w:rsid w:val="00EA3B2E"/>
    <w:rsid w:val="00EA4173"/>
    <w:rsid w:val="00EA46F2"/>
    <w:rsid w:val="00EA477E"/>
    <w:rsid w:val="00EA4823"/>
    <w:rsid w:val="00EA4E16"/>
    <w:rsid w:val="00EA4FE9"/>
    <w:rsid w:val="00EA503F"/>
    <w:rsid w:val="00EA50E5"/>
    <w:rsid w:val="00EA5744"/>
    <w:rsid w:val="00EA5745"/>
    <w:rsid w:val="00EA57E1"/>
    <w:rsid w:val="00EA5940"/>
    <w:rsid w:val="00EA5CD4"/>
    <w:rsid w:val="00EA5E80"/>
    <w:rsid w:val="00EA5F1E"/>
    <w:rsid w:val="00EA5FFF"/>
    <w:rsid w:val="00EA615E"/>
    <w:rsid w:val="00EA6241"/>
    <w:rsid w:val="00EA654B"/>
    <w:rsid w:val="00EA67FC"/>
    <w:rsid w:val="00EA6AE6"/>
    <w:rsid w:val="00EA6B20"/>
    <w:rsid w:val="00EA734A"/>
    <w:rsid w:val="00EA79A4"/>
    <w:rsid w:val="00EA79C8"/>
    <w:rsid w:val="00EA7D25"/>
    <w:rsid w:val="00EA7FB2"/>
    <w:rsid w:val="00EB01D7"/>
    <w:rsid w:val="00EB03A7"/>
    <w:rsid w:val="00EB05C4"/>
    <w:rsid w:val="00EB0A0B"/>
    <w:rsid w:val="00EB0A34"/>
    <w:rsid w:val="00EB0B18"/>
    <w:rsid w:val="00EB0BEC"/>
    <w:rsid w:val="00EB0CFA"/>
    <w:rsid w:val="00EB1013"/>
    <w:rsid w:val="00EB13AC"/>
    <w:rsid w:val="00EB1471"/>
    <w:rsid w:val="00EB1ADB"/>
    <w:rsid w:val="00EB1AE9"/>
    <w:rsid w:val="00EB21A0"/>
    <w:rsid w:val="00EB24D1"/>
    <w:rsid w:val="00EB268A"/>
    <w:rsid w:val="00EB271B"/>
    <w:rsid w:val="00EB2790"/>
    <w:rsid w:val="00EB2844"/>
    <w:rsid w:val="00EB2A0A"/>
    <w:rsid w:val="00EB2EEF"/>
    <w:rsid w:val="00EB2EFF"/>
    <w:rsid w:val="00EB2F39"/>
    <w:rsid w:val="00EB3233"/>
    <w:rsid w:val="00EB330E"/>
    <w:rsid w:val="00EB36E3"/>
    <w:rsid w:val="00EB38DA"/>
    <w:rsid w:val="00EB3C3F"/>
    <w:rsid w:val="00EB3CE2"/>
    <w:rsid w:val="00EB414A"/>
    <w:rsid w:val="00EB45C2"/>
    <w:rsid w:val="00EB47BC"/>
    <w:rsid w:val="00EB49B3"/>
    <w:rsid w:val="00EB4A43"/>
    <w:rsid w:val="00EB4A47"/>
    <w:rsid w:val="00EB4DF7"/>
    <w:rsid w:val="00EB4EFC"/>
    <w:rsid w:val="00EB516E"/>
    <w:rsid w:val="00EB5174"/>
    <w:rsid w:val="00EB52CC"/>
    <w:rsid w:val="00EB5A38"/>
    <w:rsid w:val="00EB5A69"/>
    <w:rsid w:val="00EB6077"/>
    <w:rsid w:val="00EB6282"/>
    <w:rsid w:val="00EB638F"/>
    <w:rsid w:val="00EB68E0"/>
    <w:rsid w:val="00EB6CDE"/>
    <w:rsid w:val="00EB6E64"/>
    <w:rsid w:val="00EB70EE"/>
    <w:rsid w:val="00EB71A6"/>
    <w:rsid w:val="00EB720C"/>
    <w:rsid w:val="00EB7686"/>
    <w:rsid w:val="00EB7886"/>
    <w:rsid w:val="00EB7F50"/>
    <w:rsid w:val="00EB7F88"/>
    <w:rsid w:val="00EC000E"/>
    <w:rsid w:val="00EC0445"/>
    <w:rsid w:val="00EC052D"/>
    <w:rsid w:val="00EC060C"/>
    <w:rsid w:val="00EC063A"/>
    <w:rsid w:val="00EC0982"/>
    <w:rsid w:val="00EC1210"/>
    <w:rsid w:val="00EC13AF"/>
    <w:rsid w:val="00EC1528"/>
    <w:rsid w:val="00EC17DC"/>
    <w:rsid w:val="00EC1DC6"/>
    <w:rsid w:val="00EC1E37"/>
    <w:rsid w:val="00EC1E5F"/>
    <w:rsid w:val="00EC1F6B"/>
    <w:rsid w:val="00EC1F79"/>
    <w:rsid w:val="00EC2137"/>
    <w:rsid w:val="00EC224D"/>
    <w:rsid w:val="00EC248F"/>
    <w:rsid w:val="00EC26BE"/>
    <w:rsid w:val="00EC26CC"/>
    <w:rsid w:val="00EC2BC6"/>
    <w:rsid w:val="00EC2E4E"/>
    <w:rsid w:val="00EC2F2E"/>
    <w:rsid w:val="00EC312E"/>
    <w:rsid w:val="00EC3278"/>
    <w:rsid w:val="00EC32EE"/>
    <w:rsid w:val="00EC33CB"/>
    <w:rsid w:val="00EC3504"/>
    <w:rsid w:val="00EC362B"/>
    <w:rsid w:val="00EC377E"/>
    <w:rsid w:val="00EC3BF9"/>
    <w:rsid w:val="00EC3D5B"/>
    <w:rsid w:val="00EC3DD8"/>
    <w:rsid w:val="00EC3EB3"/>
    <w:rsid w:val="00EC40EE"/>
    <w:rsid w:val="00EC41E6"/>
    <w:rsid w:val="00EC4329"/>
    <w:rsid w:val="00EC435D"/>
    <w:rsid w:val="00EC43CA"/>
    <w:rsid w:val="00EC43F9"/>
    <w:rsid w:val="00EC44A1"/>
    <w:rsid w:val="00EC45A5"/>
    <w:rsid w:val="00EC47BA"/>
    <w:rsid w:val="00EC4860"/>
    <w:rsid w:val="00EC49EC"/>
    <w:rsid w:val="00EC4AF6"/>
    <w:rsid w:val="00EC4EAF"/>
    <w:rsid w:val="00EC5032"/>
    <w:rsid w:val="00EC513E"/>
    <w:rsid w:val="00EC5C6E"/>
    <w:rsid w:val="00EC5E34"/>
    <w:rsid w:val="00EC5E8F"/>
    <w:rsid w:val="00EC5EA5"/>
    <w:rsid w:val="00EC5F22"/>
    <w:rsid w:val="00EC5FDB"/>
    <w:rsid w:val="00EC62BB"/>
    <w:rsid w:val="00EC6444"/>
    <w:rsid w:val="00EC6657"/>
    <w:rsid w:val="00EC6767"/>
    <w:rsid w:val="00EC687C"/>
    <w:rsid w:val="00EC71EC"/>
    <w:rsid w:val="00EC753D"/>
    <w:rsid w:val="00EC7723"/>
    <w:rsid w:val="00EC78B3"/>
    <w:rsid w:val="00EC7A5A"/>
    <w:rsid w:val="00EC7D03"/>
    <w:rsid w:val="00EC7E26"/>
    <w:rsid w:val="00EC7E88"/>
    <w:rsid w:val="00ED0097"/>
    <w:rsid w:val="00ED02A4"/>
    <w:rsid w:val="00ED02C3"/>
    <w:rsid w:val="00ED0619"/>
    <w:rsid w:val="00ED0851"/>
    <w:rsid w:val="00ED0A9D"/>
    <w:rsid w:val="00ED0C3F"/>
    <w:rsid w:val="00ED0CB4"/>
    <w:rsid w:val="00ED11BA"/>
    <w:rsid w:val="00ED137D"/>
    <w:rsid w:val="00ED1510"/>
    <w:rsid w:val="00ED1555"/>
    <w:rsid w:val="00ED1710"/>
    <w:rsid w:val="00ED1752"/>
    <w:rsid w:val="00ED1757"/>
    <w:rsid w:val="00ED19DA"/>
    <w:rsid w:val="00ED1BD8"/>
    <w:rsid w:val="00ED1BE6"/>
    <w:rsid w:val="00ED1EA8"/>
    <w:rsid w:val="00ED2181"/>
    <w:rsid w:val="00ED21E3"/>
    <w:rsid w:val="00ED22CD"/>
    <w:rsid w:val="00ED259E"/>
    <w:rsid w:val="00ED2682"/>
    <w:rsid w:val="00ED2B5E"/>
    <w:rsid w:val="00ED2C23"/>
    <w:rsid w:val="00ED2D0F"/>
    <w:rsid w:val="00ED2F44"/>
    <w:rsid w:val="00ED393A"/>
    <w:rsid w:val="00ED3998"/>
    <w:rsid w:val="00ED3A16"/>
    <w:rsid w:val="00ED3AF7"/>
    <w:rsid w:val="00ED3FD0"/>
    <w:rsid w:val="00ED42A0"/>
    <w:rsid w:val="00ED45DC"/>
    <w:rsid w:val="00ED4896"/>
    <w:rsid w:val="00ED4F8E"/>
    <w:rsid w:val="00ED529E"/>
    <w:rsid w:val="00ED5560"/>
    <w:rsid w:val="00ED56F8"/>
    <w:rsid w:val="00ED5B27"/>
    <w:rsid w:val="00ED5B4B"/>
    <w:rsid w:val="00ED5BD2"/>
    <w:rsid w:val="00ED6313"/>
    <w:rsid w:val="00ED6EEB"/>
    <w:rsid w:val="00ED764B"/>
    <w:rsid w:val="00ED7B7A"/>
    <w:rsid w:val="00ED7B8C"/>
    <w:rsid w:val="00ED7D31"/>
    <w:rsid w:val="00EE0188"/>
    <w:rsid w:val="00EE0282"/>
    <w:rsid w:val="00EE0401"/>
    <w:rsid w:val="00EE04AB"/>
    <w:rsid w:val="00EE055C"/>
    <w:rsid w:val="00EE07C8"/>
    <w:rsid w:val="00EE0908"/>
    <w:rsid w:val="00EE096D"/>
    <w:rsid w:val="00EE0987"/>
    <w:rsid w:val="00EE114D"/>
    <w:rsid w:val="00EE12D8"/>
    <w:rsid w:val="00EE1CFC"/>
    <w:rsid w:val="00EE1F83"/>
    <w:rsid w:val="00EE23C3"/>
    <w:rsid w:val="00EE2795"/>
    <w:rsid w:val="00EE27D7"/>
    <w:rsid w:val="00EE2BDB"/>
    <w:rsid w:val="00EE2CD2"/>
    <w:rsid w:val="00EE2EC3"/>
    <w:rsid w:val="00EE3114"/>
    <w:rsid w:val="00EE326D"/>
    <w:rsid w:val="00EE32E1"/>
    <w:rsid w:val="00EE3331"/>
    <w:rsid w:val="00EE33A6"/>
    <w:rsid w:val="00EE3423"/>
    <w:rsid w:val="00EE37A8"/>
    <w:rsid w:val="00EE3A1A"/>
    <w:rsid w:val="00EE3DAF"/>
    <w:rsid w:val="00EE3F41"/>
    <w:rsid w:val="00EE3F96"/>
    <w:rsid w:val="00EE4581"/>
    <w:rsid w:val="00EE4610"/>
    <w:rsid w:val="00EE4797"/>
    <w:rsid w:val="00EE48EE"/>
    <w:rsid w:val="00EE4A8E"/>
    <w:rsid w:val="00EE4B57"/>
    <w:rsid w:val="00EE551A"/>
    <w:rsid w:val="00EE58FB"/>
    <w:rsid w:val="00EE5B42"/>
    <w:rsid w:val="00EE5D53"/>
    <w:rsid w:val="00EE5F4C"/>
    <w:rsid w:val="00EE5F65"/>
    <w:rsid w:val="00EE5FD6"/>
    <w:rsid w:val="00EE60D1"/>
    <w:rsid w:val="00EE6166"/>
    <w:rsid w:val="00EE61F8"/>
    <w:rsid w:val="00EE63A2"/>
    <w:rsid w:val="00EE63E0"/>
    <w:rsid w:val="00EE6487"/>
    <w:rsid w:val="00EE67B0"/>
    <w:rsid w:val="00EE6882"/>
    <w:rsid w:val="00EE6FA5"/>
    <w:rsid w:val="00EE71BF"/>
    <w:rsid w:val="00EE7361"/>
    <w:rsid w:val="00EE753B"/>
    <w:rsid w:val="00EE7711"/>
    <w:rsid w:val="00EE7A92"/>
    <w:rsid w:val="00EE7D52"/>
    <w:rsid w:val="00EE7D99"/>
    <w:rsid w:val="00EF0064"/>
    <w:rsid w:val="00EF0724"/>
    <w:rsid w:val="00EF07B4"/>
    <w:rsid w:val="00EF0853"/>
    <w:rsid w:val="00EF0A99"/>
    <w:rsid w:val="00EF0B88"/>
    <w:rsid w:val="00EF0C0F"/>
    <w:rsid w:val="00EF11D0"/>
    <w:rsid w:val="00EF1519"/>
    <w:rsid w:val="00EF190F"/>
    <w:rsid w:val="00EF1F39"/>
    <w:rsid w:val="00EF216D"/>
    <w:rsid w:val="00EF217B"/>
    <w:rsid w:val="00EF222C"/>
    <w:rsid w:val="00EF2858"/>
    <w:rsid w:val="00EF29A5"/>
    <w:rsid w:val="00EF29C3"/>
    <w:rsid w:val="00EF29CD"/>
    <w:rsid w:val="00EF2D51"/>
    <w:rsid w:val="00EF2F83"/>
    <w:rsid w:val="00EF2FA3"/>
    <w:rsid w:val="00EF3216"/>
    <w:rsid w:val="00EF34DA"/>
    <w:rsid w:val="00EF3889"/>
    <w:rsid w:val="00EF3DEC"/>
    <w:rsid w:val="00EF42B0"/>
    <w:rsid w:val="00EF439A"/>
    <w:rsid w:val="00EF450B"/>
    <w:rsid w:val="00EF469E"/>
    <w:rsid w:val="00EF47A6"/>
    <w:rsid w:val="00EF4DA1"/>
    <w:rsid w:val="00EF5018"/>
    <w:rsid w:val="00EF507A"/>
    <w:rsid w:val="00EF51E5"/>
    <w:rsid w:val="00EF58AF"/>
    <w:rsid w:val="00EF5BE0"/>
    <w:rsid w:val="00EF5F7A"/>
    <w:rsid w:val="00EF60AC"/>
    <w:rsid w:val="00EF652B"/>
    <w:rsid w:val="00EF65D5"/>
    <w:rsid w:val="00EF6995"/>
    <w:rsid w:val="00EF7213"/>
    <w:rsid w:val="00EF74D3"/>
    <w:rsid w:val="00EF7510"/>
    <w:rsid w:val="00EF7627"/>
    <w:rsid w:val="00EF76A1"/>
    <w:rsid w:val="00EF770C"/>
    <w:rsid w:val="00EF7F05"/>
    <w:rsid w:val="00F000BC"/>
    <w:rsid w:val="00F00231"/>
    <w:rsid w:val="00F002C3"/>
    <w:rsid w:val="00F00382"/>
    <w:rsid w:val="00F00A03"/>
    <w:rsid w:val="00F00A4E"/>
    <w:rsid w:val="00F00C30"/>
    <w:rsid w:val="00F00EB7"/>
    <w:rsid w:val="00F00F1C"/>
    <w:rsid w:val="00F013DB"/>
    <w:rsid w:val="00F018BD"/>
    <w:rsid w:val="00F01A4F"/>
    <w:rsid w:val="00F01ABA"/>
    <w:rsid w:val="00F01BAF"/>
    <w:rsid w:val="00F01FB6"/>
    <w:rsid w:val="00F0219A"/>
    <w:rsid w:val="00F0239E"/>
    <w:rsid w:val="00F025FF"/>
    <w:rsid w:val="00F028F5"/>
    <w:rsid w:val="00F02E16"/>
    <w:rsid w:val="00F03110"/>
    <w:rsid w:val="00F03258"/>
    <w:rsid w:val="00F032D6"/>
    <w:rsid w:val="00F03740"/>
    <w:rsid w:val="00F03B1B"/>
    <w:rsid w:val="00F03DBB"/>
    <w:rsid w:val="00F04419"/>
    <w:rsid w:val="00F04E96"/>
    <w:rsid w:val="00F0593C"/>
    <w:rsid w:val="00F05D34"/>
    <w:rsid w:val="00F05EA1"/>
    <w:rsid w:val="00F06065"/>
    <w:rsid w:val="00F060C9"/>
    <w:rsid w:val="00F06772"/>
    <w:rsid w:val="00F07212"/>
    <w:rsid w:val="00F07BC6"/>
    <w:rsid w:val="00F1004C"/>
    <w:rsid w:val="00F10372"/>
    <w:rsid w:val="00F1037E"/>
    <w:rsid w:val="00F105CD"/>
    <w:rsid w:val="00F10643"/>
    <w:rsid w:val="00F107EA"/>
    <w:rsid w:val="00F10B63"/>
    <w:rsid w:val="00F1113E"/>
    <w:rsid w:val="00F11206"/>
    <w:rsid w:val="00F113ED"/>
    <w:rsid w:val="00F11CD8"/>
    <w:rsid w:val="00F1248A"/>
    <w:rsid w:val="00F12988"/>
    <w:rsid w:val="00F12DD6"/>
    <w:rsid w:val="00F13002"/>
    <w:rsid w:val="00F13587"/>
    <w:rsid w:val="00F1359A"/>
    <w:rsid w:val="00F13987"/>
    <w:rsid w:val="00F13DA9"/>
    <w:rsid w:val="00F13DB3"/>
    <w:rsid w:val="00F13DF9"/>
    <w:rsid w:val="00F13F99"/>
    <w:rsid w:val="00F141ED"/>
    <w:rsid w:val="00F143C6"/>
    <w:rsid w:val="00F14520"/>
    <w:rsid w:val="00F1461C"/>
    <w:rsid w:val="00F148E2"/>
    <w:rsid w:val="00F14A1B"/>
    <w:rsid w:val="00F14ACF"/>
    <w:rsid w:val="00F14B29"/>
    <w:rsid w:val="00F14B3B"/>
    <w:rsid w:val="00F14C00"/>
    <w:rsid w:val="00F14FC9"/>
    <w:rsid w:val="00F15404"/>
    <w:rsid w:val="00F15446"/>
    <w:rsid w:val="00F15519"/>
    <w:rsid w:val="00F15594"/>
    <w:rsid w:val="00F15722"/>
    <w:rsid w:val="00F15D85"/>
    <w:rsid w:val="00F1607A"/>
    <w:rsid w:val="00F1618B"/>
    <w:rsid w:val="00F1619F"/>
    <w:rsid w:val="00F161DD"/>
    <w:rsid w:val="00F16201"/>
    <w:rsid w:val="00F16472"/>
    <w:rsid w:val="00F16B60"/>
    <w:rsid w:val="00F17212"/>
    <w:rsid w:val="00F173FC"/>
    <w:rsid w:val="00F17935"/>
    <w:rsid w:val="00F179C8"/>
    <w:rsid w:val="00F17B6E"/>
    <w:rsid w:val="00F17B78"/>
    <w:rsid w:val="00F17DD3"/>
    <w:rsid w:val="00F202BD"/>
    <w:rsid w:val="00F202C4"/>
    <w:rsid w:val="00F20723"/>
    <w:rsid w:val="00F2087F"/>
    <w:rsid w:val="00F208C7"/>
    <w:rsid w:val="00F20CC4"/>
    <w:rsid w:val="00F20F2B"/>
    <w:rsid w:val="00F2119B"/>
    <w:rsid w:val="00F21626"/>
    <w:rsid w:val="00F216C6"/>
    <w:rsid w:val="00F21A28"/>
    <w:rsid w:val="00F21B5C"/>
    <w:rsid w:val="00F21C18"/>
    <w:rsid w:val="00F220E9"/>
    <w:rsid w:val="00F2220C"/>
    <w:rsid w:val="00F22475"/>
    <w:rsid w:val="00F22549"/>
    <w:rsid w:val="00F22654"/>
    <w:rsid w:val="00F2297F"/>
    <w:rsid w:val="00F22B91"/>
    <w:rsid w:val="00F22C82"/>
    <w:rsid w:val="00F23018"/>
    <w:rsid w:val="00F23057"/>
    <w:rsid w:val="00F23058"/>
    <w:rsid w:val="00F23146"/>
    <w:rsid w:val="00F23251"/>
    <w:rsid w:val="00F2363D"/>
    <w:rsid w:val="00F236D2"/>
    <w:rsid w:val="00F237C7"/>
    <w:rsid w:val="00F237F2"/>
    <w:rsid w:val="00F23ABD"/>
    <w:rsid w:val="00F23C6F"/>
    <w:rsid w:val="00F23D46"/>
    <w:rsid w:val="00F23EAD"/>
    <w:rsid w:val="00F241C1"/>
    <w:rsid w:val="00F2424B"/>
    <w:rsid w:val="00F245B0"/>
    <w:rsid w:val="00F2480C"/>
    <w:rsid w:val="00F24B6B"/>
    <w:rsid w:val="00F24E0C"/>
    <w:rsid w:val="00F24FCD"/>
    <w:rsid w:val="00F2551B"/>
    <w:rsid w:val="00F25A59"/>
    <w:rsid w:val="00F25C0F"/>
    <w:rsid w:val="00F25EAB"/>
    <w:rsid w:val="00F26113"/>
    <w:rsid w:val="00F26146"/>
    <w:rsid w:val="00F26154"/>
    <w:rsid w:val="00F26225"/>
    <w:rsid w:val="00F2656D"/>
    <w:rsid w:val="00F265A7"/>
    <w:rsid w:val="00F2687E"/>
    <w:rsid w:val="00F26DBA"/>
    <w:rsid w:val="00F26E22"/>
    <w:rsid w:val="00F2702F"/>
    <w:rsid w:val="00F270CB"/>
    <w:rsid w:val="00F270FC"/>
    <w:rsid w:val="00F273AF"/>
    <w:rsid w:val="00F273E3"/>
    <w:rsid w:val="00F27479"/>
    <w:rsid w:val="00F274A5"/>
    <w:rsid w:val="00F279CE"/>
    <w:rsid w:val="00F27A11"/>
    <w:rsid w:val="00F27C24"/>
    <w:rsid w:val="00F30218"/>
    <w:rsid w:val="00F3029E"/>
    <w:rsid w:val="00F30374"/>
    <w:rsid w:val="00F30440"/>
    <w:rsid w:val="00F30489"/>
    <w:rsid w:val="00F30554"/>
    <w:rsid w:val="00F30863"/>
    <w:rsid w:val="00F30A4E"/>
    <w:rsid w:val="00F30C64"/>
    <w:rsid w:val="00F30EDB"/>
    <w:rsid w:val="00F31188"/>
    <w:rsid w:val="00F311C2"/>
    <w:rsid w:val="00F31212"/>
    <w:rsid w:val="00F3154F"/>
    <w:rsid w:val="00F315D0"/>
    <w:rsid w:val="00F31777"/>
    <w:rsid w:val="00F31786"/>
    <w:rsid w:val="00F319B6"/>
    <w:rsid w:val="00F319C4"/>
    <w:rsid w:val="00F31B08"/>
    <w:rsid w:val="00F31CBA"/>
    <w:rsid w:val="00F31DD4"/>
    <w:rsid w:val="00F32169"/>
    <w:rsid w:val="00F323A9"/>
    <w:rsid w:val="00F3253D"/>
    <w:rsid w:val="00F3292E"/>
    <w:rsid w:val="00F32CAF"/>
    <w:rsid w:val="00F32E4A"/>
    <w:rsid w:val="00F32E98"/>
    <w:rsid w:val="00F332F0"/>
    <w:rsid w:val="00F33A41"/>
    <w:rsid w:val="00F33E9F"/>
    <w:rsid w:val="00F3441B"/>
    <w:rsid w:val="00F3490E"/>
    <w:rsid w:val="00F34ABD"/>
    <w:rsid w:val="00F34E17"/>
    <w:rsid w:val="00F35045"/>
    <w:rsid w:val="00F35056"/>
    <w:rsid w:val="00F351B2"/>
    <w:rsid w:val="00F356ED"/>
    <w:rsid w:val="00F35820"/>
    <w:rsid w:val="00F35B03"/>
    <w:rsid w:val="00F35B9F"/>
    <w:rsid w:val="00F35E63"/>
    <w:rsid w:val="00F3613B"/>
    <w:rsid w:val="00F36254"/>
    <w:rsid w:val="00F363B6"/>
    <w:rsid w:val="00F3641E"/>
    <w:rsid w:val="00F3648D"/>
    <w:rsid w:val="00F36540"/>
    <w:rsid w:val="00F36599"/>
    <w:rsid w:val="00F36733"/>
    <w:rsid w:val="00F367CD"/>
    <w:rsid w:val="00F36C34"/>
    <w:rsid w:val="00F36C44"/>
    <w:rsid w:val="00F36CC4"/>
    <w:rsid w:val="00F37008"/>
    <w:rsid w:val="00F37028"/>
    <w:rsid w:val="00F3728B"/>
    <w:rsid w:val="00F37329"/>
    <w:rsid w:val="00F37495"/>
    <w:rsid w:val="00F375FE"/>
    <w:rsid w:val="00F37822"/>
    <w:rsid w:val="00F3782F"/>
    <w:rsid w:val="00F37E2B"/>
    <w:rsid w:val="00F37F4D"/>
    <w:rsid w:val="00F4006D"/>
    <w:rsid w:val="00F40265"/>
    <w:rsid w:val="00F40293"/>
    <w:rsid w:val="00F4069D"/>
    <w:rsid w:val="00F40734"/>
    <w:rsid w:val="00F4097C"/>
    <w:rsid w:val="00F409B2"/>
    <w:rsid w:val="00F40A87"/>
    <w:rsid w:val="00F40CA5"/>
    <w:rsid w:val="00F40F64"/>
    <w:rsid w:val="00F41142"/>
    <w:rsid w:val="00F411A3"/>
    <w:rsid w:val="00F41809"/>
    <w:rsid w:val="00F41B0D"/>
    <w:rsid w:val="00F41B2A"/>
    <w:rsid w:val="00F42267"/>
    <w:rsid w:val="00F4229E"/>
    <w:rsid w:val="00F422AC"/>
    <w:rsid w:val="00F42525"/>
    <w:rsid w:val="00F42529"/>
    <w:rsid w:val="00F42641"/>
    <w:rsid w:val="00F42A82"/>
    <w:rsid w:val="00F42A9E"/>
    <w:rsid w:val="00F42B8A"/>
    <w:rsid w:val="00F42BE3"/>
    <w:rsid w:val="00F42F96"/>
    <w:rsid w:val="00F43110"/>
    <w:rsid w:val="00F4332B"/>
    <w:rsid w:val="00F433DC"/>
    <w:rsid w:val="00F43542"/>
    <w:rsid w:val="00F43AE8"/>
    <w:rsid w:val="00F43CBA"/>
    <w:rsid w:val="00F43F86"/>
    <w:rsid w:val="00F448B6"/>
    <w:rsid w:val="00F44B03"/>
    <w:rsid w:val="00F44B58"/>
    <w:rsid w:val="00F44DD3"/>
    <w:rsid w:val="00F44DDF"/>
    <w:rsid w:val="00F4506A"/>
    <w:rsid w:val="00F45136"/>
    <w:rsid w:val="00F452C6"/>
    <w:rsid w:val="00F4555B"/>
    <w:rsid w:val="00F45922"/>
    <w:rsid w:val="00F45A5B"/>
    <w:rsid w:val="00F45D6B"/>
    <w:rsid w:val="00F45F38"/>
    <w:rsid w:val="00F4618D"/>
    <w:rsid w:val="00F4631E"/>
    <w:rsid w:val="00F4655B"/>
    <w:rsid w:val="00F4659E"/>
    <w:rsid w:val="00F46670"/>
    <w:rsid w:val="00F46817"/>
    <w:rsid w:val="00F46B62"/>
    <w:rsid w:val="00F46C64"/>
    <w:rsid w:val="00F46FD8"/>
    <w:rsid w:val="00F47143"/>
    <w:rsid w:val="00F473DD"/>
    <w:rsid w:val="00F476AD"/>
    <w:rsid w:val="00F47A2D"/>
    <w:rsid w:val="00F47AB7"/>
    <w:rsid w:val="00F47CEE"/>
    <w:rsid w:val="00F47DB8"/>
    <w:rsid w:val="00F47F1C"/>
    <w:rsid w:val="00F500F6"/>
    <w:rsid w:val="00F501ED"/>
    <w:rsid w:val="00F5021B"/>
    <w:rsid w:val="00F5030E"/>
    <w:rsid w:val="00F50587"/>
    <w:rsid w:val="00F50C86"/>
    <w:rsid w:val="00F50C9F"/>
    <w:rsid w:val="00F50E54"/>
    <w:rsid w:val="00F50E99"/>
    <w:rsid w:val="00F51059"/>
    <w:rsid w:val="00F5110B"/>
    <w:rsid w:val="00F51135"/>
    <w:rsid w:val="00F511C1"/>
    <w:rsid w:val="00F5123C"/>
    <w:rsid w:val="00F514B7"/>
    <w:rsid w:val="00F515D2"/>
    <w:rsid w:val="00F516DF"/>
    <w:rsid w:val="00F51E24"/>
    <w:rsid w:val="00F51EA8"/>
    <w:rsid w:val="00F5283C"/>
    <w:rsid w:val="00F52B42"/>
    <w:rsid w:val="00F531CB"/>
    <w:rsid w:val="00F535A9"/>
    <w:rsid w:val="00F5397C"/>
    <w:rsid w:val="00F53DBE"/>
    <w:rsid w:val="00F53E16"/>
    <w:rsid w:val="00F53EE6"/>
    <w:rsid w:val="00F5440B"/>
    <w:rsid w:val="00F545AB"/>
    <w:rsid w:val="00F5474B"/>
    <w:rsid w:val="00F54796"/>
    <w:rsid w:val="00F5494B"/>
    <w:rsid w:val="00F54AB7"/>
    <w:rsid w:val="00F5502D"/>
    <w:rsid w:val="00F5505F"/>
    <w:rsid w:val="00F55068"/>
    <w:rsid w:val="00F555D2"/>
    <w:rsid w:val="00F55638"/>
    <w:rsid w:val="00F557A1"/>
    <w:rsid w:val="00F55DA0"/>
    <w:rsid w:val="00F566FB"/>
    <w:rsid w:val="00F567E2"/>
    <w:rsid w:val="00F569F4"/>
    <w:rsid w:val="00F56CD3"/>
    <w:rsid w:val="00F57D26"/>
    <w:rsid w:val="00F57E6E"/>
    <w:rsid w:val="00F57ED8"/>
    <w:rsid w:val="00F601B6"/>
    <w:rsid w:val="00F608D8"/>
    <w:rsid w:val="00F6091F"/>
    <w:rsid w:val="00F60A62"/>
    <w:rsid w:val="00F60C61"/>
    <w:rsid w:val="00F60DFE"/>
    <w:rsid w:val="00F60FF2"/>
    <w:rsid w:val="00F610D1"/>
    <w:rsid w:val="00F611BF"/>
    <w:rsid w:val="00F611CE"/>
    <w:rsid w:val="00F61322"/>
    <w:rsid w:val="00F61359"/>
    <w:rsid w:val="00F61450"/>
    <w:rsid w:val="00F61516"/>
    <w:rsid w:val="00F61639"/>
    <w:rsid w:val="00F6193D"/>
    <w:rsid w:val="00F61AA6"/>
    <w:rsid w:val="00F61C28"/>
    <w:rsid w:val="00F61DFE"/>
    <w:rsid w:val="00F61E92"/>
    <w:rsid w:val="00F6205C"/>
    <w:rsid w:val="00F62092"/>
    <w:rsid w:val="00F6217C"/>
    <w:rsid w:val="00F62261"/>
    <w:rsid w:val="00F62409"/>
    <w:rsid w:val="00F62426"/>
    <w:rsid w:val="00F628D2"/>
    <w:rsid w:val="00F62A48"/>
    <w:rsid w:val="00F62B41"/>
    <w:rsid w:val="00F62BDE"/>
    <w:rsid w:val="00F62BE9"/>
    <w:rsid w:val="00F62DDD"/>
    <w:rsid w:val="00F62E3E"/>
    <w:rsid w:val="00F630D7"/>
    <w:rsid w:val="00F63144"/>
    <w:rsid w:val="00F636CB"/>
    <w:rsid w:val="00F63929"/>
    <w:rsid w:val="00F63C14"/>
    <w:rsid w:val="00F640CB"/>
    <w:rsid w:val="00F6484C"/>
    <w:rsid w:val="00F64881"/>
    <w:rsid w:val="00F64C3B"/>
    <w:rsid w:val="00F64F53"/>
    <w:rsid w:val="00F65C01"/>
    <w:rsid w:val="00F65C36"/>
    <w:rsid w:val="00F66220"/>
    <w:rsid w:val="00F667DB"/>
    <w:rsid w:val="00F66D55"/>
    <w:rsid w:val="00F66EF6"/>
    <w:rsid w:val="00F671A8"/>
    <w:rsid w:val="00F674BE"/>
    <w:rsid w:val="00F677D1"/>
    <w:rsid w:val="00F67BC3"/>
    <w:rsid w:val="00F67CFA"/>
    <w:rsid w:val="00F67DF8"/>
    <w:rsid w:val="00F702C3"/>
    <w:rsid w:val="00F70381"/>
    <w:rsid w:val="00F703BE"/>
    <w:rsid w:val="00F707DC"/>
    <w:rsid w:val="00F7084D"/>
    <w:rsid w:val="00F70865"/>
    <w:rsid w:val="00F70A48"/>
    <w:rsid w:val="00F70C10"/>
    <w:rsid w:val="00F71265"/>
    <w:rsid w:val="00F7131D"/>
    <w:rsid w:val="00F714AB"/>
    <w:rsid w:val="00F7166F"/>
    <w:rsid w:val="00F721CC"/>
    <w:rsid w:val="00F72857"/>
    <w:rsid w:val="00F7289C"/>
    <w:rsid w:val="00F72BDE"/>
    <w:rsid w:val="00F72C3F"/>
    <w:rsid w:val="00F72C51"/>
    <w:rsid w:val="00F7344D"/>
    <w:rsid w:val="00F73575"/>
    <w:rsid w:val="00F735B5"/>
    <w:rsid w:val="00F7360B"/>
    <w:rsid w:val="00F736AC"/>
    <w:rsid w:val="00F736FC"/>
    <w:rsid w:val="00F743C8"/>
    <w:rsid w:val="00F745EF"/>
    <w:rsid w:val="00F745F5"/>
    <w:rsid w:val="00F746A2"/>
    <w:rsid w:val="00F74928"/>
    <w:rsid w:val="00F74BB3"/>
    <w:rsid w:val="00F7538B"/>
    <w:rsid w:val="00F75416"/>
    <w:rsid w:val="00F7560F"/>
    <w:rsid w:val="00F75CE5"/>
    <w:rsid w:val="00F76571"/>
    <w:rsid w:val="00F7660A"/>
    <w:rsid w:val="00F76630"/>
    <w:rsid w:val="00F768E6"/>
    <w:rsid w:val="00F7695C"/>
    <w:rsid w:val="00F76A08"/>
    <w:rsid w:val="00F76B48"/>
    <w:rsid w:val="00F77168"/>
    <w:rsid w:val="00F771E6"/>
    <w:rsid w:val="00F77326"/>
    <w:rsid w:val="00F7750E"/>
    <w:rsid w:val="00F77564"/>
    <w:rsid w:val="00F77819"/>
    <w:rsid w:val="00F77889"/>
    <w:rsid w:val="00F80112"/>
    <w:rsid w:val="00F80261"/>
    <w:rsid w:val="00F802ED"/>
    <w:rsid w:val="00F80637"/>
    <w:rsid w:val="00F80AA7"/>
    <w:rsid w:val="00F810A4"/>
    <w:rsid w:val="00F8145A"/>
    <w:rsid w:val="00F8189F"/>
    <w:rsid w:val="00F81C9A"/>
    <w:rsid w:val="00F82047"/>
    <w:rsid w:val="00F82181"/>
    <w:rsid w:val="00F82201"/>
    <w:rsid w:val="00F8223B"/>
    <w:rsid w:val="00F82653"/>
    <w:rsid w:val="00F826B7"/>
    <w:rsid w:val="00F826BA"/>
    <w:rsid w:val="00F82858"/>
    <w:rsid w:val="00F82F90"/>
    <w:rsid w:val="00F831C0"/>
    <w:rsid w:val="00F83371"/>
    <w:rsid w:val="00F834A8"/>
    <w:rsid w:val="00F83717"/>
    <w:rsid w:val="00F838DA"/>
    <w:rsid w:val="00F83A8B"/>
    <w:rsid w:val="00F83B13"/>
    <w:rsid w:val="00F83B4B"/>
    <w:rsid w:val="00F83B7D"/>
    <w:rsid w:val="00F83C50"/>
    <w:rsid w:val="00F84065"/>
    <w:rsid w:val="00F84180"/>
    <w:rsid w:val="00F84394"/>
    <w:rsid w:val="00F844AA"/>
    <w:rsid w:val="00F8464D"/>
    <w:rsid w:val="00F84A9C"/>
    <w:rsid w:val="00F84F09"/>
    <w:rsid w:val="00F8531B"/>
    <w:rsid w:val="00F85621"/>
    <w:rsid w:val="00F85D32"/>
    <w:rsid w:val="00F85F93"/>
    <w:rsid w:val="00F8639C"/>
    <w:rsid w:val="00F86510"/>
    <w:rsid w:val="00F86593"/>
    <w:rsid w:val="00F86A12"/>
    <w:rsid w:val="00F86CD2"/>
    <w:rsid w:val="00F86D67"/>
    <w:rsid w:val="00F86E63"/>
    <w:rsid w:val="00F86FDE"/>
    <w:rsid w:val="00F8706E"/>
    <w:rsid w:val="00F872C8"/>
    <w:rsid w:val="00F87332"/>
    <w:rsid w:val="00F8746B"/>
    <w:rsid w:val="00F87783"/>
    <w:rsid w:val="00F87976"/>
    <w:rsid w:val="00F87A6C"/>
    <w:rsid w:val="00F87B4D"/>
    <w:rsid w:val="00F9014A"/>
    <w:rsid w:val="00F901B7"/>
    <w:rsid w:val="00F903D8"/>
    <w:rsid w:val="00F905B8"/>
    <w:rsid w:val="00F90A47"/>
    <w:rsid w:val="00F90ADE"/>
    <w:rsid w:val="00F90F58"/>
    <w:rsid w:val="00F91092"/>
    <w:rsid w:val="00F910DD"/>
    <w:rsid w:val="00F91172"/>
    <w:rsid w:val="00F91290"/>
    <w:rsid w:val="00F91324"/>
    <w:rsid w:val="00F914BB"/>
    <w:rsid w:val="00F9150B"/>
    <w:rsid w:val="00F915F1"/>
    <w:rsid w:val="00F9169F"/>
    <w:rsid w:val="00F918AC"/>
    <w:rsid w:val="00F91C1E"/>
    <w:rsid w:val="00F91CBF"/>
    <w:rsid w:val="00F926B0"/>
    <w:rsid w:val="00F92749"/>
    <w:rsid w:val="00F92809"/>
    <w:rsid w:val="00F9287B"/>
    <w:rsid w:val="00F9291D"/>
    <w:rsid w:val="00F92DA1"/>
    <w:rsid w:val="00F92F99"/>
    <w:rsid w:val="00F9318A"/>
    <w:rsid w:val="00F931E7"/>
    <w:rsid w:val="00F933D0"/>
    <w:rsid w:val="00F93555"/>
    <w:rsid w:val="00F93685"/>
    <w:rsid w:val="00F939EF"/>
    <w:rsid w:val="00F93C8B"/>
    <w:rsid w:val="00F93F06"/>
    <w:rsid w:val="00F94114"/>
    <w:rsid w:val="00F94185"/>
    <w:rsid w:val="00F942D6"/>
    <w:rsid w:val="00F9430A"/>
    <w:rsid w:val="00F9444D"/>
    <w:rsid w:val="00F955BE"/>
    <w:rsid w:val="00F95907"/>
    <w:rsid w:val="00F959B6"/>
    <w:rsid w:val="00F95DD1"/>
    <w:rsid w:val="00F95E50"/>
    <w:rsid w:val="00F9689B"/>
    <w:rsid w:val="00F968CF"/>
    <w:rsid w:val="00F96A8A"/>
    <w:rsid w:val="00F96B9C"/>
    <w:rsid w:val="00F96C4B"/>
    <w:rsid w:val="00F96E79"/>
    <w:rsid w:val="00F96F14"/>
    <w:rsid w:val="00F96F99"/>
    <w:rsid w:val="00F971AE"/>
    <w:rsid w:val="00F9739B"/>
    <w:rsid w:val="00F9776B"/>
    <w:rsid w:val="00F97827"/>
    <w:rsid w:val="00F97925"/>
    <w:rsid w:val="00F97AD4"/>
    <w:rsid w:val="00F97CB9"/>
    <w:rsid w:val="00F97E5D"/>
    <w:rsid w:val="00FA0237"/>
    <w:rsid w:val="00FA02A7"/>
    <w:rsid w:val="00FA04F2"/>
    <w:rsid w:val="00FA0578"/>
    <w:rsid w:val="00FA067B"/>
    <w:rsid w:val="00FA0830"/>
    <w:rsid w:val="00FA0C4E"/>
    <w:rsid w:val="00FA0D29"/>
    <w:rsid w:val="00FA1457"/>
    <w:rsid w:val="00FA177B"/>
    <w:rsid w:val="00FA184C"/>
    <w:rsid w:val="00FA1D0B"/>
    <w:rsid w:val="00FA209E"/>
    <w:rsid w:val="00FA26F7"/>
    <w:rsid w:val="00FA27EE"/>
    <w:rsid w:val="00FA29B0"/>
    <w:rsid w:val="00FA2ACF"/>
    <w:rsid w:val="00FA2C5B"/>
    <w:rsid w:val="00FA2D1D"/>
    <w:rsid w:val="00FA33E0"/>
    <w:rsid w:val="00FA36C7"/>
    <w:rsid w:val="00FA36E6"/>
    <w:rsid w:val="00FA3A02"/>
    <w:rsid w:val="00FA3B22"/>
    <w:rsid w:val="00FA3E23"/>
    <w:rsid w:val="00FA3FB4"/>
    <w:rsid w:val="00FA4088"/>
    <w:rsid w:val="00FA41D3"/>
    <w:rsid w:val="00FA42F5"/>
    <w:rsid w:val="00FA4567"/>
    <w:rsid w:val="00FA4788"/>
    <w:rsid w:val="00FA4939"/>
    <w:rsid w:val="00FA4B40"/>
    <w:rsid w:val="00FA4B91"/>
    <w:rsid w:val="00FA4BAD"/>
    <w:rsid w:val="00FA4E15"/>
    <w:rsid w:val="00FA4E3B"/>
    <w:rsid w:val="00FA4F7D"/>
    <w:rsid w:val="00FA5421"/>
    <w:rsid w:val="00FA6088"/>
    <w:rsid w:val="00FA698C"/>
    <w:rsid w:val="00FA6EC0"/>
    <w:rsid w:val="00FA6ECE"/>
    <w:rsid w:val="00FA7217"/>
    <w:rsid w:val="00FA723E"/>
    <w:rsid w:val="00FA7312"/>
    <w:rsid w:val="00FA7741"/>
    <w:rsid w:val="00FA77AF"/>
    <w:rsid w:val="00FA7C9E"/>
    <w:rsid w:val="00FB03DA"/>
    <w:rsid w:val="00FB065E"/>
    <w:rsid w:val="00FB06FF"/>
    <w:rsid w:val="00FB0884"/>
    <w:rsid w:val="00FB0A8B"/>
    <w:rsid w:val="00FB1121"/>
    <w:rsid w:val="00FB126B"/>
    <w:rsid w:val="00FB14D0"/>
    <w:rsid w:val="00FB192E"/>
    <w:rsid w:val="00FB19E2"/>
    <w:rsid w:val="00FB1DEA"/>
    <w:rsid w:val="00FB1F04"/>
    <w:rsid w:val="00FB234F"/>
    <w:rsid w:val="00FB245A"/>
    <w:rsid w:val="00FB24AC"/>
    <w:rsid w:val="00FB26E0"/>
    <w:rsid w:val="00FB278D"/>
    <w:rsid w:val="00FB28F6"/>
    <w:rsid w:val="00FB2D85"/>
    <w:rsid w:val="00FB2E2C"/>
    <w:rsid w:val="00FB31A0"/>
    <w:rsid w:val="00FB344F"/>
    <w:rsid w:val="00FB3652"/>
    <w:rsid w:val="00FB3765"/>
    <w:rsid w:val="00FB3918"/>
    <w:rsid w:val="00FB39CA"/>
    <w:rsid w:val="00FB3D4B"/>
    <w:rsid w:val="00FB3FE4"/>
    <w:rsid w:val="00FB4105"/>
    <w:rsid w:val="00FB4112"/>
    <w:rsid w:val="00FB412F"/>
    <w:rsid w:val="00FB4341"/>
    <w:rsid w:val="00FB4433"/>
    <w:rsid w:val="00FB4C44"/>
    <w:rsid w:val="00FB4E74"/>
    <w:rsid w:val="00FB4FBD"/>
    <w:rsid w:val="00FB5596"/>
    <w:rsid w:val="00FB59F2"/>
    <w:rsid w:val="00FB5A1B"/>
    <w:rsid w:val="00FB5A64"/>
    <w:rsid w:val="00FB5C4A"/>
    <w:rsid w:val="00FB5CB6"/>
    <w:rsid w:val="00FB5CC1"/>
    <w:rsid w:val="00FB5CD9"/>
    <w:rsid w:val="00FB606E"/>
    <w:rsid w:val="00FB611E"/>
    <w:rsid w:val="00FB6161"/>
    <w:rsid w:val="00FB65B2"/>
    <w:rsid w:val="00FB6800"/>
    <w:rsid w:val="00FB6A96"/>
    <w:rsid w:val="00FB6DF6"/>
    <w:rsid w:val="00FB6E3B"/>
    <w:rsid w:val="00FB6EEC"/>
    <w:rsid w:val="00FB6EFE"/>
    <w:rsid w:val="00FB6F76"/>
    <w:rsid w:val="00FB7788"/>
    <w:rsid w:val="00FB79D1"/>
    <w:rsid w:val="00FB7FCC"/>
    <w:rsid w:val="00FC00A9"/>
    <w:rsid w:val="00FC00DE"/>
    <w:rsid w:val="00FC0501"/>
    <w:rsid w:val="00FC0635"/>
    <w:rsid w:val="00FC08E4"/>
    <w:rsid w:val="00FC0A0D"/>
    <w:rsid w:val="00FC0B67"/>
    <w:rsid w:val="00FC0C6D"/>
    <w:rsid w:val="00FC0CC5"/>
    <w:rsid w:val="00FC1239"/>
    <w:rsid w:val="00FC1C6D"/>
    <w:rsid w:val="00FC1DDB"/>
    <w:rsid w:val="00FC1FD4"/>
    <w:rsid w:val="00FC2208"/>
    <w:rsid w:val="00FC2354"/>
    <w:rsid w:val="00FC25F6"/>
    <w:rsid w:val="00FC260A"/>
    <w:rsid w:val="00FC283E"/>
    <w:rsid w:val="00FC2928"/>
    <w:rsid w:val="00FC2C42"/>
    <w:rsid w:val="00FC2D51"/>
    <w:rsid w:val="00FC2E4A"/>
    <w:rsid w:val="00FC2ED7"/>
    <w:rsid w:val="00FC2EEE"/>
    <w:rsid w:val="00FC30A8"/>
    <w:rsid w:val="00FC336F"/>
    <w:rsid w:val="00FC3653"/>
    <w:rsid w:val="00FC38D7"/>
    <w:rsid w:val="00FC3B1B"/>
    <w:rsid w:val="00FC3F01"/>
    <w:rsid w:val="00FC3F99"/>
    <w:rsid w:val="00FC43B9"/>
    <w:rsid w:val="00FC440E"/>
    <w:rsid w:val="00FC4694"/>
    <w:rsid w:val="00FC489D"/>
    <w:rsid w:val="00FC4993"/>
    <w:rsid w:val="00FC4B1C"/>
    <w:rsid w:val="00FC4B53"/>
    <w:rsid w:val="00FC50E9"/>
    <w:rsid w:val="00FC51AC"/>
    <w:rsid w:val="00FC524D"/>
    <w:rsid w:val="00FC542C"/>
    <w:rsid w:val="00FC55FE"/>
    <w:rsid w:val="00FC5D34"/>
    <w:rsid w:val="00FC5D4E"/>
    <w:rsid w:val="00FC5DD6"/>
    <w:rsid w:val="00FC5E4D"/>
    <w:rsid w:val="00FC6014"/>
    <w:rsid w:val="00FC64D8"/>
    <w:rsid w:val="00FC668E"/>
    <w:rsid w:val="00FC671F"/>
    <w:rsid w:val="00FC6D37"/>
    <w:rsid w:val="00FC6E78"/>
    <w:rsid w:val="00FC7059"/>
    <w:rsid w:val="00FC712F"/>
    <w:rsid w:val="00FC7137"/>
    <w:rsid w:val="00FC7654"/>
    <w:rsid w:val="00FC76A5"/>
    <w:rsid w:val="00FC76B2"/>
    <w:rsid w:val="00FC7A76"/>
    <w:rsid w:val="00FC7AD8"/>
    <w:rsid w:val="00FD05C5"/>
    <w:rsid w:val="00FD0606"/>
    <w:rsid w:val="00FD0714"/>
    <w:rsid w:val="00FD0788"/>
    <w:rsid w:val="00FD082C"/>
    <w:rsid w:val="00FD0A4F"/>
    <w:rsid w:val="00FD0AAF"/>
    <w:rsid w:val="00FD0CF8"/>
    <w:rsid w:val="00FD0E24"/>
    <w:rsid w:val="00FD0E9C"/>
    <w:rsid w:val="00FD0EDA"/>
    <w:rsid w:val="00FD0F74"/>
    <w:rsid w:val="00FD130C"/>
    <w:rsid w:val="00FD138A"/>
    <w:rsid w:val="00FD14E8"/>
    <w:rsid w:val="00FD161D"/>
    <w:rsid w:val="00FD1879"/>
    <w:rsid w:val="00FD18A5"/>
    <w:rsid w:val="00FD1AF2"/>
    <w:rsid w:val="00FD1C29"/>
    <w:rsid w:val="00FD1E0E"/>
    <w:rsid w:val="00FD23BD"/>
    <w:rsid w:val="00FD2452"/>
    <w:rsid w:val="00FD26FA"/>
    <w:rsid w:val="00FD292D"/>
    <w:rsid w:val="00FD298D"/>
    <w:rsid w:val="00FD2B6A"/>
    <w:rsid w:val="00FD2B7E"/>
    <w:rsid w:val="00FD2E65"/>
    <w:rsid w:val="00FD2F6E"/>
    <w:rsid w:val="00FD34C0"/>
    <w:rsid w:val="00FD3B27"/>
    <w:rsid w:val="00FD3B88"/>
    <w:rsid w:val="00FD3D6E"/>
    <w:rsid w:val="00FD410C"/>
    <w:rsid w:val="00FD43D5"/>
    <w:rsid w:val="00FD43EC"/>
    <w:rsid w:val="00FD45C3"/>
    <w:rsid w:val="00FD48B3"/>
    <w:rsid w:val="00FD48DB"/>
    <w:rsid w:val="00FD4A44"/>
    <w:rsid w:val="00FD4C28"/>
    <w:rsid w:val="00FD4CB0"/>
    <w:rsid w:val="00FD4D45"/>
    <w:rsid w:val="00FD4D61"/>
    <w:rsid w:val="00FD4F2E"/>
    <w:rsid w:val="00FD5240"/>
    <w:rsid w:val="00FD5401"/>
    <w:rsid w:val="00FD546E"/>
    <w:rsid w:val="00FD5473"/>
    <w:rsid w:val="00FD5A52"/>
    <w:rsid w:val="00FD621D"/>
    <w:rsid w:val="00FD6353"/>
    <w:rsid w:val="00FD67FE"/>
    <w:rsid w:val="00FD6B2E"/>
    <w:rsid w:val="00FD6C81"/>
    <w:rsid w:val="00FD70C5"/>
    <w:rsid w:val="00FD733B"/>
    <w:rsid w:val="00FD73AB"/>
    <w:rsid w:val="00FD77A3"/>
    <w:rsid w:val="00FD79C3"/>
    <w:rsid w:val="00FD7A29"/>
    <w:rsid w:val="00FD7E2B"/>
    <w:rsid w:val="00FD7F8B"/>
    <w:rsid w:val="00FE0082"/>
    <w:rsid w:val="00FE032B"/>
    <w:rsid w:val="00FE0381"/>
    <w:rsid w:val="00FE03EC"/>
    <w:rsid w:val="00FE09CA"/>
    <w:rsid w:val="00FE12C3"/>
    <w:rsid w:val="00FE13C0"/>
    <w:rsid w:val="00FE1482"/>
    <w:rsid w:val="00FE157F"/>
    <w:rsid w:val="00FE16A2"/>
    <w:rsid w:val="00FE1DE4"/>
    <w:rsid w:val="00FE235C"/>
    <w:rsid w:val="00FE2A84"/>
    <w:rsid w:val="00FE2DEE"/>
    <w:rsid w:val="00FE2FB3"/>
    <w:rsid w:val="00FE30DC"/>
    <w:rsid w:val="00FE367C"/>
    <w:rsid w:val="00FE37CE"/>
    <w:rsid w:val="00FE3837"/>
    <w:rsid w:val="00FE3AA1"/>
    <w:rsid w:val="00FE3B38"/>
    <w:rsid w:val="00FE3D76"/>
    <w:rsid w:val="00FE4284"/>
    <w:rsid w:val="00FE439C"/>
    <w:rsid w:val="00FE44B4"/>
    <w:rsid w:val="00FE44D4"/>
    <w:rsid w:val="00FE486D"/>
    <w:rsid w:val="00FE489B"/>
    <w:rsid w:val="00FE4926"/>
    <w:rsid w:val="00FE4A68"/>
    <w:rsid w:val="00FE4D37"/>
    <w:rsid w:val="00FE56E3"/>
    <w:rsid w:val="00FE5A5F"/>
    <w:rsid w:val="00FE5AD0"/>
    <w:rsid w:val="00FE5CE9"/>
    <w:rsid w:val="00FE5D3C"/>
    <w:rsid w:val="00FE63B6"/>
    <w:rsid w:val="00FE64BE"/>
    <w:rsid w:val="00FE6523"/>
    <w:rsid w:val="00FE6756"/>
    <w:rsid w:val="00FE67BE"/>
    <w:rsid w:val="00FE6D90"/>
    <w:rsid w:val="00FE70CF"/>
    <w:rsid w:val="00FE7375"/>
    <w:rsid w:val="00FE76E7"/>
    <w:rsid w:val="00FE7879"/>
    <w:rsid w:val="00FE7DA2"/>
    <w:rsid w:val="00FF0098"/>
    <w:rsid w:val="00FF0345"/>
    <w:rsid w:val="00FF0371"/>
    <w:rsid w:val="00FF086F"/>
    <w:rsid w:val="00FF08CE"/>
    <w:rsid w:val="00FF0AC1"/>
    <w:rsid w:val="00FF0B24"/>
    <w:rsid w:val="00FF0CDC"/>
    <w:rsid w:val="00FF0E59"/>
    <w:rsid w:val="00FF1561"/>
    <w:rsid w:val="00FF15C8"/>
    <w:rsid w:val="00FF17C1"/>
    <w:rsid w:val="00FF194F"/>
    <w:rsid w:val="00FF1BD6"/>
    <w:rsid w:val="00FF1D4A"/>
    <w:rsid w:val="00FF2043"/>
    <w:rsid w:val="00FF2430"/>
    <w:rsid w:val="00FF2699"/>
    <w:rsid w:val="00FF2948"/>
    <w:rsid w:val="00FF2A9F"/>
    <w:rsid w:val="00FF2B9F"/>
    <w:rsid w:val="00FF2D81"/>
    <w:rsid w:val="00FF300E"/>
    <w:rsid w:val="00FF3323"/>
    <w:rsid w:val="00FF3975"/>
    <w:rsid w:val="00FF3A49"/>
    <w:rsid w:val="00FF3BCF"/>
    <w:rsid w:val="00FF3C46"/>
    <w:rsid w:val="00FF3E18"/>
    <w:rsid w:val="00FF3E9F"/>
    <w:rsid w:val="00FF40A8"/>
    <w:rsid w:val="00FF434F"/>
    <w:rsid w:val="00FF4371"/>
    <w:rsid w:val="00FF476C"/>
    <w:rsid w:val="00FF48B8"/>
    <w:rsid w:val="00FF4B7E"/>
    <w:rsid w:val="00FF4BFE"/>
    <w:rsid w:val="00FF5676"/>
    <w:rsid w:val="00FF5886"/>
    <w:rsid w:val="00FF5DE5"/>
    <w:rsid w:val="00FF6579"/>
    <w:rsid w:val="00FF66B3"/>
    <w:rsid w:val="00FF69DE"/>
    <w:rsid w:val="00FF6E8C"/>
    <w:rsid w:val="00FF6F39"/>
    <w:rsid w:val="00FF6F59"/>
    <w:rsid w:val="00FF72DA"/>
    <w:rsid w:val="00FF7310"/>
    <w:rsid w:val="00FF7345"/>
    <w:rsid w:val="00FF7566"/>
    <w:rsid w:val="00FF780B"/>
    <w:rsid w:val="00FF7870"/>
    <w:rsid w:val="00FF7ABF"/>
    <w:rsid w:val="00FF7B91"/>
    <w:rsid w:val="00FF7FCB"/>
    <w:rsid w:val="01F24B8B"/>
    <w:rsid w:val="020C03C8"/>
    <w:rsid w:val="0215E13A"/>
    <w:rsid w:val="0282815C"/>
    <w:rsid w:val="03850B09"/>
    <w:rsid w:val="054B7B0C"/>
    <w:rsid w:val="05BD483F"/>
    <w:rsid w:val="05BF855C"/>
    <w:rsid w:val="05E39B43"/>
    <w:rsid w:val="05EBA782"/>
    <w:rsid w:val="0612EDBA"/>
    <w:rsid w:val="066E153C"/>
    <w:rsid w:val="06F5A264"/>
    <w:rsid w:val="073B8ED8"/>
    <w:rsid w:val="075B55BD"/>
    <w:rsid w:val="08310E50"/>
    <w:rsid w:val="09C78D51"/>
    <w:rsid w:val="0B2D6B16"/>
    <w:rsid w:val="0B58164B"/>
    <w:rsid w:val="0B74D515"/>
    <w:rsid w:val="0B98FDF7"/>
    <w:rsid w:val="0C0ECF5D"/>
    <w:rsid w:val="0C58267F"/>
    <w:rsid w:val="0CA7FA12"/>
    <w:rsid w:val="0D33CDBB"/>
    <w:rsid w:val="0D357C0B"/>
    <w:rsid w:val="0DB6CBB9"/>
    <w:rsid w:val="0E650BD8"/>
    <w:rsid w:val="0EB18AAB"/>
    <w:rsid w:val="0F189201"/>
    <w:rsid w:val="0FE9E2FF"/>
    <w:rsid w:val="10C13277"/>
    <w:rsid w:val="113D0602"/>
    <w:rsid w:val="115525F5"/>
    <w:rsid w:val="11A54D00"/>
    <w:rsid w:val="123CFF53"/>
    <w:rsid w:val="1267BED9"/>
    <w:rsid w:val="12EF60E0"/>
    <w:rsid w:val="14130CF9"/>
    <w:rsid w:val="1461FA03"/>
    <w:rsid w:val="146A1E5C"/>
    <w:rsid w:val="14AE999A"/>
    <w:rsid w:val="14CCA8D2"/>
    <w:rsid w:val="163ABF1B"/>
    <w:rsid w:val="1879A917"/>
    <w:rsid w:val="190F08DA"/>
    <w:rsid w:val="19222719"/>
    <w:rsid w:val="1935681D"/>
    <w:rsid w:val="198D028B"/>
    <w:rsid w:val="19B8A9DF"/>
    <w:rsid w:val="1A4D9FD7"/>
    <w:rsid w:val="1A530946"/>
    <w:rsid w:val="1AD31160"/>
    <w:rsid w:val="1B07FB6D"/>
    <w:rsid w:val="1BA9727E"/>
    <w:rsid w:val="1BFE2FE2"/>
    <w:rsid w:val="1CB35DDE"/>
    <w:rsid w:val="1D4D1A3A"/>
    <w:rsid w:val="1D940924"/>
    <w:rsid w:val="1E1CABAF"/>
    <w:rsid w:val="1E907BB8"/>
    <w:rsid w:val="1ECC503E"/>
    <w:rsid w:val="1F342B1F"/>
    <w:rsid w:val="1FDB07E9"/>
    <w:rsid w:val="214434F7"/>
    <w:rsid w:val="218285DB"/>
    <w:rsid w:val="21B0BDC4"/>
    <w:rsid w:val="226EA27F"/>
    <w:rsid w:val="229FB3A4"/>
    <w:rsid w:val="22A17E83"/>
    <w:rsid w:val="22DBC565"/>
    <w:rsid w:val="2325D0E2"/>
    <w:rsid w:val="23B74595"/>
    <w:rsid w:val="245C2940"/>
    <w:rsid w:val="24F73939"/>
    <w:rsid w:val="25A1F078"/>
    <w:rsid w:val="25FD7719"/>
    <w:rsid w:val="27A3B6E5"/>
    <w:rsid w:val="2857DB6E"/>
    <w:rsid w:val="28C68CC4"/>
    <w:rsid w:val="28CA5227"/>
    <w:rsid w:val="28D66C97"/>
    <w:rsid w:val="293635A5"/>
    <w:rsid w:val="2A7DC0EB"/>
    <w:rsid w:val="2A8210F3"/>
    <w:rsid w:val="2AE4FBB2"/>
    <w:rsid w:val="2BBF0A63"/>
    <w:rsid w:val="2BE31E40"/>
    <w:rsid w:val="2BFBFCFB"/>
    <w:rsid w:val="2C4A53CB"/>
    <w:rsid w:val="2D1C80AD"/>
    <w:rsid w:val="2EA8F106"/>
    <w:rsid w:val="2EEC9290"/>
    <w:rsid w:val="2F5B5181"/>
    <w:rsid w:val="2F72BA03"/>
    <w:rsid w:val="2F7619EB"/>
    <w:rsid w:val="2FD9A8FB"/>
    <w:rsid w:val="31455F44"/>
    <w:rsid w:val="31BA26F6"/>
    <w:rsid w:val="31DE613D"/>
    <w:rsid w:val="31EC86BE"/>
    <w:rsid w:val="321F4C3D"/>
    <w:rsid w:val="331149BD"/>
    <w:rsid w:val="33DC9731"/>
    <w:rsid w:val="34879C92"/>
    <w:rsid w:val="348B5548"/>
    <w:rsid w:val="35333748"/>
    <w:rsid w:val="3540D11A"/>
    <w:rsid w:val="362C490C"/>
    <w:rsid w:val="368BD722"/>
    <w:rsid w:val="388F8604"/>
    <w:rsid w:val="3910A539"/>
    <w:rsid w:val="396D582C"/>
    <w:rsid w:val="39AE6981"/>
    <w:rsid w:val="3CFABD58"/>
    <w:rsid w:val="3D3FEED2"/>
    <w:rsid w:val="3EDBBF33"/>
    <w:rsid w:val="3EDC5D59"/>
    <w:rsid w:val="3FBA6070"/>
    <w:rsid w:val="3FBC6ED9"/>
    <w:rsid w:val="41747C8C"/>
    <w:rsid w:val="4188E619"/>
    <w:rsid w:val="41A4A46C"/>
    <w:rsid w:val="43CD3ED3"/>
    <w:rsid w:val="43D74CC4"/>
    <w:rsid w:val="43E585DE"/>
    <w:rsid w:val="43EED508"/>
    <w:rsid w:val="4409E395"/>
    <w:rsid w:val="44592992"/>
    <w:rsid w:val="44618DEE"/>
    <w:rsid w:val="44F4A2C8"/>
    <w:rsid w:val="44F995B6"/>
    <w:rsid w:val="458AA569"/>
    <w:rsid w:val="45B12764"/>
    <w:rsid w:val="45E28B89"/>
    <w:rsid w:val="46570452"/>
    <w:rsid w:val="4739A8DF"/>
    <w:rsid w:val="47651D69"/>
    <w:rsid w:val="480101A4"/>
    <w:rsid w:val="49E6F965"/>
    <w:rsid w:val="4A570F59"/>
    <w:rsid w:val="4B3FB7B9"/>
    <w:rsid w:val="4B53F280"/>
    <w:rsid w:val="4BB94E1F"/>
    <w:rsid w:val="4BDCA0C4"/>
    <w:rsid w:val="4BEB73DF"/>
    <w:rsid w:val="4BF9E6ED"/>
    <w:rsid w:val="4C002220"/>
    <w:rsid w:val="4C601387"/>
    <w:rsid w:val="4CF767DB"/>
    <w:rsid w:val="4D0E4813"/>
    <w:rsid w:val="4DE0A7E3"/>
    <w:rsid w:val="4E2085DC"/>
    <w:rsid w:val="4E5B1C34"/>
    <w:rsid w:val="4E644900"/>
    <w:rsid w:val="50CD5810"/>
    <w:rsid w:val="51055838"/>
    <w:rsid w:val="52704170"/>
    <w:rsid w:val="52733530"/>
    <w:rsid w:val="528BEEA4"/>
    <w:rsid w:val="53104510"/>
    <w:rsid w:val="531AA4EE"/>
    <w:rsid w:val="5347C848"/>
    <w:rsid w:val="53D79BB5"/>
    <w:rsid w:val="53FBE7EF"/>
    <w:rsid w:val="54164C81"/>
    <w:rsid w:val="544C08C2"/>
    <w:rsid w:val="5496F3FE"/>
    <w:rsid w:val="54FD974D"/>
    <w:rsid w:val="55A0C933"/>
    <w:rsid w:val="55AA3842"/>
    <w:rsid w:val="55CA1E3A"/>
    <w:rsid w:val="55D7C7F6"/>
    <w:rsid w:val="56B28725"/>
    <w:rsid w:val="573162BC"/>
    <w:rsid w:val="57F64FF0"/>
    <w:rsid w:val="58012820"/>
    <w:rsid w:val="5815E7CD"/>
    <w:rsid w:val="5A0D9707"/>
    <w:rsid w:val="5AB2136A"/>
    <w:rsid w:val="5AB4EE7B"/>
    <w:rsid w:val="5B764744"/>
    <w:rsid w:val="5BA96768"/>
    <w:rsid w:val="5C148198"/>
    <w:rsid w:val="5C5DC312"/>
    <w:rsid w:val="5C6211B2"/>
    <w:rsid w:val="5C7A069C"/>
    <w:rsid w:val="5D4EF721"/>
    <w:rsid w:val="5D76B4C2"/>
    <w:rsid w:val="5DA9F111"/>
    <w:rsid w:val="5DAAB7BB"/>
    <w:rsid w:val="5F5510BC"/>
    <w:rsid w:val="6072D71C"/>
    <w:rsid w:val="61713D8E"/>
    <w:rsid w:val="619EDE1B"/>
    <w:rsid w:val="622E6CB2"/>
    <w:rsid w:val="6271E5F5"/>
    <w:rsid w:val="6298955B"/>
    <w:rsid w:val="6359E6D1"/>
    <w:rsid w:val="63BB112E"/>
    <w:rsid w:val="6597A915"/>
    <w:rsid w:val="66C0465C"/>
    <w:rsid w:val="68633E69"/>
    <w:rsid w:val="68F807B0"/>
    <w:rsid w:val="6944370D"/>
    <w:rsid w:val="6A4B7C41"/>
    <w:rsid w:val="6A4EE02F"/>
    <w:rsid w:val="6A55D7AD"/>
    <w:rsid w:val="6A57A8F5"/>
    <w:rsid w:val="6A6098F0"/>
    <w:rsid w:val="6A701266"/>
    <w:rsid w:val="6B5BE7D3"/>
    <w:rsid w:val="6B652DE9"/>
    <w:rsid w:val="6BC4AA33"/>
    <w:rsid w:val="6BE4BAC1"/>
    <w:rsid w:val="6BFA6CAA"/>
    <w:rsid w:val="6CB55BD8"/>
    <w:rsid w:val="6D76CFC2"/>
    <w:rsid w:val="6DC3F720"/>
    <w:rsid w:val="6E0FCD68"/>
    <w:rsid w:val="6E9BAD5C"/>
    <w:rsid w:val="6F5C72BD"/>
    <w:rsid w:val="6FF37903"/>
    <w:rsid w:val="70324E4E"/>
    <w:rsid w:val="70DF53EA"/>
    <w:rsid w:val="718E5C3C"/>
    <w:rsid w:val="72705C15"/>
    <w:rsid w:val="732B346F"/>
    <w:rsid w:val="734C4957"/>
    <w:rsid w:val="73B7E4D4"/>
    <w:rsid w:val="74DB7CE5"/>
    <w:rsid w:val="7513C882"/>
    <w:rsid w:val="76AF98E3"/>
    <w:rsid w:val="76D5F892"/>
    <w:rsid w:val="77D7B903"/>
    <w:rsid w:val="78A3B40B"/>
    <w:rsid w:val="7934D639"/>
    <w:rsid w:val="798E6C96"/>
    <w:rsid w:val="7B14C22D"/>
    <w:rsid w:val="7B830A06"/>
    <w:rsid w:val="7CA8A232"/>
    <w:rsid w:val="7D09FC2A"/>
    <w:rsid w:val="7D2286FF"/>
    <w:rsid w:val="7D66E254"/>
    <w:rsid w:val="7D6A34DC"/>
    <w:rsid w:val="7D6A5FBA"/>
    <w:rsid w:val="7D7EB7DD"/>
    <w:rsid w:val="7EBCF69A"/>
    <w:rsid w:val="7EF1BABA"/>
    <w:rsid w:val="7EF8FDCE"/>
    <w:rsid w:val="7F207182"/>
    <w:rsid w:val="7F3D63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8BA37"/>
  <w15:docId w15:val="{0EF07875-C287-4B8C-A726-AABCF5E3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037FF"/>
    <w:rPr>
      <w:color w:val="808080"/>
    </w:rPr>
  </w:style>
  <w:style w:type="paragraph" w:styleId="Revisie">
    <w:name w:val="Revision"/>
    <w:hidden/>
    <w:uiPriority w:val="99"/>
    <w:semiHidden/>
    <w:rsid w:val="00B037FF"/>
    <w:rPr>
      <w:rFonts w:ascii="Univers" w:hAnsi="Univers"/>
      <w:sz w:val="22"/>
      <w:szCs w:val="24"/>
    </w:rPr>
  </w:style>
  <w:style w:type="paragraph" w:styleId="Lijstalinea">
    <w:name w:val="List Paragraph"/>
    <w:basedOn w:val="Standaard"/>
    <w:uiPriority w:val="34"/>
    <w:qFormat/>
    <w:rsid w:val="00581270"/>
    <w:pPr>
      <w:ind w:left="720"/>
      <w:contextualSpacing/>
    </w:pPr>
  </w:style>
  <w:style w:type="paragraph" w:styleId="Voetnoottekst">
    <w:name w:val="footnote text"/>
    <w:basedOn w:val="Standaard"/>
    <w:link w:val="VoetnoottekstChar"/>
    <w:uiPriority w:val="99"/>
    <w:unhideWhenUsed/>
    <w:rsid w:val="00331F13"/>
    <w:rPr>
      <w:sz w:val="20"/>
      <w:szCs w:val="20"/>
    </w:rPr>
  </w:style>
  <w:style w:type="character" w:customStyle="1" w:styleId="VoetnoottekstChar">
    <w:name w:val="Voetnoottekst Char"/>
    <w:basedOn w:val="Standaardalinea-lettertype"/>
    <w:link w:val="Voetnoottekst"/>
    <w:uiPriority w:val="99"/>
    <w:rsid w:val="00331F13"/>
    <w:rPr>
      <w:rFonts w:ascii="Univers" w:hAnsi="Univers"/>
    </w:rPr>
  </w:style>
  <w:style w:type="character" w:styleId="Voetnootmarkering">
    <w:name w:val="footnote reference"/>
    <w:aliases w:val="Kop 4 Char1"/>
    <w:basedOn w:val="Standaardalinea-lettertype"/>
    <w:uiPriority w:val="99"/>
    <w:semiHidden/>
    <w:unhideWhenUsed/>
    <w:rsid w:val="00331F13"/>
    <w:rPr>
      <w:vertAlign w:val="superscript"/>
    </w:rPr>
  </w:style>
  <w:style w:type="character" w:styleId="Verwijzingopmerking">
    <w:name w:val="annotation reference"/>
    <w:basedOn w:val="Standaardalinea-lettertype"/>
    <w:uiPriority w:val="99"/>
    <w:semiHidden/>
    <w:unhideWhenUsed/>
    <w:rsid w:val="0074654F"/>
    <w:rPr>
      <w:sz w:val="16"/>
      <w:szCs w:val="16"/>
    </w:rPr>
  </w:style>
  <w:style w:type="paragraph" w:styleId="Tekstopmerking">
    <w:name w:val="annotation text"/>
    <w:basedOn w:val="Standaard"/>
    <w:link w:val="TekstopmerkingChar"/>
    <w:uiPriority w:val="99"/>
    <w:unhideWhenUsed/>
    <w:rsid w:val="0074654F"/>
    <w:rPr>
      <w:sz w:val="20"/>
      <w:szCs w:val="20"/>
    </w:rPr>
  </w:style>
  <w:style w:type="character" w:customStyle="1" w:styleId="TekstopmerkingChar">
    <w:name w:val="Tekst opmerking Char"/>
    <w:basedOn w:val="Standaardalinea-lettertype"/>
    <w:link w:val="Tekstopmerking"/>
    <w:uiPriority w:val="99"/>
    <w:rsid w:val="0074654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4654F"/>
    <w:rPr>
      <w:b/>
      <w:bCs/>
    </w:rPr>
  </w:style>
  <w:style w:type="character" w:customStyle="1" w:styleId="OnderwerpvanopmerkingChar">
    <w:name w:val="Onderwerp van opmerking Char"/>
    <w:basedOn w:val="TekstopmerkingChar"/>
    <w:link w:val="Onderwerpvanopmerking"/>
    <w:uiPriority w:val="99"/>
    <w:semiHidden/>
    <w:rsid w:val="0074654F"/>
    <w:rPr>
      <w:rFonts w:ascii="Univers" w:hAnsi="Univers"/>
      <w:b/>
      <w:bCs/>
    </w:rPr>
  </w:style>
  <w:style w:type="character" w:styleId="Hyperlink">
    <w:name w:val="Hyperlink"/>
    <w:basedOn w:val="Standaardalinea-lettertype"/>
    <w:uiPriority w:val="99"/>
    <w:unhideWhenUsed/>
    <w:rsid w:val="001B4F9E"/>
    <w:rPr>
      <w:color w:val="0000FF"/>
      <w:u w:val="single"/>
    </w:rPr>
  </w:style>
  <w:style w:type="character" w:styleId="Onopgelostemelding">
    <w:name w:val="Unresolved Mention"/>
    <w:basedOn w:val="Standaardalinea-lettertype"/>
    <w:uiPriority w:val="99"/>
    <w:rsid w:val="004B70E1"/>
    <w:rPr>
      <w:color w:val="605E5C"/>
      <w:shd w:val="clear" w:color="auto" w:fill="E1DFDD"/>
    </w:rPr>
  </w:style>
  <w:style w:type="character" w:styleId="GevolgdeHyperlink">
    <w:name w:val="FollowedHyperlink"/>
    <w:basedOn w:val="Standaardalinea-lettertype"/>
    <w:uiPriority w:val="99"/>
    <w:semiHidden/>
    <w:unhideWhenUsed/>
    <w:rsid w:val="00101D18"/>
    <w:rPr>
      <w:color w:val="800080" w:themeColor="followedHyperlink"/>
      <w:u w:val="single"/>
    </w:rPr>
  </w:style>
  <w:style w:type="character" w:customStyle="1" w:styleId="sbb9ee52a">
    <w:name w:val="sbb9ee52a"/>
    <w:basedOn w:val="Standaardalinea-lettertype"/>
    <w:rsid w:val="00E6330D"/>
  </w:style>
  <w:style w:type="character" w:customStyle="1" w:styleId="sa36b60a1">
    <w:name w:val="sa36b60a1"/>
    <w:basedOn w:val="Standaardalinea-lettertype"/>
    <w:rsid w:val="00E6330D"/>
  </w:style>
  <w:style w:type="paragraph" w:styleId="Geenafstand">
    <w:name w:val="No Spacing"/>
    <w:link w:val="GeenafstandChar"/>
    <w:uiPriority w:val="1"/>
    <w:qFormat/>
    <w:rsid w:val="00AB16E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AB16E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6150">
      <w:bodyDiv w:val="1"/>
      <w:marLeft w:val="0"/>
      <w:marRight w:val="0"/>
      <w:marTop w:val="0"/>
      <w:marBottom w:val="0"/>
      <w:divBdr>
        <w:top w:val="none" w:sz="0" w:space="0" w:color="auto"/>
        <w:left w:val="none" w:sz="0" w:space="0" w:color="auto"/>
        <w:bottom w:val="none" w:sz="0" w:space="0" w:color="auto"/>
        <w:right w:val="none" w:sz="0" w:space="0" w:color="auto"/>
      </w:divBdr>
    </w:div>
    <w:div w:id="198781376">
      <w:bodyDiv w:val="1"/>
      <w:marLeft w:val="0"/>
      <w:marRight w:val="0"/>
      <w:marTop w:val="0"/>
      <w:marBottom w:val="0"/>
      <w:divBdr>
        <w:top w:val="none" w:sz="0" w:space="0" w:color="auto"/>
        <w:left w:val="none" w:sz="0" w:space="0" w:color="auto"/>
        <w:bottom w:val="none" w:sz="0" w:space="0" w:color="auto"/>
        <w:right w:val="none" w:sz="0" w:space="0" w:color="auto"/>
      </w:divBdr>
    </w:div>
    <w:div w:id="386807859">
      <w:bodyDiv w:val="1"/>
      <w:marLeft w:val="0"/>
      <w:marRight w:val="0"/>
      <w:marTop w:val="0"/>
      <w:marBottom w:val="0"/>
      <w:divBdr>
        <w:top w:val="none" w:sz="0" w:space="0" w:color="auto"/>
        <w:left w:val="none" w:sz="0" w:space="0" w:color="auto"/>
        <w:bottom w:val="none" w:sz="0" w:space="0" w:color="auto"/>
        <w:right w:val="none" w:sz="0" w:space="0" w:color="auto"/>
      </w:divBdr>
    </w:div>
    <w:div w:id="407583605">
      <w:bodyDiv w:val="1"/>
      <w:marLeft w:val="0"/>
      <w:marRight w:val="0"/>
      <w:marTop w:val="0"/>
      <w:marBottom w:val="0"/>
      <w:divBdr>
        <w:top w:val="none" w:sz="0" w:space="0" w:color="auto"/>
        <w:left w:val="none" w:sz="0" w:space="0" w:color="auto"/>
        <w:bottom w:val="none" w:sz="0" w:space="0" w:color="auto"/>
        <w:right w:val="none" w:sz="0" w:space="0" w:color="auto"/>
      </w:divBdr>
    </w:div>
    <w:div w:id="464081077">
      <w:bodyDiv w:val="1"/>
      <w:marLeft w:val="0"/>
      <w:marRight w:val="0"/>
      <w:marTop w:val="0"/>
      <w:marBottom w:val="0"/>
      <w:divBdr>
        <w:top w:val="none" w:sz="0" w:space="0" w:color="auto"/>
        <w:left w:val="none" w:sz="0" w:space="0" w:color="auto"/>
        <w:bottom w:val="none" w:sz="0" w:space="0" w:color="auto"/>
        <w:right w:val="none" w:sz="0" w:space="0" w:color="auto"/>
      </w:divBdr>
    </w:div>
    <w:div w:id="998193636">
      <w:bodyDiv w:val="1"/>
      <w:marLeft w:val="0"/>
      <w:marRight w:val="0"/>
      <w:marTop w:val="0"/>
      <w:marBottom w:val="0"/>
      <w:divBdr>
        <w:top w:val="none" w:sz="0" w:space="0" w:color="auto"/>
        <w:left w:val="none" w:sz="0" w:space="0" w:color="auto"/>
        <w:bottom w:val="none" w:sz="0" w:space="0" w:color="auto"/>
        <w:right w:val="none" w:sz="0" w:space="0" w:color="auto"/>
      </w:divBdr>
    </w:div>
    <w:div w:id="1085808603">
      <w:bodyDiv w:val="1"/>
      <w:marLeft w:val="0"/>
      <w:marRight w:val="0"/>
      <w:marTop w:val="0"/>
      <w:marBottom w:val="0"/>
      <w:divBdr>
        <w:top w:val="none" w:sz="0" w:space="0" w:color="auto"/>
        <w:left w:val="none" w:sz="0" w:space="0" w:color="auto"/>
        <w:bottom w:val="none" w:sz="0" w:space="0" w:color="auto"/>
        <w:right w:val="none" w:sz="0" w:space="0" w:color="auto"/>
      </w:divBdr>
    </w:div>
    <w:div w:id="1115052161">
      <w:bodyDiv w:val="1"/>
      <w:marLeft w:val="0"/>
      <w:marRight w:val="0"/>
      <w:marTop w:val="0"/>
      <w:marBottom w:val="0"/>
      <w:divBdr>
        <w:top w:val="none" w:sz="0" w:space="0" w:color="auto"/>
        <w:left w:val="none" w:sz="0" w:space="0" w:color="auto"/>
        <w:bottom w:val="none" w:sz="0" w:space="0" w:color="auto"/>
        <w:right w:val="none" w:sz="0" w:space="0" w:color="auto"/>
      </w:divBdr>
    </w:div>
    <w:div w:id="1196894659">
      <w:bodyDiv w:val="1"/>
      <w:marLeft w:val="0"/>
      <w:marRight w:val="0"/>
      <w:marTop w:val="0"/>
      <w:marBottom w:val="0"/>
      <w:divBdr>
        <w:top w:val="none" w:sz="0" w:space="0" w:color="auto"/>
        <w:left w:val="none" w:sz="0" w:space="0" w:color="auto"/>
        <w:bottom w:val="none" w:sz="0" w:space="0" w:color="auto"/>
        <w:right w:val="none" w:sz="0" w:space="0" w:color="auto"/>
      </w:divBdr>
    </w:div>
    <w:div w:id="1328366507">
      <w:bodyDiv w:val="1"/>
      <w:marLeft w:val="0"/>
      <w:marRight w:val="0"/>
      <w:marTop w:val="0"/>
      <w:marBottom w:val="0"/>
      <w:divBdr>
        <w:top w:val="none" w:sz="0" w:space="0" w:color="auto"/>
        <w:left w:val="none" w:sz="0" w:space="0" w:color="auto"/>
        <w:bottom w:val="none" w:sz="0" w:space="0" w:color="auto"/>
        <w:right w:val="none" w:sz="0" w:space="0" w:color="auto"/>
      </w:divBdr>
    </w:div>
    <w:div w:id="1426803011">
      <w:bodyDiv w:val="1"/>
      <w:marLeft w:val="0"/>
      <w:marRight w:val="0"/>
      <w:marTop w:val="0"/>
      <w:marBottom w:val="0"/>
      <w:divBdr>
        <w:top w:val="none" w:sz="0" w:space="0" w:color="auto"/>
        <w:left w:val="none" w:sz="0" w:space="0" w:color="auto"/>
        <w:bottom w:val="none" w:sz="0" w:space="0" w:color="auto"/>
        <w:right w:val="none" w:sz="0" w:space="0" w:color="auto"/>
      </w:divBdr>
    </w:div>
    <w:div w:id="1598100203">
      <w:bodyDiv w:val="1"/>
      <w:marLeft w:val="0"/>
      <w:marRight w:val="0"/>
      <w:marTop w:val="0"/>
      <w:marBottom w:val="0"/>
      <w:divBdr>
        <w:top w:val="none" w:sz="0" w:space="0" w:color="auto"/>
        <w:left w:val="none" w:sz="0" w:space="0" w:color="auto"/>
        <w:bottom w:val="none" w:sz="0" w:space="0" w:color="auto"/>
        <w:right w:val="none" w:sz="0" w:space="0" w:color="auto"/>
      </w:divBdr>
    </w:div>
    <w:div w:id="1785542192">
      <w:bodyDiv w:val="1"/>
      <w:marLeft w:val="0"/>
      <w:marRight w:val="0"/>
      <w:marTop w:val="0"/>
      <w:marBottom w:val="0"/>
      <w:divBdr>
        <w:top w:val="none" w:sz="0" w:space="0" w:color="auto"/>
        <w:left w:val="none" w:sz="0" w:space="0" w:color="auto"/>
        <w:bottom w:val="none" w:sz="0" w:space="0" w:color="auto"/>
        <w:right w:val="none" w:sz="0" w:space="0" w:color="auto"/>
      </w:divBdr>
    </w:div>
    <w:div w:id="1829906776">
      <w:bodyDiv w:val="1"/>
      <w:marLeft w:val="0"/>
      <w:marRight w:val="0"/>
      <w:marTop w:val="0"/>
      <w:marBottom w:val="0"/>
      <w:divBdr>
        <w:top w:val="none" w:sz="0" w:space="0" w:color="auto"/>
        <w:left w:val="none" w:sz="0" w:space="0" w:color="auto"/>
        <w:bottom w:val="none" w:sz="0" w:space="0" w:color="auto"/>
        <w:right w:val="none" w:sz="0" w:space="0" w:color="auto"/>
      </w:divBdr>
    </w:div>
    <w:div w:id="2047829550">
      <w:bodyDiv w:val="1"/>
      <w:marLeft w:val="0"/>
      <w:marRight w:val="0"/>
      <w:marTop w:val="0"/>
      <w:marBottom w:val="0"/>
      <w:divBdr>
        <w:top w:val="none" w:sz="0" w:space="0" w:color="auto"/>
        <w:left w:val="none" w:sz="0" w:space="0" w:color="auto"/>
        <w:bottom w:val="none" w:sz="0" w:space="0" w:color="auto"/>
        <w:right w:val="none" w:sz="0" w:space="0" w:color="auto"/>
      </w:divBdr>
    </w:div>
    <w:div w:id="2061321499">
      <w:bodyDiv w:val="1"/>
      <w:marLeft w:val="0"/>
      <w:marRight w:val="0"/>
      <w:marTop w:val="0"/>
      <w:marBottom w:val="0"/>
      <w:divBdr>
        <w:top w:val="none" w:sz="0" w:space="0" w:color="auto"/>
        <w:left w:val="none" w:sz="0" w:space="0" w:color="auto"/>
        <w:bottom w:val="none" w:sz="0" w:space="0" w:color="auto"/>
        <w:right w:val="none" w:sz="0" w:space="0" w:color="auto"/>
      </w:divBdr>
    </w:div>
    <w:div w:id="20926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oe.cd/ahd" TargetMode="External"/><Relationship Id="rId4" Type="http://schemas.openxmlformats.org/officeDocument/2006/relationships/hyperlink" Target="https://hudoc.echr.coe.int/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9974150-DA2B-4927-9EF5-5EC8AC235410}"/>
      </w:docPartPr>
      <w:docPartBody>
        <w:p w:rsidR="003E2005" w:rsidRDefault="00445963">
          <w:r w:rsidRPr="005A04D0">
            <w:rPr>
              <w:rStyle w:val="Tekstvantijdelijkeaanduiding"/>
            </w:rPr>
            <w:t>Klik of tik om tekst in te voeren.</w:t>
          </w:r>
        </w:p>
      </w:docPartBody>
    </w:docPart>
    <w:docPart>
      <w:docPartPr>
        <w:name w:val="46F1F106FD994D4D850C1C624DE699A7"/>
        <w:category>
          <w:name w:val="Algemeen"/>
          <w:gallery w:val="placeholder"/>
        </w:category>
        <w:types>
          <w:type w:val="bbPlcHdr"/>
        </w:types>
        <w:behaviors>
          <w:behavior w:val="content"/>
        </w:behaviors>
        <w:guid w:val="{DC9E4653-47D5-4946-8CC5-A55CF229FFF4}"/>
      </w:docPartPr>
      <w:docPartBody>
        <w:p w:rsidR="00AC0B34" w:rsidRDefault="00445963">
          <w:pPr>
            <w:pStyle w:val="46F1F106FD994D4D850C1C624DE699A7"/>
          </w:pPr>
          <w:r w:rsidRPr="005A04D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63"/>
    <w:rsid w:val="00044113"/>
    <w:rsid w:val="00090003"/>
    <w:rsid w:val="000A6867"/>
    <w:rsid w:val="001C54EC"/>
    <w:rsid w:val="00346CF5"/>
    <w:rsid w:val="00380CC3"/>
    <w:rsid w:val="003833FC"/>
    <w:rsid w:val="003E2005"/>
    <w:rsid w:val="00445963"/>
    <w:rsid w:val="005149B7"/>
    <w:rsid w:val="00545414"/>
    <w:rsid w:val="00894257"/>
    <w:rsid w:val="00895453"/>
    <w:rsid w:val="009C2DD1"/>
    <w:rsid w:val="00A47EAC"/>
    <w:rsid w:val="00AC0B34"/>
    <w:rsid w:val="00B015E9"/>
    <w:rsid w:val="00BC4046"/>
    <w:rsid w:val="00C44018"/>
    <w:rsid w:val="00CB4859"/>
    <w:rsid w:val="00D449DF"/>
    <w:rsid w:val="00E13566"/>
    <w:rsid w:val="00E83B73"/>
    <w:rsid w:val="00E900F8"/>
    <w:rsid w:val="00EA10B1"/>
    <w:rsid w:val="00F2372F"/>
    <w:rsid w:val="00F860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5963"/>
    <w:rPr>
      <w:color w:val="808080"/>
    </w:rPr>
  </w:style>
  <w:style w:type="paragraph" w:customStyle="1" w:styleId="46F1F106FD994D4D850C1C624DE699A7">
    <w:name w:val="46F1F106FD994D4D850C1C624DE69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6864</ap:Words>
  <ap:Characters>37753</ap:Characters>
  <ap:DocSecurity>0</ap:DocSecurity>
  <ap:Lines>314</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2023-10-12T02:57:00.0000000Z</lastPrinted>
  <dcterms:created xsi:type="dcterms:W3CDTF">2023-11-16T08:30:00.0000000Z</dcterms:created>
  <dcterms:modified xsi:type="dcterms:W3CDTF">2023-11-16T08:30:00.0000000Z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W04.23.00151/I</vt:lpwstr>
  </property>
  <property fmtid="{D5CDD505-2E9C-101B-9397-08002B2CF9AE}" pid="5" name="zaaktype">
    <vt:lpwstr>WET</vt:lpwstr>
  </property>
  <property fmtid="{D5CDD505-2E9C-101B-9397-08002B2CF9AE}" pid="6" name="ContentTypeId">
    <vt:lpwstr>0x010100FA5A77795FEADA4EA512273036134446003F747D5F365D2946841C40005D994D7A</vt:lpwstr>
  </property>
  <property fmtid="{D5CDD505-2E9C-101B-9397-08002B2CF9AE}" pid="7" name="Bestemming">
    <vt:lpwstr>2;#Corsa|a7721b99-8166-4953-a37e-7c8574fb4b8b</vt:lpwstr>
  </property>
  <property fmtid="{D5CDD505-2E9C-101B-9397-08002B2CF9AE}" pid="8" name="_dlc_DocIdItemGuid">
    <vt:lpwstr>5a1de943-b4dd-4488-940e-0aa437c5201f</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