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7239" w:rsidR="004A04AE" w:rsidP="008F2040" w:rsidRDefault="004A04AE" w14:paraId="3B2059E1" w14:textId="77777777">
      <w:pPr>
        <w:spacing w:after="0" w:line="240" w:lineRule="auto"/>
        <w:jc w:val="center"/>
        <w:rPr>
          <w:rFonts w:eastAsia="Times New Roman" w:cs="Arial"/>
          <w:b/>
          <w:bCs/>
          <w:color w:val="000000"/>
          <w:sz w:val="24"/>
          <w:szCs w:val="24"/>
          <w:lang w:eastAsia="nl-NL"/>
        </w:rPr>
      </w:pPr>
      <w:bookmarkStart w:name="_GoBack" w:id="0"/>
      <w:bookmarkEnd w:id="0"/>
      <w:r w:rsidRPr="001A7239">
        <w:rPr>
          <w:rFonts w:eastAsia="Times New Roman" w:cs="Arial"/>
          <w:b/>
          <w:bCs/>
          <w:color w:val="000000"/>
          <w:sz w:val="24"/>
          <w:szCs w:val="24"/>
          <w:lang w:eastAsia="nl-NL"/>
        </w:rPr>
        <w:t>Verslag van de Raad Justitie en Binnenlandse zaken</w:t>
      </w:r>
    </w:p>
    <w:p w:rsidRPr="001A7239" w:rsidR="00E659BA" w:rsidP="008F2040" w:rsidRDefault="00F65385" w14:paraId="6A7D91B8" w14:textId="22795FF9">
      <w:pPr>
        <w:spacing w:after="0" w:line="240" w:lineRule="auto"/>
        <w:jc w:val="center"/>
        <w:rPr>
          <w:rFonts w:eastAsia="Times New Roman" w:cs="Arial"/>
          <w:b/>
          <w:bCs/>
          <w:color w:val="000000"/>
          <w:sz w:val="24"/>
          <w:szCs w:val="24"/>
          <w:lang w:eastAsia="nl-NL"/>
        </w:rPr>
      </w:pPr>
      <w:r>
        <w:rPr>
          <w:rFonts w:eastAsia="Times New Roman" w:cs="Arial"/>
          <w:b/>
          <w:bCs/>
          <w:color w:val="000000"/>
          <w:sz w:val="24"/>
          <w:szCs w:val="24"/>
          <w:lang w:eastAsia="nl-NL"/>
        </w:rPr>
        <w:t>25 en 26 januari 2024</w:t>
      </w:r>
    </w:p>
    <w:p w:rsidR="00D33457" w:rsidP="00BD0FE6" w:rsidRDefault="00D33457" w14:paraId="29C056A6" w14:textId="77777777">
      <w:pPr>
        <w:spacing w:after="0" w:line="240" w:lineRule="auto"/>
        <w:rPr>
          <w:rFonts w:ascii="Arial" w:hAnsi="Arial" w:eastAsia="Times New Roman" w:cs="Arial"/>
          <w:b/>
          <w:bCs/>
          <w:color w:val="000000"/>
          <w:sz w:val="22"/>
          <w:lang w:eastAsia="nl-NL"/>
        </w:rPr>
      </w:pPr>
    </w:p>
    <w:p w:rsidR="00F42FBB" w:rsidP="004A04AE" w:rsidRDefault="00F42FBB" w14:paraId="26214F31" w14:textId="77777777">
      <w:pPr>
        <w:spacing w:after="0" w:line="240" w:lineRule="auto"/>
        <w:rPr>
          <w:rFonts w:eastAsia="Times New Roman" w:cs="Arial"/>
          <w:b/>
          <w:bCs/>
          <w:color w:val="000000"/>
          <w:sz w:val="28"/>
          <w:szCs w:val="28"/>
          <w:lang w:eastAsia="nl-NL"/>
        </w:rPr>
      </w:pPr>
    </w:p>
    <w:p w:rsidRPr="00CB5E9E" w:rsidR="00BD41A7" w:rsidP="00BD41A7" w:rsidRDefault="00BD41A7" w14:paraId="1390C9A9" w14:textId="654A2CA1">
      <w:pPr>
        <w:pStyle w:val="Default"/>
        <w:rPr>
          <w:sz w:val="22"/>
          <w:szCs w:val="22"/>
        </w:rPr>
      </w:pPr>
      <w:r w:rsidRPr="00CB5E9E">
        <w:rPr>
          <w:b/>
          <w:bCs/>
          <w:sz w:val="22"/>
          <w:szCs w:val="22"/>
        </w:rPr>
        <w:t xml:space="preserve">I. Binnenlandse zaken </w:t>
      </w:r>
    </w:p>
    <w:p w:rsidR="00BD41A7" w:rsidP="00BD41A7" w:rsidRDefault="00BD41A7" w14:paraId="3E57D10F" w14:textId="77777777">
      <w:pPr>
        <w:pStyle w:val="Default"/>
      </w:pPr>
    </w:p>
    <w:p w:rsidR="00BD41A7" w:rsidP="00D446BA" w:rsidRDefault="00D446BA" w14:paraId="62DAE9F4" w14:textId="1FD684E6">
      <w:pPr>
        <w:pStyle w:val="Default"/>
        <w:rPr>
          <w:highlight w:val="yellow"/>
        </w:rPr>
      </w:pPr>
      <w:r w:rsidRPr="00D446BA">
        <w:rPr>
          <w:b/>
          <w:bCs/>
          <w:sz w:val="18"/>
          <w:szCs w:val="18"/>
        </w:rPr>
        <w:t>1.</w:t>
      </w:r>
      <w:r>
        <w:rPr>
          <w:b/>
          <w:bCs/>
          <w:sz w:val="18"/>
          <w:szCs w:val="18"/>
        </w:rPr>
        <w:t xml:space="preserve"> </w:t>
      </w:r>
      <w:r w:rsidRPr="00D446BA">
        <w:rPr>
          <w:b/>
          <w:bCs/>
          <w:sz w:val="18"/>
          <w:szCs w:val="18"/>
        </w:rPr>
        <w:t xml:space="preserve">Strategische discussie over migratiebeleid </w:t>
      </w:r>
    </w:p>
    <w:p w:rsidRPr="00B43623" w:rsidR="00497DC6" w:rsidP="00497DC6" w:rsidRDefault="00497DC6" w14:paraId="6024D833" w14:textId="212E5259">
      <w:r>
        <w:br/>
      </w:r>
      <w:r w:rsidRPr="00B43D4C">
        <w:t xml:space="preserve">Tijdens deze JBZ-raad vond één algemene tafelronde over asiel en migratie plaats. Het </w:t>
      </w:r>
      <w:r>
        <w:t>Belgische v</w:t>
      </w:r>
      <w:r w:rsidRPr="00B43D4C">
        <w:t xml:space="preserve">oorzitterschap trapte deze af met een aantal aandachtspunten. Allereerst stond het stil bij het grote belang van afronding van de verschillende lopende wetstrajecten (Asiel- en Migratiepact, de herziene Schengengrenscode, en de Langdurig Ingezetenen-Richtlijn). Daarnaast benadrukte het Voorzitterschap het blijvende belang van de verbetering van terugkeersamenwerking en voortgang op de externe dimensie van het Europees migratiebeleid. In de tafelronde die volgde werd op basis van een discussiestuk door de lidstaten vooruitgeblikt op lange-termijnscenario’s voor wettelijk verblijf van Oekraïense ontheemden. Nederland heeft ingebracht sterk voorstander te zijn van een Europees gecoördineerde aanpak hierop, en gaf aan daarom een nieuwe verlenging van de Richtlijn Tijdelijke bescherming (na 4 maart 2025) te kunnen steunen. Voor alternatieven voor de langere termijn, heeft Nederland de Commissie verzocht verschillende scenario’s uit te werken. Ook de andere lidstaten spraken steun uit voor verlenging van de toepassing van de Richtlijn. </w:t>
      </w:r>
      <w:r>
        <w:t xml:space="preserve">Verscheidene lidstaten drongen erop aan </w:t>
      </w:r>
      <w:r w:rsidRPr="00B43D4C">
        <w:t>dat besluitvorming hierover zo spoedig mogelijk zou moeten plaatsvinden. In antwoord op de vraag of lidstaten ook nadenken over andere vormen van verblijfsrecht</w:t>
      </w:r>
      <w:r>
        <w:t>,</w:t>
      </w:r>
      <w:r w:rsidRPr="00B43D4C">
        <w:t xml:space="preserve"> die naast of na de mogelijke verlenging van de Richtlijn Tijdelijke Bescherming kunnen bestaan, legden de lidstaten verschillende accenten. Enkele lidstaten pleitten voor verblijfsvergunningen gerelateerd aan werk of voor verblijfsvergunningen voor de lange termijn. Andere lidstaten vroegen nadrukkelijker aandacht voor het belang van de uiteindelijke terugkeer van ontheemden naar Oekraïne na de oorlog, </w:t>
      </w:r>
      <w:r>
        <w:t xml:space="preserve">ook met het oog op de wederopbouw van Oekraïne, </w:t>
      </w:r>
      <w:r w:rsidRPr="00B43D4C">
        <w:t xml:space="preserve">en het belang van nauw contact met de Oekraïense autoriteiten hierover. Het Voorzitterschap </w:t>
      </w:r>
      <w:r>
        <w:t xml:space="preserve">wil </w:t>
      </w:r>
      <w:r w:rsidRPr="00B43D4C">
        <w:t>de discussie over verblijfsrecht en terugkeer vervolg</w:t>
      </w:r>
      <w:r>
        <w:t xml:space="preserve">en </w:t>
      </w:r>
      <w:r w:rsidRPr="00B43D4C">
        <w:t xml:space="preserve">in een volgende JBZ-Raad. De Commissie zegde toe die discussie voor te zullen bereiden aan de hand van een overzicht met verschillende opties en scenario’s. </w:t>
      </w:r>
    </w:p>
    <w:p w:rsidR="003449BF" w:rsidP="00BD41A7" w:rsidRDefault="003449BF" w14:paraId="31585F0F" w14:textId="7E235B3C">
      <w:pPr>
        <w:rPr>
          <w:b/>
          <w:bCs/>
        </w:rPr>
      </w:pPr>
      <w:r w:rsidRPr="003449BF">
        <w:rPr>
          <w:b/>
          <w:bCs/>
        </w:rPr>
        <w:t xml:space="preserve">2. Werklunch over </w:t>
      </w:r>
      <w:r>
        <w:rPr>
          <w:b/>
          <w:bCs/>
        </w:rPr>
        <w:t>k</w:t>
      </w:r>
      <w:r w:rsidRPr="003449BF">
        <w:rPr>
          <w:b/>
          <w:bCs/>
        </w:rPr>
        <w:t xml:space="preserve">unstmatige </w:t>
      </w:r>
      <w:r>
        <w:rPr>
          <w:b/>
          <w:bCs/>
        </w:rPr>
        <w:t>i</w:t>
      </w:r>
      <w:r w:rsidRPr="003449BF">
        <w:rPr>
          <w:b/>
          <w:bCs/>
        </w:rPr>
        <w:t>ntelligentie en rechtshandhaving</w:t>
      </w:r>
    </w:p>
    <w:p w:rsidRPr="000D4B2E" w:rsidR="00CB5E9E" w:rsidP="00BD41A7" w:rsidRDefault="00027B7C" w14:paraId="2D6FFE04" w14:textId="022F8AFF">
      <w:r>
        <w:t xml:space="preserve">Tijdens de besloten werklunch </w:t>
      </w:r>
      <w:r w:rsidRPr="00027B7C">
        <w:t xml:space="preserve">werd </w:t>
      </w:r>
      <w:r>
        <w:t xml:space="preserve">gesproken over </w:t>
      </w:r>
      <w:r w:rsidRPr="00027B7C">
        <w:t xml:space="preserve">deepfakes, mis- en desinformatie, het gebruik van </w:t>
      </w:r>
      <w:r>
        <w:t>kunstmatige intelligentie</w:t>
      </w:r>
      <w:r w:rsidR="007B77EC">
        <w:t xml:space="preserve"> (hierna: AI)</w:t>
      </w:r>
      <w:r>
        <w:t xml:space="preserve"> </w:t>
      </w:r>
      <w:r w:rsidRPr="00027B7C">
        <w:t>door criminele organisaties en de impact op handhavingsautoriteiten. Aan de hand van voorbeelden schetsten expert</w:t>
      </w:r>
      <w:r w:rsidR="00BE30F0">
        <w:t>s</w:t>
      </w:r>
      <w:r w:rsidRPr="00027B7C">
        <w:t xml:space="preserve"> van Europol de verschillende manier waarop </w:t>
      </w:r>
      <w:r w:rsidR="007B77EC">
        <w:t xml:space="preserve">AI </w:t>
      </w:r>
      <w:r w:rsidRPr="00027B7C">
        <w:t>kan worden ingezet voor criminele doeleinden en voor destabilisatie van de maatschappij</w:t>
      </w:r>
      <w:r w:rsidR="00AB6127">
        <w:t xml:space="preserve">. Alle lidstaten gaven aan </w:t>
      </w:r>
      <w:r w:rsidRPr="007B77EC" w:rsidR="00AB6127">
        <w:t xml:space="preserve">zich sterk bewust te zijn van de risico’s die voortkomen uit het crimineel gebruik van </w:t>
      </w:r>
      <w:r w:rsidRPr="007B77EC" w:rsidR="007B77EC">
        <w:t xml:space="preserve">AI en een grote </w:t>
      </w:r>
      <w:r w:rsidRPr="007B77EC" w:rsidR="00AB6127">
        <w:t>“sense of urgency”</w:t>
      </w:r>
      <w:r w:rsidRPr="007B77EC" w:rsidR="007B77EC">
        <w:t xml:space="preserve"> werd gedeeld.</w:t>
      </w:r>
      <w:r w:rsidR="003865EB">
        <w:t xml:space="preserve"> Er was consensus dat dit onderwerp hoog op de agenda moet blijven en dat EU-agentschappen zoals Europol en EU-LISA een belangrijke rol spelen om ervoor te zorgen dat de rechtshandhavingsdiensten over de juiste kennis en tools beschikken om misbruik van AI tegen te gaan. </w:t>
      </w:r>
      <w:r w:rsidRPr="007B77EC" w:rsidR="007B77EC">
        <w:t xml:space="preserve"> </w:t>
      </w:r>
    </w:p>
    <w:p w:rsidR="003449BF" w:rsidP="003449BF" w:rsidRDefault="003449BF" w14:paraId="184E2418" w14:textId="14E0DA0F">
      <w:pPr>
        <w:rPr>
          <w:b/>
          <w:bCs/>
        </w:rPr>
      </w:pPr>
      <w:r>
        <w:rPr>
          <w:b/>
          <w:bCs/>
        </w:rPr>
        <w:t xml:space="preserve">3. </w:t>
      </w:r>
      <w:r w:rsidR="007D37EB">
        <w:rPr>
          <w:b/>
          <w:bCs/>
        </w:rPr>
        <w:t>Strijd tegen g</w:t>
      </w:r>
      <w:r>
        <w:rPr>
          <w:b/>
          <w:bCs/>
        </w:rPr>
        <w:t>eorganiseerde criminaliteit</w:t>
      </w:r>
    </w:p>
    <w:p w:rsidR="00A15721" w:rsidP="003449BF" w:rsidRDefault="003449BF" w14:paraId="5A767703" w14:textId="65BD8AE7">
      <w:pPr>
        <w:rPr>
          <w:rFonts w:eastAsia="Times New Roman"/>
          <w:color w:val="000000"/>
          <w:szCs w:val="18"/>
        </w:rPr>
      </w:pPr>
      <w:r>
        <w:t xml:space="preserve">Het </w:t>
      </w:r>
      <w:r w:rsidR="00CB5E9E">
        <w:t>Belgische v</w:t>
      </w:r>
      <w:r>
        <w:t>oorzitterschap gaf aan</w:t>
      </w:r>
      <w:r>
        <w:rPr>
          <w:rFonts w:eastAsia="Times New Roman"/>
          <w:color w:val="000000"/>
          <w:szCs w:val="18"/>
        </w:rPr>
        <w:t xml:space="preserve"> georganiseerde criminaliteit blijvend onder de aandacht te willen </w:t>
      </w:r>
      <w:r w:rsidR="00CB5E9E">
        <w:rPr>
          <w:rFonts w:eastAsia="Times New Roman"/>
          <w:color w:val="000000"/>
          <w:szCs w:val="18"/>
        </w:rPr>
        <w:t xml:space="preserve">brengen </w:t>
      </w:r>
      <w:r>
        <w:rPr>
          <w:rFonts w:eastAsia="Times New Roman"/>
          <w:color w:val="000000"/>
          <w:szCs w:val="18"/>
        </w:rPr>
        <w:t xml:space="preserve">en over drie onderwerpen te willen spreken: de Havenalliantie, de bestuurlijke aanpak en preventie. </w:t>
      </w:r>
    </w:p>
    <w:p w:rsidR="00A227CA" w:rsidP="003449BF" w:rsidRDefault="00A15721" w14:paraId="2BA48EAC" w14:textId="540B3FFA">
      <w:pPr>
        <w:rPr>
          <w:color w:val="000000"/>
          <w:szCs w:val="18"/>
        </w:rPr>
      </w:pPr>
      <w:r>
        <w:rPr>
          <w:rFonts w:eastAsia="Times New Roman"/>
          <w:color w:val="000000"/>
          <w:szCs w:val="18"/>
        </w:rPr>
        <w:t xml:space="preserve">De Commissie </w:t>
      </w:r>
      <w:r w:rsidR="00A227CA">
        <w:rPr>
          <w:rFonts w:eastAsia="Times New Roman"/>
          <w:color w:val="000000"/>
          <w:szCs w:val="18"/>
        </w:rPr>
        <w:t>b</w:t>
      </w:r>
      <w:r w:rsidR="00497DC6">
        <w:rPr>
          <w:rFonts w:eastAsia="Times New Roman"/>
          <w:color w:val="000000"/>
          <w:szCs w:val="18"/>
        </w:rPr>
        <w:t>racht naar voren</w:t>
      </w:r>
      <w:r>
        <w:rPr>
          <w:rFonts w:eastAsia="Times New Roman"/>
          <w:color w:val="000000"/>
          <w:szCs w:val="18"/>
        </w:rPr>
        <w:t xml:space="preserve"> </w:t>
      </w:r>
      <w:r w:rsidR="00A227CA">
        <w:rPr>
          <w:rFonts w:eastAsia="Times New Roman"/>
          <w:color w:val="000000"/>
          <w:szCs w:val="18"/>
        </w:rPr>
        <w:t>dat de aanpak van</w:t>
      </w:r>
      <w:r>
        <w:rPr>
          <w:rFonts w:eastAsia="Times New Roman"/>
          <w:color w:val="000000"/>
          <w:szCs w:val="18"/>
        </w:rPr>
        <w:t xml:space="preserve"> drugshandel </w:t>
      </w:r>
      <w:r w:rsidR="00CB5E9E">
        <w:rPr>
          <w:rFonts w:eastAsia="Times New Roman"/>
          <w:color w:val="000000"/>
          <w:szCs w:val="18"/>
        </w:rPr>
        <w:t xml:space="preserve">veel </w:t>
      </w:r>
      <w:r w:rsidR="00A227CA">
        <w:rPr>
          <w:rFonts w:eastAsia="Times New Roman"/>
          <w:color w:val="000000"/>
          <w:szCs w:val="18"/>
        </w:rPr>
        <w:t>aandacht verdien</w:t>
      </w:r>
      <w:r w:rsidR="001B10F6">
        <w:rPr>
          <w:rFonts w:eastAsia="Times New Roman"/>
          <w:color w:val="000000"/>
          <w:szCs w:val="18"/>
        </w:rPr>
        <w:t>t</w:t>
      </w:r>
      <w:r w:rsidR="00A227CA">
        <w:rPr>
          <w:rFonts w:eastAsia="Times New Roman"/>
          <w:color w:val="000000"/>
          <w:szCs w:val="18"/>
        </w:rPr>
        <w:t xml:space="preserve">, </w:t>
      </w:r>
      <w:r w:rsidR="00CB5E9E">
        <w:rPr>
          <w:rFonts w:eastAsia="Times New Roman"/>
          <w:color w:val="000000"/>
          <w:szCs w:val="18"/>
        </w:rPr>
        <w:t xml:space="preserve">dat </w:t>
      </w:r>
      <w:r w:rsidR="00A227CA">
        <w:rPr>
          <w:rFonts w:eastAsia="Times New Roman"/>
          <w:color w:val="000000"/>
          <w:szCs w:val="18"/>
        </w:rPr>
        <w:t xml:space="preserve">de problematiek een geweldig grote omvang heeft, de samenwerking met derde landen daarbij cruciaal is en blij te zijn met de stappen die in het kader van de Havenalliantie zijn gezet. De Commissie </w:t>
      </w:r>
      <w:r w:rsidR="008107D6">
        <w:rPr>
          <w:rFonts w:eastAsia="Times New Roman"/>
          <w:color w:val="000000"/>
          <w:szCs w:val="18"/>
        </w:rPr>
        <w:t xml:space="preserve">benadrukte dat criminele netwerken rechtshandhavingsdiensten steeds voor zijn en dat een georganiseerde netwerk aanpak nodig is om criminele netwerken te doorbreken. Ook </w:t>
      </w:r>
      <w:r w:rsidR="00A227CA">
        <w:rPr>
          <w:rFonts w:eastAsia="Times New Roman"/>
          <w:color w:val="000000"/>
          <w:szCs w:val="18"/>
        </w:rPr>
        <w:t xml:space="preserve">gaf </w:t>
      </w:r>
      <w:r w:rsidR="008107D6">
        <w:rPr>
          <w:rFonts w:eastAsia="Times New Roman"/>
          <w:color w:val="000000"/>
          <w:szCs w:val="18"/>
        </w:rPr>
        <w:t>de Commissie aan</w:t>
      </w:r>
      <w:r w:rsidR="00A227CA">
        <w:rPr>
          <w:rFonts w:eastAsia="Times New Roman"/>
          <w:color w:val="000000"/>
          <w:szCs w:val="18"/>
        </w:rPr>
        <w:t xml:space="preserve"> de </w:t>
      </w:r>
      <w:r>
        <w:rPr>
          <w:rFonts w:eastAsia="Times New Roman"/>
          <w:color w:val="000000"/>
          <w:szCs w:val="18"/>
        </w:rPr>
        <w:t xml:space="preserve">aanbevelingen </w:t>
      </w:r>
      <w:r w:rsidR="00A227CA">
        <w:rPr>
          <w:rFonts w:eastAsia="Times New Roman"/>
          <w:color w:val="000000"/>
          <w:szCs w:val="18"/>
        </w:rPr>
        <w:t>uit</w:t>
      </w:r>
      <w:r>
        <w:rPr>
          <w:rFonts w:eastAsia="Times New Roman"/>
          <w:color w:val="000000"/>
          <w:szCs w:val="18"/>
        </w:rPr>
        <w:t xml:space="preserve"> de</w:t>
      </w:r>
      <w:r>
        <w:rPr>
          <w:color w:val="000000"/>
          <w:szCs w:val="18"/>
        </w:rPr>
        <w:t xml:space="preserve"> Schengenevaluatie havens</w:t>
      </w:r>
      <w:r w:rsidR="00A227CA">
        <w:rPr>
          <w:color w:val="000000"/>
          <w:szCs w:val="18"/>
        </w:rPr>
        <w:t xml:space="preserve"> te zullen uitwerken waarbij </w:t>
      </w:r>
      <w:r>
        <w:rPr>
          <w:color w:val="000000"/>
          <w:szCs w:val="18"/>
        </w:rPr>
        <w:t>rekruteren van jongeren om misdaden te plegen bijzondere aandacht krijg</w:t>
      </w:r>
      <w:r w:rsidR="00A227CA">
        <w:rPr>
          <w:color w:val="000000"/>
          <w:szCs w:val="18"/>
        </w:rPr>
        <w:t xml:space="preserve">t met </w:t>
      </w:r>
      <w:r w:rsidR="00497DC6">
        <w:rPr>
          <w:color w:val="000000"/>
          <w:szCs w:val="18"/>
        </w:rPr>
        <w:t xml:space="preserve">de organisatie van </w:t>
      </w:r>
      <w:r w:rsidR="00A227CA">
        <w:rPr>
          <w:color w:val="000000"/>
          <w:szCs w:val="18"/>
        </w:rPr>
        <w:t>een</w:t>
      </w:r>
      <w:r>
        <w:rPr>
          <w:color w:val="000000"/>
          <w:szCs w:val="18"/>
        </w:rPr>
        <w:t xml:space="preserve"> conferentie </w:t>
      </w:r>
      <w:r w:rsidR="00A227CA">
        <w:rPr>
          <w:color w:val="000000"/>
          <w:szCs w:val="18"/>
        </w:rPr>
        <w:t>hierover begin april</w:t>
      </w:r>
      <w:r>
        <w:rPr>
          <w:color w:val="000000"/>
          <w:szCs w:val="18"/>
        </w:rPr>
        <w:t xml:space="preserve">. </w:t>
      </w:r>
    </w:p>
    <w:p w:rsidR="003449BF" w:rsidP="003449BF" w:rsidRDefault="00A227CA" w14:paraId="11A3F738" w14:textId="56789E0A">
      <w:pPr>
        <w:rPr>
          <w:rFonts w:eastAsia="Times New Roman"/>
          <w:color w:val="000000"/>
          <w:szCs w:val="18"/>
        </w:rPr>
      </w:pPr>
      <w:r>
        <w:rPr>
          <w:color w:val="000000"/>
          <w:szCs w:val="18"/>
        </w:rPr>
        <w:lastRenderedPageBreak/>
        <w:t xml:space="preserve">Alle </w:t>
      </w:r>
      <w:r w:rsidR="00A15721">
        <w:rPr>
          <w:rFonts w:eastAsia="Times New Roman"/>
          <w:color w:val="000000"/>
          <w:szCs w:val="18"/>
        </w:rPr>
        <w:t>lidstaten uitte</w:t>
      </w:r>
      <w:r w:rsidR="001B10F6">
        <w:rPr>
          <w:rFonts w:eastAsia="Times New Roman"/>
          <w:color w:val="000000"/>
          <w:szCs w:val="18"/>
        </w:rPr>
        <w:t>n</w:t>
      </w:r>
      <w:r w:rsidR="00A15721">
        <w:rPr>
          <w:rFonts w:eastAsia="Times New Roman"/>
          <w:color w:val="000000"/>
          <w:szCs w:val="18"/>
        </w:rPr>
        <w:t xml:space="preserve"> zorgen over </w:t>
      </w:r>
      <w:r w:rsidR="00CB5E9E">
        <w:rPr>
          <w:rFonts w:eastAsia="Times New Roman"/>
          <w:color w:val="000000"/>
          <w:szCs w:val="18"/>
        </w:rPr>
        <w:t xml:space="preserve">drugshandel </w:t>
      </w:r>
      <w:r w:rsidR="00A15721">
        <w:rPr>
          <w:rFonts w:eastAsia="Times New Roman"/>
          <w:color w:val="000000"/>
          <w:szCs w:val="18"/>
        </w:rPr>
        <w:t>problematiek en</w:t>
      </w:r>
      <w:r w:rsidR="00497DC6">
        <w:rPr>
          <w:rFonts w:eastAsia="Times New Roman"/>
          <w:color w:val="000000"/>
          <w:szCs w:val="18"/>
        </w:rPr>
        <w:t xml:space="preserve"> het</w:t>
      </w:r>
      <w:r w:rsidR="00A15721">
        <w:rPr>
          <w:rFonts w:eastAsia="Times New Roman"/>
          <w:color w:val="000000"/>
          <w:szCs w:val="18"/>
        </w:rPr>
        <w:t xml:space="preserve"> </w:t>
      </w:r>
      <w:r>
        <w:rPr>
          <w:rFonts w:eastAsia="Times New Roman"/>
          <w:color w:val="000000"/>
          <w:szCs w:val="18"/>
        </w:rPr>
        <w:t>bijbehorend</w:t>
      </w:r>
      <w:r w:rsidR="00497DC6">
        <w:rPr>
          <w:rFonts w:eastAsia="Times New Roman"/>
          <w:color w:val="000000"/>
          <w:szCs w:val="18"/>
        </w:rPr>
        <w:t>e</w:t>
      </w:r>
      <w:r>
        <w:rPr>
          <w:rFonts w:eastAsia="Times New Roman"/>
          <w:color w:val="000000"/>
          <w:szCs w:val="18"/>
        </w:rPr>
        <w:t xml:space="preserve"> geweld in de eigen landen. </w:t>
      </w:r>
      <w:r w:rsidR="003449BF">
        <w:rPr>
          <w:rFonts w:eastAsia="Times New Roman"/>
          <w:color w:val="000000"/>
          <w:szCs w:val="18"/>
        </w:rPr>
        <w:t>De Raad sprak brede steun uit voor de Havenalliantie</w:t>
      </w:r>
      <w:r w:rsidR="00A15721">
        <w:rPr>
          <w:rFonts w:eastAsia="Times New Roman"/>
          <w:color w:val="000000"/>
          <w:szCs w:val="18"/>
        </w:rPr>
        <w:t xml:space="preserve">, waarbij werd opgeroepen om het platform flexibel in te richten en </w:t>
      </w:r>
      <w:r w:rsidR="00CB5E9E">
        <w:rPr>
          <w:rFonts w:eastAsia="Times New Roman"/>
          <w:color w:val="000000"/>
          <w:szCs w:val="18"/>
        </w:rPr>
        <w:t xml:space="preserve">om </w:t>
      </w:r>
      <w:r>
        <w:rPr>
          <w:rFonts w:eastAsia="Times New Roman"/>
          <w:color w:val="000000"/>
          <w:szCs w:val="18"/>
        </w:rPr>
        <w:t xml:space="preserve">naast de grote havens </w:t>
      </w:r>
      <w:r w:rsidR="008F0408">
        <w:rPr>
          <w:rFonts w:eastAsia="Times New Roman"/>
          <w:color w:val="000000"/>
          <w:szCs w:val="18"/>
        </w:rPr>
        <w:t xml:space="preserve">ook aandacht </w:t>
      </w:r>
      <w:r w:rsidR="00CB5E9E">
        <w:rPr>
          <w:rFonts w:eastAsia="Times New Roman"/>
          <w:color w:val="000000"/>
          <w:szCs w:val="18"/>
        </w:rPr>
        <w:t xml:space="preserve">te hebben </w:t>
      </w:r>
      <w:r w:rsidR="008F0408">
        <w:rPr>
          <w:rFonts w:eastAsia="Times New Roman"/>
          <w:color w:val="000000"/>
          <w:szCs w:val="18"/>
        </w:rPr>
        <w:t>voor kleine</w:t>
      </w:r>
      <w:r w:rsidR="00CB5E9E">
        <w:rPr>
          <w:rFonts w:eastAsia="Times New Roman"/>
          <w:color w:val="000000"/>
          <w:szCs w:val="18"/>
        </w:rPr>
        <w:t>re</w:t>
      </w:r>
      <w:r w:rsidR="008F0408">
        <w:rPr>
          <w:rFonts w:eastAsia="Times New Roman"/>
          <w:color w:val="000000"/>
          <w:szCs w:val="18"/>
        </w:rPr>
        <w:t xml:space="preserve"> </w:t>
      </w:r>
      <w:r w:rsidR="00CB5E9E">
        <w:rPr>
          <w:rFonts w:eastAsia="Times New Roman"/>
          <w:color w:val="000000"/>
          <w:szCs w:val="18"/>
        </w:rPr>
        <w:t xml:space="preserve">Europese </w:t>
      </w:r>
      <w:r w:rsidR="008F0408">
        <w:rPr>
          <w:rFonts w:eastAsia="Times New Roman"/>
          <w:color w:val="000000"/>
          <w:szCs w:val="18"/>
        </w:rPr>
        <w:t>havens. O</w:t>
      </w:r>
      <w:r w:rsidR="00A15721">
        <w:rPr>
          <w:rFonts w:eastAsia="Times New Roman"/>
          <w:color w:val="000000"/>
          <w:szCs w:val="18"/>
        </w:rPr>
        <w:t xml:space="preserve">ok spraken een aantal lidstaten de voorkeur uit een centrum op te richten om </w:t>
      </w:r>
      <w:r w:rsidRPr="00A15721" w:rsidR="00A15721">
        <w:rPr>
          <w:rFonts w:eastAsia="Times New Roman"/>
          <w:i/>
          <w:iCs/>
          <w:color w:val="000000"/>
          <w:szCs w:val="18"/>
        </w:rPr>
        <w:t>best practices</w:t>
      </w:r>
      <w:r w:rsidR="00A15721">
        <w:rPr>
          <w:rFonts w:eastAsia="Times New Roman"/>
          <w:color w:val="000000"/>
          <w:szCs w:val="18"/>
        </w:rPr>
        <w:t xml:space="preserve"> te delen. </w:t>
      </w:r>
    </w:p>
    <w:p w:rsidR="003449BF" w:rsidP="00DF5126" w:rsidRDefault="008F0408" w14:paraId="35AF3668" w14:textId="195043CB">
      <w:pPr>
        <w:rPr>
          <w:rFonts w:eastAsia="Times New Roman"/>
        </w:rPr>
      </w:pPr>
      <w:r>
        <w:rPr>
          <w:rFonts w:eastAsia="Times New Roman"/>
          <w:color w:val="000000"/>
          <w:szCs w:val="18"/>
        </w:rPr>
        <w:t xml:space="preserve">Nederland en aantal andere lidstaten spraken steun uit voor verdere samenwerking op bestuurlijke aanpak. Het Voorzitterschap riep </w:t>
      </w:r>
      <w:r w:rsidR="00CB5E9E">
        <w:rPr>
          <w:rFonts w:eastAsia="Times New Roman"/>
          <w:color w:val="000000"/>
          <w:szCs w:val="18"/>
        </w:rPr>
        <w:t xml:space="preserve">op </w:t>
      </w:r>
      <w:r>
        <w:rPr>
          <w:rFonts w:eastAsia="Times New Roman"/>
          <w:color w:val="000000"/>
          <w:szCs w:val="18"/>
        </w:rPr>
        <w:t>tot versterking van de juridische basis</w:t>
      </w:r>
      <w:r w:rsidR="00D06A1A">
        <w:rPr>
          <w:rFonts w:eastAsia="Times New Roman"/>
          <w:color w:val="000000"/>
          <w:szCs w:val="18"/>
        </w:rPr>
        <w:t xml:space="preserve"> om bestuurlijke informatie t</w:t>
      </w:r>
      <w:r w:rsidR="00CB5E9E">
        <w:rPr>
          <w:rFonts w:eastAsia="Times New Roman"/>
          <w:color w:val="000000"/>
          <w:szCs w:val="18"/>
        </w:rPr>
        <w:t>ussen lidstaten te</w:t>
      </w:r>
      <w:r w:rsidR="00D06A1A">
        <w:rPr>
          <w:rFonts w:eastAsia="Times New Roman"/>
          <w:color w:val="000000"/>
          <w:szCs w:val="18"/>
        </w:rPr>
        <w:t xml:space="preserve"> kunnen uitwisselen. Lidstaten deelden daarnaast voorbeelden van </w:t>
      </w:r>
      <w:r w:rsidR="00CB5E9E">
        <w:rPr>
          <w:rFonts w:eastAsia="Times New Roman"/>
          <w:color w:val="000000"/>
          <w:szCs w:val="18"/>
        </w:rPr>
        <w:t xml:space="preserve">de </w:t>
      </w:r>
      <w:r w:rsidR="00D06A1A">
        <w:rPr>
          <w:rFonts w:eastAsia="Times New Roman"/>
          <w:color w:val="000000"/>
          <w:szCs w:val="18"/>
        </w:rPr>
        <w:t xml:space="preserve">nationale en lokale aanpak van </w:t>
      </w:r>
      <w:r w:rsidR="00CB5E9E">
        <w:rPr>
          <w:rFonts w:eastAsia="Times New Roman"/>
          <w:color w:val="000000"/>
          <w:szCs w:val="18"/>
        </w:rPr>
        <w:t>jeugd</w:t>
      </w:r>
      <w:r w:rsidR="00D06A1A">
        <w:rPr>
          <w:rFonts w:eastAsia="Times New Roman"/>
          <w:color w:val="000000"/>
          <w:szCs w:val="18"/>
        </w:rPr>
        <w:t xml:space="preserve">preventie </w:t>
      </w:r>
      <w:r w:rsidR="00CB5E9E">
        <w:rPr>
          <w:rFonts w:eastAsia="Times New Roman"/>
          <w:color w:val="000000"/>
          <w:szCs w:val="18"/>
        </w:rPr>
        <w:t>en de Raad sprak af meer ervaringen en goede praktijken uit te wisselen.</w:t>
      </w:r>
    </w:p>
    <w:p w:rsidR="00BD41A7" w:rsidP="004A04AE" w:rsidRDefault="00BD41A7" w14:paraId="3DEC3A2D" w14:textId="77777777">
      <w:pPr>
        <w:spacing w:after="0" w:line="240" w:lineRule="auto"/>
        <w:rPr>
          <w:rFonts w:eastAsia="Times New Roman" w:cs="Arial"/>
          <w:b/>
          <w:bCs/>
          <w:color w:val="000000"/>
          <w:sz w:val="24"/>
          <w:szCs w:val="24"/>
          <w:lang w:eastAsia="nl-NL"/>
        </w:rPr>
      </w:pPr>
    </w:p>
    <w:p w:rsidRPr="00CB5E9E" w:rsidR="00D33457" w:rsidP="004A04AE" w:rsidRDefault="004A04AE" w14:paraId="648ED6FD" w14:textId="17AF5F6B">
      <w:pPr>
        <w:spacing w:after="0" w:line="240" w:lineRule="auto"/>
        <w:rPr>
          <w:rFonts w:eastAsia="Times New Roman" w:cs="Arial"/>
          <w:b/>
          <w:bCs/>
          <w:color w:val="000000"/>
          <w:sz w:val="22"/>
          <w:lang w:eastAsia="nl-NL"/>
        </w:rPr>
      </w:pPr>
      <w:r w:rsidRPr="00CB5E9E">
        <w:rPr>
          <w:rFonts w:eastAsia="Times New Roman" w:cs="Arial"/>
          <w:b/>
          <w:bCs/>
          <w:color w:val="000000"/>
          <w:sz w:val="22"/>
          <w:lang w:eastAsia="nl-NL"/>
        </w:rPr>
        <w:t>I</w:t>
      </w:r>
      <w:r w:rsidRPr="00CB5E9E" w:rsidR="00BD41A7">
        <w:rPr>
          <w:rFonts w:eastAsia="Times New Roman" w:cs="Arial"/>
          <w:b/>
          <w:bCs/>
          <w:color w:val="000000"/>
          <w:sz w:val="22"/>
          <w:lang w:eastAsia="nl-NL"/>
        </w:rPr>
        <w:t>I</w:t>
      </w:r>
      <w:r w:rsidRPr="00CB5E9E">
        <w:rPr>
          <w:rFonts w:eastAsia="Times New Roman" w:cs="Arial"/>
          <w:b/>
          <w:bCs/>
          <w:color w:val="000000"/>
          <w:sz w:val="22"/>
          <w:lang w:eastAsia="nl-NL"/>
        </w:rPr>
        <w:t xml:space="preserve">. </w:t>
      </w:r>
      <w:r w:rsidRPr="00CB5E9E" w:rsidR="00D33457">
        <w:rPr>
          <w:rFonts w:eastAsia="Times New Roman" w:cs="Arial"/>
          <w:b/>
          <w:bCs/>
          <w:color w:val="000000"/>
          <w:sz w:val="22"/>
          <w:lang w:eastAsia="nl-NL"/>
        </w:rPr>
        <w:t>Justitie</w:t>
      </w:r>
    </w:p>
    <w:p w:rsidRPr="00627660" w:rsidR="00D33457" w:rsidP="00BD0FE6" w:rsidRDefault="00D33457" w14:paraId="7A11BCD3" w14:textId="03032CF7">
      <w:pPr>
        <w:spacing w:after="0" w:line="240" w:lineRule="auto"/>
        <w:rPr>
          <w:rFonts w:ascii="Arial" w:hAnsi="Arial" w:eastAsia="Times New Roman" w:cs="Arial"/>
          <w:b/>
          <w:bCs/>
          <w:color w:val="000000"/>
          <w:sz w:val="20"/>
          <w:szCs w:val="20"/>
          <w:lang w:eastAsia="nl-NL"/>
        </w:rPr>
      </w:pPr>
    </w:p>
    <w:p w:rsidRPr="00B619C3" w:rsidR="00D44FA3" w:rsidP="00176550" w:rsidRDefault="00D44FA3" w14:paraId="08FF449F" w14:textId="77777777">
      <w:pPr>
        <w:pStyle w:val="Default"/>
        <w:rPr>
          <w:sz w:val="18"/>
          <w:szCs w:val="18"/>
        </w:rPr>
      </w:pPr>
      <w:r w:rsidRPr="00B619C3">
        <w:rPr>
          <w:sz w:val="18"/>
          <w:szCs w:val="18"/>
        </w:rPr>
        <w:t xml:space="preserve"> </w:t>
      </w:r>
    </w:p>
    <w:p w:rsidR="00DD7BD2" w:rsidP="00DD7BD2" w:rsidRDefault="00497DC6" w14:paraId="376C6D6F" w14:textId="07386E3E">
      <w:pPr>
        <w:pStyle w:val="Default"/>
        <w:rPr>
          <w:sz w:val="18"/>
          <w:szCs w:val="18"/>
        </w:rPr>
      </w:pPr>
      <w:r>
        <w:rPr>
          <w:b/>
          <w:bCs/>
          <w:sz w:val="18"/>
          <w:szCs w:val="18"/>
        </w:rPr>
        <w:t>4</w:t>
      </w:r>
      <w:r w:rsidRPr="006C7EDB" w:rsidR="00DD7BD2">
        <w:rPr>
          <w:b/>
          <w:bCs/>
          <w:sz w:val="18"/>
          <w:szCs w:val="18"/>
        </w:rPr>
        <w:t xml:space="preserve">. </w:t>
      </w:r>
      <w:r w:rsidR="007D37EB">
        <w:rPr>
          <w:b/>
          <w:bCs/>
          <w:sz w:val="18"/>
          <w:szCs w:val="18"/>
        </w:rPr>
        <w:t>Strijd tegen georganiseerde criminaliteit</w:t>
      </w:r>
      <w:r w:rsidRPr="006C7EDB" w:rsidR="00DD7BD2">
        <w:rPr>
          <w:b/>
          <w:bCs/>
          <w:sz w:val="18"/>
          <w:szCs w:val="18"/>
        </w:rPr>
        <w:t xml:space="preserve"> </w:t>
      </w:r>
    </w:p>
    <w:p w:rsidR="00CB5E9E" w:rsidP="00CB5E9E" w:rsidRDefault="007D37EB" w14:paraId="1CE700B9" w14:textId="654F1082">
      <w:pPr>
        <w:pStyle w:val="Normaalweb"/>
      </w:pPr>
      <w:r>
        <w:rPr>
          <w:rStyle w:val="Zwaar"/>
          <w:rFonts w:ascii="Verdana" w:hAnsi="Verdana"/>
          <w:b w:val="0"/>
          <w:bCs w:val="0"/>
          <w:color w:val="000000"/>
          <w:sz w:val="18"/>
          <w:szCs w:val="18"/>
        </w:rPr>
        <w:t>Ook tijdens de Justitiedag van de</w:t>
      </w:r>
      <w:r w:rsidR="00AD375E">
        <w:rPr>
          <w:rStyle w:val="Zwaar"/>
          <w:rFonts w:ascii="Verdana" w:hAnsi="Verdana"/>
          <w:b w:val="0"/>
          <w:bCs w:val="0"/>
          <w:color w:val="000000"/>
          <w:sz w:val="18"/>
          <w:szCs w:val="18"/>
        </w:rPr>
        <w:t>ze</w:t>
      </w:r>
      <w:r>
        <w:rPr>
          <w:rStyle w:val="Zwaar"/>
          <w:rFonts w:ascii="Verdana" w:hAnsi="Verdana"/>
          <w:b w:val="0"/>
          <w:bCs w:val="0"/>
          <w:color w:val="000000"/>
          <w:sz w:val="18"/>
          <w:szCs w:val="18"/>
        </w:rPr>
        <w:t xml:space="preserve"> informele JBZ-Raad stond de strijd tegen georganiseerde criminaliteit op de agenda. </w:t>
      </w:r>
      <w:r w:rsidRPr="00CB5E9E" w:rsidR="00CB5E9E">
        <w:rPr>
          <w:rStyle w:val="Zwaar"/>
          <w:rFonts w:ascii="Verdana" w:hAnsi="Verdana"/>
          <w:b w:val="0"/>
          <w:bCs w:val="0"/>
          <w:color w:val="000000"/>
          <w:sz w:val="18"/>
          <w:szCs w:val="18"/>
        </w:rPr>
        <w:t>Het Belgische voorzitterschap</w:t>
      </w:r>
      <w:r w:rsidR="00CB5E9E">
        <w:rPr>
          <w:rFonts w:ascii="Verdana" w:hAnsi="Verdana"/>
          <w:color w:val="000000"/>
          <w:sz w:val="18"/>
          <w:szCs w:val="18"/>
        </w:rPr>
        <w:t xml:space="preserve"> schetste de omvang van het drugssmokkelprobleem en </w:t>
      </w:r>
      <w:r>
        <w:rPr>
          <w:rFonts w:ascii="Verdana" w:hAnsi="Verdana"/>
          <w:color w:val="000000"/>
          <w:sz w:val="18"/>
          <w:szCs w:val="18"/>
        </w:rPr>
        <w:t>opende de discussie door te pleiten</w:t>
      </w:r>
      <w:r w:rsidR="002F53E7">
        <w:rPr>
          <w:rFonts w:ascii="Verdana" w:hAnsi="Verdana"/>
          <w:color w:val="000000"/>
          <w:sz w:val="18"/>
          <w:szCs w:val="18"/>
        </w:rPr>
        <w:t xml:space="preserve"> voor een Europees n</w:t>
      </w:r>
      <w:r w:rsidR="00CB5E9E">
        <w:rPr>
          <w:rFonts w:ascii="Verdana" w:hAnsi="Verdana"/>
          <w:color w:val="000000"/>
          <w:sz w:val="18"/>
          <w:szCs w:val="18"/>
        </w:rPr>
        <w:t xml:space="preserve">etwerk van gespecialiseerde aanklagers en rechters </w:t>
      </w:r>
      <w:r w:rsidR="002F53E7">
        <w:rPr>
          <w:rFonts w:ascii="Verdana" w:hAnsi="Verdana"/>
          <w:color w:val="000000"/>
          <w:sz w:val="18"/>
          <w:szCs w:val="18"/>
        </w:rPr>
        <w:t>om</w:t>
      </w:r>
      <w:r w:rsidR="00CB5E9E">
        <w:rPr>
          <w:rFonts w:ascii="Verdana" w:hAnsi="Verdana"/>
          <w:color w:val="000000"/>
          <w:sz w:val="18"/>
          <w:szCs w:val="18"/>
        </w:rPr>
        <w:t xml:space="preserve"> </w:t>
      </w:r>
      <w:r w:rsidR="002F53E7">
        <w:rPr>
          <w:rFonts w:ascii="Verdana" w:hAnsi="Verdana"/>
          <w:color w:val="000000"/>
          <w:sz w:val="18"/>
          <w:szCs w:val="18"/>
        </w:rPr>
        <w:t xml:space="preserve">de </w:t>
      </w:r>
      <w:r w:rsidR="00CB5E9E">
        <w:rPr>
          <w:rFonts w:ascii="Verdana" w:hAnsi="Verdana"/>
          <w:color w:val="000000"/>
          <w:sz w:val="18"/>
          <w:szCs w:val="18"/>
        </w:rPr>
        <w:t xml:space="preserve">samenwerking </w:t>
      </w:r>
      <w:r w:rsidR="002F53E7">
        <w:rPr>
          <w:rFonts w:ascii="Verdana" w:hAnsi="Verdana"/>
          <w:color w:val="000000"/>
          <w:sz w:val="18"/>
          <w:szCs w:val="18"/>
        </w:rPr>
        <w:t xml:space="preserve">te verbeteren </w:t>
      </w:r>
      <w:r w:rsidR="00CB5E9E">
        <w:rPr>
          <w:rFonts w:ascii="Verdana" w:hAnsi="Verdana"/>
          <w:color w:val="000000"/>
          <w:sz w:val="18"/>
          <w:szCs w:val="18"/>
        </w:rPr>
        <w:t xml:space="preserve">met derde landen die in feite een veilige haven zijn voor drugscriminelen. </w:t>
      </w:r>
    </w:p>
    <w:p w:rsidR="00A53DA3" w:rsidP="00BD278D" w:rsidRDefault="002F53E7" w14:paraId="59BDA31A" w14:textId="760D0140">
      <w:pPr>
        <w:jc w:val="both"/>
        <w:rPr>
          <w:rFonts w:eastAsia="Times New Roman" w:cs="Arial"/>
          <w:color w:val="000000"/>
          <w:szCs w:val="18"/>
          <w:lang w:eastAsia="nl-NL"/>
        </w:rPr>
      </w:pPr>
      <w:r>
        <w:rPr>
          <w:rFonts w:eastAsia="Times New Roman"/>
          <w:color w:val="000000"/>
          <w:szCs w:val="18"/>
        </w:rPr>
        <w:t xml:space="preserve">Er was brede steun onder de lidstaten voor de oprichting van een gericht netwerk van gespecialiseerde officieren van justitie op het gebied van georganiseerde misdaad. Enkele lidstaten waaronder Nederland spraken hierbij de voorkeur uit om bestaande </w:t>
      </w:r>
      <w:r w:rsidR="004D466F">
        <w:rPr>
          <w:rFonts w:eastAsia="Times New Roman"/>
          <w:color w:val="000000"/>
          <w:szCs w:val="18"/>
        </w:rPr>
        <w:t>magistraten</w:t>
      </w:r>
      <w:r>
        <w:rPr>
          <w:rFonts w:eastAsia="Times New Roman"/>
          <w:color w:val="000000"/>
          <w:szCs w:val="18"/>
        </w:rPr>
        <w:t>netwerk</w:t>
      </w:r>
      <w:r w:rsidR="007D37EB">
        <w:rPr>
          <w:rFonts w:eastAsia="Times New Roman"/>
          <w:color w:val="000000"/>
          <w:szCs w:val="18"/>
        </w:rPr>
        <w:t>en</w:t>
      </w:r>
      <w:r>
        <w:rPr>
          <w:rFonts w:eastAsia="Times New Roman"/>
          <w:color w:val="000000"/>
          <w:szCs w:val="18"/>
        </w:rPr>
        <w:t xml:space="preserve"> te gebruiken. </w:t>
      </w:r>
      <w:r w:rsidR="00AD375E">
        <w:rPr>
          <w:rFonts w:eastAsia="Times New Roman"/>
          <w:color w:val="000000"/>
          <w:szCs w:val="18"/>
        </w:rPr>
        <w:t>Ook werd d</w:t>
      </w:r>
      <w:r w:rsidR="007D37EB">
        <w:rPr>
          <w:rFonts w:eastAsia="Times New Roman"/>
          <w:color w:val="000000"/>
          <w:szCs w:val="18"/>
        </w:rPr>
        <w:t xml:space="preserve">e </w:t>
      </w:r>
      <w:r w:rsidR="00AD375E">
        <w:rPr>
          <w:rFonts w:eastAsia="Times New Roman"/>
          <w:color w:val="000000"/>
          <w:szCs w:val="18"/>
        </w:rPr>
        <w:t xml:space="preserve">wens </w:t>
      </w:r>
      <w:r w:rsidR="007D37EB">
        <w:rPr>
          <w:rFonts w:eastAsia="Times New Roman"/>
          <w:color w:val="000000"/>
          <w:szCs w:val="18"/>
        </w:rPr>
        <w:t>uitgesproken dat dit</w:t>
      </w:r>
      <w:r>
        <w:rPr>
          <w:rFonts w:eastAsia="Times New Roman"/>
          <w:color w:val="000000"/>
          <w:szCs w:val="18"/>
        </w:rPr>
        <w:t xml:space="preserve"> netwerk </w:t>
      </w:r>
      <w:r w:rsidR="007D37EB">
        <w:rPr>
          <w:rFonts w:eastAsia="Times New Roman"/>
          <w:color w:val="000000"/>
          <w:szCs w:val="18"/>
        </w:rPr>
        <w:t>zich</w:t>
      </w:r>
      <w:r>
        <w:rPr>
          <w:rFonts w:eastAsia="Times New Roman"/>
          <w:color w:val="000000"/>
          <w:szCs w:val="18"/>
        </w:rPr>
        <w:t xml:space="preserve"> moeten richten op een specifieke opdracht zoals drugs in havens</w:t>
      </w:r>
      <w:r w:rsidR="00BD278D">
        <w:rPr>
          <w:rFonts w:eastAsia="Times New Roman"/>
          <w:color w:val="000000"/>
          <w:szCs w:val="18"/>
        </w:rPr>
        <w:t xml:space="preserve">. </w:t>
      </w:r>
      <w:r w:rsidR="00AD375E">
        <w:rPr>
          <w:rFonts w:eastAsia="Times New Roman"/>
          <w:color w:val="000000"/>
          <w:szCs w:val="18"/>
        </w:rPr>
        <w:t>De</w:t>
      </w:r>
      <w:r w:rsidR="007D37EB">
        <w:rPr>
          <w:rFonts w:eastAsia="Times New Roman"/>
          <w:color w:val="000000"/>
          <w:szCs w:val="18"/>
        </w:rPr>
        <w:t xml:space="preserve"> Commissie en een aantal lidstaten </w:t>
      </w:r>
      <w:r w:rsidR="00AD375E">
        <w:rPr>
          <w:rFonts w:eastAsia="Times New Roman"/>
          <w:color w:val="000000"/>
          <w:szCs w:val="18"/>
        </w:rPr>
        <w:t>bepleitte</w:t>
      </w:r>
      <w:r w:rsidR="001B10F6">
        <w:rPr>
          <w:rFonts w:eastAsia="Times New Roman"/>
          <w:color w:val="000000"/>
          <w:szCs w:val="18"/>
        </w:rPr>
        <w:t>n</w:t>
      </w:r>
      <w:r w:rsidR="007D37EB">
        <w:rPr>
          <w:rFonts w:eastAsia="Times New Roman"/>
          <w:color w:val="000000"/>
          <w:szCs w:val="18"/>
        </w:rPr>
        <w:t xml:space="preserve"> dat</w:t>
      </w:r>
      <w:r w:rsidR="00BD278D">
        <w:rPr>
          <w:rFonts w:eastAsia="Times New Roman"/>
          <w:color w:val="000000"/>
          <w:szCs w:val="18"/>
        </w:rPr>
        <w:t xml:space="preserve"> Eurojust en het Europees Openbaar Ministerie (EOM) </w:t>
      </w:r>
      <w:r w:rsidR="007D37EB">
        <w:rPr>
          <w:rFonts w:eastAsia="Times New Roman"/>
          <w:color w:val="000000"/>
          <w:szCs w:val="18"/>
        </w:rPr>
        <w:t xml:space="preserve">een rol </w:t>
      </w:r>
      <w:r w:rsidR="004D466F">
        <w:rPr>
          <w:rFonts w:eastAsia="Times New Roman"/>
          <w:color w:val="000000"/>
          <w:szCs w:val="18"/>
        </w:rPr>
        <w:t>moeten</w:t>
      </w:r>
      <w:r w:rsidR="007D37EB">
        <w:rPr>
          <w:rFonts w:eastAsia="Times New Roman"/>
          <w:color w:val="000000"/>
          <w:szCs w:val="18"/>
        </w:rPr>
        <w:t xml:space="preserve"> hebben in dit netwerk</w:t>
      </w:r>
      <w:r w:rsidR="00BD278D">
        <w:rPr>
          <w:rFonts w:eastAsia="Times New Roman"/>
          <w:color w:val="000000"/>
          <w:szCs w:val="18"/>
        </w:rPr>
        <w:t xml:space="preserve">. </w:t>
      </w:r>
      <w:r>
        <w:rPr>
          <w:rFonts w:eastAsia="Times New Roman"/>
          <w:color w:val="000000"/>
          <w:szCs w:val="18"/>
        </w:rPr>
        <w:t xml:space="preserve">De Commissie gaf aan </w:t>
      </w:r>
      <w:r w:rsidR="00AD375E">
        <w:rPr>
          <w:rFonts w:eastAsia="Times New Roman"/>
          <w:color w:val="000000"/>
          <w:szCs w:val="18"/>
        </w:rPr>
        <w:t xml:space="preserve">samen </w:t>
      </w:r>
      <w:r>
        <w:rPr>
          <w:rFonts w:eastAsia="Times New Roman"/>
          <w:color w:val="000000"/>
          <w:szCs w:val="18"/>
        </w:rPr>
        <w:t xml:space="preserve">met de lidstaten aan de </w:t>
      </w:r>
      <w:r w:rsidR="00AD375E">
        <w:rPr>
          <w:rFonts w:eastAsia="Times New Roman"/>
          <w:color w:val="000000"/>
          <w:szCs w:val="18"/>
        </w:rPr>
        <w:t xml:space="preserve">verdere </w:t>
      </w:r>
      <w:r>
        <w:rPr>
          <w:rFonts w:eastAsia="Times New Roman"/>
          <w:color w:val="000000"/>
          <w:szCs w:val="18"/>
        </w:rPr>
        <w:t xml:space="preserve">uitwerking en omschrijving van </w:t>
      </w:r>
      <w:r w:rsidR="007D37EB">
        <w:rPr>
          <w:rFonts w:eastAsia="Times New Roman"/>
          <w:color w:val="000000"/>
          <w:szCs w:val="18"/>
        </w:rPr>
        <w:t>dit gespecialiseerde magistraten</w:t>
      </w:r>
      <w:r>
        <w:rPr>
          <w:rFonts w:eastAsia="Times New Roman"/>
          <w:color w:val="000000"/>
          <w:szCs w:val="18"/>
        </w:rPr>
        <w:t>netwerk</w:t>
      </w:r>
      <w:r w:rsidR="007D37EB">
        <w:rPr>
          <w:rFonts w:eastAsia="Times New Roman"/>
          <w:color w:val="000000"/>
          <w:szCs w:val="18"/>
        </w:rPr>
        <w:t xml:space="preserve"> en</w:t>
      </w:r>
      <w:r>
        <w:rPr>
          <w:rFonts w:eastAsia="Times New Roman"/>
          <w:color w:val="000000"/>
          <w:szCs w:val="18"/>
        </w:rPr>
        <w:t xml:space="preserve"> de rol</w:t>
      </w:r>
      <w:r w:rsidR="00AD375E">
        <w:rPr>
          <w:rFonts w:eastAsia="Times New Roman"/>
          <w:color w:val="000000"/>
          <w:szCs w:val="18"/>
        </w:rPr>
        <w:t>len</w:t>
      </w:r>
      <w:r>
        <w:rPr>
          <w:rFonts w:eastAsia="Times New Roman"/>
          <w:color w:val="000000"/>
          <w:szCs w:val="18"/>
        </w:rPr>
        <w:t xml:space="preserve"> hierin voor Eurojust </w:t>
      </w:r>
      <w:r w:rsidR="007D37EB">
        <w:rPr>
          <w:rFonts w:eastAsia="Times New Roman"/>
          <w:color w:val="000000"/>
          <w:szCs w:val="18"/>
        </w:rPr>
        <w:t>en het EOM</w:t>
      </w:r>
      <w:r>
        <w:rPr>
          <w:rFonts w:eastAsia="Times New Roman"/>
          <w:color w:val="000000"/>
          <w:szCs w:val="18"/>
        </w:rPr>
        <w:t xml:space="preserve"> te zullen werken. </w:t>
      </w:r>
      <w:r w:rsidR="002D4FD9">
        <w:rPr>
          <w:rFonts w:eastAsia="Times New Roman" w:cs="Arial"/>
          <w:color w:val="000000"/>
          <w:szCs w:val="18"/>
          <w:lang w:eastAsia="nl-NL"/>
        </w:rPr>
        <w:t xml:space="preserve">Tot slot hebben </w:t>
      </w:r>
      <w:r w:rsidR="00A53DA3">
        <w:rPr>
          <w:rFonts w:eastAsia="Times New Roman" w:cs="Arial"/>
          <w:color w:val="000000"/>
          <w:szCs w:val="18"/>
          <w:lang w:eastAsia="nl-NL"/>
        </w:rPr>
        <w:t xml:space="preserve">Zweden en Polen </w:t>
      </w:r>
      <w:r w:rsidR="002D4FD9">
        <w:rPr>
          <w:rFonts w:eastAsia="Times New Roman" w:cs="Arial"/>
          <w:color w:val="000000"/>
          <w:szCs w:val="18"/>
          <w:lang w:eastAsia="nl-NL"/>
        </w:rPr>
        <w:t xml:space="preserve">medegedeeld dat zij </w:t>
      </w:r>
      <w:r w:rsidR="00EB6135">
        <w:rPr>
          <w:rFonts w:eastAsia="Times New Roman" w:cs="Arial"/>
          <w:color w:val="000000"/>
          <w:szCs w:val="18"/>
          <w:lang w:eastAsia="nl-NL"/>
        </w:rPr>
        <w:t>zullen</w:t>
      </w:r>
      <w:r w:rsidR="00A53DA3">
        <w:rPr>
          <w:rFonts w:eastAsia="Times New Roman" w:cs="Arial"/>
          <w:color w:val="000000"/>
          <w:szCs w:val="18"/>
          <w:lang w:eastAsia="nl-NL"/>
        </w:rPr>
        <w:t xml:space="preserve"> toetreden tot het </w:t>
      </w:r>
      <w:r w:rsidR="002D4FD9">
        <w:rPr>
          <w:rFonts w:eastAsia="Times New Roman" w:cs="Arial"/>
          <w:color w:val="000000"/>
          <w:szCs w:val="18"/>
          <w:lang w:eastAsia="nl-NL"/>
        </w:rPr>
        <w:t>EOM.</w:t>
      </w:r>
    </w:p>
    <w:p w:rsidR="007D37EB" w:rsidP="00BD278D" w:rsidRDefault="007D37EB" w14:paraId="686CD729" w14:textId="4B14030A">
      <w:pPr>
        <w:jc w:val="both"/>
        <w:rPr>
          <w:rFonts w:eastAsia="Times New Roman" w:cs="Arial"/>
          <w:color w:val="000000"/>
          <w:szCs w:val="18"/>
          <w:lang w:eastAsia="nl-NL"/>
        </w:rPr>
      </w:pPr>
      <w:r>
        <w:rPr>
          <w:rFonts w:eastAsia="Times New Roman"/>
          <w:color w:val="000000"/>
          <w:szCs w:val="18"/>
        </w:rPr>
        <w:t xml:space="preserve">Over </w:t>
      </w:r>
      <w:r w:rsidR="00AD375E">
        <w:rPr>
          <w:rFonts w:eastAsia="Times New Roman"/>
          <w:color w:val="000000"/>
          <w:szCs w:val="18"/>
        </w:rPr>
        <w:t xml:space="preserve">de </w:t>
      </w:r>
      <w:r>
        <w:rPr>
          <w:rFonts w:eastAsia="Times New Roman"/>
          <w:color w:val="000000"/>
          <w:szCs w:val="18"/>
        </w:rPr>
        <w:t>samenwerking met derde landen gaven met name</w:t>
      </w:r>
      <w:r w:rsidR="00531856">
        <w:rPr>
          <w:rFonts w:eastAsia="Times New Roman"/>
          <w:color w:val="000000"/>
          <w:szCs w:val="18"/>
        </w:rPr>
        <w:t xml:space="preserve"> de</w:t>
      </w:r>
      <w:r>
        <w:rPr>
          <w:rFonts w:eastAsia="Times New Roman"/>
          <w:color w:val="000000"/>
          <w:szCs w:val="18"/>
        </w:rPr>
        <w:t xml:space="preserve"> lidstaten met beperkte rechtshulpcapaciteit aan voorstander te zijn van meer Europese initiatieven op </w:t>
      </w:r>
      <w:r w:rsidR="00AD375E">
        <w:rPr>
          <w:rFonts w:eastAsia="Times New Roman"/>
          <w:color w:val="000000"/>
          <w:szCs w:val="18"/>
        </w:rPr>
        <w:t>dit</w:t>
      </w:r>
      <w:r>
        <w:rPr>
          <w:rFonts w:eastAsia="Times New Roman"/>
          <w:color w:val="000000"/>
          <w:szCs w:val="18"/>
        </w:rPr>
        <w:t xml:space="preserve"> gebied. De Raad concl</w:t>
      </w:r>
      <w:r w:rsidR="002B10D4">
        <w:rPr>
          <w:rFonts w:eastAsia="Times New Roman"/>
          <w:color w:val="000000"/>
          <w:szCs w:val="18"/>
        </w:rPr>
        <w:t xml:space="preserve">udeerde dat dit </w:t>
      </w:r>
      <w:r>
        <w:rPr>
          <w:rFonts w:eastAsia="Times New Roman"/>
          <w:color w:val="000000"/>
          <w:szCs w:val="18"/>
        </w:rPr>
        <w:t xml:space="preserve">niet ten koste </w:t>
      </w:r>
      <w:r w:rsidR="002B10D4">
        <w:rPr>
          <w:rFonts w:eastAsia="Times New Roman"/>
          <w:color w:val="000000"/>
          <w:szCs w:val="18"/>
        </w:rPr>
        <w:t xml:space="preserve">moet </w:t>
      </w:r>
      <w:r>
        <w:rPr>
          <w:rFonts w:eastAsia="Times New Roman"/>
          <w:color w:val="000000"/>
          <w:szCs w:val="18"/>
        </w:rPr>
        <w:t>gaan van de bilaterale relatie van lidstaten</w:t>
      </w:r>
      <w:r w:rsidR="00AD375E">
        <w:rPr>
          <w:rFonts w:eastAsia="Times New Roman"/>
          <w:color w:val="000000"/>
          <w:szCs w:val="18"/>
        </w:rPr>
        <w:t xml:space="preserve"> met derde landen</w:t>
      </w:r>
      <w:r w:rsidR="002B10D4">
        <w:rPr>
          <w:rFonts w:eastAsia="Times New Roman"/>
          <w:color w:val="000000"/>
          <w:szCs w:val="18"/>
        </w:rPr>
        <w:t>.</w:t>
      </w:r>
    </w:p>
    <w:p w:rsidRPr="006C7EDB" w:rsidR="00000496" w:rsidP="00000496" w:rsidRDefault="00497DC6" w14:paraId="4D531C8C" w14:textId="1AC426E0">
      <w:pPr>
        <w:pStyle w:val="Default"/>
        <w:rPr>
          <w:b/>
          <w:bCs/>
          <w:sz w:val="18"/>
          <w:szCs w:val="18"/>
        </w:rPr>
      </w:pPr>
      <w:r>
        <w:rPr>
          <w:b/>
          <w:bCs/>
          <w:sz w:val="18"/>
          <w:szCs w:val="18"/>
        </w:rPr>
        <w:t>5</w:t>
      </w:r>
      <w:r w:rsidRPr="006C7EDB" w:rsidR="00000496">
        <w:rPr>
          <w:b/>
          <w:bCs/>
          <w:sz w:val="18"/>
          <w:szCs w:val="18"/>
        </w:rPr>
        <w:t>. (De)criminalisering van sekswerk</w:t>
      </w:r>
    </w:p>
    <w:p w:rsidR="00531856" w:rsidP="00531856" w:rsidRDefault="00531856" w14:paraId="4EB39413" w14:textId="77777777">
      <w:pPr>
        <w:pStyle w:val="Default"/>
        <w:jc w:val="both"/>
        <w:rPr>
          <w:sz w:val="18"/>
          <w:szCs w:val="18"/>
        </w:rPr>
      </w:pPr>
    </w:p>
    <w:p w:rsidRPr="006C7EDB" w:rsidR="00000496" w:rsidP="00000496" w:rsidRDefault="00094207" w14:paraId="21C6E018" w14:textId="10CB2CD2">
      <w:pPr>
        <w:rPr>
          <w:rFonts w:ascii="Arial" w:hAnsi="Arial" w:eastAsia="Times New Roman" w:cs="Arial"/>
          <w:color w:val="000000"/>
          <w:sz w:val="22"/>
          <w:lang w:eastAsia="nl-NL"/>
        </w:rPr>
      </w:pPr>
      <w:r>
        <w:rPr>
          <w:szCs w:val="18"/>
        </w:rPr>
        <w:t>Tijdens de werklunch werd gesproken over de verschillende beleidskeuzes met betrekking tot sekswerk en welke aanpak sekswerkers het beste beschermt. Daarbij werd verwezen naar VN-rapportages waaruit blijkt dat het criminaliseren van sekswerk tot onveiligere situaties voor betrokkenen leidt. Uit de inbreng bleek dat de o</w:t>
      </w:r>
      <w:r w:rsidRPr="006C7EDB">
        <w:rPr>
          <w:szCs w:val="18"/>
        </w:rPr>
        <w:t xml:space="preserve">nderlinge verschillen tussen de benaderingen van </w:t>
      </w:r>
      <w:r>
        <w:rPr>
          <w:szCs w:val="18"/>
        </w:rPr>
        <w:t>lidstaten om sekswerk te</w:t>
      </w:r>
      <w:r w:rsidRPr="006C7EDB">
        <w:rPr>
          <w:szCs w:val="18"/>
        </w:rPr>
        <w:t xml:space="preserve"> criminaliser</w:t>
      </w:r>
      <w:r>
        <w:rPr>
          <w:szCs w:val="18"/>
        </w:rPr>
        <w:t>en</w:t>
      </w:r>
      <w:r w:rsidRPr="006C7EDB">
        <w:rPr>
          <w:szCs w:val="18"/>
        </w:rPr>
        <w:t xml:space="preserve"> of juist </w:t>
      </w:r>
      <w:r>
        <w:rPr>
          <w:szCs w:val="18"/>
        </w:rPr>
        <w:t xml:space="preserve">te </w:t>
      </w:r>
      <w:r w:rsidRPr="006C7EDB">
        <w:rPr>
          <w:szCs w:val="18"/>
        </w:rPr>
        <w:t>decriminaliser</w:t>
      </w:r>
      <w:r>
        <w:rPr>
          <w:szCs w:val="18"/>
        </w:rPr>
        <w:t>en</w:t>
      </w:r>
      <w:r w:rsidRPr="006C7EDB">
        <w:rPr>
          <w:szCs w:val="18"/>
        </w:rPr>
        <w:t xml:space="preserve"> groot</w:t>
      </w:r>
      <w:r>
        <w:rPr>
          <w:szCs w:val="18"/>
        </w:rPr>
        <w:t xml:space="preserve"> zijn</w:t>
      </w:r>
      <w:r w:rsidRPr="006C7EDB">
        <w:rPr>
          <w:szCs w:val="18"/>
        </w:rPr>
        <w:t xml:space="preserve">. </w:t>
      </w:r>
    </w:p>
    <w:p w:rsidR="00D446BA" w:rsidP="00D446BA" w:rsidRDefault="00497DC6" w14:paraId="503FA067" w14:textId="08B954A3">
      <w:pPr>
        <w:rPr>
          <w:b/>
          <w:bCs/>
        </w:rPr>
      </w:pPr>
      <w:r>
        <w:rPr>
          <w:b/>
          <w:bCs/>
        </w:rPr>
        <w:t>6</w:t>
      </w:r>
      <w:r w:rsidR="00CB5E9E">
        <w:rPr>
          <w:b/>
          <w:bCs/>
        </w:rPr>
        <w:t xml:space="preserve">. </w:t>
      </w:r>
      <w:r w:rsidRPr="00D64D5D" w:rsidR="00D446BA">
        <w:rPr>
          <w:b/>
          <w:bCs/>
        </w:rPr>
        <w:t>Kleinschalige gevangenissen</w:t>
      </w:r>
    </w:p>
    <w:p w:rsidR="00D446BA" w:rsidP="00D446BA" w:rsidRDefault="00D446BA" w14:paraId="33F968E2" w14:textId="15CAD78F">
      <w:r>
        <w:t xml:space="preserve">Het </w:t>
      </w:r>
      <w:r w:rsidR="00AD375E">
        <w:t>Voorzitterschap</w:t>
      </w:r>
      <w:r>
        <w:t xml:space="preserve"> leidde de discussie in door het nieuwe regime ten aanzien van gevangenisstraffen in België toe te lichten. Deze is gebaseerd op drie principes, te weten a</w:t>
      </w:r>
      <w:r w:rsidRPr="001F1715">
        <w:t>lle straffen moeten worden uitgevoerd</w:t>
      </w:r>
      <w:r w:rsidR="008107D6">
        <w:t>,</w:t>
      </w:r>
      <w:r>
        <w:t xml:space="preserve"> g</w:t>
      </w:r>
      <w:r w:rsidRPr="001F1715">
        <w:t>evangenisstraffen zijn laatste redmiddel</w:t>
      </w:r>
      <w:r w:rsidR="008107D6">
        <w:t xml:space="preserve"> en</w:t>
      </w:r>
      <w:r>
        <w:t xml:space="preserve"> ten slotte e</w:t>
      </w:r>
      <w:r w:rsidRPr="001F1715">
        <w:t>en gevangenisstraf moet ook nuttig zijn. Kleinschalige gevangenissen kunnen daarbij een beter perspectief bieden bij de re-integratie.</w:t>
      </w:r>
    </w:p>
    <w:p w:rsidR="00D446BA" w:rsidP="00D446BA" w:rsidRDefault="00D446BA" w14:paraId="723BDA3D" w14:textId="73E8C1C9">
      <w:r>
        <w:t xml:space="preserve">De Commissie verwees naar de </w:t>
      </w:r>
      <w:r w:rsidR="008A1A80">
        <w:t>Aanbeveling</w:t>
      </w:r>
      <w:r>
        <w:t xml:space="preserve"> van december 2022 </w:t>
      </w:r>
      <w:r w:rsidRPr="008107D6" w:rsidR="008107D6">
        <w:t>betreffende procedurele rechten van verdachten en beklaagden die in voorlopige hechtenis zitten en betreffende detentieomstandigheden</w:t>
      </w:r>
      <w:r>
        <w:t>.</w:t>
      </w:r>
      <w:r w:rsidR="008107D6">
        <w:rPr>
          <w:rStyle w:val="Voetnootmarkering"/>
        </w:rPr>
        <w:footnoteReference w:id="2"/>
      </w:r>
      <w:r>
        <w:t xml:space="preserve"> De verschillen tussen lidstaten zijn zowel qua procedure als omstandigheden groot. De Commissie was positief over het nastreven van kleinschalige instellingen en moedigde de uitwisseling van best practices in dit kader aan. Tevens kondigde de Commissie aan een vragenlijst later dit jaar te verspreiden over de voortgang </w:t>
      </w:r>
      <w:r w:rsidR="008A1A80">
        <w:t>om op nationaal niveau</w:t>
      </w:r>
      <w:r w:rsidRPr="00F2747C" w:rsidR="008A1A80">
        <w:t xml:space="preserve"> de praktijk in overeenstemming te brengen met de aanbevelin</w:t>
      </w:r>
      <w:r w:rsidR="008A1A80">
        <w:t xml:space="preserve">g. </w:t>
      </w:r>
      <w:r>
        <w:t>Eind 2024 wordt daarover een rapport verwacht.</w:t>
      </w:r>
    </w:p>
    <w:p w:rsidR="00D446BA" w:rsidP="00D446BA" w:rsidRDefault="00D446BA" w14:paraId="4068ADBD" w14:textId="77777777">
      <w:r>
        <w:t>Het Europees Parlement gaf aan dat ondanks dat deze thematiek een nationale bevoegdheid is, zij zich hierover uitspreken op basis van het Handvest voor de Grondrechten. Het Europees Parlement is voorstander van minimumnormen met het oog op wederzijds vertrouwen en wederzijdse erkenning.</w:t>
      </w:r>
    </w:p>
    <w:p w:rsidR="00D446BA" w:rsidP="00D446BA" w:rsidRDefault="00D446BA" w14:paraId="030A0B3A" w14:textId="22446CB2">
      <w:r>
        <w:t xml:space="preserve">Vrijwel alle lidstaten gaven een inkijk in de nationale situatie, veelal in relatie tot de uitvoering van de </w:t>
      </w:r>
      <w:r w:rsidR="008A1A80">
        <w:t>aanbeveling</w:t>
      </w:r>
      <w:r>
        <w:t xml:space="preserve">. Veel lidstaten steunden het uitwisselen van </w:t>
      </w:r>
      <w:r w:rsidRPr="008A1A80">
        <w:rPr>
          <w:i/>
          <w:iCs/>
        </w:rPr>
        <w:t xml:space="preserve">best practices. </w:t>
      </w:r>
      <w:r>
        <w:t xml:space="preserve">Ook pleitten veel lidstaten voor Europese initiatieven </w:t>
      </w:r>
      <w:r w:rsidRPr="001F1715">
        <w:t>tot een gemeenschappelijke aanpak, mogelijk met Europese middelen</w:t>
      </w:r>
      <w:r>
        <w:t xml:space="preserve">. </w:t>
      </w:r>
      <w:r w:rsidRPr="008D2823">
        <w:t xml:space="preserve">Enige harmonisatie tussen de systemen van de </w:t>
      </w:r>
      <w:r>
        <w:t>lidstaten kan bijdragen</w:t>
      </w:r>
      <w:r w:rsidRPr="008D2823">
        <w:t xml:space="preserve"> aan </w:t>
      </w:r>
      <w:r>
        <w:t xml:space="preserve">wederzijds </w:t>
      </w:r>
      <w:r w:rsidRPr="008D2823">
        <w:t xml:space="preserve">vertrouwen en aan </w:t>
      </w:r>
      <w:r>
        <w:t>grensoverschrijdende samenwerking</w:t>
      </w:r>
      <w:r w:rsidRPr="008D2823">
        <w:t>. </w:t>
      </w:r>
      <w:r>
        <w:t xml:space="preserve">Verder waren er lidstaten die voorstander waren van </w:t>
      </w:r>
      <w:r w:rsidR="008A1A80">
        <w:t xml:space="preserve">creëren van </w:t>
      </w:r>
      <w:r>
        <w:t xml:space="preserve">normen voor kleinschalige gevangenissen. </w:t>
      </w:r>
    </w:p>
    <w:p w:rsidR="007B791B" w:rsidP="004D466F" w:rsidRDefault="00D446BA" w14:paraId="024CDB69" w14:textId="4D7B125D">
      <w:pPr>
        <w:pStyle w:val="Lijstalinea"/>
        <w:ind w:left="0"/>
        <w:rPr>
          <w:rFonts w:ascii="Arial" w:hAnsi="Arial" w:eastAsia="Times New Roman" w:cs="Arial"/>
          <w:color w:val="000000"/>
          <w:sz w:val="22"/>
          <w:lang w:eastAsia="nl-NL"/>
        </w:rPr>
      </w:pPr>
      <w:r>
        <w:t xml:space="preserve">De Commissie en het </w:t>
      </w:r>
      <w:r w:rsidR="00AD375E">
        <w:t>V</w:t>
      </w:r>
      <w:r>
        <w:t xml:space="preserve">oorzitterschap concludeerden </w:t>
      </w:r>
      <w:r w:rsidR="008A1A80">
        <w:t xml:space="preserve">dat er </w:t>
      </w:r>
      <w:r>
        <w:t>veel goede initiatieven en praktijken</w:t>
      </w:r>
      <w:r w:rsidR="008A1A80">
        <w:t xml:space="preserve"> zijn, dat verdere uitwisseling wenselijk is en dat </w:t>
      </w:r>
      <w:r>
        <w:t>dit onderwerp tevens op de formele JBZ-Raad van 4</w:t>
      </w:r>
      <w:r w:rsidR="008A1A80">
        <w:t xml:space="preserve"> en </w:t>
      </w:r>
      <w:r>
        <w:t>5 maart</w:t>
      </w:r>
      <w:r w:rsidR="008A1A80">
        <w:t xml:space="preserve"> 2024</w:t>
      </w:r>
      <w:r>
        <w:t xml:space="preserve"> </w:t>
      </w:r>
      <w:r w:rsidR="008A1A80">
        <w:t>wordt geagendeerd.</w:t>
      </w:r>
    </w:p>
    <w:p w:rsidR="007B791B" w:rsidP="00176550" w:rsidRDefault="007B791B" w14:paraId="1EBA82C6" w14:textId="7437A863">
      <w:pPr>
        <w:rPr>
          <w:rFonts w:ascii="Arial" w:hAnsi="Arial" w:eastAsia="Times New Roman" w:cs="Arial"/>
          <w:color w:val="000000"/>
          <w:sz w:val="22"/>
          <w:lang w:eastAsia="nl-NL"/>
        </w:rPr>
      </w:pPr>
    </w:p>
    <w:p w:rsidR="007B791B" w:rsidP="00176550" w:rsidRDefault="007B791B" w14:paraId="1643E297" w14:textId="762200F3">
      <w:pPr>
        <w:rPr>
          <w:rFonts w:ascii="Arial" w:hAnsi="Arial" w:eastAsia="Times New Roman" w:cs="Arial"/>
          <w:color w:val="000000"/>
          <w:sz w:val="22"/>
          <w:lang w:eastAsia="nl-NL"/>
        </w:rPr>
      </w:pPr>
    </w:p>
    <w:p w:rsidR="001A7239" w:rsidP="00176550" w:rsidRDefault="001A7239" w14:paraId="118B7054" w14:textId="17D0A59B">
      <w:pPr>
        <w:rPr>
          <w:rFonts w:ascii="Arial" w:hAnsi="Arial" w:eastAsia="Times New Roman" w:cs="Arial"/>
          <w:color w:val="000000"/>
          <w:sz w:val="22"/>
          <w:lang w:eastAsia="nl-NL"/>
        </w:rPr>
      </w:pPr>
    </w:p>
    <w:p w:rsidR="001A7239" w:rsidP="00176550" w:rsidRDefault="001A7239" w14:paraId="3A6DDCFD" w14:textId="23C399CC">
      <w:pPr>
        <w:rPr>
          <w:rFonts w:ascii="Arial" w:hAnsi="Arial" w:eastAsia="Times New Roman" w:cs="Arial"/>
          <w:color w:val="000000"/>
          <w:sz w:val="22"/>
          <w:lang w:eastAsia="nl-NL"/>
        </w:rPr>
      </w:pPr>
    </w:p>
    <w:p w:rsidR="001A7239" w:rsidP="00176550" w:rsidRDefault="001A7239" w14:paraId="21EFF051" w14:textId="0CE318AA">
      <w:pPr>
        <w:rPr>
          <w:rFonts w:ascii="Arial" w:hAnsi="Arial" w:eastAsia="Times New Roman" w:cs="Arial"/>
          <w:color w:val="000000"/>
          <w:sz w:val="22"/>
          <w:lang w:eastAsia="nl-NL"/>
        </w:rPr>
      </w:pPr>
    </w:p>
    <w:p w:rsidR="001A7239" w:rsidP="00176550" w:rsidRDefault="001A7239" w14:paraId="7F35DEF0" w14:textId="77777777">
      <w:pPr>
        <w:rPr>
          <w:rFonts w:ascii="Arial" w:hAnsi="Arial" w:eastAsia="Times New Roman" w:cs="Arial"/>
          <w:color w:val="000000"/>
          <w:sz w:val="22"/>
          <w:lang w:eastAsia="nl-NL"/>
        </w:rPr>
      </w:pPr>
    </w:p>
    <w:sectPr w:rsidR="001A7239" w:rsidSect="001E6A24">
      <w:foot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E84DD" w14:textId="77777777" w:rsidR="00BD0FE6" w:rsidRDefault="00BD0FE6" w:rsidP="00BD0FE6">
      <w:pPr>
        <w:spacing w:after="0" w:line="240" w:lineRule="auto"/>
      </w:pPr>
      <w:r>
        <w:separator/>
      </w:r>
    </w:p>
  </w:endnote>
  <w:endnote w:type="continuationSeparator" w:id="0">
    <w:p w14:paraId="37D30FBA" w14:textId="77777777" w:rsidR="00BD0FE6" w:rsidRDefault="00BD0FE6" w:rsidP="00BD0FE6">
      <w:pPr>
        <w:spacing w:after="0" w:line="240" w:lineRule="auto"/>
      </w:pPr>
      <w:r>
        <w:continuationSeparator/>
      </w:r>
    </w:p>
  </w:endnote>
  <w:endnote w:type="continuationNotice" w:id="1">
    <w:p w14:paraId="5C61073A" w14:textId="77777777" w:rsidR="005F0CAC" w:rsidRDefault="005F0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954164"/>
      <w:docPartObj>
        <w:docPartGallery w:val="Page Numbers (Bottom of Page)"/>
        <w:docPartUnique/>
      </w:docPartObj>
    </w:sdtPr>
    <w:sdtEndPr/>
    <w:sdtContent>
      <w:p w14:paraId="292D8DC8" w14:textId="2FAED3ED" w:rsidR="00CB5E9E" w:rsidRDefault="00CB5E9E">
        <w:pPr>
          <w:pStyle w:val="Voettekst"/>
          <w:jc w:val="right"/>
        </w:pPr>
        <w:r>
          <w:fldChar w:fldCharType="begin"/>
        </w:r>
        <w:r>
          <w:instrText>PAGE   \* MERGEFORMAT</w:instrText>
        </w:r>
        <w:r>
          <w:fldChar w:fldCharType="separate"/>
        </w:r>
        <w:r w:rsidR="00CF057C">
          <w:rPr>
            <w:noProof/>
          </w:rPr>
          <w:t>1</w:t>
        </w:r>
        <w:r>
          <w:fldChar w:fldCharType="end"/>
        </w:r>
      </w:p>
    </w:sdtContent>
  </w:sdt>
  <w:p w14:paraId="490F11F6" w14:textId="77777777" w:rsidR="00BD0FE6" w:rsidRDefault="00BD0F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956FF" w14:textId="77777777" w:rsidR="00BD0FE6" w:rsidRDefault="00BD0FE6" w:rsidP="00BD0FE6">
      <w:pPr>
        <w:spacing w:after="0" w:line="240" w:lineRule="auto"/>
      </w:pPr>
      <w:r>
        <w:separator/>
      </w:r>
    </w:p>
  </w:footnote>
  <w:footnote w:type="continuationSeparator" w:id="0">
    <w:p w14:paraId="6158D59C" w14:textId="77777777" w:rsidR="00BD0FE6" w:rsidRDefault="00BD0FE6" w:rsidP="00BD0FE6">
      <w:pPr>
        <w:spacing w:after="0" w:line="240" w:lineRule="auto"/>
      </w:pPr>
      <w:r>
        <w:continuationSeparator/>
      </w:r>
    </w:p>
  </w:footnote>
  <w:footnote w:type="continuationNotice" w:id="1">
    <w:p w14:paraId="4752FD59" w14:textId="77777777" w:rsidR="005F0CAC" w:rsidRDefault="005F0CAC">
      <w:pPr>
        <w:spacing w:after="0" w:line="240" w:lineRule="auto"/>
      </w:pPr>
    </w:p>
  </w:footnote>
  <w:footnote w:id="2">
    <w:p w14:paraId="3791C685" w14:textId="77777777" w:rsidR="008107D6" w:rsidRDefault="008107D6" w:rsidP="008107D6">
      <w:pPr>
        <w:pStyle w:val="Voetnoottekst"/>
      </w:pPr>
      <w:r>
        <w:rPr>
          <w:rStyle w:val="Voetnootmarkering"/>
        </w:rPr>
        <w:footnoteRef/>
      </w:r>
      <w:r w:rsidRPr="00AD375E">
        <w:rPr>
          <w:sz w:val="18"/>
          <w:szCs w:val="18"/>
        </w:rPr>
        <w:t xml:space="preserve"> </w:t>
      </w:r>
      <w:r w:rsidRPr="00AD375E">
        <w:rPr>
          <w:color w:val="000000"/>
          <w:sz w:val="18"/>
          <w:szCs w:val="18"/>
          <w:shd w:val="clear" w:color="auto" w:fill="FFFFFF"/>
        </w:rPr>
        <w:t>COM (2022) 8987 (</w:t>
      </w:r>
      <w:hyperlink r:id="rId1" w:history="1">
        <w:r w:rsidRPr="00AD375E">
          <w:rPr>
            <w:rStyle w:val="Hyperlink"/>
            <w:sz w:val="18"/>
            <w:szCs w:val="18"/>
          </w:rPr>
          <w:t>EUR-Lex - 32023H0681 - EN - EUR-Lex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601F2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7BDB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60D1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4151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47DA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E4CE5D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0FD941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61200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1A0A84"/>
    <w:multiLevelType w:val="hybridMultilevel"/>
    <w:tmpl w:val="2CCC12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B740F0"/>
    <w:multiLevelType w:val="hybridMultilevel"/>
    <w:tmpl w:val="ED26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76269F"/>
    <w:multiLevelType w:val="hybridMultilevel"/>
    <w:tmpl w:val="7FDCB1E2"/>
    <w:lvl w:ilvl="0" w:tplc="22E65C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9C7569"/>
    <w:multiLevelType w:val="hybridMultilevel"/>
    <w:tmpl w:val="24BCB5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38F0522"/>
    <w:multiLevelType w:val="hybridMultilevel"/>
    <w:tmpl w:val="2EF28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6D05D8"/>
    <w:multiLevelType w:val="multilevel"/>
    <w:tmpl w:val="AF723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11E2678"/>
    <w:multiLevelType w:val="hybridMultilevel"/>
    <w:tmpl w:val="58646A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1C3F48"/>
    <w:multiLevelType w:val="hybridMultilevel"/>
    <w:tmpl w:val="370415D8"/>
    <w:lvl w:ilvl="0" w:tplc="7BCCDE68">
      <w:start w:val="1"/>
      <w:numFmt w:val="decimal"/>
      <w:lvlText w:val="%1."/>
      <w:lvlJc w:val="left"/>
      <w:pPr>
        <w:ind w:left="0" w:firstLine="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726A0A"/>
    <w:multiLevelType w:val="hybridMultilevel"/>
    <w:tmpl w:val="92622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BAA7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EB0C51"/>
    <w:multiLevelType w:val="hybridMultilevel"/>
    <w:tmpl w:val="8A92A30E"/>
    <w:lvl w:ilvl="0" w:tplc="B81CA8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E866AF"/>
    <w:multiLevelType w:val="hybridMultilevel"/>
    <w:tmpl w:val="5E7AEF40"/>
    <w:lvl w:ilvl="0" w:tplc="C21AE89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300B4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06B2C02"/>
    <w:multiLevelType w:val="multilevel"/>
    <w:tmpl w:val="25C6A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87148"/>
    <w:multiLevelType w:val="hybridMultilevel"/>
    <w:tmpl w:val="CA62B30E"/>
    <w:lvl w:ilvl="0" w:tplc="7DBE678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9E4B4C"/>
    <w:multiLevelType w:val="hybridMultilevel"/>
    <w:tmpl w:val="65EEC9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E23B3D"/>
    <w:multiLevelType w:val="hybridMultilevel"/>
    <w:tmpl w:val="A82AC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9"/>
  </w:num>
  <w:num w:numId="3">
    <w:abstractNumId w:val="16"/>
  </w:num>
  <w:num w:numId="4">
    <w:abstractNumId w:val="2"/>
  </w:num>
  <w:num w:numId="5">
    <w:abstractNumId w:val="17"/>
  </w:num>
  <w:num w:numId="6">
    <w:abstractNumId w:val="4"/>
  </w:num>
  <w:num w:numId="7">
    <w:abstractNumId w:val="6"/>
  </w:num>
  <w:num w:numId="8">
    <w:abstractNumId w:val="5"/>
  </w:num>
  <w:num w:numId="9">
    <w:abstractNumId w:val="3"/>
  </w:num>
  <w:num w:numId="10">
    <w:abstractNumId w:val="20"/>
  </w:num>
  <w:num w:numId="11">
    <w:abstractNumId w:val="12"/>
  </w:num>
  <w:num w:numId="12">
    <w:abstractNumId w:val="19"/>
  </w:num>
  <w:num w:numId="13">
    <w:abstractNumId w:val="0"/>
  </w:num>
  <w:num w:numId="14">
    <w:abstractNumId w:val="1"/>
  </w:num>
  <w:num w:numId="15">
    <w:abstractNumId w:val="7"/>
  </w:num>
  <w:num w:numId="16">
    <w:abstractNumId w:val="11"/>
  </w:num>
  <w:num w:numId="17">
    <w:abstractNumId w:val="23"/>
  </w:num>
  <w:num w:numId="18">
    <w:abstractNumId w:val="14"/>
  </w:num>
  <w:num w:numId="19">
    <w:abstractNumId w:val="15"/>
  </w:num>
  <w:num w:numId="20">
    <w:abstractNumId w:val="8"/>
  </w:num>
  <w:num w:numId="21">
    <w:abstractNumId w:val="24"/>
  </w:num>
  <w:num w:numId="22">
    <w:abstractNumId w:val="18"/>
  </w:num>
  <w:num w:numId="2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E6"/>
    <w:rsid w:val="00000496"/>
    <w:rsid w:val="00003040"/>
    <w:rsid w:val="000047B6"/>
    <w:rsid w:val="00006EAE"/>
    <w:rsid w:val="00027B7C"/>
    <w:rsid w:val="00041DE9"/>
    <w:rsid w:val="000841F2"/>
    <w:rsid w:val="00094207"/>
    <w:rsid w:val="000D4B2E"/>
    <w:rsid w:val="000F2769"/>
    <w:rsid w:val="000F53BC"/>
    <w:rsid w:val="000F601A"/>
    <w:rsid w:val="00117601"/>
    <w:rsid w:val="00136D07"/>
    <w:rsid w:val="00144D75"/>
    <w:rsid w:val="00151197"/>
    <w:rsid w:val="00156A98"/>
    <w:rsid w:val="00176550"/>
    <w:rsid w:val="0018443F"/>
    <w:rsid w:val="001A7239"/>
    <w:rsid w:val="001B10F6"/>
    <w:rsid w:val="001E6A24"/>
    <w:rsid w:val="002854A9"/>
    <w:rsid w:val="002B10D4"/>
    <w:rsid w:val="002C7D4C"/>
    <w:rsid w:val="002D4FD9"/>
    <w:rsid w:val="002F53E7"/>
    <w:rsid w:val="002F7A36"/>
    <w:rsid w:val="00301467"/>
    <w:rsid w:val="00331A00"/>
    <w:rsid w:val="003449BF"/>
    <w:rsid w:val="00382E44"/>
    <w:rsid w:val="0038528E"/>
    <w:rsid w:val="003865EB"/>
    <w:rsid w:val="003B3A12"/>
    <w:rsid w:val="003B49FA"/>
    <w:rsid w:val="003C6FDA"/>
    <w:rsid w:val="00480452"/>
    <w:rsid w:val="00497DC6"/>
    <w:rsid w:val="004A04AE"/>
    <w:rsid w:val="004C680C"/>
    <w:rsid w:val="004D466F"/>
    <w:rsid w:val="00531856"/>
    <w:rsid w:val="0055552C"/>
    <w:rsid w:val="005A150F"/>
    <w:rsid w:val="005B0D2D"/>
    <w:rsid w:val="005C071F"/>
    <w:rsid w:val="005D3B4D"/>
    <w:rsid w:val="005F0CAC"/>
    <w:rsid w:val="005F3541"/>
    <w:rsid w:val="00607703"/>
    <w:rsid w:val="00624648"/>
    <w:rsid w:val="00627660"/>
    <w:rsid w:val="006C7EDB"/>
    <w:rsid w:val="006D64FF"/>
    <w:rsid w:val="006F0B2D"/>
    <w:rsid w:val="00754026"/>
    <w:rsid w:val="0078474C"/>
    <w:rsid w:val="007B5485"/>
    <w:rsid w:val="007B77EC"/>
    <w:rsid w:val="007B791B"/>
    <w:rsid w:val="007D37EB"/>
    <w:rsid w:val="007F617E"/>
    <w:rsid w:val="008107D6"/>
    <w:rsid w:val="00884EA6"/>
    <w:rsid w:val="00887016"/>
    <w:rsid w:val="008921FA"/>
    <w:rsid w:val="008A1A80"/>
    <w:rsid w:val="008D2A64"/>
    <w:rsid w:val="008F0408"/>
    <w:rsid w:val="008F2040"/>
    <w:rsid w:val="00913BEE"/>
    <w:rsid w:val="009323CB"/>
    <w:rsid w:val="00946943"/>
    <w:rsid w:val="00951CB2"/>
    <w:rsid w:val="00953FE2"/>
    <w:rsid w:val="009812D2"/>
    <w:rsid w:val="009A37C0"/>
    <w:rsid w:val="009B0F03"/>
    <w:rsid w:val="009D14E3"/>
    <w:rsid w:val="009F29E3"/>
    <w:rsid w:val="00A15721"/>
    <w:rsid w:val="00A227CA"/>
    <w:rsid w:val="00A53DA3"/>
    <w:rsid w:val="00AB6127"/>
    <w:rsid w:val="00AC7957"/>
    <w:rsid w:val="00AD0302"/>
    <w:rsid w:val="00AD375E"/>
    <w:rsid w:val="00B06701"/>
    <w:rsid w:val="00B30C7F"/>
    <w:rsid w:val="00B619C3"/>
    <w:rsid w:val="00B700D6"/>
    <w:rsid w:val="00BC4C76"/>
    <w:rsid w:val="00BD0FE6"/>
    <w:rsid w:val="00BD278D"/>
    <w:rsid w:val="00BD41A7"/>
    <w:rsid w:val="00BE30F0"/>
    <w:rsid w:val="00BE57E9"/>
    <w:rsid w:val="00C93028"/>
    <w:rsid w:val="00CB5E9E"/>
    <w:rsid w:val="00CF057C"/>
    <w:rsid w:val="00D06A1A"/>
    <w:rsid w:val="00D11A30"/>
    <w:rsid w:val="00D14BCB"/>
    <w:rsid w:val="00D17994"/>
    <w:rsid w:val="00D33457"/>
    <w:rsid w:val="00D446BA"/>
    <w:rsid w:val="00D44FA3"/>
    <w:rsid w:val="00D51103"/>
    <w:rsid w:val="00D70EE1"/>
    <w:rsid w:val="00D86CD1"/>
    <w:rsid w:val="00DC7315"/>
    <w:rsid w:val="00DD7BD2"/>
    <w:rsid w:val="00DF3DEA"/>
    <w:rsid w:val="00DF5126"/>
    <w:rsid w:val="00E11491"/>
    <w:rsid w:val="00E47D2E"/>
    <w:rsid w:val="00E659BA"/>
    <w:rsid w:val="00E7627C"/>
    <w:rsid w:val="00EA3176"/>
    <w:rsid w:val="00EB6135"/>
    <w:rsid w:val="00EC1E13"/>
    <w:rsid w:val="00EF56E0"/>
    <w:rsid w:val="00F3275F"/>
    <w:rsid w:val="00F42FBB"/>
    <w:rsid w:val="00F54A07"/>
    <w:rsid w:val="00F65385"/>
    <w:rsid w:val="00FB388E"/>
    <w:rsid w:val="00FD2F2B"/>
    <w:rsid w:val="00FD75E3"/>
    <w:rsid w:val="00FE2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BC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D0F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BD0FE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D0FE6"/>
    <w:rPr>
      <w:lang w:val="nl-NL"/>
    </w:rPr>
  </w:style>
  <w:style w:type="paragraph" w:styleId="Voettekst">
    <w:name w:val="footer"/>
    <w:basedOn w:val="Standaard"/>
    <w:link w:val="VoettekstChar"/>
    <w:uiPriority w:val="99"/>
    <w:unhideWhenUsed/>
    <w:rsid w:val="00BD0FE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D0FE6"/>
    <w:rPr>
      <w:lang w:val="nl-NL"/>
    </w:rPr>
  </w:style>
  <w:style w:type="paragraph" w:styleId="Lijstalinea">
    <w:name w:val="List Paragraph"/>
    <w:basedOn w:val="Standaard"/>
    <w:uiPriority w:val="34"/>
    <w:qFormat/>
    <w:rsid w:val="004A04AE"/>
    <w:pPr>
      <w:ind w:left="720"/>
      <w:contextualSpacing/>
    </w:pPr>
  </w:style>
  <w:style w:type="paragraph" w:styleId="Voetnoottekst">
    <w:name w:val="footnote text"/>
    <w:basedOn w:val="Standaard"/>
    <w:link w:val="VoetnoottekstChar"/>
    <w:uiPriority w:val="99"/>
    <w:semiHidden/>
    <w:unhideWhenUsed/>
    <w:rsid w:val="00B30C7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0C7F"/>
    <w:rPr>
      <w:sz w:val="20"/>
      <w:szCs w:val="20"/>
      <w:lang w:val="nl-NL"/>
    </w:rPr>
  </w:style>
  <w:style w:type="character" w:styleId="Voetnootmarkering">
    <w:name w:val="footnote reference"/>
    <w:basedOn w:val="Standaardalinea-lettertype"/>
    <w:uiPriority w:val="99"/>
    <w:semiHidden/>
    <w:unhideWhenUsed/>
    <w:rsid w:val="00B30C7F"/>
    <w:rPr>
      <w:vertAlign w:val="superscript"/>
    </w:rPr>
  </w:style>
  <w:style w:type="paragraph" w:customStyle="1" w:styleId="Default">
    <w:name w:val="Default"/>
    <w:rsid w:val="00D44FA3"/>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F3541"/>
    <w:rPr>
      <w:sz w:val="16"/>
      <w:szCs w:val="16"/>
    </w:rPr>
  </w:style>
  <w:style w:type="paragraph" w:styleId="Tekstopmerking">
    <w:name w:val="annotation text"/>
    <w:basedOn w:val="Standaard"/>
    <w:link w:val="TekstopmerkingChar"/>
    <w:uiPriority w:val="99"/>
    <w:unhideWhenUsed/>
    <w:rsid w:val="005F3541"/>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5F3541"/>
    <w:rPr>
      <w:sz w:val="20"/>
      <w:szCs w:val="20"/>
    </w:rPr>
  </w:style>
  <w:style w:type="paragraph" w:styleId="Revisie">
    <w:name w:val="Revision"/>
    <w:hidden/>
    <w:uiPriority w:val="99"/>
    <w:semiHidden/>
    <w:rsid w:val="005F0CAC"/>
    <w:pPr>
      <w:spacing w:after="0" w:line="240" w:lineRule="auto"/>
    </w:pPr>
    <w:rPr>
      <w:lang w:val="nl-NL"/>
    </w:rPr>
  </w:style>
  <w:style w:type="character" w:styleId="Zwaar">
    <w:name w:val="Strong"/>
    <w:basedOn w:val="Standaardalinea-lettertype"/>
    <w:uiPriority w:val="22"/>
    <w:qFormat/>
    <w:rsid w:val="00CB5E9E"/>
    <w:rPr>
      <w:b/>
      <w:bCs/>
    </w:rPr>
  </w:style>
  <w:style w:type="character" w:styleId="Hyperlink">
    <w:name w:val="Hyperlink"/>
    <w:basedOn w:val="Standaardalinea-lettertype"/>
    <w:uiPriority w:val="99"/>
    <w:semiHidden/>
    <w:unhideWhenUsed/>
    <w:rsid w:val="008107D6"/>
    <w:rPr>
      <w:color w:val="0000FF"/>
      <w:u w:val="single"/>
    </w:rPr>
  </w:style>
  <w:style w:type="character" w:customStyle="1" w:styleId="normaltextrun">
    <w:name w:val="normaltextrun"/>
    <w:basedOn w:val="Standaardalinea-lettertype"/>
    <w:rsid w:val="00AB6127"/>
  </w:style>
  <w:style w:type="paragraph" w:styleId="Onderwerpvanopmerking">
    <w:name w:val="annotation subject"/>
    <w:basedOn w:val="Tekstopmerking"/>
    <w:next w:val="Tekstopmerking"/>
    <w:link w:val="OnderwerpvanopmerkingChar"/>
    <w:uiPriority w:val="99"/>
    <w:semiHidden/>
    <w:unhideWhenUsed/>
    <w:rsid w:val="007B77EC"/>
    <w:rPr>
      <w:b/>
      <w:bCs/>
      <w:lang w:val="nl-NL"/>
    </w:rPr>
  </w:style>
  <w:style w:type="character" w:customStyle="1" w:styleId="OnderwerpvanopmerkingChar">
    <w:name w:val="Onderwerp van opmerking Char"/>
    <w:basedOn w:val="TekstopmerkingChar"/>
    <w:link w:val="Onderwerpvanopmerking"/>
    <w:uiPriority w:val="99"/>
    <w:semiHidden/>
    <w:rsid w:val="007B77EC"/>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03814">
      <w:bodyDiv w:val="1"/>
      <w:marLeft w:val="0"/>
      <w:marRight w:val="0"/>
      <w:marTop w:val="0"/>
      <w:marBottom w:val="0"/>
      <w:divBdr>
        <w:top w:val="none" w:sz="0" w:space="0" w:color="auto"/>
        <w:left w:val="none" w:sz="0" w:space="0" w:color="auto"/>
        <w:bottom w:val="none" w:sz="0" w:space="0" w:color="auto"/>
        <w:right w:val="none" w:sz="0" w:space="0" w:color="auto"/>
      </w:divBdr>
    </w:div>
    <w:div w:id="273439260">
      <w:bodyDiv w:val="1"/>
      <w:marLeft w:val="0"/>
      <w:marRight w:val="0"/>
      <w:marTop w:val="0"/>
      <w:marBottom w:val="0"/>
      <w:divBdr>
        <w:top w:val="none" w:sz="0" w:space="0" w:color="auto"/>
        <w:left w:val="none" w:sz="0" w:space="0" w:color="auto"/>
        <w:bottom w:val="none" w:sz="0" w:space="0" w:color="auto"/>
        <w:right w:val="none" w:sz="0" w:space="0" w:color="auto"/>
      </w:divBdr>
    </w:div>
    <w:div w:id="489978065">
      <w:bodyDiv w:val="1"/>
      <w:marLeft w:val="0"/>
      <w:marRight w:val="0"/>
      <w:marTop w:val="0"/>
      <w:marBottom w:val="0"/>
      <w:divBdr>
        <w:top w:val="none" w:sz="0" w:space="0" w:color="auto"/>
        <w:left w:val="none" w:sz="0" w:space="0" w:color="auto"/>
        <w:bottom w:val="none" w:sz="0" w:space="0" w:color="auto"/>
        <w:right w:val="none" w:sz="0" w:space="0" w:color="auto"/>
      </w:divBdr>
    </w:div>
    <w:div w:id="846939065">
      <w:bodyDiv w:val="1"/>
      <w:marLeft w:val="0"/>
      <w:marRight w:val="0"/>
      <w:marTop w:val="0"/>
      <w:marBottom w:val="0"/>
      <w:divBdr>
        <w:top w:val="none" w:sz="0" w:space="0" w:color="auto"/>
        <w:left w:val="none" w:sz="0" w:space="0" w:color="auto"/>
        <w:bottom w:val="none" w:sz="0" w:space="0" w:color="auto"/>
        <w:right w:val="none" w:sz="0" w:space="0" w:color="auto"/>
      </w:divBdr>
    </w:div>
    <w:div w:id="19046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3H068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1404</ap:Words>
  <ap:Characters>7724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2024-02-05T10:51:00.0000000Z</dcterms:created>
  <dcterms:modified xsi:type="dcterms:W3CDTF">2024-02-05T10:51:00.0000000Z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