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94379" w:rsidTr="00994379" w14:paraId="10200260" w14:textId="77777777">
        <w:sdt>
          <w:sdtPr>
            <w:tag w:val="bmZaakNummerAdvies"/>
            <w:id w:val="-780880418"/>
            <w:lock w:val="sdtLocked"/>
            <w:placeholder>
              <w:docPart w:val="DefaultPlaceholder_-1854013440"/>
            </w:placeholder>
          </w:sdtPr>
          <w:sdtEndPr/>
          <w:sdtContent>
            <w:tc>
              <w:tcPr>
                <w:tcW w:w="4251" w:type="dxa"/>
              </w:tcPr>
              <w:p w:rsidR="00994379" w:rsidRDefault="00994379" w14:paraId="06C3B21D" w14:textId="77EF9FC0">
                <w:r>
                  <w:t>No. W18.23.00218/IV</w:t>
                </w:r>
              </w:p>
            </w:tc>
          </w:sdtContent>
        </w:sdt>
        <w:sdt>
          <w:sdtPr>
            <w:tag w:val="bmDatumAdvies"/>
            <w:id w:val="615335446"/>
            <w:lock w:val="sdtLocked"/>
            <w:placeholder>
              <w:docPart w:val="DefaultPlaceholder_-1854013440"/>
            </w:placeholder>
          </w:sdtPr>
          <w:sdtEndPr/>
          <w:sdtContent>
            <w:tc>
              <w:tcPr>
                <w:tcW w:w="4252" w:type="dxa"/>
              </w:tcPr>
              <w:p w:rsidR="00994379" w:rsidRDefault="00994379" w14:paraId="1C94B63D" w14:textId="1BE64956">
                <w:r>
                  <w:t>'s-Gravenhage, 18 oktober 2023</w:t>
                </w:r>
              </w:p>
            </w:tc>
          </w:sdtContent>
        </w:sdt>
      </w:tr>
    </w:tbl>
    <w:p w:rsidR="00994379" w:rsidRDefault="00994379" w14:paraId="56ED6782" w14:textId="77777777"/>
    <w:p w:rsidR="00994379" w:rsidRDefault="00994379" w14:paraId="232A6357" w14:textId="77777777"/>
    <w:p w:rsidR="001F3829" w:rsidRDefault="002A0C67" w14:paraId="453F87E7" w14:textId="051B18AB">
      <w:sdt>
        <w:sdtPr>
          <w:tag w:val="bmAanhef"/>
          <w:id w:val="-1583902254"/>
          <w:lock w:val="sdtLocked"/>
          <w:placeholder>
            <w:docPart w:val="DefaultPlaceholder_-1854013440"/>
          </w:placeholder>
        </w:sdtPr>
        <w:sdtEndPr/>
        <w:sdtContent>
          <w:r w:rsidR="00994379">
            <w:rPr>
              <w:color w:val="000000"/>
            </w:rPr>
            <w:t>Bij Kabinetsmissive van 20 juli 2023, no.2023001761, heeft Uwe Majesteit, op voordracht van de Minister van Economische Zaken en Klimaat, bij de Afdeling advisering van de Raad van State ter overweging aanhangig gemaakt het voorstel van wet tot uitvoering van verordening (EU) 2022/1925 van het Europees Parlement en de Raad van 14 september 2022 over betwistbare en eerlijke markten in de digitale sector, en tot wijziging van Richtlijnen (EU) 2019/1937 en (EU) 2020/1828 (Uitvoeringswet digitalemarktenverordening), met memorie van toelichting.</w:t>
          </w:r>
        </w:sdtContent>
      </w:sdt>
    </w:p>
    <w:p w:rsidR="001F3829" w:rsidRDefault="001F3829" w14:paraId="453F87E8" w14:textId="77777777"/>
    <w:sdt>
      <w:sdtPr>
        <w:tag w:val="bmVrijeTekst1"/>
        <w:id w:val="-1998637329"/>
        <w:lock w:val="sdtLocked"/>
        <w:placeholder>
          <w:docPart w:val="67062848473947A0AB7FC6B6D8485459"/>
        </w:placeholder>
      </w:sdtPr>
      <w:sdtEndPr/>
      <w:sdtContent>
        <w:p w:rsidR="001F3829" w:rsidP="00733066" w:rsidRDefault="00C221FB" w14:paraId="453F87E9" w14:textId="628A3FBD">
          <w:r>
            <w:t>Met h</w:t>
          </w:r>
          <w:r w:rsidR="00DA1F9E">
            <w:t xml:space="preserve">et wetsvoorstel </w:t>
          </w:r>
          <w:r>
            <w:t>wordt</w:t>
          </w:r>
          <w:r w:rsidR="00822BC9">
            <w:t xml:space="preserve"> </w:t>
          </w:r>
          <w:r w:rsidR="00032A99">
            <w:t xml:space="preserve">uitvoering </w:t>
          </w:r>
          <w:r>
            <w:t xml:space="preserve">gegeven aan </w:t>
          </w:r>
          <w:r w:rsidR="00032A99">
            <w:t>de digitalemarktenverordening</w:t>
          </w:r>
          <w:r w:rsidR="00CC6584">
            <w:t xml:space="preserve"> (DMA).</w:t>
          </w:r>
          <w:r w:rsidR="00CC6584">
            <w:rPr>
              <w:rStyle w:val="Voetnootmarkering"/>
            </w:rPr>
            <w:footnoteReference w:id="2"/>
          </w:r>
          <w:r w:rsidR="00822BC9">
            <w:t xml:space="preserve"> </w:t>
          </w:r>
          <w:r w:rsidR="00733066">
            <w:t xml:space="preserve">De DMA bevat regels </w:t>
          </w:r>
          <w:r w:rsidR="007578AF">
            <w:t xml:space="preserve">ten aanzien van kernplatformdiensten van </w:t>
          </w:r>
          <w:r w:rsidR="00733066">
            <w:t xml:space="preserve">de grootste online platforms die door hun aanzienlijke marktpositie binnen de sector als zogenoemde </w:t>
          </w:r>
          <w:r w:rsidR="00A50DE2">
            <w:t>‘</w:t>
          </w:r>
          <w:r w:rsidR="00733066">
            <w:t>poortwachters</w:t>
          </w:r>
          <w:r w:rsidR="00A50DE2">
            <w:t>’</w:t>
          </w:r>
          <w:r w:rsidR="00733066">
            <w:t xml:space="preserve"> kwalificeren.</w:t>
          </w:r>
          <w:r w:rsidR="00733066">
            <w:rPr>
              <w:rStyle w:val="Voetnootmarkering"/>
            </w:rPr>
            <w:footnoteReference w:id="3"/>
          </w:r>
          <w:r w:rsidR="00733066">
            <w:t xml:space="preserve"> De handhaving van de </w:t>
          </w:r>
          <w:r w:rsidR="004F3D7B">
            <w:t>DMA</w:t>
          </w:r>
          <w:r w:rsidR="00733066">
            <w:t xml:space="preserve"> ligt </w:t>
          </w:r>
          <w:r w:rsidR="00DF614A">
            <w:t xml:space="preserve">uitsluitend </w:t>
          </w:r>
          <w:r w:rsidR="00733066">
            <w:t>bij de Europese Commissie</w:t>
          </w:r>
          <w:r w:rsidR="00B9357E">
            <w:t xml:space="preserve"> (hierna: Commissie)</w:t>
          </w:r>
          <w:r w:rsidR="00733066">
            <w:t xml:space="preserve">. Nationale autoriteiten hebben </w:t>
          </w:r>
          <w:r w:rsidR="00DF614A">
            <w:t>daarbij</w:t>
          </w:r>
          <w:r w:rsidR="00733066">
            <w:t xml:space="preserve"> een ondersteunende </w:t>
          </w:r>
          <w:r w:rsidR="00DF614A">
            <w:t>rol</w:t>
          </w:r>
          <w:r w:rsidR="00733066">
            <w:t xml:space="preserve">. Met </w:t>
          </w:r>
          <w:r w:rsidR="00B31886">
            <w:t>deze uitvoeringswet</w:t>
          </w:r>
          <w:r w:rsidR="00733066">
            <w:t xml:space="preserve"> wordt de Autoriteit Consument en Markt (ACM) aangewezen als de bevoegde nationale autoriteit in Nederland</w:t>
          </w:r>
          <w:r w:rsidR="00756F15">
            <w:t>. Daartoe</w:t>
          </w:r>
          <w:r w:rsidR="00BD5EAA">
            <w:t xml:space="preserve"> </w:t>
          </w:r>
          <w:r w:rsidR="0074519E">
            <w:t>w</w:t>
          </w:r>
          <w:r w:rsidR="002609AC">
            <w:t xml:space="preserve">orden </w:t>
          </w:r>
          <w:r w:rsidR="004F3C62">
            <w:t xml:space="preserve">haar </w:t>
          </w:r>
          <w:r w:rsidR="002609AC">
            <w:t>toezichts</w:t>
          </w:r>
          <w:r w:rsidR="006D4D9B">
            <w:t>bevoegdhe</w:t>
          </w:r>
          <w:r w:rsidR="002609AC">
            <w:t>den</w:t>
          </w:r>
          <w:r w:rsidR="006D4D9B">
            <w:t xml:space="preserve"> gegeven</w:t>
          </w:r>
          <w:r w:rsidR="00BD5EAA">
            <w:t xml:space="preserve"> </w:t>
          </w:r>
          <w:r w:rsidR="00EE61AE">
            <w:t xml:space="preserve">en wordt </w:t>
          </w:r>
          <w:r w:rsidR="00733066">
            <w:t>informatie</w:t>
          </w:r>
          <w:r w:rsidR="0080279B">
            <w:t>-</w:t>
          </w:r>
          <w:r w:rsidR="00733066">
            <w:t>uit</w:t>
          </w:r>
          <w:r w:rsidR="0080279B">
            <w:t>wisseling</w:t>
          </w:r>
          <w:r w:rsidR="00733066">
            <w:t xml:space="preserve"> met de Commissie</w:t>
          </w:r>
          <w:r w:rsidR="0080279B">
            <w:t xml:space="preserve"> geregeld</w:t>
          </w:r>
          <w:r w:rsidR="00733066">
            <w:t>.</w:t>
          </w:r>
          <w:r w:rsidR="008C3906">
            <w:rPr>
              <w:rStyle w:val="Voetnootmarkering"/>
            </w:rPr>
            <w:footnoteReference w:id="4"/>
          </w:r>
        </w:p>
        <w:p w:rsidR="00255548" w:rsidRDefault="00255548" w14:paraId="239DF235" w14:textId="77777777"/>
        <w:p w:rsidR="00255548" w:rsidRDefault="00255548" w14:paraId="770DA270" w14:textId="1474CABE">
          <w:r>
            <w:t xml:space="preserve">De Afdeling advisering van de Raad van State </w:t>
          </w:r>
          <w:r w:rsidRPr="00643AC3" w:rsidR="007E0014">
            <w:t xml:space="preserve">adviseert in de toelichting nader in te gaan op </w:t>
          </w:r>
          <w:r w:rsidRPr="00643AC3" w:rsidR="0024345D">
            <w:t>de</w:t>
          </w:r>
          <w:r w:rsidR="008140D5">
            <w:t xml:space="preserve"> mogelijke</w:t>
          </w:r>
          <w:r w:rsidRPr="00643AC3" w:rsidR="00BE3E08">
            <w:t xml:space="preserve"> </w:t>
          </w:r>
          <w:r w:rsidRPr="00643AC3" w:rsidR="00514949">
            <w:t xml:space="preserve">overlap tussen </w:t>
          </w:r>
          <w:r w:rsidRPr="00643AC3" w:rsidR="007E0014">
            <w:t xml:space="preserve">de </w:t>
          </w:r>
          <w:r w:rsidR="004479B2">
            <w:t xml:space="preserve">bevoegdheden van de </w:t>
          </w:r>
          <w:r w:rsidRPr="00643AC3" w:rsidR="00A04A6E">
            <w:t xml:space="preserve">Commissie </w:t>
          </w:r>
          <w:r w:rsidRPr="00643AC3" w:rsidR="002B086D">
            <w:t xml:space="preserve">ten aanzien van </w:t>
          </w:r>
          <w:r w:rsidRPr="00643AC3" w:rsidR="0024345D">
            <w:t xml:space="preserve">de DMA en </w:t>
          </w:r>
          <w:r w:rsidRPr="00643AC3" w:rsidR="002B086D">
            <w:t xml:space="preserve">die van de </w:t>
          </w:r>
          <w:r w:rsidR="004479B2">
            <w:t xml:space="preserve">ACM </w:t>
          </w:r>
          <w:r w:rsidRPr="00643AC3" w:rsidR="002B086D">
            <w:t>op grond va</w:t>
          </w:r>
          <w:r w:rsidRPr="00643AC3" w:rsidR="007E0014">
            <w:t>n andere instrumenten, in het bijzonder</w:t>
          </w:r>
          <w:r w:rsidR="0024345D">
            <w:t xml:space="preserve"> het reguliere me</w:t>
          </w:r>
          <w:r w:rsidR="00541BFE">
            <w:t>dedingingsrecht</w:t>
          </w:r>
          <w:r w:rsidRPr="00643AC3" w:rsidR="007E0014">
            <w:t>. Daarnaast adviseert zij in de toelichting in te gaan op</w:t>
          </w:r>
          <w:r w:rsidR="00541BFE">
            <w:t xml:space="preserve"> de verhouding tussen de DMA en de AVG</w:t>
          </w:r>
          <w:r w:rsidRPr="00643AC3" w:rsidR="007E0014">
            <w:t xml:space="preserve"> en de samenwerking tussen de Commissie en de Autoriteit Persoonsgegevens (AP)</w:t>
          </w:r>
          <w:r w:rsidRPr="00643AC3" w:rsidR="0003073A">
            <w:t xml:space="preserve"> om een consistente uitleg </w:t>
          </w:r>
          <w:r w:rsidRPr="00643AC3" w:rsidR="00F72EDB">
            <w:t>van de</w:t>
          </w:r>
          <w:r w:rsidRPr="00643AC3" w:rsidR="00EE4925">
            <w:t>els</w:t>
          </w:r>
          <w:r w:rsidRPr="00643AC3" w:rsidR="0098203B">
            <w:t xml:space="preserve"> </w:t>
          </w:r>
          <w:r w:rsidRPr="00643AC3" w:rsidR="00EE4925">
            <w:t>gelijkluidende</w:t>
          </w:r>
          <w:r w:rsidRPr="00643AC3" w:rsidR="00F72EDB">
            <w:t xml:space="preserve"> normen </w:t>
          </w:r>
          <w:r w:rsidRPr="00643AC3" w:rsidR="004C0D6F">
            <w:t xml:space="preserve">uit de DMA en de AVG </w:t>
          </w:r>
          <w:r w:rsidRPr="00643AC3" w:rsidR="00F72EDB">
            <w:t>te waarborgen</w:t>
          </w:r>
          <w:r w:rsidRPr="00643AC3" w:rsidR="00541BFE">
            <w:t>.</w:t>
          </w:r>
          <w:r w:rsidR="00500BF9">
            <w:t xml:space="preserve"> In verband </w:t>
          </w:r>
          <w:r w:rsidR="00F86F1F">
            <w:t>hiermee</w:t>
          </w:r>
          <w:r w:rsidR="00E4554C">
            <w:t xml:space="preserve"> is aanpassing van de toelichting wenselijk.</w:t>
          </w:r>
        </w:p>
        <w:p w:rsidR="00255548" w:rsidRDefault="00255548" w14:paraId="6CA5A430" w14:textId="77777777"/>
        <w:p w:rsidR="00D07D11" w:rsidP="00994379" w:rsidRDefault="000431B2" w14:paraId="55062C7C" w14:textId="78087AF2">
          <w:pPr>
            <w:pStyle w:val="Lijstalinea"/>
            <w:numPr>
              <w:ilvl w:val="0"/>
              <w:numId w:val="1"/>
            </w:numPr>
            <w:ind w:left="0" w:firstLine="0"/>
          </w:pPr>
          <w:r w:rsidRPr="00994379">
            <w:rPr>
              <w:u w:val="single"/>
            </w:rPr>
            <w:t xml:space="preserve">DMA: </w:t>
          </w:r>
          <w:r w:rsidRPr="00994379" w:rsidR="00630F6D">
            <w:rPr>
              <w:u w:val="single"/>
            </w:rPr>
            <w:t xml:space="preserve">aanleiding, </w:t>
          </w:r>
          <w:r w:rsidRPr="00994379">
            <w:rPr>
              <w:u w:val="single"/>
            </w:rPr>
            <w:t>inhoud en wijze van handhaving</w:t>
          </w:r>
          <w:r w:rsidR="008630B7">
            <w:t xml:space="preserve"> </w:t>
          </w:r>
        </w:p>
        <w:p w:rsidR="00D07D11" w:rsidRDefault="00D07D11" w14:paraId="1972B7E3" w14:textId="77777777"/>
        <w:p w:rsidR="00773E39" w:rsidP="00AD5466" w:rsidRDefault="009B32BC" w14:paraId="57F9572A" w14:textId="32E6AE82">
          <w:r>
            <w:t>Grote o</w:t>
          </w:r>
          <w:r w:rsidR="00E63819">
            <w:t xml:space="preserve">nline platforms </w:t>
          </w:r>
          <w:r>
            <w:t xml:space="preserve">zijn </w:t>
          </w:r>
          <w:r w:rsidR="00E63819">
            <w:t xml:space="preserve">in de digitale economie </w:t>
          </w:r>
          <w:r w:rsidR="008C060F">
            <w:t xml:space="preserve">steeds belangrijker geworden. </w:t>
          </w:r>
          <w:r w:rsidR="003129D3">
            <w:t>Als gevolg van h</w:t>
          </w:r>
          <w:r w:rsidR="00F52953">
            <w:t xml:space="preserve">un </w:t>
          </w:r>
          <w:r>
            <w:t>dominante marktposities</w:t>
          </w:r>
          <w:r w:rsidR="001650E1">
            <w:t xml:space="preserve"> </w:t>
          </w:r>
          <w:r w:rsidR="00723618">
            <w:t>en h</w:t>
          </w:r>
          <w:r w:rsidR="001C07D6">
            <w:t xml:space="preserve">et </w:t>
          </w:r>
          <w:r w:rsidR="008C12E0">
            <w:t xml:space="preserve">feit dat zij over grote hoeveelheden </w:t>
          </w:r>
          <w:r w:rsidR="00162F07">
            <w:t xml:space="preserve">data </w:t>
          </w:r>
          <w:r w:rsidR="008C12E0">
            <w:t xml:space="preserve">beschikken, </w:t>
          </w:r>
          <w:r w:rsidR="003129D3">
            <w:t>zijn</w:t>
          </w:r>
          <w:r w:rsidR="000F0F15">
            <w:t xml:space="preserve"> </w:t>
          </w:r>
          <w:r w:rsidR="009F6AC5">
            <w:t xml:space="preserve">zakelijke </w:t>
          </w:r>
          <w:r w:rsidR="000F0F15">
            <w:t>gebruikers afhankelijk</w:t>
          </w:r>
          <w:r w:rsidR="003129D3">
            <w:t>er</w:t>
          </w:r>
          <w:r w:rsidR="000F0F15">
            <w:t xml:space="preserve"> </w:t>
          </w:r>
          <w:r w:rsidR="008651B6">
            <w:t>ge</w:t>
          </w:r>
          <w:r w:rsidR="000F0F15">
            <w:t>worden van deze platforms</w:t>
          </w:r>
          <w:r w:rsidR="00E16BAA">
            <w:t xml:space="preserve"> om hun </w:t>
          </w:r>
          <w:r w:rsidR="003129D3">
            <w:t xml:space="preserve">online </w:t>
          </w:r>
          <w:r w:rsidR="00E16BAA">
            <w:t>diensten aan te bieden</w:t>
          </w:r>
          <w:r w:rsidR="000F0F15">
            <w:t>.</w:t>
          </w:r>
          <w:r w:rsidR="009042D0">
            <w:t xml:space="preserve"> </w:t>
          </w:r>
          <w:r w:rsidR="00BA2239">
            <w:t xml:space="preserve">Het bestaande </w:t>
          </w:r>
          <w:r w:rsidR="006C6C83">
            <w:t>juridische instrument</w:t>
          </w:r>
          <w:r w:rsidR="00926594">
            <w:t>a</w:t>
          </w:r>
          <w:r w:rsidR="006C6C83">
            <w:t xml:space="preserve">rium, in het bijzonder het mededingingsrecht en </w:t>
          </w:r>
          <w:r w:rsidR="006C6C83">
            <w:lastRenderedPageBreak/>
            <w:t xml:space="preserve">consumentenrecht, is </w:t>
          </w:r>
          <w:r w:rsidR="0093338A">
            <w:t xml:space="preserve">niet altijd </w:t>
          </w:r>
          <w:r w:rsidR="00EF4743">
            <w:t>voldoende toereikend</w:t>
          </w:r>
          <w:r w:rsidR="007565AA">
            <w:t xml:space="preserve"> gebleken</w:t>
          </w:r>
          <w:r w:rsidR="00EF4743">
            <w:t xml:space="preserve">, </w:t>
          </w:r>
          <w:r w:rsidR="0093338A">
            <w:t xml:space="preserve">onder meer </w:t>
          </w:r>
          <w:r w:rsidR="00EF4743">
            <w:t xml:space="preserve">omdat deze </w:t>
          </w:r>
          <w:r w:rsidR="0093338A">
            <w:t xml:space="preserve">instrumenten </w:t>
          </w:r>
          <w:r w:rsidR="005A6716">
            <w:t>alleen ingrijpen achteraf mogelijk maken.</w:t>
          </w:r>
          <w:r w:rsidR="007565AA">
            <w:rPr>
              <w:rStyle w:val="Voetnootmarkering"/>
            </w:rPr>
            <w:footnoteReference w:id="5"/>
          </w:r>
          <w:r w:rsidR="005A6716">
            <w:t xml:space="preserve"> </w:t>
          </w:r>
        </w:p>
        <w:p w:rsidR="00773E39" w:rsidP="00AD5466" w:rsidRDefault="00773E39" w14:paraId="38336DF2" w14:textId="77777777"/>
        <w:p w:rsidR="006B7332" w:rsidP="00AD5466" w:rsidRDefault="00A63C75" w14:paraId="05391C3A" w14:textId="77777777">
          <w:r>
            <w:t>Met d</w:t>
          </w:r>
          <w:r w:rsidR="000B4CEB">
            <w:t xml:space="preserve">e DMA </w:t>
          </w:r>
          <w:r>
            <w:t xml:space="preserve">wordt </w:t>
          </w:r>
          <w:r w:rsidR="0094303F">
            <w:t xml:space="preserve">daarom </w:t>
          </w:r>
          <w:r>
            <w:t xml:space="preserve">voorzien in </w:t>
          </w:r>
          <w:r w:rsidR="0094303F">
            <w:t xml:space="preserve">een nieuw instrument, </w:t>
          </w:r>
          <w:r w:rsidRPr="00E95372" w:rsidR="0094303F">
            <w:t xml:space="preserve">met </w:t>
          </w:r>
          <w:r w:rsidRPr="00E95372" w:rsidR="00B830A4">
            <w:t>ex ante</w:t>
          </w:r>
          <w:r w:rsidR="00B830A4">
            <w:t xml:space="preserve"> toezicht</w:t>
          </w:r>
          <w:r w:rsidR="0094303F">
            <w:t xml:space="preserve"> op de</w:t>
          </w:r>
          <w:r w:rsidR="002F3D47">
            <w:t xml:space="preserve"> grootste online platforms</w:t>
          </w:r>
          <w:r w:rsidR="00B830A4">
            <w:t xml:space="preserve">. </w:t>
          </w:r>
          <w:r w:rsidR="00137C9D">
            <w:t xml:space="preserve">Aan </w:t>
          </w:r>
          <w:r w:rsidR="000C0E63">
            <w:t>de</w:t>
          </w:r>
          <w:r w:rsidR="006747C3">
            <w:t>ze</w:t>
          </w:r>
          <w:r w:rsidR="000C0E63">
            <w:t xml:space="preserve"> </w:t>
          </w:r>
          <w:r w:rsidR="00E64526">
            <w:t xml:space="preserve">zogenoemde </w:t>
          </w:r>
          <w:r w:rsidR="000C0E63">
            <w:t>‘poortwachters’</w:t>
          </w:r>
          <w:r w:rsidR="002F3D47">
            <w:rPr>
              <w:rStyle w:val="Voetnootmarkering"/>
            </w:rPr>
            <w:footnoteReference w:id="6"/>
          </w:r>
          <w:r w:rsidR="00E64526">
            <w:t xml:space="preserve"> stelt de DMA </w:t>
          </w:r>
          <w:r w:rsidR="00137C9D">
            <w:t xml:space="preserve">een aantal </w:t>
          </w:r>
          <w:r w:rsidR="00E64526">
            <w:t xml:space="preserve">welomschreven </w:t>
          </w:r>
          <w:r w:rsidR="00137C9D">
            <w:t>verplichtingen.</w:t>
          </w:r>
          <w:r w:rsidR="00A65EBA">
            <w:rPr>
              <w:rStyle w:val="Voetnootmarkering"/>
            </w:rPr>
            <w:footnoteReference w:id="7"/>
          </w:r>
          <w:r w:rsidR="00E64526">
            <w:t xml:space="preserve"> </w:t>
          </w:r>
          <w:r w:rsidR="002E4963">
            <w:t xml:space="preserve">Deze </w:t>
          </w:r>
          <w:r w:rsidR="00F90B09">
            <w:t xml:space="preserve">verplichtingen zijn erop gericht oneerlijke handelspraktijken tegen te gaan en </w:t>
          </w:r>
          <w:r w:rsidR="00970F94">
            <w:t xml:space="preserve">de </w:t>
          </w:r>
          <w:r w:rsidR="0087683E">
            <w:t>mogelijkheid om</w:t>
          </w:r>
          <w:r w:rsidR="00970F94">
            <w:t xml:space="preserve"> </w:t>
          </w:r>
          <w:r w:rsidR="00135195">
            <w:t>hun</w:t>
          </w:r>
          <w:r w:rsidR="00A363BD">
            <w:t xml:space="preserve"> </w:t>
          </w:r>
          <w:r w:rsidR="00AD2834">
            <w:t xml:space="preserve">(dominante) </w:t>
          </w:r>
          <w:r w:rsidR="00970F94">
            <w:t>marktpositie</w:t>
          </w:r>
          <w:r w:rsidR="00135195">
            <w:t>s</w:t>
          </w:r>
          <w:r w:rsidR="00970F94">
            <w:t xml:space="preserve"> te </w:t>
          </w:r>
          <w:r w:rsidR="0087683E">
            <w:t>betwisten groter te maken</w:t>
          </w:r>
          <w:r w:rsidR="00970F94">
            <w:t xml:space="preserve">. </w:t>
          </w:r>
        </w:p>
        <w:p w:rsidR="006B7332" w:rsidP="00AD5466" w:rsidRDefault="006B7332" w14:paraId="29B9E95F" w14:textId="77777777"/>
        <w:p w:rsidR="00AD5466" w:rsidP="00AD5466" w:rsidRDefault="001B58A8" w14:paraId="77F9D375" w14:textId="617CDD3A">
          <w:r>
            <w:t>Zoals in de toelichting vermeld, vormt de DMA</w:t>
          </w:r>
          <w:r w:rsidRPr="00A82945">
            <w:t xml:space="preserve"> een aanvulling op het Europese en nationale mededingingsrecht, dat naast de verordening van toepassing blijft</w:t>
          </w:r>
          <w:r w:rsidR="00EB6BB8">
            <w:t xml:space="preserve">. Daarnaast heeft de DMA raakvlakken met </w:t>
          </w:r>
          <w:r w:rsidR="00B55C66">
            <w:t xml:space="preserve">onder meer </w:t>
          </w:r>
          <w:r w:rsidRPr="00A82945">
            <w:t>de P2B-verordening</w:t>
          </w:r>
          <w:r w:rsidR="00721CC5">
            <w:t>,</w:t>
          </w:r>
          <w:r w:rsidR="00721CC5">
            <w:rPr>
              <w:rStyle w:val="Voetnootmarkering"/>
            </w:rPr>
            <w:footnoteReference w:id="8"/>
          </w:r>
          <w:r w:rsidR="00721CC5">
            <w:t xml:space="preserve"> </w:t>
          </w:r>
          <w:r w:rsidR="00091DC8">
            <w:t>en d</w:t>
          </w:r>
          <w:r w:rsidR="006F4BFB">
            <w:t xml:space="preserve">e </w:t>
          </w:r>
          <w:r w:rsidRPr="00A646F7" w:rsidR="00A320BB">
            <w:t xml:space="preserve">Algemene verordening gegevensbescherming </w:t>
          </w:r>
          <w:r w:rsidR="00A320BB">
            <w:t>(</w:t>
          </w:r>
          <w:r w:rsidR="006F4BFB">
            <w:t>AVG</w:t>
          </w:r>
          <w:r w:rsidR="00A320BB">
            <w:t>).</w:t>
          </w:r>
          <w:r w:rsidR="006F4BFB">
            <w:rPr>
              <w:rStyle w:val="Voetnootmarkering"/>
            </w:rPr>
            <w:footnoteReference w:id="9"/>
          </w:r>
          <w:r w:rsidR="00A320BB">
            <w:t xml:space="preserve"> </w:t>
          </w:r>
          <w:r w:rsidRPr="00643AC3" w:rsidR="00460084">
            <w:t xml:space="preserve">De DMA heeft </w:t>
          </w:r>
          <w:r w:rsidRPr="00643AC3" w:rsidR="002615B3">
            <w:t xml:space="preserve">ook </w:t>
          </w:r>
          <w:r w:rsidRPr="00643AC3" w:rsidR="00460084">
            <w:t xml:space="preserve">raakvlakken met de digitaledienstenverordening (DSA), die met de DMA onderdeel is van de </w:t>
          </w:r>
          <w:r w:rsidRPr="00994379" w:rsidR="00460084">
            <w:t>Digital Services Package</w:t>
          </w:r>
          <w:r w:rsidRPr="00B9357E" w:rsidR="00460084">
            <w:t xml:space="preserve"> van</w:t>
          </w:r>
          <w:r w:rsidRPr="00643AC3" w:rsidR="00460084">
            <w:t xml:space="preserve"> de Europese Unie.</w:t>
          </w:r>
          <w:r w:rsidRPr="00643AC3" w:rsidR="004B0F93">
            <w:rPr>
              <w:rStyle w:val="Voetnootmarkering"/>
            </w:rPr>
            <w:footnoteReference w:id="10"/>
          </w:r>
          <w:r w:rsidR="00585F74">
            <w:t xml:space="preserve"> </w:t>
          </w:r>
          <w:r w:rsidRPr="00460084" w:rsidR="00460084">
            <w:t xml:space="preserve"> </w:t>
          </w:r>
        </w:p>
        <w:p w:rsidR="003B2484" w:rsidP="00AD5466" w:rsidRDefault="003B2484" w14:paraId="70C9198F" w14:textId="77777777"/>
        <w:p w:rsidR="006F0C80" w:rsidP="00AD5466" w:rsidRDefault="00CA6329" w14:paraId="744DB3AA" w14:textId="21EA7448">
          <w:r>
            <w:t xml:space="preserve">In het toezicht op en </w:t>
          </w:r>
          <w:r w:rsidR="00564174">
            <w:t xml:space="preserve">de </w:t>
          </w:r>
          <w:r>
            <w:t>handhaving van de DMA speelt d</w:t>
          </w:r>
          <w:r w:rsidR="000D7ADC">
            <w:t xml:space="preserve">e </w:t>
          </w:r>
          <w:r w:rsidR="009C0433">
            <w:t xml:space="preserve">Commissie </w:t>
          </w:r>
          <w:r>
            <w:t xml:space="preserve">een centrale rol. </w:t>
          </w:r>
          <w:r w:rsidR="00DB0962">
            <w:t xml:space="preserve">Niet alleen </w:t>
          </w:r>
          <w:r w:rsidR="009A29C8">
            <w:t>is het aan de Commissie te beoordelen</w:t>
          </w:r>
          <w:r w:rsidR="00DB0962">
            <w:t xml:space="preserve"> </w:t>
          </w:r>
          <w:r w:rsidR="002E27FF">
            <w:t xml:space="preserve">of </w:t>
          </w:r>
          <w:r w:rsidR="00DB0962">
            <w:t xml:space="preserve">online </w:t>
          </w:r>
          <w:r w:rsidR="00DB0962">
            <w:lastRenderedPageBreak/>
            <w:t>platforms</w:t>
          </w:r>
          <w:r>
            <w:t xml:space="preserve"> </w:t>
          </w:r>
          <w:r w:rsidR="002E27FF">
            <w:t xml:space="preserve">de status van ‘poortwachter’ krijgen, ook </w:t>
          </w:r>
          <w:r>
            <w:t xml:space="preserve">heeft </w:t>
          </w:r>
          <w:r w:rsidR="002E27FF">
            <w:t xml:space="preserve">zij </w:t>
          </w:r>
          <w:r>
            <w:t xml:space="preserve">als </w:t>
          </w:r>
          <w:r w:rsidR="009C0433">
            <w:t xml:space="preserve">enige </w:t>
          </w:r>
          <w:r>
            <w:t xml:space="preserve">instantie de bevoegdheid om </w:t>
          </w:r>
          <w:r w:rsidR="00B43A02">
            <w:t xml:space="preserve">op grond </w:t>
          </w:r>
          <w:r w:rsidR="002E27FF">
            <w:t xml:space="preserve">van de DMA </w:t>
          </w:r>
          <w:r>
            <w:t>handhavend op te treden</w:t>
          </w:r>
          <w:r w:rsidR="009D2BF9">
            <w:t xml:space="preserve"> en in dat verband geldboetes of dwangsommen op te leggen</w:t>
          </w:r>
          <w:r w:rsidR="002E27FF">
            <w:t>.</w:t>
          </w:r>
          <w:r w:rsidR="009D2BF9">
            <w:rPr>
              <w:rStyle w:val="Voetnootmarkering"/>
            </w:rPr>
            <w:footnoteReference w:id="11"/>
          </w:r>
        </w:p>
        <w:p w:rsidR="006F0C80" w:rsidP="00AD5466" w:rsidRDefault="006F0C80" w14:paraId="673F4EC3" w14:textId="77777777"/>
        <w:p w:rsidR="00096D79" w:rsidP="00096D79" w:rsidRDefault="00096D79" w14:paraId="2E17684D" w14:textId="78618EFF">
          <w:r>
            <w:t xml:space="preserve">De </w:t>
          </w:r>
          <w:r w:rsidR="00913E4A">
            <w:t>DMA geeft</w:t>
          </w:r>
          <w:r w:rsidR="00B171DE">
            <w:t>, daarnaast,</w:t>
          </w:r>
          <w:r w:rsidR="00913E4A">
            <w:t xml:space="preserve"> lidstaten de </w:t>
          </w:r>
          <w:r w:rsidR="00574F06">
            <w:t>optie</w:t>
          </w:r>
          <w:r w:rsidR="00913E4A">
            <w:t xml:space="preserve"> hun</w:t>
          </w:r>
          <w:r>
            <w:t xml:space="preserve"> autoriteiten </w:t>
          </w:r>
          <w:r w:rsidR="00913E4A">
            <w:t xml:space="preserve">de </w:t>
          </w:r>
          <w:r>
            <w:t>bevoegd</w:t>
          </w:r>
          <w:r w:rsidR="00913E4A">
            <w:t>heid te geven</w:t>
          </w:r>
          <w:r>
            <w:t xml:space="preserve"> op eigen initiatief onderzoek te doen naar mogelijke niet-naleving van de </w:t>
          </w:r>
          <w:r w:rsidR="00392465">
            <w:t xml:space="preserve">op poortwachters rustende </w:t>
          </w:r>
          <w:r w:rsidR="00810F3B">
            <w:t xml:space="preserve">verplichtingen </w:t>
          </w:r>
          <w:r>
            <w:t>op het grondgebied van de lidstaat</w:t>
          </w:r>
          <w:r w:rsidR="00F22BD0">
            <w:t>.</w:t>
          </w:r>
          <w:r w:rsidR="00F22BD0">
            <w:rPr>
              <w:rStyle w:val="Voetnootmarkering"/>
            </w:rPr>
            <w:footnoteReference w:id="12"/>
          </w:r>
          <w:r>
            <w:t xml:space="preserve"> </w:t>
          </w:r>
          <w:r w:rsidR="001E6782">
            <w:t xml:space="preserve">Met </w:t>
          </w:r>
          <w:r w:rsidR="00892E66">
            <w:t xml:space="preserve">het </w:t>
          </w:r>
          <w:r w:rsidR="00C72AFD">
            <w:t>wetsvoorstel wordt van deze mogelijkheid gebruik gemaakt en wordt</w:t>
          </w:r>
          <w:r>
            <w:t xml:space="preserve"> de ACM de benodigde bevoegdheden </w:t>
          </w:r>
          <w:r w:rsidR="00C72AFD">
            <w:t>ge</w:t>
          </w:r>
          <w:r>
            <w:t>geven om op eigen initiatief onderzoek te doen</w:t>
          </w:r>
          <w:r w:rsidR="00D834CA">
            <w:t>.</w:t>
          </w:r>
          <w:r w:rsidR="00D834CA">
            <w:rPr>
              <w:rStyle w:val="Voetnootmarkering"/>
            </w:rPr>
            <w:footnoteReference w:id="13"/>
          </w:r>
          <w:r w:rsidR="00D834CA">
            <w:t xml:space="preserve"> </w:t>
          </w:r>
          <w:r w:rsidR="0023319A">
            <w:t>Deze bevoegdheid</w:t>
          </w:r>
          <w:r>
            <w:t xml:space="preserve"> eindigt nadat zij verslag hebben uitgebracht aan de Commissie over de bevindingen van het onderzoek en de Commissie een handhavingsprocedure start.</w:t>
          </w:r>
          <w:r w:rsidR="0076605A">
            <w:rPr>
              <w:rStyle w:val="Voetnootmarkering"/>
            </w:rPr>
            <w:footnoteReference w:id="14"/>
          </w:r>
        </w:p>
        <w:p w:rsidR="004C0746" w:rsidP="00096D79" w:rsidRDefault="004C0746" w14:paraId="76727CE1" w14:textId="77777777"/>
        <w:p w:rsidR="007B3A91" w:rsidP="00096D79" w:rsidRDefault="00764BA6" w14:paraId="1A956589" w14:textId="48197EC3">
          <w:r>
            <w:t xml:space="preserve">2. </w:t>
          </w:r>
          <w:r>
            <w:tab/>
          </w:r>
          <w:r w:rsidRPr="00EB6BB8">
            <w:rPr>
              <w:u w:val="single"/>
            </w:rPr>
            <w:t>Overlap bevoegdheden ACM en Commissie</w:t>
          </w:r>
          <w:r>
            <w:t xml:space="preserve"> </w:t>
          </w:r>
        </w:p>
        <w:p w:rsidR="00A3686F" w:rsidRDefault="00A3686F" w14:paraId="343AC143" w14:textId="6BC3E1A6"/>
        <w:p w:rsidR="001903C1" w:rsidRDefault="004F32E3" w14:paraId="6B6138BA" w14:textId="133988B4">
          <w:r>
            <w:t xml:space="preserve">Omdat </w:t>
          </w:r>
          <w:r w:rsidR="00004BD6">
            <w:t>zowel de ACM</w:t>
          </w:r>
          <w:r w:rsidR="007D578A">
            <w:t>,</w:t>
          </w:r>
          <w:r w:rsidR="00004BD6">
            <w:t xml:space="preserve"> als de Commissie de bevoegdheid </w:t>
          </w:r>
          <w:r>
            <w:t xml:space="preserve">heeft </w:t>
          </w:r>
          <w:r w:rsidR="002C285A">
            <w:t xml:space="preserve">onderzoek </w:t>
          </w:r>
          <w:r w:rsidR="00004BD6">
            <w:t xml:space="preserve">te </w:t>
          </w:r>
          <w:r w:rsidR="002C285A">
            <w:t xml:space="preserve">starten </w:t>
          </w:r>
          <w:r w:rsidR="00E24F44">
            <w:t xml:space="preserve">naar </w:t>
          </w:r>
          <w:r w:rsidR="00142D7F">
            <w:t xml:space="preserve">de </w:t>
          </w:r>
          <w:r w:rsidR="00FD3572">
            <w:t>naleving van de D</w:t>
          </w:r>
          <w:r w:rsidR="00142D7F">
            <w:t>MA</w:t>
          </w:r>
          <w:r>
            <w:t>,</w:t>
          </w:r>
          <w:r w:rsidR="00004BD6">
            <w:t xml:space="preserve"> kan </w:t>
          </w:r>
          <w:r w:rsidRPr="00B75C46" w:rsidR="00B75C46">
            <w:t xml:space="preserve">overlap in </w:t>
          </w:r>
          <w:r w:rsidR="00004BD6">
            <w:t xml:space="preserve">hun </w:t>
          </w:r>
          <w:r w:rsidRPr="00B75C46" w:rsidR="00B75C46">
            <w:t>werkzaamheden</w:t>
          </w:r>
          <w:r w:rsidR="005A7513">
            <w:t xml:space="preserve"> be</w:t>
          </w:r>
          <w:r w:rsidRPr="00B75C46" w:rsidR="005A7513">
            <w:t>staan</w:t>
          </w:r>
          <w:r w:rsidRPr="00B75C46" w:rsidR="00B75C46">
            <w:t>.</w:t>
          </w:r>
          <w:r w:rsidR="00CD06F6">
            <w:rPr>
              <w:rStyle w:val="Voetnootmarkering"/>
            </w:rPr>
            <w:footnoteReference w:id="15"/>
          </w:r>
          <w:r w:rsidRPr="00B75C46" w:rsidR="00B75C46">
            <w:t xml:space="preserve"> </w:t>
          </w:r>
          <w:r w:rsidR="00142D7F">
            <w:t>I</w:t>
          </w:r>
          <w:r w:rsidR="00096381">
            <w:t>ngevolge</w:t>
          </w:r>
          <w:r w:rsidRPr="00B75C46" w:rsidR="00B75C46">
            <w:t xml:space="preserve"> artikel 38, zevende lid, tweede alinea van de </w:t>
          </w:r>
          <w:r w:rsidR="00B75C46">
            <w:t>DMA</w:t>
          </w:r>
          <w:r w:rsidR="00096381">
            <w:t xml:space="preserve"> </w:t>
          </w:r>
          <w:r w:rsidR="00142D7F">
            <w:t>geldt in dat geval</w:t>
          </w:r>
          <w:r w:rsidRPr="00B75C46" w:rsidR="00B75C46">
            <w:t xml:space="preserve"> dat de onderzoeksbevoegdheid van nationale mededingingsautoriteiten eindigt als de Commissie een onderzoek start naar dezelfde inbreuk van een poortwachter.</w:t>
          </w:r>
          <w:r w:rsidR="00B75C46">
            <w:t xml:space="preserve"> </w:t>
          </w:r>
        </w:p>
        <w:p w:rsidR="001903C1" w:rsidRDefault="001903C1" w14:paraId="1201A992" w14:textId="77777777"/>
        <w:p w:rsidR="006B75EE" w:rsidRDefault="006E71DD" w14:paraId="7495C7F3" w14:textId="5BB3A028">
          <w:r>
            <w:t xml:space="preserve">Zoals in de toelichting wordt onderkend, is </w:t>
          </w:r>
          <w:r w:rsidR="001903C1">
            <w:t xml:space="preserve">echter </w:t>
          </w:r>
          <w:r w:rsidRPr="00D53BEC" w:rsidR="00B75C46">
            <w:t xml:space="preserve">op voorhand </w:t>
          </w:r>
          <w:r>
            <w:t>niet altijd</w:t>
          </w:r>
          <w:r w:rsidR="00B75C46">
            <w:t xml:space="preserve"> duidelijk of</w:t>
          </w:r>
          <w:r w:rsidR="005D1CED">
            <w:t xml:space="preserve"> een</w:t>
          </w:r>
          <w:r w:rsidR="00B75C46">
            <w:t xml:space="preserve"> </w:t>
          </w:r>
          <w:r w:rsidR="00DE3D44">
            <w:t>handeling van een poortwachter onder de DMA valt</w:t>
          </w:r>
          <w:r w:rsidR="00BE57C8">
            <w:t xml:space="preserve">, dan wel mogelijk </w:t>
          </w:r>
          <w:r w:rsidRPr="00D53BEC" w:rsidR="00A972F8">
            <w:t xml:space="preserve">(ook) </w:t>
          </w:r>
          <w:r w:rsidR="00BE57C8">
            <w:t xml:space="preserve">een overtreding van andere regels aan de orde is, zoals </w:t>
          </w:r>
          <w:r w:rsidR="00DE3D44">
            <w:t>het regulier</w:t>
          </w:r>
          <w:r w:rsidR="00BE57C8">
            <w:t>e</w:t>
          </w:r>
          <w:r w:rsidR="00DE3D44">
            <w:t xml:space="preserve"> mededingingsrecht</w:t>
          </w:r>
          <w:r w:rsidRPr="00D53BEC" w:rsidR="0032384D">
            <w:t xml:space="preserve"> </w:t>
          </w:r>
          <w:r w:rsidRPr="00643AC3" w:rsidR="0032384D">
            <w:t>of de P2B-verordening</w:t>
          </w:r>
          <w:r w:rsidR="00AA71F0">
            <w:t>.</w:t>
          </w:r>
          <w:r w:rsidR="00E31732">
            <w:rPr>
              <w:rStyle w:val="Voetnootmarkering"/>
            </w:rPr>
            <w:footnoteReference w:id="16"/>
          </w:r>
          <w:r w:rsidR="00AA71F0">
            <w:t xml:space="preserve"> In het laatste geval </w:t>
          </w:r>
          <w:r w:rsidR="004F6C3C">
            <w:t xml:space="preserve">heeft de ACM niet alleen een ondersteunende rol, maar ook een zelfstandige </w:t>
          </w:r>
          <w:r w:rsidR="00B2366E">
            <w:t>toezichthoude</w:t>
          </w:r>
          <w:r w:rsidR="00814E99">
            <w:t>nde</w:t>
          </w:r>
          <w:r w:rsidR="00B2366E">
            <w:t xml:space="preserve"> rol</w:t>
          </w:r>
          <w:r w:rsidR="00D15883">
            <w:t xml:space="preserve"> en kan </w:t>
          </w:r>
          <w:r w:rsidR="00CF4902">
            <w:t xml:space="preserve">zij </w:t>
          </w:r>
          <w:r w:rsidR="00E479B9">
            <w:t>handhav</w:t>
          </w:r>
          <w:r w:rsidR="007718A2">
            <w:t>ingsmaatregelen</w:t>
          </w:r>
          <w:r w:rsidR="00E479B9">
            <w:t xml:space="preserve"> </w:t>
          </w:r>
          <w:r w:rsidR="007718A2">
            <w:t>opleggen</w:t>
          </w:r>
          <w:r w:rsidR="00CD06F6">
            <w:t>.</w:t>
          </w:r>
          <w:r w:rsidR="00500985">
            <w:t xml:space="preserve"> </w:t>
          </w:r>
          <w:r w:rsidR="002F68F5">
            <w:t xml:space="preserve">De DMA </w:t>
          </w:r>
          <w:r w:rsidRPr="000C55C7" w:rsidR="00786AE3">
            <w:t>l</w:t>
          </w:r>
          <w:r w:rsidRPr="000C55C7" w:rsidR="009473D0">
            <w:t>aat</w:t>
          </w:r>
          <w:r w:rsidR="00786AE3">
            <w:t xml:space="preserve"> </w:t>
          </w:r>
          <w:r w:rsidR="002F68F5">
            <w:t xml:space="preserve">daartoe de ruimte, maar verlangt wel dat </w:t>
          </w:r>
          <w:r w:rsidRPr="00F47583" w:rsidR="00500985">
            <w:t xml:space="preserve">de ACM de Commissie op de hoogte </w:t>
          </w:r>
          <w:r w:rsidR="002F68F5">
            <w:t xml:space="preserve">stelt </w:t>
          </w:r>
          <w:r w:rsidRPr="00F47583" w:rsidR="00500985">
            <w:t>van onderzoeken en eventuele opgelegde maatregelen.</w:t>
          </w:r>
          <w:r w:rsidRPr="00F47583" w:rsidR="00500985">
            <w:rPr>
              <w:rStyle w:val="Voetnootmarkering"/>
            </w:rPr>
            <w:footnoteReference w:id="17"/>
          </w:r>
          <w:r w:rsidR="00CA1736">
            <w:t xml:space="preserve"> </w:t>
          </w:r>
        </w:p>
        <w:p w:rsidR="006B75EE" w:rsidRDefault="006B75EE" w14:paraId="08506171" w14:textId="77777777"/>
        <w:p w:rsidRPr="00643AC3" w:rsidR="00AA2294" w:rsidRDefault="004B4464" w14:paraId="4A214B1D" w14:textId="39848BEC">
          <w:r w:rsidRPr="00643AC3">
            <w:t xml:space="preserve">In </w:t>
          </w:r>
          <w:r w:rsidRPr="00643AC3" w:rsidR="00E77127">
            <w:t xml:space="preserve">de toelichting wordt niet </w:t>
          </w:r>
          <w:r w:rsidRPr="00643AC3" w:rsidR="0031356D">
            <w:t xml:space="preserve">ingegaan op de vraag </w:t>
          </w:r>
          <w:r w:rsidRPr="00643AC3" w:rsidR="00754E41">
            <w:t xml:space="preserve">wat </w:t>
          </w:r>
          <w:r w:rsidRPr="00643AC3" w:rsidR="006711A3">
            <w:t xml:space="preserve">een eventuele beëindiging van een </w:t>
          </w:r>
          <w:r w:rsidRPr="00643AC3" w:rsidR="00B269DD">
            <w:t>ACM-</w:t>
          </w:r>
          <w:r w:rsidRPr="00643AC3" w:rsidR="006711A3">
            <w:t xml:space="preserve">onderzoek naar mogelijke </w:t>
          </w:r>
          <w:r w:rsidRPr="00643AC3" w:rsidR="00ED2ABA">
            <w:t xml:space="preserve">overtredingen </w:t>
          </w:r>
          <w:r w:rsidRPr="00643AC3" w:rsidR="006711A3">
            <w:t xml:space="preserve">van de DMA </w:t>
          </w:r>
          <w:r w:rsidRPr="00643AC3" w:rsidR="0031356D">
            <w:t xml:space="preserve">betekent </w:t>
          </w:r>
          <w:r w:rsidRPr="00643AC3" w:rsidR="00BF5A83">
            <w:t xml:space="preserve">voor het onderzoek dat </w:t>
          </w:r>
          <w:r w:rsidRPr="00643AC3" w:rsidR="00486246">
            <w:t xml:space="preserve">de ACM </w:t>
          </w:r>
          <w:r w:rsidRPr="00643AC3" w:rsidR="00ED2ABA">
            <w:t xml:space="preserve">verricht </w:t>
          </w:r>
          <w:r w:rsidRPr="00643AC3" w:rsidR="00486246">
            <w:t xml:space="preserve">naar mogelijke </w:t>
          </w:r>
          <w:r w:rsidRPr="00643AC3" w:rsidR="00ED2ABA">
            <w:t xml:space="preserve">overtredingen </w:t>
          </w:r>
          <w:r w:rsidRPr="00643AC3" w:rsidR="00486246">
            <w:t xml:space="preserve">van </w:t>
          </w:r>
          <w:r w:rsidRPr="00994379" w:rsidR="00486246">
            <w:t>andere normen</w:t>
          </w:r>
          <w:r w:rsidRPr="00643AC3" w:rsidR="00BF5A83">
            <w:t xml:space="preserve">. </w:t>
          </w:r>
          <w:r w:rsidRPr="00643AC3" w:rsidR="00600DA4">
            <w:t xml:space="preserve">Deze vraag dringt zich op, omdat het </w:t>
          </w:r>
          <w:r w:rsidRPr="00643AC3" w:rsidR="00363D03">
            <w:t xml:space="preserve">niet ondenkbaar </w:t>
          </w:r>
          <w:r w:rsidRPr="00643AC3" w:rsidR="00600DA4">
            <w:t xml:space="preserve">is </w:t>
          </w:r>
          <w:r w:rsidRPr="00643AC3" w:rsidR="00363D03">
            <w:t xml:space="preserve">dat een handeling </w:t>
          </w:r>
          <w:r w:rsidRPr="00643AC3" w:rsidR="0074121B">
            <w:t xml:space="preserve">of gedraging </w:t>
          </w:r>
          <w:r w:rsidRPr="00643AC3" w:rsidR="00363D03">
            <w:t xml:space="preserve">van een poortwachter zowel een overtreding van de DMA als, bijvoorbeeld, van de </w:t>
          </w:r>
          <w:r w:rsidR="001E1605">
            <w:t xml:space="preserve">reguliere </w:t>
          </w:r>
          <w:r w:rsidRPr="00643AC3" w:rsidR="00363D03">
            <w:t>mededingingsregels oplevert. O</w:t>
          </w:r>
          <w:r w:rsidRPr="00643AC3" w:rsidR="00BF5A83">
            <w:t xml:space="preserve">nduidelijk </w:t>
          </w:r>
          <w:r w:rsidRPr="00643AC3" w:rsidR="00363D03">
            <w:t xml:space="preserve">is </w:t>
          </w:r>
          <w:r w:rsidRPr="00643AC3" w:rsidR="00BF5A83">
            <w:t xml:space="preserve">of de ACM in </w:t>
          </w:r>
          <w:r w:rsidRPr="00643AC3" w:rsidR="00363D03">
            <w:t xml:space="preserve">een dergelijk </w:t>
          </w:r>
          <w:r w:rsidRPr="00643AC3" w:rsidR="00BF5A83">
            <w:t xml:space="preserve">geval </w:t>
          </w:r>
          <w:r w:rsidR="002C725C">
            <w:t>haar</w:t>
          </w:r>
          <w:r w:rsidRPr="00643AC3" w:rsidR="002C725C">
            <w:t xml:space="preserve"> </w:t>
          </w:r>
          <w:r w:rsidRPr="00643AC3" w:rsidR="00BF5A83">
            <w:t xml:space="preserve">onderzoek </w:t>
          </w:r>
          <w:r w:rsidRPr="00643AC3" w:rsidR="00486246">
            <w:t>zal voortzetten</w:t>
          </w:r>
          <w:r w:rsidRPr="00643AC3" w:rsidR="00BA2BD1">
            <w:t xml:space="preserve"> </w:t>
          </w:r>
          <w:r w:rsidRPr="00643AC3" w:rsidR="00C46253">
            <w:t xml:space="preserve">of </w:t>
          </w:r>
          <w:r w:rsidRPr="00643AC3" w:rsidR="00E267A7">
            <w:t xml:space="preserve">dat </w:t>
          </w:r>
          <w:r w:rsidR="002C725C">
            <w:t>z</w:t>
          </w:r>
          <w:r w:rsidRPr="00643AC3" w:rsidR="00600DA4">
            <w:t xml:space="preserve">ij </w:t>
          </w:r>
          <w:r w:rsidRPr="00643AC3" w:rsidR="00E267A7">
            <w:t xml:space="preserve">toch </w:t>
          </w:r>
          <w:r w:rsidRPr="00643AC3" w:rsidR="00C46253">
            <w:t xml:space="preserve">het </w:t>
          </w:r>
          <w:r w:rsidRPr="00643AC3" w:rsidR="00CA5A63">
            <w:lastRenderedPageBreak/>
            <w:t xml:space="preserve">onderzoek van de Commissie </w:t>
          </w:r>
          <w:r w:rsidRPr="00643AC3" w:rsidR="008853C8">
            <w:t xml:space="preserve">zal </w:t>
          </w:r>
          <w:r w:rsidRPr="00643AC3" w:rsidR="00E267A7">
            <w:t>afwacht</w:t>
          </w:r>
          <w:r w:rsidRPr="00643AC3" w:rsidR="00600DA4">
            <w:t>en</w:t>
          </w:r>
          <w:r w:rsidRPr="00643AC3" w:rsidR="00AA2294">
            <w:t xml:space="preserve"> en zo ja, wat de gevolgen daarvan zijn</w:t>
          </w:r>
          <w:r w:rsidRPr="00643AC3" w:rsidR="00E267A7">
            <w:t xml:space="preserve">. </w:t>
          </w:r>
        </w:p>
        <w:p w:rsidRPr="00643AC3" w:rsidR="00AA2294" w:rsidRDefault="00AA2294" w14:paraId="0796DB24" w14:textId="77777777"/>
        <w:p w:rsidR="001E1045" w:rsidP="00C630A8" w:rsidRDefault="0039221F" w14:paraId="59D99EF5" w14:textId="51B7BADB">
          <w:r w:rsidRPr="00643AC3">
            <w:t xml:space="preserve">De Afdeling </w:t>
          </w:r>
          <w:r w:rsidR="00892E66">
            <w:t xml:space="preserve">merkt op dat het </w:t>
          </w:r>
          <w:r w:rsidRPr="00643AC3" w:rsidR="00942A86">
            <w:t>van belang</w:t>
          </w:r>
          <w:r w:rsidR="00892E66">
            <w:t xml:space="preserve"> is</w:t>
          </w:r>
          <w:r w:rsidRPr="00643AC3" w:rsidR="00942A86">
            <w:t xml:space="preserve"> dat in de toelichting </w:t>
          </w:r>
          <w:r w:rsidRPr="00643AC3" w:rsidR="007A6285">
            <w:t xml:space="preserve">op dit punt </w:t>
          </w:r>
          <w:r w:rsidRPr="00643AC3">
            <w:t xml:space="preserve">helderheid </w:t>
          </w:r>
          <w:r w:rsidRPr="00643AC3" w:rsidR="00942A86">
            <w:t xml:space="preserve">wordt gegeven, </w:t>
          </w:r>
          <w:r w:rsidRPr="00643AC3">
            <w:t xml:space="preserve">in het bijzonder </w:t>
          </w:r>
          <w:r w:rsidRPr="00643AC3" w:rsidR="00942A86">
            <w:t xml:space="preserve">gelet op de positie van </w:t>
          </w:r>
          <w:r w:rsidRPr="00643AC3" w:rsidR="00EA4159">
            <w:t xml:space="preserve">de aanbieders en gebruikers van online platforms. Voor </w:t>
          </w:r>
          <w:r w:rsidRPr="00643AC3" w:rsidR="003816A5">
            <w:t>hen</w:t>
          </w:r>
          <w:r w:rsidRPr="00643AC3" w:rsidR="00EA4159">
            <w:t xml:space="preserve"> </w:t>
          </w:r>
          <w:r w:rsidRPr="00643AC3">
            <w:t>moet</w:t>
          </w:r>
          <w:r w:rsidRPr="00643AC3" w:rsidR="00942A86">
            <w:t xml:space="preserve"> namelijk</w:t>
          </w:r>
          <w:r w:rsidRPr="00643AC3">
            <w:t xml:space="preserve"> duidelijk zijn hoe </w:t>
          </w:r>
          <w:r w:rsidRPr="00643AC3" w:rsidR="00D76753">
            <w:t xml:space="preserve">wordt omgegaan </w:t>
          </w:r>
          <w:r w:rsidRPr="00643AC3">
            <w:t xml:space="preserve">met klachten of signalen </w:t>
          </w:r>
          <w:r w:rsidRPr="00643AC3" w:rsidR="00D76753">
            <w:t xml:space="preserve">van gebruikers </w:t>
          </w:r>
          <w:r w:rsidRPr="00643AC3">
            <w:t xml:space="preserve">en of deze eventueel </w:t>
          </w:r>
          <w:r w:rsidRPr="00643AC3" w:rsidR="00D76753">
            <w:t xml:space="preserve">ook </w:t>
          </w:r>
          <w:r w:rsidRPr="00643AC3">
            <w:t>op grond van een ander instrument</w:t>
          </w:r>
          <w:r w:rsidRPr="00643AC3" w:rsidR="00006D06">
            <w:t xml:space="preserve"> </w:t>
          </w:r>
          <w:r w:rsidRPr="00643AC3" w:rsidR="0001199C">
            <w:t>–</w:t>
          </w:r>
          <w:r w:rsidRPr="00643AC3" w:rsidR="00006D06">
            <w:t xml:space="preserve"> </w:t>
          </w:r>
          <w:r w:rsidRPr="00643AC3">
            <w:t xml:space="preserve">zoals het generieke mededingings- of consumentenrecht of de P2B-verordening </w:t>
          </w:r>
          <w:r w:rsidRPr="00643AC3" w:rsidR="0001199C">
            <w:t>–</w:t>
          </w:r>
          <w:r w:rsidRPr="00643AC3" w:rsidR="00006D06">
            <w:t xml:space="preserve"> </w:t>
          </w:r>
          <w:r w:rsidRPr="00643AC3">
            <w:t xml:space="preserve">zullen worden onderzocht. </w:t>
          </w:r>
        </w:p>
        <w:p w:rsidR="001E1045" w:rsidP="00C630A8" w:rsidRDefault="001E1045" w14:paraId="0C5932AC" w14:textId="77777777"/>
        <w:p w:rsidR="00D3100F" w:rsidP="00C630A8" w:rsidRDefault="0025456F" w14:paraId="098FBB65" w14:textId="56C7B6CB">
          <w:pPr>
            <w:rPr>
              <w:i/>
              <w:iCs/>
            </w:rPr>
          </w:pPr>
          <w:r>
            <w:t>D</w:t>
          </w:r>
          <w:r w:rsidRPr="00643AC3" w:rsidR="0001199C">
            <w:t xml:space="preserve">aarnaast </w:t>
          </w:r>
          <w:r w:rsidR="00271690">
            <w:t xml:space="preserve">rijst </w:t>
          </w:r>
          <w:r w:rsidRPr="00643AC3" w:rsidR="004941F8">
            <w:t>de vraag ho</w:t>
          </w:r>
          <w:r w:rsidRPr="00643AC3" w:rsidR="000B2002">
            <w:t>e</w:t>
          </w:r>
          <w:r w:rsidR="001E7FFC">
            <w:t xml:space="preserve"> </w:t>
          </w:r>
          <w:r w:rsidR="00D3100F">
            <w:t>–</w:t>
          </w:r>
          <w:r w:rsidRPr="00643AC3" w:rsidR="00A60E36">
            <w:t xml:space="preserve"> in het geval de ACM </w:t>
          </w:r>
          <w:r w:rsidRPr="00643AC3" w:rsidR="00254829">
            <w:t xml:space="preserve">op grond van het </w:t>
          </w:r>
          <w:r w:rsidR="001E1605">
            <w:t xml:space="preserve">reguliere </w:t>
          </w:r>
          <w:r w:rsidRPr="00643AC3" w:rsidR="00254829">
            <w:t xml:space="preserve">mededingingsrecht en </w:t>
          </w:r>
          <w:r w:rsidRPr="00643AC3" w:rsidR="00A60E36">
            <w:t xml:space="preserve">de Commissie </w:t>
          </w:r>
          <w:r w:rsidRPr="00643AC3" w:rsidR="00254829">
            <w:t xml:space="preserve">op grond van de DMA </w:t>
          </w:r>
          <w:r w:rsidRPr="00643AC3" w:rsidR="00A60E36">
            <w:t>tot handhaving overgaan</w:t>
          </w:r>
          <w:r w:rsidR="001E7FFC">
            <w:t xml:space="preserve"> </w:t>
          </w:r>
          <w:r w:rsidR="00D3100F">
            <w:t>–</w:t>
          </w:r>
          <w:r w:rsidRPr="00643AC3" w:rsidR="000B2002">
            <w:t xml:space="preserve"> </w:t>
          </w:r>
          <w:r w:rsidRPr="00643AC3" w:rsidR="0067752B">
            <w:t xml:space="preserve">concreet </w:t>
          </w:r>
          <w:r w:rsidRPr="00643AC3" w:rsidR="0039221F">
            <w:t xml:space="preserve">wordt gewaarborgd </w:t>
          </w:r>
          <w:r w:rsidRPr="00643AC3" w:rsidR="002213DC">
            <w:t xml:space="preserve">dat </w:t>
          </w:r>
          <w:r w:rsidRPr="00643AC3" w:rsidR="00ED378E">
            <w:t xml:space="preserve">het opleggen van </w:t>
          </w:r>
          <w:r w:rsidRPr="00643AC3" w:rsidR="00E55D86">
            <w:t xml:space="preserve">de </w:t>
          </w:r>
          <w:r w:rsidRPr="00643AC3" w:rsidR="00ED378E">
            <w:t xml:space="preserve">verschillende </w:t>
          </w:r>
          <w:r w:rsidRPr="00643AC3" w:rsidR="002213DC">
            <w:t xml:space="preserve">handhavingsmaatregelen </w:t>
          </w:r>
          <w:r w:rsidR="00474363">
            <w:t xml:space="preserve">met een punitief karakter </w:t>
          </w:r>
          <w:r w:rsidRPr="00643AC3" w:rsidR="00C33D9C">
            <w:t xml:space="preserve">voor dezelfde materiële feiten </w:t>
          </w:r>
          <w:r w:rsidRPr="00643AC3" w:rsidR="002213DC">
            <w:t xml:space="preserve">niet in strijd </w:t>
          </w:r>
          <w:r w:rsidRPr="00643AC3" w:rsidR="00C21482">
            <w:t xml:space="preserve">komt </w:t>
          </w:r>
          <w:r w:rsidRPr="00643AC3" w:rsidR="002213DC">
            <w:t xml:space="preserve">met het beginsel van </w:t>
          </w:r>
          <w:r w:rsidRPr="00994379" w:rsidR="002213DC">
            <w:t>ne bis in idem</w:t>
          </w:r>
          <w:r w:rsidRPr="00643AC3" w:rsidR="002213DC">
            <w:rPr>
              <w:i/>
              <w:iCs/>
            </w:rPr>
            <w:t>.</w:t>
          </w:r>
          <w:r w:rsidR="00CA6674">
            <w:rPr>
              <w:rStyle w:val="Voetnootmarkering"/>
            </w:rPr>
            <w:footnoteReference w:id="18"/>
          </w:r>
          <w:r w:rsidRPr="00643AC3" w:rsidR="00BC277B">
            <w:rPr>
              <w:i/>
              <w:iCs/>
            </w:rPr>
            <w:t xml:space="preserve"> </w:t>
          </w:r>
        </w:p>
        <w:p w:rsidR="00D3100F" w:rsidP="00C630A8" w:rsidRDefault="00D3100F" w14:paraId="51D54662" w14:textId="77777777">
          <w:pPr>
            <w:rPr>
              <w:i/>
              <w:iCs/>
            </w:rPr>
          </w:pPr>
        </w:p>
        <w:p w:rsidRPr="00643AC3" w:rsidR="00684F02" w:rsidP="00C630A8" w:rsidRDefault="008845F5" w14:paraId="5DD323B1" w14:textId="76F9378E">
          <w:r w:rsidRPr="00643AC3">
            <w:t xml:space="preserve">In de toelichting wordt </w:t>
          </w:r>
          <w:r w:rsidR="004B69A5">
            <w:t>alleen</w:t>
          </w:r>
          <w:r w:rsidRPr="00643AC3">
            <w:t xml:space="preserve"> opgemerkt dat </w:t>
          </w:r>
          <w:r w:rsidRPr="00643AC3" w:rsidR="00352E76">
            <w:t xml:space="preserve">met de uitwisseling </w:t>
          </w:r>
          <w:r w:rsidRPr="00643AC3" w:rsidR="00416A5C">
            <w:t xml:space="preserve">van informatie tussen toezichthouders via het Europese mededingingsnetwerk (ECN) </w:t>
          </w:r>
          <w:r w:rsidRPr="00643AC3" w:rsidR="00AF597C">
            <w:t>het waarborgen van dit beginsel wordt nagestreefd.</w:t>
          </w:r>
          <w:r w:rsidR="00121088">
            <w:rPr>
              <w:rStyle w:val="Voetnootmarkering"/>
            </w:rPr>
            <w:footnoteReference w:id="19"/>
          </w:r>
          <w:r w:rsidR="008F31DA">
            <w:t xml:space="preserve"> Niet wordt </w:t>
          </w:r>
          <w:r w:rsidR="004B69A5">
            <w:t xml:space="preserve">ingegaan op de vereisten die in de </w:t>
          </w:r>
          <w:r w:rsidR="00233B01">
            <w:t xml:space="preserve">(recente) </w:t>
          </w:r>
          <w:r w:rsidR="00E342EF">
            <w:t xml:space="preserve">Europese </w:t>
          </w:r>
          <w:r w:rsidR="004B69A5">
            <w:t>rechtspraak hieromtrent zijn ontwikkeld.</w:t>
          </w:r>
          <w:r w:rsidR="00E342EF">
            <w:rPr>
              <w:rStyle w:val="Voetnootmarkering"/>
            </w:rPr>
            <w:footnoteReference w:id="20"/>
          </w:r>
          <w:r w:rsidR="004B69A5">
            <w:t xml:space="preserve"> </w:t>
          </w:r>
          <w:r w:rsidR="00206724">
            <w:t xml:space="preserve">Een beschouwing hierover </w:t>
          </w:r>
          <w:r w:rsidR="00367AE7">
            <w:t xml:space="preserve">in de toelichting </w:t>
          </w:r>
          <w:r w:rsidR="00E71E3E">
            <w:t xml:space="preserve">ligt in de rede, omdat dat </w:t>
          </w:r>
          <w:r w:rsidR="003F6234">
            <w:t xml:space="preserve">de nodige duidelijkheid </w:t>
          </w:r>
          <w:r w:rsidR="00E71E3E">
            <w:t xml:space="preserve">kan </w:t>
          </w:r>
          <w:r w:rsidR="003F6234">
            <w:t xml:space="preserve">geven </w:t>
          </w:r>
          <w:r w:rsidR="00206724">
            <w:t xml:space="preserve">voor </w:t>
          </w:r>
          <w:r w:rsidR="00957269">
            <w:t>de recht</w:t>
          </w:r>
          <w:r w:rsidR="00E342EF">
            <w:t>spraktijk</w:t>
          </w:r>
          <w:r w:rsidR="00233B01">
            <w:t xml:space="preserve">. </w:t>
          </w:r>
        </w:p>
        <w:p w:rsidR="00A41EBD" w:rsidRDefault="00A41EBD" w14:paraId="5A76D566" w14:textId="77777777"/>
        <w:p w:rsidR="00A41EBD" w:rsidRDefault="00A41EBD" w14:paraId="795228ED" w14:textId="6727354F">
          <w:r>
            <w:t xml:space="preserve">De Afdeling adviseert </w:t>
          </w:r>
          <w:r w:rsidR="008632C7">
            <w:t xml:space="preserve">de toelichting </w:t>
          </w:r>
          <w:r w:rsidRPr="00643AC3" w:rsidR="0088604A">
            <w:t xml:space="preserve">op deze punten </w:t>
          </w:r>
          <w:r w:rsidR="008632C7">
            <w:t>aan te vullen.</w:t>
          </w:r>
          <w:r w:rsidR="00007658">
            <w:t xml:space="preserve"> </w:t>
          </w:r>
        </w:p>
        <w:p w:rsidR="001332F1" w:rsidRDefault="001332F1" w14:paraId="6B6AEF21" w14:textId="77777777"/>
        <w:p w:rsidR="007A0020" w:rsidRDefault="00384C48" w14:paraId="5C0E7E3D" w14:textId="3A892741">
          <w:r>
            <w:t>3</w:t>
          </w:r>
          <w:r w:rsidR="007A0020">
            <w:t>.</w:t>
          </w:r>
          <w:r w:rsidR="007A0020">
            <w:tab/>
          </w:r>
          <w:r w:rsidRPr="0024345D" w:rsidR="007A0020">
            <w:rPr>
              <w:u w:val="single"/>
            </w:rPr>
            <w:t xml:space="preserve">Verhouding tussen </w:t>
          </w:r>
          <w:r w:rsidR="00DB7BEF">
            <w:rPr>
              <w:u w:val="single"/>
            </w:rPr>
            <w:t xml:space="preserve">toezicht op de </w:t>
          </w:r>
          <w:r w:rsidRPr="0024345D" w:rsidR="007A0020">
            <w:rPr>
              <w:u w:val="single"/>
            </w:rPr>
            <w:t xml:space="preserve">DMA en </w:t>
          </w:r>
          <w:r w:rsidR="00DB7BEF">
            <w:rPr>
              <w:u w:val="single"/>
            </w:rPr>
            <w:t xml:space="preserve">de </w:t>
          </w:r>
          <w:r w:rsidRPr="0024345D" w:rsidR="007A0020">
            <w:rPr>
              <w:u w:val="single"/>
            </w:rPr>
            <w:t>AVG</w:t>
          </w:r>
        </w:p>
        <w:p w:rsidR="00D22349" w:rsidRDefault="00D22349" w14:paraId="1BACE759" w14:textId="77777777"/>
        <w:p w:rsidR="00D3100F" w:rsidRDefault="00A320BB" w14:paraId="044A0930" w14:textId="77777777">
          <w:r>
            <w:t>Zoals hiervóór opgemerkt, heeft d</w:t>
          </w:r>
          <w:r w:rsidR="00351EED">
            <w:t xml:space="preserve">e </w:t>
          </w:r>
          <w:r w:rsidR="00DA18AA">
            <w:t xml:space="preserve">DMA </w:t>
          </w:r>
          <w:r w:rsidR="00A646F7">
            <w:t xml:space="preserve">raakvlakken met </w:t>
          </w:r>
          <w:r w:rsidRPr="00A646F7" w:rsidR="00A646F7">
            <w:t xml:space="preserve">de regels van </w:t>
          </w:r>
          <w:r w:rsidR="00706136">
            <w:t xml:space="preserve">de </w:t>
          </w:r>
          <w:r>
            <w:t xml:space="preserve">AVG. </w:t>
          </w:r>
          <w:r w:rsidR="005A04CF">
            <w:t xml:space="preserve">Zo </w:t>
          </w:r>
          <w:r w:rsidR="008B0E6F">
            <w:t xml:space="preserve">voorziet de DMA </w:t>
          </w:r>
          <w:r w:rsidRPr="008B0E6F" w:rsidR="008B0E6F">
            <w:t xml:space="preserve">onder andere </w:t>
          </w:r>
          <w:r w:rsidR="008B0E6F">
            <w:t xml:space="preserve">in </w:t>
          </w:r>
          <w:r w:rsidRPr="008B0E6F" w:rsidR="008B0E6F">
            <w:t>een verbod op het combineren van data van de kernplatformdienst met data van andere diensten van de poortwachter en mag de poortwachter eindgebruikers niet automatisch bij andere diensten van de poortwachter laten inloggen, zodat data kunnen worden gecombineerd.</w:t>
          </w:r>
          <w:r w:rsidR="008B0E6F">
            <w:rPr>
              <w:rStyle w:val="Voetnootmarkering"/>
            </w:rPr>
            <w:footnoteReference w:id="21"/>
          </w:r>
          <w:r w:rsidR="0090274A">
            <w:t xml:space="preserve"> Dit mag wel als de eindgeb</w:t>
          </w:r>
          <w:r w:rsidR="00D213E2">
            <w:t>ruiker</w:t>
          </w:r>
          <w:r w:rsidR="005B4308">
            <w:t xml:space="preserve"> de</w:t>
          </w:r>
          <w:r w:rsidR="00D213E2">
            <w:t xml:space="preserve"> </w:t>
          </w:r>
          <w:r w:rsidR="005B4308">
            <w:t xml:space="preserve">specifieke keuze heeft gekregen en </w:t>
          </w:r>
          <w:r w:rsidR="00D213E2">
            <w:t>toestemming heeft verleend.</w:t>
          </w:r>
          <w:r w:rsidR="00DC651A">
            <w:t xml:space="preserve"> </w:t>
          </w:r>
        </w:p>
        <w:p w:rsidR="00D3100F" w:rsidRDefault="00D3100F" w14:paraId="1926418B" w14:textId="77777777"/>
        <w:p w:rsidR="00351EED" w:rsidRDefault="00DC651A" w14:paraId="6AA81502" w14:textId="43045B10">
          <w:r w:rsidRPr="00DC651A">
            <w:t xml:space="preserve">Op grond van </w:t>
          </w:r>
          <w:r>
            <w:t>de AVG</w:t>
          </w:r>
          <w:r w:rsidRPr="00DC651A">
            <w:t xml:space="preserve"> is de verwerking van persoonsgegevens, waar mede het combineren van persoonsgegevens onder wordt begrepen, alleen rechtmatig indien dit </w:t>
          </w:r>
          <w:r w:rsidRPr="00DC651A" w:rsidR="00557DFA">
            <w:t xml:space="preserve">is </w:t>
          </w:r>
          <w:r w:rsidRPr="00DC651A">
            <w:t xml:space="preserve">gebaseerd op een van de rechtsgrondslagen in artikel 6 van de AVG. </w:t>
          </w:r>
          <w:r w:rsidR="005C3E06">
            <w:lastRenderedPageBreak/>
            <w:t xml:space="preserve">De DMA </w:t>
          </w:r>
          <w:r w:rsidRPr="005C3E06" w:rsidR="005C3E06">
            <w:t xml:space="preserve">gaat op enkele punten verder dan de AVG. </w:t>
          </w:r>
          <w:r w:rsidR="005C3E06">
            <w:t>Zo</w:t>
          </w:r>
          <w:r w:rsidR="005231D5">
            <w:t xml:space="preserve"> </w:t>
          </w:r>
          <w:r w:rsidR="00250514">
            <w:t>kan ingevolge</w:t>
          </w:r>
          <w:r w:rsidRPr="005231D5" w:rsidR="00250514">
            <w:t xml:space="preserve"> </w:t>
          </w:r>
          <w:r w:rsidRPr="005231D5" w:rsidR="005231D5">
            <w:t xml:space="preserve">de </w:t>
          </w:r>
          <w:r w:rsidR="005231D5">
            <w:t>DMA</w:t>
          </w:r>
          <w:r w:rsidRPr="005231D5" w:rsidR="005231D5">
            <w:t xml:space="preserve"> het verwerk</w:t>
          </w:r>
          <w:r w:rsidR="00250514">
            <w:t>en</w:t>
          </w:r>
          <w:r w:rsidRPr="005231D5" w:rsidR="005231D5">
            <w:t xml:space="preserve"> van persoonsgegevens, genoemd in artikel 5, tweede lid, van de </w:t>
          </w:r>
          <w:r w:rsidR="005231D5">
            <w:t>DMA</w:t>
          </w:r>
          <w:r w:rsidR="00250514">
            <w:t xml:space="preserve"> niet worden gebaseerd </w:t>
          </w:r>
          <w:r w:rsidRPr="005231D5" w:rsidR="005231D5">
            <w:t>op de grondslagen genoemd in artikel 6, eerste lid, onderdelen b en f van de AVG</w:t>
          </w:r>
          <w:r w:rsidR="005231D5">
            <w:t>.</w:t>
          </w:r>
          <w:r w:rsidR="005231D5">
            <w:rPr>
              <w:rStyle w:val="Voetnootmarkering"/>
            </w:rPr>
            <w:footnoteReference w:id="22"/>
          </w:r>
        </w:p>
        <w:p w:rsidR="006942A7" w:rsidRDefault="006942A7" w14:paraId="5FBB3070" w14:textId="77777777"/>
        <w:p w:rsidR="006942A7" w:rsidRDefault="006C52BB" w14:paraId="338C7710" w14:textId="42E4F57B">
          <w:r>
            <w:t xml:space="preserve">Er </w:t>
          </w:r>
          <w:r w:rsidR="00AC3653">
            <w:t>bestaan</w:t>
          </w:r>
          <w:r>
            <w:t xml:space="preserve"> </w:t>
          </w:r>
          <w:r w:rsidR="00572778">
            <w:t>dus</w:t>
          </w:r>
          <w:r>
            <w:t xml:space="preserve"> </w:t>
          </w:r>
          <w:r w:rsidR="006B3030">
            <w:t xml:space="preserve">sterke </w:t>
          </w:r>
          <w:r>
            <w:t>inhoudelijk</w:t>
          </w:r>
          <w:r w:rsidR="006B3030">
            <w:t>e</w:t>
          </w:r>
          <w:r>
            <w:t xml:space="preserve"> </w:t>
          </w:r>
          <w:r w:rsidR="006942A7">
            <w:t xml:space="preserve">raakvlakken tussen de </w:t>
          </w:r>
          <w:r>
            <w:t xml:space="preserve">normen van de </w:t>
          </w:r>
          <w:r w:rsidR="006942A7">
            <w:t>DMA en de AVG</w:t>
          </w:r>
          <w:r>
            <w:t xml:space="preserve">, waarbij de uitleg van de </w:t>
          </w:r>
          <w:r w:rsidR="00D42FFC">
            <w:t xml:space="preserve">AVG ook </w:t>
          </w:r>
          <w:r w:rsidR="003B7D7F">
            <w:t xml:space="preserve">van </w:t>
          </w:r>
          <w:r w:rsidR="00D42FFC">
            <w:t xml:space="preserve">betekenis kan </w:t>
          </w:r>
          <w:r w:rsidR="003B7D7F">
            <w:t xml:space="preserve">zijn </w:t>
          </w:r>
          <w:r w:rsidR="00D42FFC">
            <w:t>voor de uitleg van de DMA</w:t>
          </w:r>
          <w:r w:rsidR="00197808">
            <w:t xml:space="preserve"> en </w:t>
          </w:r>
          <w:r w:rsidRPr="00994379" w:rsidR="00197808">
            <w:t>vice versa</w:t>
          </w:r>
          <w:r w:rsidR="00D42FFC">
            <w:t xml:space="preserve">. </w:t>
          </w:r>
          <w:r w:rsidR="00FA0AAA">
            <w:t xml:space="preserve">Het toezicht en de handhaving </w:t>
          </w:r>
          <w:r w:rsidR="00D42FFC">
            <w:t xml:space="preserve">is </w:t>
          </w:r>
          <w:r w:rsidR="00FA0AAA">
            <w:t xml:space="preserve">echter bij verschillende autoriteiten belegd. </w:t>
          </w:r>
          <w:r w:rsidR="001B15CA">
            <w:t>Waa</w:t>
          </w:r>
          <w:r w:rsidR="00FD4E73">
            <w:t>r</w:t>
          </w:r>
          <w:r w:rsidR="00D42FFC">
            <w:t xml:space="preserve"> </w:t>
          </w:r>
          <w:r w:rsidR="00CC3D72">
            <w:t xml:space="preserve">de Autoriteit Persoonsgegevens op grond </w:t>
          </w:r>
          <w:r w:rsidR="00CA1E05">
            <w:t xml:space="preserve">van de AVG handhavend </w:t>
          </w:r>
          <w:r w:rsidR="006F424B">
            <w:t xml:space="preserve">kan optreden </w:t>
          </w:r>
          <w:r w:rsidR="00CA1E05">
            <w:t xml:space="preserve">jegens poortwachters, </w:t>
          </w:r>
          <w:r w:rsidRPr="00D53BEC" w:rsidR="001B15CA">
            <w:t>kan</w:t>
          </w:r>
          <w:r w:rsidR="00CA1E05">
            <w:t xml:space="preserve"> de Commissie dat </w:t>
          </w:r>
          <w:r w:rsidRPr="00D53BEC" w:rsidR="00184937">
            <w:t xml:space="preserve">doen </w:t>
          </w:r>
          <w:r w:rsidR="00CA1E05">
            <w:t>op grond van de DMA</w:t>
          </w:r>
          <w:r w:rsidRPr="00D53BEC" w:rsidR="00CA1E05">
            <w:t>.</w:t>
          </w:r>
          <w:r w:rsidR="00CA1E05">
            <w:t xml:space="preserve"> </w:t>
          </w:r>
          <w:r w:rsidR="00B22170">
            <w:t xml:space="preserve">Dit doet de vraag rijzen hoe wordt gewaarborgd dat </w:t>
          </w:r>
          <w:r w:rsidR="00197808">
            <w:t xml:space="preserve">de </w:t>
          </w:r>
          <w:r w:rsidR="00DD0309">
            <w:t xml:space="preserve">uitleg van de </w:t>
          </w:r>
          <w:r w:rsidR="00197808">
            <w:t xml:space="preserve">verschillende toezichthouders </w:t>
          </w:r>
          <w:r w:rsidR="00D52782">
            <w:t>van</w:t>
          </w:r>
          <w:r w:rsidR="00DD0309">
            <w:t xml:space="preserve"> deze deels gelijk</w:t>
          </w:r>
          <w:r w:rsidR="00AB4FFC">
            <w:t xml:space="preserve">luidende normen </w:t>
          </w:r>
          <w:r w:rsidR="001A310C">
            <w:t>(</w:t>
          </w:r>
          <w:r w:rsidR="00054C9C">
            <w:t>en de handhaving daarvan</w:t>
          </w:r>
          <w:r w:rsidR="001A310C">
            <w:t>)</w:t>
          </w:r>
          <w:r w:rsidR="00054C9C">
            <w:t xml:space="preserve"> </w:t>
          </w:r>
          <w:r w:rsidR="00673D25">
            <w:t xml:space="preserve">met elkaar stroken. </w:t>
          </w:r>
        </w:p>
        <w:p w:rsidR="00351EED" w:rsidRDefault="00351EED" w14:paraId="71530442" w14:textId="77777777"/>
        <w:p w:rsidR="007C75E3" w:rsidRDefault="004717F4" w14:paraId="5089B922" w14:textId="70EAECD8">
          <w:r>
            <w:t xml:space="preserve">In de toelichting wordt </w:t>
          </w:r>
          <w:r w:rsidR="00FE18D7">
            <w:t xml:space="preserve">wel </w:t>
          </w:r>
          <w:r>
            <w:t xml:space="preserve">ingegaan op de samenwerking tussen de ACM en andere nationale toezichthouders, </w:t>
          </w:r>
          <w:r w:rsidRPr="00D53BEC" w:rsidR="000D3FAA">
            <w:t>zoals</w:t>
          </w:r>
          <w:r>
            <w:t xml:space="preserve"> de AP. </w:t>
          </w:r>
          <w:r w:rsidR="0010002C">
            <w:t xml:space="preserve">Ook wordt </w:t>
          </w:r>
          <w:r w:rsidR="00D15391">
            <w:t xml:space="preserve">erop gewezen dat de Commissie, vanuit haar </w:t>
          </w:r>
          <w:r w:rsidRPr="00D95E87" w:rsidR="00D31B00">
            <w:t>coördinerende rol</w:t>
          </w:r>
          <w:r w:rsidRPr="00D53BEC" w:rsidR="00ED08AC">
            <w:t xml:space="preserve"> </w:t>
          </w:r>
          <w:r w:rsidRPr="00643AC3" w:rsidR="00ED08AC">
            <w:t xml:space="preserve">en via het </w:t>
          </w:r>
          <w:r w:rsidRPr="00643AC3" w:rsidR="001807F9">
            <w:t>ECN</w:t>
          </w:r>
          <w:r w:rsidR="00D15391">
            <w:t>,</w:t>
          </w:r>
          <w:r w:rsidRPr="00D95E87" w:rsidR="00D31B00">
            <w:t xml:space="preserve"> </w:t>
          </w:r>
          <w:r w:rsidR="00D15391">
            <w:t xml:space="preserve">kan </w:t>
          </w:r>
          <w:r w:rsidRPr="00D95E87" w:rsidR="00D31B00">
            <w:t xml:space="preserve">helpen voorkomen dat onnodig overlappende onderzoeken </w:t>
          </w:r>
          <w:r w:rsidR="009B4C20">
            <w:t xml:space="preserve">in het kader van de DMA </w:t>
          </w:r>
          <w:r w:rsidRPr="00D95E87" w:rsidR="00D31B00">
            <w:t>plaatsvinden.</w:t>
          </w:r>
          <w:r w:rsidR="00E65A52">
            <w:rPr>
              <w:rStyle w:val="Voetnootmarkering"/>
            </w:rPr>
            <w:footnoteReference w:id="23"/>
          </w:r>
          <w:r w:rsidR="00D31B00">
            <w:t xml:space="preserve"> </w:t>
          </w:r>
          <w:r w:rsidR="009B4C20">
            <w:t xml:space="preserve">Uit de toelichting wordt </w:t>
          </w:r>
          <w:r w:rsidR="00D15391">
            <w:t xml:space="preserve">echter niet </w:t>
          </w:r>
          <w:r w:rsidR="009B4C20">
            <w:t xml:space="preserve">duidelijk hoe de afstemming tussen </w:t>
          </w:r>
          <w:r w:rsidRPr="00643AC3" w:rsidR="002D2618">
            <w:t xml:space="preserve">de Commissie en </w:t>
          </w:r>
          <w:r w:rsidRPr="00643AC3" w:rsidR="009B4C20">
            <w:t xml:space="preserve">nationale </w:t>
          </w:r>
          <w:r w:rsidRPr="00643AC3" w:rsidR="003340D3">
            <w:t>gegevensbeschermingsautoriteiten</w:t>
          </w:r>
          <w:r w:rsidRPr="00643AC3" w:rsidR="009B4C20">
            <w:t>, zoals de AP,</w:t>
          </w:r>
          <w:r w:rsidRPr="00643AC3" w:rsidR="002D2618">
            <w:t xml:space="preserve"> </w:t>
          </w:r>
          <w:r w:rsidRPr="00643AC3" w:rsidR="009B4C20">
            <w:t>plaatsvindt</w:t>
          </w:r>
          <w:r w:rsidRPr="00643AC3" w:rsidR="00EE00DA">
            <w:t xml:space="preserve"> en </w:t>
          </w:r>
          <w:r w:rsidRPr="00643AC3" w:rsidR="00F0007C">
            <w:t>o</w:t>
          </w:r>
          <w:r w:rsidRPr="00643AC3" w:rsidR="00857C5C">
            <w:t>f</w:t>
          </w:r>
          <w:r w:rsidR="00B2127A">
            <w:t>,</w:t>
          </w:r>
          <w:r w:rsidRPr="00643AC3" w:rsidR="00857C5C">
            <w:t xml:space="preserve"> en zo ja </w:t>
          </w:r>
          <w:r w:rsidRPr="00643AC3" w:rsidR="00EE00DA">
            <w:t xml:space="preserve">hoe een consistente uitleg van </w:t>
          </w:r>
          <w:r w:rsidRPr="00643AC3" w:rsidR="006F4FDE">
            <w:t xml:space="preserve">de </w:t>
          </w:r>
          <w:r w:rsidRPr="00643AC3" w:rsidR="00A12818">
            <w:t>AVG</w:t>
          </w:r>
          <w:r w:rsidRPr="00643AC3" w:rsidR="006F4FDE">
            <w:t xml:space="preserve"> en DMA wordt gewaarborgd. </w:t>
          </w:r>
          <w:r w:rsidRPr="00643AC3" w:rsidR="003243ED">
            <w:t xml:space="preserve">Daarbij merkt de Afdeling op dat uit de toelichting niet blijkt dat in het kader van de voorbereiding van dit wetsvoorstel </w:t>
          </w:r>
          <w:r w:rsidRPr="00643AC3" w:rsidR="00811BD5">
            <w:t xml:space="preserve">de </w:t>
          </w:r>
          <w:r w:rsidRPr="00643AC3" w:rsidR="003243ED">
            <w:t xml:space="preserve">AP </w:t>
          </w:r>
          <w:r w:rsidRPr="00643AC3" w:rsidR="00811BD5">
            <w:t xml:space="preserve">hierover is geconsulteerd. </w:t>
          </w:r>
          <w:r w:rsidRPr="00643AC3" w:rsidR="00857C5C">
            <w:t>Dat had naar het oordeel van de Afde</w:t>
          </w:r>
          <w:r w:rsidRPr="00643AC3" w:rsidR="00572FC0">
            <w:t>ling wel in de rede gelegen.</w:t>
          </w:r>
          <w:r w:rsidR="00585F74">
            <w:t xml:space="preserve"> </w:t>
          </w:r>
        </w:p>
        <w:p w:rsidR="007C75E3" w:rsidRDefault="007C75E3" w14:paraId="09A2889E" w14:textId="77777777"/>
        <w:p w:rsidR="00A41EBD" w:rsidRDefault="005541A2" w14:paraId="705A12EC" w14:textId="7273F8F5">
          <w:r>
            <w:t>Evenmin wordt duidelijk in hoeverre de zogenoemde “</w:t>
          </w:r>
          <w:r w:rsidRPr="00A41EBD" w:rsidR="00A41EBD">
            <w:t>groep op hoog niveau</w:t>
          </w:r>
          <w:r>
            <w:t>”</w:t>
          </w:r>
          <w:r w:rsidR="002C2DA6">
            <w:rPr>
              <w:rStyle w:val="Voetnootmarkering"/>
            </w:rPr>
            <w:footnoteReference w:id="24"/>
          </w:r>
          <w:r w:rsidRPr="00A41EBD" w:rsidR="00A41EBD">
            <w:t xml:space="preserve"> </w:t>
          </w:r>
          <w:r>
            <w:t>in deze een rol kan spelen.</w:t>
          </w:r>
          <w:r w:rsidRPr="00A41EBD" w:rsidR="00A41EBD">
            <w:t xml:space="preserve"> Deze groep bestaat uit Europese organen en netwerken</w:t>
          </w:r>
          <w:r>
            <w:t>,</w:t>
          </w:r>
          <w:r w:rsidR="00345D05">
            <w:rPr>
              <w:rStyle w:val="Voetnootmarkering"/>
            </w:rPr>
            <w:footnoteReference w:id="25"/>
          </w:r>
          <w:r w:rsidRPr="00A41EBD" w:rsidR="00A41EBD">
            <w:t xml:space="preserve"> en </w:t>
          </w:r>
          <w:r w:rsidR="00E455EF">
            <w:t>geeft</w:t>
          </w:r>
          <w:r w:rsidRPr="00A41EBD" w:rsidR="00A41EBD">
            <w:t xml:space="preserve"> de Commissie advies </w:t>
          </w:r>
          <w:r w:rsidR="00D86EB2">
            <w:t>over</w:t>
          </w:r>
          <w:r w:rsidRPr="00A41EBD" w:rsidR="00A41EBD">
            <w:t xml:space="preserve"> algemene kwesties in het kader van de uitvoering of handhaving van de </w:t>
          </w:r>
          <w:r w:rsidR="00066FAC">
            <w:t>DMA</w:t>
          </w:r>
          <w:r w:rsidR="00D86EB2">
            <w:t xml:space="preserve"> en </w:t>
          </w:r>
          <w:r w:rsidR="00E455EF">
            <w:t>beoogt</w:t>
          </w:r>
          <w:r w:rsidRPr="00A41EBD" w:rsidR="00A41EBD">
            <w:t xml:space="preserve"> een consistente reguleringsaanpak te bevorderen.</w:t>
          </w:r>
          <w:r w:rsidR="00A41EBD">
            <w:rPr>
              <w:rStyle w:val="Voetnootmarkering"/>
            </w:rPr>
            <w:footnoteReference w:id="26"/>
          </w:r>
          <w:r w:rsidR="0050345C">
            <w:t xml:space="preserve"> </w:t>
          </w:r>
          <w:r w:rsidR="007C75E3">
            <w:t xml:space="preserve">Onduidelijk is of </w:t>
          </w:r>
          <w:r w:rsidR="00114C29">
            <w:t xml:space="preserve">in dat </w:t>
          </w:r>
          <w:r w:rsidR="00E455EF">
            <w:t xml:space="preserve">gremium ook </w:t>
          </w:r>
          <w:r w:rsidR="005434C5">
            <w:t xml:space="preserve">in specifieke dossiers </w:t>
          </w:r>
          <w:r w:rsidR="00B4189B">
            <w:t xml:space="preserve">de </w:t>
          </w:r>
          <w:r w:rsidR="00801C7D">
            <w:t xml:space="preserve">nodige afstemming over de uitleg en toepassing van de AVG en DMA </w:t>
          </w:r>
          <w:r w:rsidR="005434C5">
            <w:t xml:space="preserve">zal en kan </w:t>
          </w:r>
          <w:r w:rsidR="00801C7D">
            <w:t xml:space="preserve">plaatsvinden. </w:t>
          </w:r>
        </w:p>
        <w:p w:rsidR="0005663B" w:rsidRDefault="0005663B" w14:paraId="035FD8D2" w14:textId="77777777"/>
        <w:p w:rsidR="00D3100F" w:rsidP="0005663B" w:rsidRDefault="0005663B" w14:paraId="3C8C26C3" w14:textId="41D75C77">
          <w:r>
            <w:t xml:space="preserve">De Afdeling adviseert de toelichting </w:t>
          </w:r>
          <w:r w:rsidRPr="00CB0270" w:rsidR="004A0733">
            <w:t xml:space="preserve">op deze punten </w:t>
          </w:r>
          <w:r>
            <w:t xml:space="preserve">aan te vullen. </w:t>
          </w:r>
        </w:p>
        <w:p w:rsidR="00994379" w:rsidRDefault="00994379" w14:paraId="7A5F3096" w14:textId="77777777">
          <w:r>
            <w:lastRenderedPageBreak/>
            <w:br w:type="page"/>
          </w:r>
        </w:p>
        <w:p w:rsidR="00EA7265" w:rsidRDefault="002A0C67" w14:paraId="43E1D0C8" w14:textId="7E861EF9"/>
      </w:sdtContent>
    </w:sdt>
    <w:sdt>
      <w:sdtPr>
        <w:tag w:val="bmDictum"/>
        <w:id w:val="-1253279773"/>
        <w:lock w:val="sdtLocked"/>
        <w:placeholder>
          <w:docPart w:val="DefaultPlaceholder_-1854013440"/>
        </w:placeholder>
      </w:sdtPr>
      <w:sdtEndPr/>
      <w:sdtContent>
        <w:p w:rsidR="00255548" w:rsidRDefault="0068660A" w14:paraId="0845C1E8" w14:textId="44990F32">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sectPr w:rsidR="00255548" w:rsidSect="00994379">
      <w:headerReference w:type="even" r:id="rId12"/>
      <w:headerReference w:type="default" r:id="rId13"/>
      <w:footerReference w:type="even" r:id="rId14"/>
      <w:footerReference w:type="default" r:id="rId15"/>
      <w:headerReference w:type="first" r:id="rId16"/>
      <w:footerReference w:type="first" r:id="rId17"/>
      <w:pgSz w:w="11906" w:h="16838" w:code="9"/>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3366" w14:textId="77777777" w:rsidR="00EC59C2" w:rsidRDefault="003F69E5">
      <w:r>
        <w:separator/>
      </w:r>
    </w:p>
  </w:endnote>
  <w:endnote w:type="continuationSeparator" w:id="0">
    <w:p w14:paraId="04BED059" w14:textId="77777777" w:rsidR="00EC59C2" w:rsidRDefault="003F69E5">
      <w:r>
        <w:continuationSeparator/>
      </w:r>
    </w:p>
  </w:endnote>
  <w:endnote w:type="continuationNotice" w:id="1">
    <w:p w14:paraId="181C659C" w14:textId="77777777" w:rsidR="006505AB" w:rsidRDefault="00650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7EE" w14:textId="262CE028" w:rsidR="001F3829" w:rsidRDefault="002A0C67">
    <w:pPr>
      <w:pStyle w:val="Voettekst"/>
    </w:pPr>
    <w:r>
      <w:rPr>
        <w:noProof/>
      </w:rPr>
      <mc:AlternateContent>
        <mc:Choice Requires="wps">
          <w:drawing>
            <wp:anchor distT="0" distB="0" distL="0" distR="0" simplePos="0" relativeHeight="251660288" behindDoc="0" locked="0" layoutInCell="1" allowOverlap="1" wp14:anchorId="22A01C33" wp14:editId="2D2FF34F">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FC14A" w14:textId="42F71A63"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01C33"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18FC14A" w14:textId="42F71A63"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5038C" w14:paraId="453F87F1" w14:textId="77777777" w:rsidTr="00762563">
      <w:tc>
        <w:tcPr>
          <w:tcW w:w="4815" w:type="dxa"/>
        </w:tcPr>
        <w:p w14:paraId="453F87EF" w14:textId="474408F9" w:rsidR="001F3829" w:rsidRDefault="002A0C67" w:rsidP="00762563">
          <w:pPr>
            <w:pStyle w:val="Voettekst"/>
          </w:pPr>
          <w:r>
            <w:rPr>
              <w:noProof/>
            </w:rPr>
            <mc:AlternateContent>
              <mc:Choice Requires="wps">
                <w:drawing>
                  <wp:anchor distT="0" distB="0" distL="0" distR="0" simplePos="0" relativeHeight="251661312" behindDoc="0" locked="0" layoutInCell="1" allowOverlap="1" wp14:anchorId="18191F43" wp14:editId="3531D63A">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C2A2A" w14:textId="6D5A5DA7"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91F43"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42C2A2A" w14:textId="6D5A5DA7"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453F87F0" w14:textId="77777777" w:rsidR="001F3829" w:rsidRDefault="001F3829" w:rsidP="00762563">
          <w:pPr>
            <w:pStyle w:val="Voettekst"/>
            <w:jc w:val="right"/>
          </w:pPr>
        </w:p>
      </w:tc>
    </w:tr>
  </w:tbl>
  <w:p w14:paraId="453F87F2" w14:textId="77777777" w:rsidR="001F3829" w:rsidRDefault="001F38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A2E6" w14:textId="35F93012" w:rsidR="00994379" w:rsidRPr="00994379" w:rsidRDefault="002A0C67">
    <w:pPr>
      <w:pStyle w:val="Voettekst"/>
      <w:rPr>
        <w:rFonts w:ascii="Bembo" w:hAnsi="Bembo"/>
        <w:sz w:val="32"/>
        <w:lang w:val="en-US"/>
      </w:rPr>
    </w:pPr>
    <w:r>
      <w:rPr>
        <w:rFonts w:ascii="Bembo" w:hAnsi="Bembo"/>
        <w:noProof/>
        <w:sz w:val="32"/>
        <w:lang w:val="en-US"/>
      </w:rPr>
      <mc:AlternateContent>
        <mc:Choice Requires="wps">
          <w:drawing>
            <wp:anchor distT="0" distB="0" distL="0" distR="0" simplePos="0" relativeHeight="251659264" behindDoc="0" locked="0" layoutInCell="1" allowOverlap="1" wp14:anchorId="33B5E1DB" wp14:editId="45E49DF6">
              <wp:simplePos x="1257300" y="983932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309B8" w14:textId="3AA8906A"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5E1DB"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65309B8" w14:textId="3AA8906A" w:rsidR="002A0C67" w:rsidRPr="002A0C67" w:rsidRDefault="002A0C67" w:rsidP="002A0C67">
                    <w:pPr>
                      <w:rPr>
                        <w:rFonts w:ascii="Calibri" w:eastAsia="Calibri" w:hAnsi="Calibri" w:cs="Calibri"/>
                        <w:noProof/>
                        <w:color w:val="000000"/>
                        <w:sz w:val="20"/>
                        <w:szCs w:val="20"/>
                      </w:rPr>
                    </w:pPr>
                    <w:r w:rsidRPr="002A0C67">
                      <w:rPr>
                        <w:rFonts w:ascii="Calibri" w:eastAsia="Calibri" w:hAnsi="Calibri" w:cs="Calibri"/>
                        <w:noProof/>
                        <w:color w:val="000000"/>
                        <w:sz w:val="20"/>
                        <w:szCs w:val="20"/>
                      </w:rPr>
                      <w:t>Intern gebruik</w:t>
                    </w:r>
                  </w:p>
                </w:txbxContent>
              </v:textbox>
              <w10:wrap anchorx="page" anchory="page"/>
            </v:shape>
          </w:pict>
        </mc:Fallback>
      </mc:AlternateContent>
    </w:r>
    <w:r w:rsidR="00994379" w:rsidRPr="00994379">
      <w:rPr>
        <w:rFonts w:ascii="Bembo" w:hAnsi="Bembo"/>
        <w:sz w:val="32"/>
        <w:lang w:val="en-US"/>
      </w:rPr>
      <w:t>AAN DE KONING</w:t>
    </w:r>
  </w:p>
  <w:p w14:paraId="5B4C2DDB" w14:textId="77777777" w:rsidR="00994379" w:rsidRPr="0099059C" w:rsidRDefault="00994379">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1236" w14:textId="77777777" w:rsidR="00EC59C2" w:rsidRDefault="003F69E5">
      <w:r>
        <w:separator/>
      </w:r>
    </w:p>
  </w:footnote>
  <w:footnote w:type="continuationSeparator" w:id="0">
    <w:p w14:paraId="281B94F7" w14:textId="77777777" w:rsidR="00EC59C2" w:rsidRDefault="003F69E5">
      <w:r>
        <w:continuationSeparator/>
      </w:r>
    </w:p>
  </w:footnote>
  <w:footnote w:type="continuationNotice" w:id="1">
    <w:p w14:paraId="264FEE5D" w14:textId="77777777" w:rsidR="006505AB" w:rsidRDefault="006505AB"/>
  </w:footnote>
  <w:footnote w:id="2">
    <w:p w14:paraId="55A1DB8A" w14:textId="50245A30" w:rsidR="00CC6584" w:rsidRPr="00836658" w:rsidRDefault="00CC6584">
      <w:pPr>
        <w:pStyle w:val="Voetnoottekst"/>
      </w:pPr>
      <w:r>
        <w:rPr>
          <w:rStyle w:val="Voetnootmarkering"/>
        </w:rPr>
        <w:footnoteRef/>
      </w:r>
      <w:r>
        <w:t xml:space="preserve"> </w:t>
      </w:r>
      <w:r w:rsidR="00836658" w:rsidRPr="00836658">
        <w:t>Verordening (EU) 2022/1925 van het Europees Parlement en de Raad van 14 september 2022 over betwistbare en eerlijke markten in de digitale sector, en tot wijziging van Richtlijnen (EU) 2019/1937 en (EU) 2020/1828 (digitalemarktenverordening), (PbEU 2022, L 265).</w:t>
      </w:r>
    </w:p>
  </w:footnote>
  <w:footnote w:id="3">
    <w:p w14:paraId="5E823C36" w14:textId="7E9B9064" w:rsidR="00733066" w:rsidRPr="00457F97" w:rsidRDefault="00733066">
      <w:pPr>
        <w:pStyle w:val="Voetnoottekst"/>
      </w:pPr>
      <w:r>
        <w:rPr>
          <w:rStyle w:val="Voetnootmarkering"/>
        </w:rPr>
        <w:footnoteRef/>
      </w:r>
      <w:r>
        <w:t xml:space="preserve"> </w:t>
      </w:r>
      <w:r w:rsidR="00206C53">
        <w:t xml:space="preserve">Zie artikel 2, </w:t>
      </w:r>
      <w:r w:rsidR="00E84F82">
        <w:t>tweede lid</w:t>
      </w:r>
      <w:r w:rsidR="00585C68">
        <w:t xml:space="preserve">, van de DMA voor een definitie van kernplatformdiensten. </w:t>
      </w:r>
      <w:r w:rsidR="0047292D" w:rsidRPr="00457F97">
        <w:t xml:space="preserve">Zie </w:t>
      </w:r>
      <w:r w:rsidR="00457F97" w:rsidRPr="00457F97">
        <w:t>artikel 2, eerste lid</w:t>
      </w:r>
      <w:r w:rsidR="00376362">
        <w:t>,</w:t>
      </w:r>
      <w:r w:rsidR="00457F97" w:rsidRPr="00457F97">
        <w:t xml:space="preserve"> en artikel 3 van de DMA voor de defi</w:t>
      </w:r>
      <w:r w:rsidR="00457F97">
        <w:t xml:space="preserve">nitie </w:t>
      </w:r>
      <w:r w:rsidR="00376362">
        <w:t xml:space="preserve">en de aanwijzing </w:t>
      </w:r>
      <w:r w:rsidR="00457F97">
        <w:t>van poortwachter</w:t>
      </w:r>
      <w:r w:rsidR="00376362">
        <w:t>s</w:t>
      </w:r>
      <w:r w:rsidR="00457F97">
        <w:t>.</w:t>
      </w:r>
      <w:r w:rsidRPr="00457F97">
        <w:t xml:space="preserve"> </w:t>
      </w:r>
    </w:p>
  </w:footnote>
  <w:footnote w:id="4">
    <w:p w14:paraId="1CE64E1C" w14:textId="009A9C95" w:rsidR="008C3906" w:rsidRPr="00EF3024" w:rsidRDefault="008C3906">
      <w:pPr>
        <w:pStyle w:val="Voetnoottekst"/>
      </w:pPr>
      <w:r>
        <w:rPr>
          <w:rStyle w:val="Voetnootmarkering"/>
        </w:rPr>
        <w:footnoteRef/>
      </w:r>
      <w:r>
        <w:t xml:space="preserve"> </w:t>
      </w:r>
      <w:r w:rsidRPr="00EF3024">
        <w:t xml:space="preserve">Artikel </w:t>
      </w:r>
      <w:r w:rsidR="00EF3024" w:rsidRPr="00EF3024">
        <w:t>2 van de Uitvoeringswet DMA.</w:t>
      </w:r>
    </w:p>
  </w:footnote>
  <w:footnote w:id="5">
    <w:p w14:paraId="7E5A22C7" w14:textId="6BBE35EA" w:rsidR="007565AA" w:rsidRDefault="007565AA">
      <w:pPr>
        <w:pStyle w:val="Voetnoottekst"/>
      </w:pPr>
      <w:r>
        <w:rPr>
          <w:rStyle w:val="Voetnootmarkering"/>
        </w:rPr>
        <w:footnoteRef/>
      </w:r>
      <w:r>
        <w:t xml:space="preserve"> </w:t>
      </w:r>
      <w:r w:rsidR="00CD7B1E">
        <w:t>Memorie van toelichting, p</w:t>
      </w:r>
      <w:r w:rsidR="00B9796E">
        <w:t>aragraaf 2.3.</w:t>
      </w:r>
    </w:p>
  </w:footnote>
  <w:footnote w:id="6">
    <w:p w14:paraId="6DA7AAF3" w14:textId="50CE9587" w:rsidR="002F3D47" w:rsidRDefault="002F3D47" w:rsidP="00BE5950">
      <w:pPr>
        <w:pStyle w:val="Voetnoottekst"/>
      </w:pPr>
      <w:r>
        <w:rPr>
          <w:rStyle w:val="Voetnootmarkering"/>
        </w:rPr>
        <w:footnoteRef/>
      </w:r>
      <w:r>
        <w:t xml:space="preserve"> </w:t>
      </w:r>
      <w:r w:rsidR="00BE5950">
        <w:t>Artikel 3, eerste lid, van de DMA. Een onderneming wordt aangewezen als poortwachter indien die:</w:t>
      </w:r>
      <w:r w:rsidR="008E639E">
        <w:t xml:space="preserve"> </w:t>
      </w:r>
      <w:r w:rsidR="00BE5950">
        <w:t>a) een aanzienlijke impact heeft op de interne markt;</w:t>
      </w:r>
      <w:r w:rsidR="008E639E">
        <w:t xml:space="preserve"> </w:t>
      </w:r>
      <w:r w:rsidR="00BE5950">
        <w:t xml:space="preserve">b) een kernplatformdienst aanbiedt die voor zakelijke gebruikers een belangrijke toegangspoort tot eindgebruikers vormt, </w:t>
      </w:r>
      <w:r w:rsidR="008E639E">
        <w:t>e</w:t>
      </w:r>
      <w:r w:rsidR="00BE5950">
        <w:t>n</w:t>
      </w:r>
      <w:r w:rsidR="008E639E">
        <w:t xml:space="preserve"> </w:t>
      </w:r>
      <w:r w:rsidR="00BE5950">
        <w:t>c) met betrekking tot haar activiteiten een stevig verankerde en duurzame</w:t>
      </w:r>
      <w:r w:rsidR="008E639E">
        <w:t xml:space="preserve"> </w:t>
      </w:r>
      <w:r w:rsidR="00BE5950">
        <w:t>positie inneemt of naar verwachting in de nabije toekomst een dergelijke positie zal innemen.</w:t>
      </w:r>
      <w:r>
        <w:t xml:space="preserve"> </w:t>
      </w:r>
      <w:r w:rsidR="002E05A5" w:rsidRPr="00643AC3">
        <w:t>Op 6 september 2023 heeft de Commissie de volgende poortwachters aangewezen (met daarbij aangegeven de mogelijke kernplatformdienste</w:t>
      </w:r>
      <w:r w:rsidR="0062439E" w:rsidRPr="00643AC3">
        <w:t>n</w:t>
      </w:r>
      <w:r w:rsidR="0010599A" w:rsidRPr="00643AC3">
        <w:t>)</w:t>
      </w:r>
      <w:r w:rsidR="002E05A5" w:rsidRPr="00643AC3">
        <w:t>: Alphabet (Google Maps, Play en Shopping, Google Search, Google Android, Youtube en Chrome), Amazon (Amazon en Marketplace), Apple (iOS, Safari, App store), ByteDance (Tiktok), Meta (Facebook,</w:t>
      </w:r>
      <w:r w:rsidR="00585F74">
        <w:t xml:space="preserve"> </w:t>
      </w:r>
      <w:r w:rsidR="002E05A5" w:rsidRPr="00643AC3">
        <w:t>Instagram, Whatsapp, Messenger, Meta en Meta Marketplace) en Microsoft (LinkedIn, Windows PC OS).</w:t>
      </w:r>
      <w:r w:rsidR="002E05A5" w:rsidRPr="002E05A5">
        <w:t xml:space="preserve"> </w:t>
      </w:r>
    </w:p>
  </w:footnote>
  <w:footnote w:id="7">
    <w:p w14:paraId="2120C8B8" w14:textId="511EFB9C" w:rsidR="00A65EBA" w:rsidRDefault="00A65EBA">
      <w:pPr>
        <w:pStyle w:val="Voetnoottekst"/>
      </w:pPr>
      <w:r>
        <w:rPr>
          <w:rStyle w:val="Voetnootmarkering"/>
        </w:rPr>
        <w:footnoteRef/>
      </w:r>
      <w:r>
        <w:t xml:space="preserve"> </w:t>
      </w:r>
      <w:r w:rsidR="00E30C12">
        <w:t xml:space="preserve">Zie </w:t>
      </w:r>
      <w:r w:rsidR="00637162">
        <w:t>bijvoorbeeld</w:t>
      </w:r>
      <w:r w:rsidR="00E30C12">
        <w:t xml:space="preserve"> artikel 5 van de DMA. </w:t>
      </w:r>
      <w:r w:rsidR="003D1959">
        <w:t>Poortwachters dienen onder andere</w:t>
      </w:r>
      <w:r w:rsidR="001A0AD1">
        <w:t xml:space="preserve"> zakelijke gebruikers kosteloos toe te laten om aanbiedingen kenbaar te maken en aan te bieden aan eindgebruikers die via zijn kernplatformdienst of via andere kanalen zijn verworven, en om met die eindgebruikers contracten te sluiten, ongeacht of zij daarvoor al dan niet gebruikmaken van de kernplatformdiensten van de poortwachter.</w:t>
      </w:r>
    </w:p>
  </w:footnote>
  <w:footnote w:id="8">
    <w:p w14:paraId="29690A17" w14:textId="2CA770C8" w:rsidR="00721CC5" w:rsidRDefault="00721CC5">
      <w:pPr>
        <w:pStyle w:val="Voetnoottekst"/>
      </w:pPr>
      <w:r>
        <w:rPr>
          <w:rStyle w:val="Voetnootmarkering"/>
        </w:rPr>
        <w:footnoteRef/>
      </w:r>
      <w:r>
        <w:t xml:space="preserve"> </w:t>
      </w:r>
      <w:r w:rsidR="00FB54D5" w:rsidRPr="00FB54D5">
        <w:t>Verordening (EU) 2019/1150 van het Europees Parlement en de Raad van 20 juni 2019 ter bevordering van billijkheid en transparantie voor zakelijke gebruikers van onlinetussenhandelsdiensten (P</w:t>
      </w:r>
      <w:r w:rsidR="00825B20">
        <w:t>b</w:t>
      </w:r>
      <w:r w:rsidR="00FB54D5" w:rsidRPr="00FB54D5">
        <w:t>EU 2019, L 186).</w:t>
      </w:r>
    </w:p>
  </w:footnote>
  <w:footnote w:id="9">
    <w:p w14:paraId="177FE80A" w14:textId="2D46C271" w:rsidR="006F4BFB" w:rsidRDefault="006F4BFB">
      <w:pPr>
        <w:pStyle w:val="Voetnoottekst"/>
      </w:pPr>
      <w:r>
        <w:rPr>
          <w:rStyle w:val="Voetnootmarkering"/>
        </w:rPr>
        <w:footnoteRef/>
      </w:r>
      <w:r w:rsidR="00A320BB">
        <w:t xml:space="preserve"> </w:t>
      </w:r>
      <w:r w:rsidR="00A320BB" w:rsidRPr="00877806">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w:t>
      </w:r>
      <w:r w:rsidR="00867852">
        <w:t>bE</w:t>
      </w:r>
      <w:r w:rsidR="0091712C">
        <w:t>U</w:t>
      </w:r>
      <w:r w:rsidR="00A320BB" w:rsidRPr="00877806">
        <w:t xml:space="preserve"> 2016, L 119). Zie ook overweging 12 bij de </w:t>
      </w:r>
      <w:r w:rsidR="002016B5">
        <w:t>DMA</w:t>
      </w:r>
      <w:r w:rsidR="00A320BB" w:rsidRPr="00877806">
        <w:t>.</w:t>
      </w:r>
    </w:p>
  </w:footnote>
  <w:footnote w:id="10">
    <w:p w14:paraId="6D424B22" w14:textId="03DA08B0" w:rsidR="004B0F93" w:rsidRDefault="004B0F93">
      <w:pPr>
        <w:pStyle w:val="Voetnoottekst"/>
      </w:pPr>
      <w:r>
        <w:rPr>
          <w:rStyle w:val="Voetnootmarkering"/>
        </w:rPr>
        <w:footnoteRef/>
      </w:r>
      <w:r w:rsidR="00585F74">
        <w:t xml:space="preserve"> </w:t>
      </w:r>
      <w:r w:rsidR="001D117D" w:rsidRPr="001D117D">
        <w:t xml:space="preserve">Verordening (EU) 2022/2065 van het Europees Parlement en de Raad van 19 oktober 2022 betreffende een eengemaakte markt voor digitale diensten en tot wijziging van Richtlijn 2000/31/EG (digitaledienstenverordening) </w:t>
      </w:r>
      <w:r w:rsidR="00C00894">
        <w:t>(PbEU 2022, L</w:t>
      </w:r>
      <w:r w:rsidR="00566E11">
        <w:t xml:space="preserve"> </w:t>
      </w:r>
      <w:r w:rsidR="00C00894">
        <w:t xml:space="preserve">277). </w:t>
      </w:r>
      <w:r w:rsidR="00C00894" w:rsidRPr="00C00894">
        <w:t>De DSA bevat regels voor aanbieders van online tussenhandelsdiensten (zoals hostingbedrijven, online platforms en zoekmachines), die beogen illegale online inhoud tegen te gaan en gebruikers daarover te informeren.</w:t>
      </w:r>
    </w:p>
  </w:footnote>
  <w:footnote w:id="11">
    <w:p w14:paraId="26135DB9" w14:textId="4DF2E2A7" w:rsidR="009D2BF9" w:rsidRDefault="009D2BF9">
      <w:pPr>
        <w:pStyle w:val="Voetnoottekst"/>
      </w:pPr>
      <w:r>
        <w:rPr>
          <w:rStyle w:val="Voetnootmarkering"/>
        </w:rPr>
        <w:footnoteRef/>
      </w:r>
      <w:r>
        <w:t xml:space="preserve"> </w:t>
      </w:r>
      <w:r w:rsidR="000C37A3">
        <w:t>Artikelen 30 en 31 van de DMA.</w:t>
      </w:r>
    </w:p>
  </w:footnote>
  <w:footnote w:id="12">
    <w:p w14:paraId="303367BE" w14:textId="27D38A1B" w:rsidR="00F22BD0" w:rsidRPr="00F22BD0" w:rsidRDefault="00F22BD0">
      <w:pPr>
        <w:pStyle w:val="Voetnoottekst"/>
      </w:pPr>
      <w:r>
        <w:rPr>
          <w:rStyle w:val="Voetnootmarkering"/>
        </w:rPr>
        <w:footnoteRef/>
      </w:r>
      <w:r>
        <w:t xml:space="preserve"> A</w:t>
      </w:r>
      <w:r w:rsidRPr="00F22BD0">
        <w:t xml:space="preserve">rtikel 38, zevende lid, van de </w:t>
      </w:r>
      <w:r>
        <w:t>DMA.</w:t>
      </w:r>
    </w:p>
  </w:footnote>
  <w:footnote w:id="13">
    <w:p w14:paraId="3CD1D78C" w14:textId="5C825385" w:rsidR="00D834CA" w:rsidRPr="00550EEA" w:rsidRDefault="00D834CA">
      <w:pPr>
        <w:pStyle w:val="Voetnoottekst"/>
      </w:pPr>
      <w:r>
        <w:rPr>
          <w:rStyle w:val="Voetnootmarkering"/>
        </w:rPr>
        <w:footnoteRef/>
      </w:r>
      <w:r>
        <w:t xml:space="preserve"> </w:t>
      </w:r>
      <w:r w:rsidR="00550EEA">
        <w:t>Artikel 2, eerste lid, van de Uitvoeringswet DMA.</w:t>
      </w:r>
    </w:p>
  </w:footnote>
  <w:footnote w:id="14">
    <w:p w14:paraId="34FA5176" w14:textId="72EE6228" w:rsidR="0076605A" w:rsidRDefault="0076605A">
      <w:pPr>
        <w:pStyle w:val="Voetnoottekst"/>
      </w:pPr>
      <w:r>
        <w:rPr>
          <w:rStyle w:val="Voetnootmarkering"/>
        </w:rPr>
        <w:footnoteRef/>
      </w:r>
      <w:r>
        <w:t xml:space="preserve"> Paragraaf </w:t>
      </w:r>
      <w:r w:rsidR="00747624">
        <w:t>3.6.2 van de toelichting.</w:t>
      </w:r>
    </w:p>
  </w:footnote>
  <w:footnote w:id="15">
    <w:p w14:paraId="1E1E00E5" w14:textId="766DF628" w:rsidR="00CD06F6" w:rsidRDefault="00CD06F6">
      <w:pPr>
        <w:pStyle w:val="Voetnoottekst"/>
      </w:pPr>
      <w:r>
        <w:rPr>
          <w:rStyle w:val="Voetnootmarkering"/>
        </w:rPr>
        <w:footnoteRef/>
      </w:r>
      <w:r>
        <w:t xml:space="preserve"> Paragraaf </w:t>
      </w:r>
      <w:r w:rsidR="005A01C9">
        <w:t>4.2.7 van de toelichting.</w:t>
      </w:r>
    </w:p>
  </w:footnote>
  <w:footnote w:id="16">
    <w:p w14:paraId="24925A8D" w14:textId="396CF7DF" w:rsidR="00E31732" w:rsidRDefault="00E31732">
      <w:pPr>
        <w:pStyle w:val="Voetnoottekst"/>
      </w:pPr>
      <w:r>
        <w:rPr>
          <w:rStyle w:val="Voetnootmarkering"/>
        </w:rPr>
        <w:footnoteRef/>
      </w:r>
      <w:r>
        <w:t xml:space="preserve"> Memorie van toelichting, paragraaf 3.7.1. </w:t>
      </w:r>
    </w:p>
  </w:footnote>
  <w:footnote w:id="17">
    <w:p w14:paraId="78ED968E" w14:textId="77777777" w:rsidR="00500985" w:rsidRPr="004C0746" w:rsidRDefault="00500985" w:rsidP="00500985">
      <w:pPr>
        <w:pStyle w:val="Voetnoottekst"/>
      </w:pPr>
      <w:r>
        <w:rPr>
          <w:rStyle w:val="Voetnootmarkering"/>
        </w:rPr>
        <w:footnoteRef/>
      </w:r>
      <w:r>
        <w:t xml:space="preserve"> A</w:t>
      </w:r>
      <w:r w:rsidRPr="004C0746">
        <w:t xml:space="preserve">rtikel 38, tweede en derde lid, van de </w:t>
      </w:r>
      <w:r>
        <w:t>DMA.</w:t>
      </w:r>
    </w:p>
  </w:footnote>
  <w:footnote w:id="18">
    <w:p w14:paraId="2D852FE7" w14:textId="7D001386" w:rsidR="00CA6674" w:rsidRDefault="00CA6674" w:rsidP="00CA6674">
      <w:pPr>
        <w:pStyle w:val="Voetnoottekst"/>
      </w:pPr>
      <w:r>
        <w:rPr>
          <w:rStyle w:val="Voetnootmarkering"/>
        </w:rPr>
        <w:footnoteRef/>
      </w:r>
      <w:r>
        <w:t xml:space="preserve"> Niet uitgesloten is dat op grond van andere normen, zoals de P2B-verordening, het consumentenrecht of AVG, ook handhavingsmaatregelen worden genomen met een punitief karakter</w:t>
      </w:r>
      <w:r w:rsidR="00271690">
        <w:t xml:space="preserve">, waarbij </w:t>
      </w:r>
      <w:r>
        <w:t xml:space="preserve">het beginsel van </w:t>
      </w:r>
      <w:r w:rsidRPr="00643AC3">
        <w:rPr>
          <w:i/>
          <w:iCs/>
        </w:rPr>
        <w:t>ne bis in idem</w:t>
      </w:r>
      <w:r>
        <w:t xml:space="preserve"> </w:t>
      </w:r>
      <w:r w:rsidR="00271690">
        <w:t xml:space="preserve">relevant kan zijn. </w:t>
      </w:r>
    </w:p>
  </w:footnote>
  <w:footnote w:id="19">
    <w:p w14:paraId="552605D0" w14:textId="2BFFD43B" w:rsidR="00121088" w:rsidRDefault="00121088">
      <w:pPr>
        <w:pStyle w:val="Voetnoottekst"/>
      </w:pPr>
      <w:r>
        <w:rPr>
          <w:rStyle w:val="Voetnootmarkering"/>
        </w:rPr>
        <w:footnoteRef/>
      </w:r>
      <w:r>
        <w:t xml:space="preserve"> Memorie van toelichting, paragraaf </w:t>
      </w:r>
      <w:r w:rsidR="006D62CE">
        <w:t>7.3.3</w:t>
      </w:r>
      <w:r w:rsidR="0030058C">
        <w:t>.</w:t>
      </w:r>
      <w:r w:rsidR="00585F74">
        <w:t xml:space="preserve"> </w:t>
      </w:r>
      <w:r>
        <w:t xml:space="preserve"> </w:t>
      </w:r>
    </w:p>
  </w:footnote>
  <w:footnote w:id="20">
    <w:p w14:paraId="549120FB" w14:textId="3831BC95" w:rsidR="00E342EF" w:rsidRPr="008177A6" w:rsidRDefault="00E342EF">
      <w:pPr>
        <w:pStyle w:val="Voetnoottekst"/>
      </w:pPr>
      <w:r>
        <w:rPr>
          <w:rStyle w:val="Voetnootmarkering"/>
        </w:rPr>
        <w:footnoteRef/>
      </w:r>
      <w:r>
        <w:t xml:space="preserve"> Vgl. onder meer HvJ</w:t>
      </w:r>
      <w:r w:rsidR="00C44A65">
        <w:t>EU</w:t>
      </w:r>
      <w:r>
        <w:t xml:space="preserve"> </w:t>
      </w:r>
      <w:r w:rsidR="00AF79D9">
        <w:t xml:space="preserve">22 maart 2022, </w:t>
      </w:r>
      <w:r w:rsidR="00AF79D9">
        <w:rPr>
          <w:i/>
          <w:iCs/>
        </w:rPr>
        <w:t xml:space="preserve">bpost, </w:t>
      </w:r>
      <w:r w:rsidR="00AF79D9">
        <w:t>C-117/20, ECLI:EU:C:2022</w:t>
      </w:r>
      <w:r w:rsidR="00641192">
        <w:t>:202</w:t>
      </w:r>
      <w:r w:rsidR="00F22FE9">
        <w:t xml:space="preserve"> </w:t>
      </w:r>
      <w:r w:rsidR="00AB33AC">
        <w:t xml:space="preserve">en </w:t>
      </w:r>
      <w:r w:rsidR="00641192">
        <w:t>HvJ</w:t>
      </w:r>
      <w:r w:rsidR="002B726A">
        <w:t>EU</w:t>
      </w:r>
      <w:r w:rsidR="00641192">
        <w:t xml:space="preserve"> 22 maart 2022</w:t>
      </w:r>
      <w:r w:rsidR="00AB33AC">
        <w:t xml:space="preserve">, </w:t>
      </w:r>
      <w:r w:rsidR="00641192">
        <w:rPr>
          <w:i/>
          <w:iCs/>
        </w:rPr>
        <w:t xml:space="preserve">Nordzucker, </w:t>
      </w:r>
      <w:r w:rsidR="00641192">
        <w:t>C-151/20, ECLI:EU:C:2022:</w:t>
      </w:r>
      <w:r w:rsidR="00AB33AC">
        <w:t>203</w:t>
      </w:r>
      <w:r w:rsidR="002532DE">
        <w:t xml:space="preserve"> (z</w:t>
      </w:r>
      <w:r w:rsidR="00AB33AC">
        <w:t xml:space="preserve">ie ook </w:t>
      </w:r>
      <w:r w:rsidR="008177A6">
        <w:t>de annotatie van Veenbrink in SEW (2022), 123</w:t>
      </w:r>
      <w:r w:rsidR="002532DE">
        <w:t>)</w:t>
      </w:r>
      <w:r w:rsidR="008177A6">
        <w:t>. Zie voorts HvJ</w:t>
      </w:r>
      <w:r w:rsidR="00184303">
        <w:t>EU</w:t>
      </w:r>
      <w:r w:rsidR="008177A6">
        <w:t xml:space="preserve"> 14 september 2023, </w:t>
      </w:r>
      <w:r w:rsidR="008177A6">
        <w:rPr>
          <w:i/>
          <w:iCs/>
        </w:rPr>
        <w:t xml:space="preserve">Volkswagen Group Italia S.p.A., </w:t>
      </w:r>
      <w:r w:rsidR="001705C7">
        <w:t xml:space="preserve">C-27/22, ECLI:EU:C;2023:663 (in het bijzonder punten </w:t>
      </w:r>
      <w:r w:rsidR="00331106">
        <w:t xml:space="preserve">86-96). </w:t>
      </w:r>
    </w:p>
  </w:footnote>
  <w:footnote w:id="21">
    <w:p w14:paraId="2276309E" w14:textId="71061143" w:rsidR="008B0E6F" w:rsidRPr="008B0E6F" w:rsidRDefault="008B0E6F">
      <w:pPr>
        <w:pStyle w:val="Voetnoottekst"/>
      </w:pPr>
      <w:r>
        <w:rPr>
          <w:rStyle w:val="Voetnootmarkering"/>
        </w:rPr>
        <w:footnoteRef/>
      </w:r>
      <w:r>
        <w:t xml:space="preserve"> </w:t>
      </w:r>
      <w:r w:rsidR="001E2550">
        <w:t>Artikel 5, tweede lid, van de DMA.</w:t>
      </w:r>
    </w:p>
  </w:footnote>
  <w:footnote w:id="22">
    <w:p w14:paraId="4EB825E3" w14:textId="34442C03" w:rsidR="005231D5" w:rsidRPr="005231D5" w:rsidRDefault="005231D5">
      <w:pPr>
        <w:pStyle w:val="Voetnoottekst"/>
      </w:pPr>
      <w:r>
        <w:rPr>
          <w:rStyle w:val="Voetnootmarkering"/>
        </w:rPr>
        <w:footnoteRef/>
      </w:r>
      <w:r>
        <w:t xml:space="preserve"> Dit betreft </w:t>
      </w:r>
      <w:r w:rsidRPr="005231D5">
        <w:t>verwerkingen die noodzakelijk zijn voor de uitvoering van een overeenkomst, respectievelijk voor de gerechtvaardigde belangen van de verwerkingsverantwoordelijke of een derde</w:t>
      </w:r>
      <w:r>
        <w:t>.</w:t>
      </w:r>
    </w:p>
  </w:footnote>
  <w:footnote w:id="23">
    <w:p w14:paraId="436DBCC3" w14:textId="0158AE2D" w:rsidR="00E65A52" w:rsidRDefault="00E65A52">
      <w:pPr>
        <w:pStyle w:val="Voetnoottekst"/>
      </w:pPr>
      <w:r>
        <w:rPr>
          <w:rStyle w:val="Voetnootmarkering"/>
        </w:rPr>
        <w:footnoteRef/>
      </w:r>
      <w:r>
        <w:t xml:space="preserve"> Memorie van toelichting, </w:t>
      </w:r>
      <w:r w:rsidR="0030058C">
        <w:t xml:space="preserve">paragrafen 4.2.6 en 4.2.7. </w:t>
      </w:r>
    </w:p>
  </w:footnote>
  <w:footnote w:id="24">
    <w:p w14:paraId="103B3B70" w14:textId="3E07D83D" w:rsidR="002C2DA6" w:rsidRPr="002C2DA6" w:rsidRDefault="002C2DA6">
      <w:pPr>
        <w:pStyle w:val="Voetnoottekst"/>
      </w:pPr>
      <w:r>
        <w:rPr>
          <w:rStyle w:val="Voetnootmarkering"/>
        </w:rPr>
        <w:footnoteRef/>
      </w:r>
      <w:r>
        <w:t xml:space="preserve"> Artikel 40 van de DMA.</w:t>
      </w:r>
    </w:p>
  </w:footnote>
  <w:footnote w:id="25">
    <w:p w14:paraId="25986BDF" w14:textId="0E9E3136" w:rsidR="00345D05" w:rsidRPr="00345D05" w:rsidRDefault="00345D05">
      <w:pPr>
        <w:pStyle w:val="Voetnoottekst"/>
      </w:pPr>
      <w:r>
        <w:rPr>
          <w:rStyle w:val="Voetnootmarkering"/>
        </w:rPr>
        <w:footnoteRef/>
      </w:r>
      <w:r>
        <w:t xml:space="preserve"> </w:t>
      </w:r>
      <w:r w:rsidRPr="00345D05">
        <w:t xml:space="preserve">Het betreft specifiek de volgende Europese organen en netwerken </w:t>
      </w:r>
      <w:r w:rsidR="00CD7345">
        <w:t>die</w:t>
      </w:r>
      <w:r w:rsidRPr="00345D05">
        <w:t xml:space="preserve"> zullen samenwerken in de groep op hoog niveau: het Orgaan van Europese regelgevende instanties voor elektronische communicatie, de Europese Toezichthouder voor gegevensbescherming en het Europees Comité voor gegevensbescherming, het Europees Mededingingsnetwerk, het samenwerkingsnetwerk voor consumentenbescherming, en de Europese Groep van regulerende instanties voor audiovisuele mediadiensten.</w:t>
      </w:r>
    </w:p>
  </w:footnote>
  <w:footnote w:id="26">
    <w:p w14:paraId="335B812F" w14:textId="7DC9E39D" w:rsidR="00A41EBD" w:rsidRDefault="00A41EBD">
      <w:pPr>
        <w:pStyle w:val="Voetnoottekst"/>
      </w:pPr>
      <w:r>
        <w:rPr>
          <w:rStyle w:val="Voetnootmarkering"/>
        </w:rPr>
        <w:footnoteRef/>
      </w:r>
      <w:r w:rsidR="00A10C1E">
        <w:t xml:space="preserve"> </w:t>
      </w:r>
      <w:r w:rsidR="00A10C1E" w:rsidRPr="00E86133">
        <w:t xml:space="preserve">Artikel </w:t>
      </w:r>
      <w:r w:rsidR="00E86133" w:rsidRPr="00E86133">
        <w:t>40, vijfde lid, van de D</w:t>
      </w:r>
      <w:r w:rsidR="00E86133">
        <w:t>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7EC" w14:textId="77777777" w:rsidR="001F3829" w:rsidRDefault="001F38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7ED" w14:textId="77777777" w:rsidR="001F3829" w:rsidRDefault="003F69E5" w:rsidP="0076256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7F3" w14:textId="77777777" w:rsidR="001F3829" w:rsidRDefault="003F69E5" w:rsidP="0076256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53F87F4" w14:textId="77777777" w:rsidR="001F3829" w:rsidRDefault="003F69E5">
    <w:pPr>
      <w:pStyle w:val="Koptekst"/>
    </w:pPr>
    <w:r>
      <w:rPr>
        <w:noProof/>
      </w:rPr>
      <w:drawing>
        <wp:anchor distT="0" distB="0" distL="114300" distR="114300" simplePos="0" relativeHeight="251658240" behindDoc="1" locked="0" layoutInCell="1" allowOverlap="1" wp14:anchorId="453F87FF" wp14:editId="453F880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00C9"/>
    <w:multiLevelType w:val="hybridMultilevel"/>
    <w:tmpl w:val="FD322596"/>
    <w:lvl w:ilvl="0" w:tplc="235AB97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261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8C"/>
    <w:rsid w:val="000025DE"/>
    <w:rsid w:val="0000296E"/>
    <w:rsid w:val="00004BD6"/>
    <w:rsid w:val="000062E3"/>
    <w:rsid w:val="00006D06"/>
    <w:rsid w:val="000072CF"/>
    <w:rsid w:val="00007658"/>
    <w:rsid w:val="0001010E"/>
    <w:rsid w:val="000108E7"/>
    <w:rsid w:val="0001199C"/>
    <w:rsid w:val="000124BD"/>
    <w:rsid w:val="00014E15"/>
    <w:rsid w:val="00015534"/>
    <w:rsid w:val="00025085"/>
    <w:rsid w:val="00025F9B"/>
    <w:rsid w:val="0003073A"/>
    <w:rsid w:val="00031BCE"/>
    <w:rsid w:val="00031C3C"/>
    <w:rsid w:val="00032A99"/>
    <w:rsid w:val="000359FB"/>
    <w:rsid w:val="0004096B"/>
    <w:rsid w:val="00040B01"/>
    <w:rsid w:val="000431B2"/>
    <w:rsid w:val="000437FA"/>
    <w:rsid w:val="000441FC"/>
    <w:rsid w:val="0004654B"/>
    <w:rsid w:val="00046F2A"/>
    <w:rsid w:val="00050961"/>
    <w:rsid w:val="000517EF"/>
    <w:rsid w:val="000534B6"/>
    <w:rsid w:val="00053FA7"/>
    <w:rsid w:val="00054C9C"/>
    <w:rsid w:val="00055E56"/>
    <w:rsid w:val="0005663B"/>
    <w:rsid w:val="00056911"/>
    <w:rsid w:val="000604C8"/>
    <w:rsid w:val="00063322"/>
    <w:rsid w:val="00065C72"/>
    <w:rsid w:val="00066F40"/>
    <w:rsid w:val="00066FAC"/>
    <w:rsid w:val="00067156"/>
    <w:rsid w:val="00071641"/>
    <w:rsid w:val="000720A9"/>
    <w:rsid w:val="00072B86"/>
    <w:rsid w:val="00073B1D"/>
    <w:rsid w:val="00073DB1"/>
    <w:rsid w:val="00076E38"/>
    <w:rsid w:val="000800D9"/>
    <w:rsid w:val="0008241B"/>
    <w:rsid w:val="00082CEC"/>
    <w:rsid w:val="00082EE4"/>
    <w:rsid w:val="00083A5D"/>
    <w:rsid w:val="00083C2C"/>
    <w:rsid w:val="00083FA8"/>
    <w:rsid w:val="0008613E"/>
    <w:rsid w:val="00090A3A"/>
    <w:rsid w:val="00090C95"/>
    <w:rsid w:val="00091805"/>
    <w:rsid w:val="00091DC8"/>
    <w:rsid w:val="000922C7"/>
    <w:rsid w:val="0009284C"/>
    <w:rsid w:val="00096381"/>
    <w:rsid w:val="00096D79"/>
    <w:rsid w:val="000A27EF"/>
    <w:rsid w:val="000A5BC2"/>
    <w:rsid w:val="000A5C8E"/>
    <w:rsid w:val="000A6FA3"/>
    <w:rsid w:val="000A783A"/>
    <w:rsid w:val="000A7F0C"/>
    <w:rsid w:val="000B1656"/>
    <w:rsid w:val="000B2002"/>
    <w:rsid w:val="000B3A39"/>
    <w:rsid w:val="000B4569"/>
    <w:rsid w:val="000B4CEB"/>
    <w:rsid w:val="000B7374"/>
    <w:rsid w:val="000C0E63"/>
    <w:rsid w:val="000C37A3"/>
    <w:rsid w:val="000C37E5"/>
    <w:rsid w:val="000C4B44"/>
    <w:rsid w:val="000C55C7"/>
    <w:rsid w:val="000C6884"/>
    <w:rsid w:val="000D0409"/>
    <w:rsid w:val="000D086A"/>
    <w:rsid w:val="000D28E0"/>
    <w:rsid w:val="000D2F0B"/>
    <w:rsid w:val="000D3C3F"/>
    <w:rsid w:val="000D3FAA"/>
    <w:rsid w:val="000D4A9A"/>
    <w:rsid w:val="000D7ADC"/>
    <w:rsid w:val="000E30F3"/>
    <w:rsid w:val="000E763B"/>
    <w:rsid w:val="000F0060"/>
    <w:rsid w:val="000F0F15"/>
    <w:rsid w:val="000F1A8A"/>
    <w:rsid w:val="000F1F97"/>
    <w:rsid w:val="000F233E"/>
    <w:rsid w:val="000F3925"/>
    <w:rsid w:val="000F5606"/>
    <w:rsid w:val="0010002C"/>
    <w:rsid w:val="001053B5"/>
    <w:rsid w:val="0010599A"/>
    <w:rsid w:val="00105A38"/>
    <w:rsid w:val="001078C5"/>
    <w:rsid w:val="00111807"/>
    <w:rsid w:val="00114AF4"/>
    <w:rsid w:val="00114C29"/>
    <w:rsid w:val="00117361"/>
    <w:rsid w:val="00117EFA"/>
    <w:rsid w:val="00121088"/>
    <w:rsid w:val="001253E4"/>
    <w:rsid w:val="00126414"/>
    <w:rsid w:val="00131363"/>
    <w:rsid w:val="001330AF"/>
    <w:rsid w:val="001332F1"/>
    <w:rsid w:val="00134C43"/>
    <w:rsid w:val="00135195"/>
    <w:rsid w:val="001360A1"/>
    <w:rsid w:val="0013715D"/>
    <w:rsid w:val="00137C9D"/>
    <w:rsid w:val="00140FBB"/>
    <w:rsid w:val="00141A16"/>
    <w:rsid w:val="00142D7F"/>
    <w:rsid w:val="0014361A"/>
    <w:rsid w:val="001470E4"/>
    <w:rsid w:val="001508B1"/>
    <w:rsid w:val="0015114C"/>
    <w:rsid w:val="00151EE4"/>
    <w:rsid w:val="00151F03"/>
    <w:rsid w:val="0015220D"/>
    <w:rsid w:val="001527BA"/>
    <w:rsid w:val="00157331"/>
    <w:rsid w:val="00161AC6"/>
    <w:rsid w:val="00162F07"/>
    <w:rsid w:val="00163CE8"/>
    <w:rsid w:val="00164E76"/>
    <w:rsid w:val="001650E1"/>
    <w:rsid w:val="0016559C"/>
    <w:rsid w:val="00165C83"/>
    <w:rsid w:val="00166C1F"/>
    <w:rsid w:val="001705C7"/>
    <w:rsid w:val="0017418E"/>
    <w:rsid w:val="00176D2D"/>
    <w:rsid w:val="001771F1"/>
    <w:rsid w:val="001807F9"/>
    <w:rsid w:val="00182F89"/>
    <w:rsid w:val="00184303"/>
    <w:rsid w:val="00184309"/>
    <w:rsid w:val="00184937"/>
    <w:rsid w:val="001903C1"/>
    <w:rsid w:val="00193321"/>
    <w:rsid w:val="00193CA6"/>
    <w:rsid w:val="00197808"/>
    <w:rsid w:val="001A0AD1"/>
    <w:rsid w:val="001A2528"/>
    <w:rsid w:val="001A310C"/>
    <w:rsid w:val="001A4DB2"/>
    <w:rsid w:val="001A65E9"/>
    <w:rsid w:val="001A6B1A"/>
    <w:rsid w:val="001B0160"/>
    <w:rsid w:val="001B096D"/>
    <w:rsid w:val="001B15CA"/>
    <w:rsid w:val="001B31B5"/>
    <w:rsid w:val="001B50A8"/>
    <w:rsid w:val="001B58A8"/>
    <w:rsid w:val="001B78DD"/>
    <w:rsid w:val="001C07D6"/>
    <w:rsid w:val="001C108C"/>
    <w:rsid w:val="001C1CF9"/>
    <w:rsid w:val="001C68FB"/>
    <w:rsid w:val="001C6DFA"/>
    <w:rsid w:val="001C78B9"/>
    <w:rsid w:val="001C7F22"/>
    <w:rsid w:val="001D117D"/>
    <w:rsid w:val="001D5925"/>
    <w:rsid w:val="001D6439"/>
    <w:rsid w:val="001E0AAF"/>
    <w:rsid w:val="001E1045"/>
    <w:rsid w:val="001E1605"/>
    <w:rsid w:val="001E2550"/>
    <w:rsid w:val="001E3C13"/>
    <w:rsid w:val="001E3CAF"/>
    <w:rsid w:val="001E6782"/>
    <w:rsid w:val="001E7FFC"/>
    <w:rsid w:val="001F0B4C"/>
    <w:rsid w:val="001F3829"/>
    <w:rsid w:val="001F3DB0"/>
    <w:rsid w:val="001F45A6"/>
    <w:rsid w:val="001F6ACD"/>
    <w:rsid w:val="001F74A6"/>
    <w:rsid w:val="001F7F84"/>
    <w:rsid w:val="002016B5"/>
    <w:rsid w:val="00204D71"/>
    <w:rsid w:val="00204DF0"/>
    <w:rsid w:val="00206724"/>
    <w:rsid w:val="00206C53"/>
    <w:rsid w:val="0021168F"/>
    <w:rsid w:val="00215064"/>
    <w:rsid w:val="00220709"/>
    <w:rsid w:val="002213DC"/>
    <w:rsid w:val="00221BA8"/>
    <w:rsid w:val="002225B5"/>
    <w:rsid w:val="00223D7F"/>
    <w:rsid w:val="00223F5E"/>
    <w:rsid w:val="00225F0A"/>
    <w:rsid w:val="00230D9D"/>
    <w:rsid w:val="0023269A"/>
    <w:rsid w:val="0023319A"/>
    <w:rsid w:val="00233B01"/>
    <w:rsid w:val="0023512D"/>
    <w:rsid w:val="00235690"/>
    <w:rsid w:val="002363BC"/>
    <w:rsid w:val="0024283A"/>
    <w:rsid w:val="0024345D"/>
    <w:rsid w:val="0024731D"/>
    <w:rsid w:val="0025038C"/>
    <w:rsid w:val="00250514"/>
    <w:rsid w:val="00251B78"/>
    <w:rsid w:val="00252613"/>
    <w:rsid w:val="002532DE"/>
    <w:rsid w:val="0025456F"/>
    <w:rsid w:val="00254829"/>
    <w:rsid w:val="00255548"/>
    <w:rsid w:val="00256423"/>
    <w:rsid w:val="00256CFA"/>
    <w:rsid w:val="00257003"/>
    <w:rsid w:val="0025726C"/>
    <w:rsid w:val="00260157"/>
    <w:rsid w:val="002609AC"/>
    <w:rsid w:val="002615B3"/>
    <w:rsid w:val="0026174F"/>
    <w:rsid w:val="00261B60"/>
    <w:rsid w:val="00263916"/>
    <w:rsid w:val="00266192"/>
    <w:rsid w:val="00271690"/>
    <w:rsid w:val="002721A3"/>
    <w:rsid w:val="00273891"/>
    <w:rsid w:val="002745FA"/>
    <w:rsid w:val="002754FA"/>
    <w:rsid w:val="00277744"/>
    <w:rsid w:val="0028008B"/>
    <w:rsid w:val="0028333F"/>
    <w:rsid w:val="00284CEA"/>
    <w:rsid w:val="0029014F"/>
    <w:rsid w:val="00290DC4"/>
    <w:rsid w:val="00291AAD"/>
    <w:rsid w:val="0029205B"/>
    <w:rsid w:val="00295324"/>
    <w:rsid w:val="0029733F"/>
    <w:rsid w:val="00297470"/>
    <w:rsid w:val="002A0ACB"/>
    <w:rsid w:val="002A0C67"/>
    <w:rsid w:val="002A3B9B"/>
    <w:rsid w:val="002B0259"/>
    <w:rsid w:val="002B086D"/>
    <w:rsid w:val="002B207E"/>
    <w:rsid w:val="002B273D"/>
    <w:rsid w:val="002B2823"/>
    <w:rsid w:val="002B3C76"/>
    <w:rsid w:val="002B3F86"/>
    <w:rsid w:val="002B726A"/>
    <w:rsid w:val="002C098F"/>
    <w:rsid w:val="002C285A"/>
    <w:rsid w:val="002C2DA6"/>
    <w:rsid w:val="002C725C"/>
    <w:rsid w:val="002C7DB8"/>
    <w:rsid w:val="002D2618"/>
    <w:rsid w:val="002D515A"/>
    <w:rsid w:val="002D6FE1"/>
    <w:rsid w:val="002E05A5"/>
    <w:rsid w:val="002E27FF"/>
    <w:rsid w:val="002E4963"/>
    <w:rsid w:val="002E5F8E"/>
    <w:rsid w:val="002E62C2"/>
    <w:rsid w:val="002E74D8"/>
    <w:rsid w:val="002F0E07"/>
    <w:rsid w:val="002F3D47"/>
    <w:rsid w:val="002F5D1F"/>
    <w:rsid w:val="002F68F5"/>
    <w:rsid w:val="0030058C"/>
    <w:rsid w:val="00302F04"/>
    <w:rsid w:val="00311071"/>
    <w:rsid w:val="00311A82"/>
    <w:rsid w:val="00312562"/>
    <w:rsid w:val="003129D3"/>
    <w:rsid w:val="0031329E"/>
    <w:rsid w:val="0031356D"/>
    <w:rsid w:val="00322BD5"/>
    <w:rsid w:val="00322F21"/>
    <w:rsid w:val="0032384D"/>
    <w:rsid w:val="003243ED"/>
    <w:rsid w:val="003270F8"/>
    <w:rsid w:val="00327207"/>
    <w:rsid w:val="0032771B"/>
    <w:rsid w:val="00331106"/>
    <w:rsid w:val="00331C08"/>
    <w:rsid w:val="00331E55"/>
    <w:rsid w:val="003340D3"/>
    <w:rsid w:val="003343E9"/>
    <w:rsid w:val="00335A2E"/>
    <w:rsid w:val="0033680B"/>
    <w:rsid w:val="0033704D"/>
    <w:rsid w:val="00344293"/>
    <w:rsid w:val="00344360"/>
    <w:rsid w:val="0034488E"/>
    <w:rsid w:val="003455BE"/>
    <w:rsid w:val="00345D05"/>
    <w:rsid w:val="003468A2"/>
    <w:rsid w:val="00346936"/>
    <w:rsid w:val="003511FD"/>
    <w:rsid w:val="00351626"/>
    <w:rsid w:val="00351EED"/>
    <w:rsid w:val="00352E76"/>
    <w:rsid w:val="00353F8D"/>
    <w:rsid w:val="00355228"/>
    <w:rsid w:val="00355DF1"/>
    <w:rsid w:val="0035693B"/>
    <w:rsid w:val="00363167"/>
    <w:rsid w:val="00363D03"/>
    <w:rsid w:val="00363DDF"/>
    <w:rsid w:val="003673E8"/>
    <w:rsid w:val="00367AE7"/>
    <w:rsid w:val="00367C7F"/>
    <w:rsid w:val="00371D65"/>
    <w:rsid w:val="00372257"/>
    <w:rsid w:val="00376362"/>
    <w:rsid w:val="00377F86"/>
    <w:rsid w:val="003816A5"/>
    <w:rsid w:val="003819BA"/>
    <w:rsid w:val="003822F2"/>
    <w:rsid w:val="00382544"/>
    <w:rsid w:val="00383AB7"/>
    <w:rsid w:val="00384C48"/>
    <w:rsid w:val="003914AD"/>
    <w:rsid w:val="0039221F"/>
    <w:rsid w:val="00392465"/>
    <w:rsid w:val="00392F4C"/>
    <w:rsid w:val="003941F2"/>
    <w:rsid w:val="00396377"/>
    <w:rsid w:val="0039667F"/>
    <w:rsid w:val="00397E60"/>
    <w:rsid w:val="003A07F7"/>
    <w:rsid w:val="003A1160"/>
    <w:rsid w:val="003A19C5"/>
    <w:rsid w:val="003A2731"/>
    <w:rsid w:val="003A3E9A"/>
    <w:rsid w:val="003A562B"/>
    <w:rsid w:val="003A5839"/>
    <w:rsid w:val="003B16BF"/>
    <w:rsid w:val="003B2484"/>
    <w:rsid w:val="003B56F2"/>
    <w:rsid w:val="003B7365"/>
    <w:rsid w:val="003B788E"/>
    <w:rsid w:val="003B7B98"/>
    <w:rsid w:val="003B7D7F"/>
    <w:rsid w:val="003C2869"/>
    <w:rsid w:val="003C70F5"/>
    <w:rsid w:val="003D1959"/>
    <w:rsid w:val="003E1B17"/>
    <w:rsid w:val="003E252C"/>
    <w:rsid w:val="003E303B"/>
    <w:rsid w:val="003E30F3"/>
    <w:rsid w:val="003E5562"/>
    <w:rsid w:val="003E6872"/>
    <w:rsid w:val="003E7922"/>
    <w:rsid w:val="003F0E2C"/>
    <w:rsid w:val="003F14A9"/>
    <w:rsid w:val="003F6234"/>
    <w:rsid w:val="003F69E5"/>
    <w:rsid w:val="003F7858"/>
    <w:rsid w:val="00404BEB"/>
    <w:rsid w:val="00405E53"/>
    <w:rsid w:val="004066E4"/>
    <w:rsid w:val="00407376"/>
    <w:rsid w:val="0041149C"/>
    <w:rsid w:val="004122A8"/>
    <w:rsid w:val="00412BB7"/>
    <w:rsid w:val="00415E1D"/>
    <w:rsid w:val="00415F7D"/>
    <w:rsid w:val="00416A5C"/>
    <w:rsid w:val="00416DA6"/>
    <w:rsid w:val="00420EC6"/>
    <w:rsid w:val="00421A02"/>
    <w:rsid w:val="00421D7C"/>
    <w:rsid w:val="004229FE"/>
    <w:rsid w:val="004262B3"/>
    <w:rsid w:val="004276BE"/>
    <w:rsid w:val="004314D8"/>
    <w:rsid w:val="00432582"/>
    <w:rsid w:val="00433294"/>
    <w:rsid w:val="00433A9A"/>
    <w:rsid w:val="004343D1"/>
    <w:rsid w:val="00434D86"/>
    <w:rsid w:val="0044043D"/>
    <w:rsid w:val="004418E5"/>
    <w:rsid w:val="00443960"/>
    <w:rsid w:val="004451AD"/>
    <w:rsid w:val="00446747"/>
    <w:rsid w:val="004479B2"/>
    <w:rsid w:val="00450D69"/>
    <w:rsid w:val="004540A1"/>
    <w:rsid w:val="00454305"/>
    <w:rsid w:val="00454630"/>
    <w:rsid w:val="00455791"/>
    <w:rsid w:val="00457F96"/>
    <w:rsid w:val="00457F97"/>
    <w:rsid w:val="00460084"/>
    <w:rsid w:val="00465A71"/>
    <w:rsid w:val="004661E7"/>
    <w:rsid w:val="004661FA"/>
    <w:rsid w:val="004701E3"/>
    <w:rsid w:val="00470E9A"/>
    <w:rsid w:val="004717F4"/>
    <w:rsid w:val="00471F80"/>
    <w:rsid w:val="0047229C"/>
    <w:rsid w:val="0047292D"/>
    <w:rsid w:val="00473C07"/>
    <w:rsid w:val="00474363"/>
    <w:rsid w:val="00482B70"/>
    <w:rsid w:val="004839E5"/>
    <w:rsid w:val="00483E33"/>
    <w:rsid w:val="0048402A"/>
    <w:rsid w:val="00486246"/>
    <w:rsid w:val="00486C80"/>
    <w:rsid w:val="00486F0F"/>
    <w:rsid w:val="00487523"/>
    <w:rsid w:val="00487EC3"/>
    <w:rsid w:val="00490443"/>
    <w:rsid w:val="004941F8"/>
    <w:rsid w:val="004957EA"/>
    <w:rsid w:val="00496FD3"/>
    <w:rsid w:val="004A0733"/>
    <w:rsid w:val="004A6486"/>
    <w:rsid w:val="004B0F93"/>
    <w:rsid w:val="004B4464"/>
    <w:rsid w:val="004B69A5"/>
    <w:rsid w:val="004B721F"/>
    <w:rsid w:val="004C0746"/>
    <w:rsid w:val="004C0D6F"/>
    <w:rsid w:val="004C129F"/>
    <w:rsid w:val="004C1C0B"/>
    <w:rsid w:val="004C2A07"/>
    <w:rsid w:val="004C6EF8"/>
    <w:rsid w:val="004C7941"/>
    <w:rsid w:val="004D13BD"/>
    <w:rsid w:val="004D4CC5"/>
    <w:rsid w:val="004E15BE"/>
    <w:rsid w:val="004E4536"/>
    <w:rsid w:val="004E6FF8"/>
    <w:rsid w:val="004F2A5D"/>
    <w:rsid w:val="004F32E3"/>
    <w:rsid w:val="004F3C62"/>
    <w:rsid w:val="004F3D7B"/>
    <w:rsid w:val="004F6AFD"/>
    <w:rsid w:val="004F6C3C"/>
    <w:rsid w:val="00500985"/>
    <w:rsid w:val="00500BF9"/>
    <w:rsid w:val="0050345C"/>
    <w:rsid w:val="00503FDC"/>
    <w:rsid w:val="00504FAE"/>
    <w:rsid w:val="00506033"/>
    <w:rsid w:val="005064EB"/>
    <w:rsid w:val="00506DAD"/>
    <w:rsid w:val="00510896"/>
    <w:rsid w:val="00513D74"/>
    <w:rsid w:val="00514949"/>
    <w:rsid w:val="005160BF"/>
    <w:rsid w:val="00517A2D"/>
    <w:rsid w:val="00517E3E"/>
    <w:rsid w:val="00520AAD"/>
    <w:rsid w:val="00520E86"/>
    <w:rsid w:val="00521BE5"/>
    <w:rsid w:val="00522AFA"/>
    <w:rsid w:val="0052304A"/>
    <w:rsid w:val="005231D5"/>
    <w:rsid w:val="00523831"/>
    <w:rsid w:val="00531E44"/>
    <w:rsid w:val="00536DBD"/>
    <w:rsid w:val="00541BFE"/>
    <w:rsid w:val="005434C5"/>
    <w:rsid w:val="00546FA6"/>
    <w:rsid w:val="00547316"/>
    <w:rsid w:val="00550EEA"/>
    <w:rsid w:val="005541A2"/>
    <w:rsid w:val="005562D4"/>
    <w:rsid w:val="0055679D"/>
    <w:rsid w:val="00557DFA"/>
    <w:rsid w:val="005602C3"/>
    <w:rsid w:val="00564174"/>
    <w:rsid w:val="00565179"/>
    <w:rsid w:val="00566141"/>
    <w:rsid w:val="00566E11"/>
    <w:rsid w:val="00570FB7"/>
    <w:rsid w:val="00572778"/>
    <w:rsid w:val="00572FC0"/>
    <w:rsid w:val="00573303"/>
    <w:rsid w:val="00574F06"/>
    <w:rsid w:val="005755AC"/>
    <w:rsid w:val="00575EFC"/>
    <w:rsid w:val="00580030"/>
    <w:rsid w:val="00580948"/>
    <w:rsid w:val="0058347B"/>
    <w:rsid w:val="00583B53"/>
    <w:rsid w:val="005852A4"/>
    <w:rsid w:val="00585B5B"/>
    <w:rsid w:val="00585C68"/>
    <w:rsid w:val="00585F74"/>
    <w:rsid w:val="00586C07"/>
    <w:rsid w:val="0058713A"/>
    <w:rsid w:val="005904F1"/>
    <w:rsid w:val="00590EE7"/>
    <w:rsid w:val="00596848"/>
    <w:rsid w:val="00597731"/>
    <w:rsid w:val="005A01C9"/>
    <w:rsid w:val="005A04CF"/>
    <w:rsid w:val="005A0812"/>
    <w:rsid w:val="005A6716"/>
    <w:rsid w:val="005A73C3"/>
    <w:rsid w:val="005A7513"/>
    <w:rsid w:val="005B088A"/>
    <w:rsid w:val="005B25DB"/>
    <w:rsid w:val="005B3445"/>
    <w:rsid w:val="005B4308"/>
    <w:rsid w:val="005B4827"/>
    <w:rsid w:val="005B4C3F"/>
    <w:rsid w:val="005B66B6"/>
    <w:rsid w:val="005C1C8A"/>
    <w:rsid w:val="005C3A6F"/>
    <w:rsid w:val="005C3E06"/>
    <w:rsid w:val="005C457C"/>
    <w:rsid w:val="005C5620"/>
    <w:rsid w:val="005C60C0"/>
    <w:rsid w:val="005C733B"/>
    <w:rsid w:val="005D1CED"/>
    <w:rsid w:val="005D3EA5"/>
    <w:rsid w:val="005D429B"/>
    <w:rsid w:val="005D7FF5"/>
    <w:rsid w:val="005E0A13"/>
    <w:rsid w:val="005E1B19"/>
    <w:rsid w:val="005E1DA0"/>
    <w:rsid w:val="005E488D"/>
    <w:rsid w:val="005E7A8A"/>
    <w:rsid w:val="005E7E04"/>
    <w:rsid w:val="005F116F"/>
    <w:rsid w:val="005F15D7"/>
    <w:rsid w:val="005F1D4D"/>
    <w:rsid w:val="005F24CC"/>
    <w:rsid w:val="005F414D"/>
    <w:rsid w:val="00600742"/>
    <w:rsid w:val="00600DA4"/>
    <w:rsid w:val="00602772"/>
    <w:rsid w:val="00605D85"/>
    <w:rsid w:val="00606FFB"/>
    <w:rsid w:val="0061137D"/>
    <w:rsid w:val="00617092"/>
    <w:rsid w:val="00622C2E"/>
    <w:rsid w:val="0062439E"/>
    <w:rsid w:val="006251C6"/>
    <w:rsid w:val="006265B9"/>
    <w:rsid w:val="00630F6D"/>
    <w:rsid w:val="0063192E"/>
    <w:rsid w:val="00631BEC"/>
    <w:rsid w:val="00631C8C"/>
    <w:rsid w:val="00633BFF"/>
    <w:rsid w:val="00634AA9"/>
    <w:rsid w:val="00634F42"/>
    <w:rsid w:val="00637162"/>
    <w:rsid w:val="0063775E"/>
    <w:rsid w:val="006406C4"/>
    <w:rsid w:val="00641192"/>
    <w:rsid w:val="00642B54"/>
    <w:rsid w:val="00643AC3"/>
    <w:rsid w:val="00643AE2"/>
    <w:rsid w:val="00644EF8"/>
    <w:rsid w:val="006505AB"/>
    <w:rsid w:val="00655355"/>
    <w:rsid w:val="00655548"/>
    <w:rsid w:val="006612B2"/>
    <w:rsid w:val="00661E76"/>
    <w:rsid w:val="00664BA8"/>
    <w:rsid w:val="00664F1C"/>
    <w:rsid w:val="00665D39"/>
    <w:rsid w:val="00667AB9"/>
    <w:rsid w:val="00670121"/>
    <w:rsid w:val="0067018F"/>
    <w:rsid w:val="00670781"/>
    <w:rsid w:val="006711A3"/>
    <w:rsid w:val="00671383"/>
    <w:rsid w:val="00671860"/>
    <w:rsid w:val="00673D25"/>
    <w:rsid w:val="006747C3"/>
    <w:rsid w:val="00675092"/>
    <w:rsid w:val="0067752B"/>
    <w:rsid w:val="00681992"/>
    <w:rsid w:val="00682F5B"/>
    <w:rsid w:val="00684F02"/>
    <w:rsid w:val="00685E5A"/>
    <w:rsid w:val="0068660A"/>
    <w:rsid w:val="0069273B"/>
    <w:rsid w:val="00693668"/>
    <w:rsid w:val="006942A7"/>
    <w:rsid w:val="006974ED"/>
    <w:rsid w:val="006A0146"/>
    <w:rsid w:val="006A127E"/>
    <w:rsid w:val="006A1ACE"/>
    <w:rsid w:val="006A4F7B"/>
    <w:rsid w:val="006A637F"/>
    <w:rsid w:val="006B0C84"/>
    <w:rsid w:val="006B191C"/>
    <w:rsid w:val="006B3030"/>
    <w:rsid w:val="006B6B1C"/>
    <w:rsid w:val="006B7332"/>
    <w:rsid w:val="006B75EE"/>
    <w:rsid w:val="006C3669"/>
    <w:rsid w:val="006C46B6"/>
    <w:rsid w:val="006C52BB"/>
    <w:rsid w:val="006C52DB"/>
    <w:rsid w:val="006C52FF"/>
    <w:rsid w:val="006C6C83"/>
    <w:rsid w:val="006C744F"/>
    <w:rsid w:val="006D4D9B"/>
    <w:rsid w:val="006D5096"/>
    <w:rsid w:val="006D5A41"/>
    <w:rsid w:val="006D62CE"/>
    <w:rsid w:val="006E01A2"/>
    <w:rsid w:val="006E044B"/>
    <w:rsid w:val="006E1110"/>
    <w:rsid w:val="006E1397"/>
    <w:rsid w:val="006E1B97"/>
    <w:rsid w:val="006E2013"/>
    <w:rsid w:val="006E29F3"/>
    <w:rsid w:val="006E380A"/>
    <w:rsid w:val="006E3D9E"/>
    <w:rsid w:val="006E3FE7"/>
    <w:rsid w:val="006E71DD"/>
    <w:rsid w:val="006F0C80"/>
    <w:rsid w:val="006F1885"/>
    <w:rsid w:val="006F26DE"/>
    <w:rsid w:val="006F424B"/>
    <w:rsid w:val="006F4BFB"/>
    <w:rsid w:val="006F4FDE"/>
    <w:rsid w:val="00702119"/>
    <w:rsid w:val="0070249F"/>
    <w:rsid w:val="0070420D"/>
    <w:rsid w:val="00706136"/>
    <w:rsid w:val="00706C35"/>
    <w:rsid w:val="0070707D"/>
    <w:rsid w:val="007134D9"/>
    <w:rsid w:val="00714BE9"/>
    <w:rsid w:val="00720F67"/>
    <w:rsid w:val="00721CC5"/>
    <w:rsid w:val="00723618"/>
    <w:rsid w:val="00724535"/>
    <w:rsid w:val="00725608"/>
    <w:rsid w:val="00725D5A"/>
    <w:rsid w:val="0072693C"/>
    <w:rsid w:val="00727DC9"/>
    <w:rsid w:val="00731A48"/>
    <w:rsid w:val="00733066"/>
    <w:rsid w:val="007331B1"/>
    <w:rsid w:val="00736FDD"/>
    <w:rsid w:val="007379A4"/>
    <w:rsid w:val="0074121B"/>
    <w:rsid w:val="0074519E"/>
    <w:rsid w:val="0074608B"/>
    <w:rsid w:val="00746924"/>
    <w:rsid w:val="00747624"/>
    <w:rsid w:val="007511BF"/>
    <w:rsid w:val="00752011"/>
    <w:rsid w:val="007541F1"/>
    <w:rsid w:val="00754958"/>
    <w:rsid w:val="00754E41"/>
    <w:rsid w:val="007565AA"/>
    <w:rsid w:val="00756F15"/>
    <w:rsid w:val="007578AF"/>
    <w:rsid w:val="00760008"/>
    <w:rsid w:val="00762563"/>
    <w:rsid w:val="00762B3F"/>
    <w:rsid w:val="00764BA6"/>
    <w:rsid w:val="0076605A"/>
    <w:rsid w:val="007671EA"/>
    <w:rsid w:val="007675F5"/>
    <w:rsid w:val="007718A2"/>
    <w:rsid w:val="00773E39"/>
    <w:rsid w:val="00774D92"/>
    <w:rsid w:val="007758F7"/>
    <w:rsid w:val="00776487"/>
    <w:rsid w:val="00776BFA"/>
    <w:rsid w:val="0077723C"/>
    <w:rsid w:val="00785BAC"/>
    <w:rsid w:val="00786AE3"/>
    <w:rsid w:val="0079151F"/>
    <w:rsid w:val="007936B0"/>
    <w:rsid w:val="007A0020"/>
    <w:rsid w:val="007A0A3D"/>
    <w:rsid w:val="007A1046"/>
    <w:rsid w:val="007A217A"/>
    <w:rsid w:val="007A48DB"/>
    <w:rsid w:val="007A6285"/>
    <w:rsid w:val="007B0955"/>
    <w:rsid w:val="007B3A91"/>
    <w:rsid w:val="007B4720"/>
    <w:rsid w:val="007C01D4"/>
    <w:rsid w:val="007C07B1"/>
    <w:rsid w:val="007C1A18"/>
    <w:rsid w:val="007C1CFC"/>
    <w:rsid w:val="007C1E24"/>
    <w:rsid w:val="007C2101"/>
    <w:rsid w:val="007C2147"/>
    <w:rsid w:val="007C4438"/>
    <w:rsid w:val="007C75E3"/>
    <w:rsid w:val="007D04E2"/>
    <w:rsid w:val="007D1FE8"/>
    <w:rsid w:val="007D3B11"/>
    <w:rsid w:val="007D578A"/>
    <w:rsid w:val="007D5864"/>
    <w:rsid w:val="007E0014"/>
    <w:rsid w:val="007E2319"/>
    <w:rsid w:val="007E7C30"/>
    <w:rsid w:val="007F6B6A"/>
    <w:rsid w:val="00801C7D"/>
    <w:rsid w:val="0080279B"/>
    <w:rsid w:val="00802BE6"/>
    <w:rsid w:val="00810F3B"/>
    <w:rsid w:val="00811BD5"/>
    <w:rsid w:val="008140D5"/>
    <w:rsid w:val="00814E99"/>
    <w:rsid w:val="00814FBD"/>
    <w:rsid w:val="00817573"/>
    <w:rsid w:val="008177A6"/>
    <w:rsid w:val="00817AAB"/>
    <w:rsid w:val="0082213B"/>
    <w:rsid w:val="00822BC9"/>
    <w:rsid w:val="008250F0"/>
    <w:rsid w:val="00825B20"/>
    <w:rsid w:val="00826C6A"/>
    <w:rsid w:val="008274BA"/>
    <w:rsid w:val="008309E0"/>
    <w:rsid w:val="00836658"/>
    <w:rsid w:val="008378EE"/>
    <w:rsid w:val="00845E34"/>
    <w:rsid w:val="00846112"/>
    <w:rsid w:val="00851DB6"/>
    <w:rsid w:val="00852A3D"/>
    <w:rsid w:val="008531D4"/>
    <w:rsid w:val="00855641"/>
    <w:rsid w:val="00857C5C"/>
    <w:rsid w:val="00861665"/>
    <w:rsid w:val="008630B7"/>
    <w:rsid w:val="0086328D"/>
    <w:rsid w:val="008632C7"/>
    <w:rsid w:val="00864E2D"/>
    <w:rsid w:val="008651B6"/>
    <w:rsid w:val="008670E0"/>
    <w:rsid w:val="00867852"/>
    <w:rsid w:val="00871B7B"/>
    <w:rsid w:val="00873161"/>
    <w:rsid w:val="008742DF"/>
    <w:rsid w:val="0087683E"/>
    <w:rsid w:val="00876DB5"/>
    <w:rsid w:val="00877806"/>
    <w:rsid w:val="008804E4"/>
    <w:rsid w:val="00880DCF"/>
    <w:rsid w:val="008816C7"/>
    <w:rsid w:val="008827E7"/>
    <w:rsid w:val="00882F93"/>
    <w:rsid w:val="008845F5"/>
    <w:rsid w:val="008853C8"/>
    <w:rsid w:val="00885508"/>
    <w:rsid w:val="0088604A"/>
    <w:rsid w:val="008870B1"/>
    <w:rsid w:val="00887D9F"/>
    <w:rsid w:val="00891201"/>
    <w:rsid w:val="008912CB"/>
    <w:rsid w:val="0089202C"/>
    <w:rsid w:val="00892E66"/>
    <w:rsid w:val="008945E6"/>
    <w:rsid w:val="0089668D"/>
    <w:rsid w:val="0089766F"/>
    <w:rsid w:val="00897E05"/>
    <w:rsid w:val="008A13A2"/>
    <w:rsid w:val="008A170D"/>
    <w:rsid w:val="008A360B"/>
    <w:rsid w:val="008A6BC8"/>
    <w:rsid w:val="008A79C2"/>
    <w:rsid w:val="008B034B"/>
    <w:rsid w:val="008B0A35"/>
    <w:rsid w:val="008B0E6F"/>
    <w:rsid w:val="008B10F6"/>
    <w:rsid w:val="008B46E8"/>
    <w:rsid w:val="008B5089"/>
    <w:rsid w:val="008B66EE"/>
    <w:rsid w:val="008B74D8"/>
    <w:rsid w:val="008B75AE"/>
    <w:rsid w:val="008B76DC"/>
    <w:rsid w:val="008C060F"/>
    <w:rsid w:val="008C0F49"/>
    <w:rsid w:val="008C12E0"/>
    <w:rsid w:val="008C2478"/>
    <w:rsid w:val="008C3906"/>
    <w:rsid w:val="008C3EAC"/>
    <w:rsid w:val="008C3EC1"/>
    <w:rsid w:val="008C6C9F"/>
    <w:rsid w:val="008D524B"/>
    <w:rsid w:val="008D6E42"/>
    <w:rsid w:val="008E2188"/>
    <w:rsid w:val="008E2E24"/>
    <w:rsid w:val="008E639E"/>
    <w:rsid w:val="008E6D67"/>
    <w:rsid w:val="008F31DA"/>
    <w:rsid w:val="008F5EED"/>
    <w:rsid w:val="008F72F0"/>
    <w:rsid w:val="00900A4C"/>
    <w:rsid w:val="00901380"/>
    <w:rsid w:val="0090142F"/>
    <w:rsid w:val="00902621"/>
    <w:rsid w:val="0090274A"/>
    <w:rsid w:val="009042D0"/>
    <w:rsid w:val="009043C1"/>
    <w:rsid w:val="00907662"/>
    <w:rsid w:val="00910D06"/>
    <w:rsid w:val="00913112"/>
    <w:rsid w:val="00913723"/>
    <w:rsid w:val="00913E4A"/>
    <w:rsid w:val="00914532"/>
    <w:rsid w:val="0091712C"/>
    <w:rsid w:val="00917295"/>
    <w:rsid w:val="00920607"/>
    <w:rsid w:val="00920F05"/>
    <w:rsid w:val="00921F7C"/>
    <w:rsid w:val="00922312"/>
    <w:rsid w:val="0092240F"/>
    <w:rsid w:val="009243B3"/>
    <w:rsid w:val="00926391"/>
    <w:rsid w:val="00926594"/>
    <w:rsid w:val="00930615"/>
    <w:rsid w:val="009315A3"/>
    <w:rsid w:val="0093338A"/>
    <w:rsid w:val="00933A13"/>
    <w:rsid w:val="00935DD3"/>
    <w:rsid w:val="00935E02"/>
    <w:rsid w:val="00942A86"/>
    <w:rsid w:val="00942B8C"/>
    <w:rsid w:val="0094303F"/>
    <w:rsid w:val="009430E5"/>
    <w:rsid w:val="00947076"/>
    <w:rsid w:val="009473D0"/>
    <w:rsid w:val="009509CF"/>
    <w:rsid w:val="00950EE3"/>
    <w:rsid w:val="00952690"/>
    <w:rsid w:val="00957269"/>
    <w:rsid w:val="00957F1D"/>
    <w:rsid w:val="00961F53"/>
    <w:rsid w:val="009628C3"/>
    <w:rsid w:val="00964F1A"/>
    <w:rsid w:val="00965D8A"/>
    <w:rsid w:val="00967F3C"/>
    <w:rsid w:val="00970F94"/>
    <w:rsid w:val="009764FC"/>
    <w:rsid w:val="009811B0"/>
    <w:rsid w:val="0098203B"/>
    <w:rsid w:val="009824B2"/>
    <w:rsid w:val="00982716"/>
    <w:rsid w:val="00983036"/>
    <w:rsid w:val="009835F1"/>
    <w:rsid w:val="0098668A"/>
    <w:rsid w:val="009903B9"/>
    <w:rsid w:val="0099059C"/>
    <w:rsid w:val="00991602"/>
    <w:rsid w:val="00992CF9"/>
    <w:rsid w:val="00993910"/>
    <w:rsid w:val="00994379"/>
    <w:rsid w:val="00995444"/>
    <w:rsid w:val="0099665B"/>
    <w:rsid w:val="009A1222"/>
    <w:rsid w:val="009A13A0"/>
    <w:rsid w:val="009A26D2"/>
    <w:rsid w:val="009A2845"/>
    <w:rsid w:val="009A29C8"/>
    <w:rsid w:val="009A37B6"/>
    <w:rsid w:val="009A5465"/>
    <w:rsid w:val="009B0DD6"/>
    <w:rsid w:val="009B161B"/>
    <w:rsid w:val="009B32BC"/>
    <w:rsid w:val="009B390E"/>
    <w:rsid w:val="009B435C"/>
    <w:rsid w:val="009B4C20"/>
    <w:rsid w:val="009B5CE8"/>
    <w:rsid w:val="009C0433"/>
    <w:rsid w:val="009C0821"/>
    <w:rsid w:val="009C1162"/>
    <w:rsid w:val="009C14C3"/>
    <w:rsid w:val="009C2883"/>
    <w:rsid w:val="009C3B35"/>
    <w:rsid w:val="009C3BE1"/>
    <w:rsid w:val="009C3CE4"/>
    <w:rsid w:val="009C644C"/>
    <w:rsid w:val="009C64EB"/>
    <w:rsid w:val="009D0911"/>
    <w:rsid w:val="009D16C1"/>
    <w:rsid w:val="009D2BF9"/>
    <w:rsid w:val="009D50A5"/>
    <w:rsid w:val="009D5641"/>
    <w:rsid w:val="009D6DB7"/>
    <w:rsid w:val="009E386C"/>
    <w:rsid w:val="009E3CB1"/>
    <w:rsid w:val="009E782A"/>
    <w:rsid w:val="009F0604"/>
    <w:rsid w:val="009F0AA0"/>
    <w:rsid w:val="009F1C9A"/>
    <w:rsid w:val="009F3015"/>
    <w:rsid w:val="009F31F5"/>
    <w:rsid w:val="009F47BE"/>
    <w:rsid w:val="009F6AC5"/>
    <w:rsid w:val="009F78A4"/>
    <w:rsid w:val="00A041A5"/>
    <w:rsid w:val="00A04A6E"/>
    <w:rsid w:val="00A05FEF"/>
    <w:rsid w:val="00A07187"/>
    <w:rsid w:val="00A0773A"/>
    <w:rsid w:val="00A07A8A"/>
    <w:rsid w:val="00A108DB"/>
    <w:rsid w:val="00A10C1E"/>
    <w:rsid w:val="00A11CDE"/>
    <w:rsid w:val="00A12818"/>
    <w:rsid w:val="00A12D82"/>
    <w:rsid w:val="00A155B5"/>
    <w:rsid w:val="00A16807"/>
    <w:rsid w:val="00A20955"/>
    <w:rsid w:val="00A214B0"/>
    <w:rsid w:val="00A22911"/>
    <w:rsid w:val="00A22AB7"/>
    <w:rsid w:val="00A22F11"/>
    <w:rsid w:val="00A2483C"/>
    <w:rsid w:val="00A25D87"/>
    <w:rsid w:val="00A26BE1"/>
    <w:rsid w:val="00A313AF"/>
    <w:rsid w:val="00A32014"/>
    <w:rsid w:val="00A320BB"/>
    <w:rsid w:val="00A33463"/>
    <w:rsid w:val="00A33A41"/>
    <w:rsid w:val="00A34F8F"/>
    <w:rsid w:val="00A363BD"/>
    <w:rsid w:val="00A3686F"/>
    <w:rsid w:val="00A37B0A"/>
    <w:rsid w:val="00A37EFD"/>
    <w:rsid w:val="00A4026E"/>
    <w:rsid w:val="00A419B7"/>
    <w:rsid w:val="00A41EBD"/>
    <w:rsid w:val="00A4234C"/>
    <w:rsid w:val="00A449ED"/>
    <w:rsid w:val="00A474BC"/>
    <w:rsid w:val="00A50848"/>
    <w:rsid w:val="00A50DE2"/>
    <w:rsid w:val="00A52CA8"/>
    <w:rsid w:val="00A53648"/>
    <w:rsid w:val="00A55B2C"/>
    <w:rsid w:val="00A55D9F"/>
    <w:rsid w:val="00A56EA2"/>
    <w:rsid w:val="00A5762A"/>
    <w:rsid w:val="00A60E36"/>
    <w:rsid w:val="00A63410"/>
    <w:rsid w:val="00A63C75"/>
    <w:rsid w:val="00A646F7"/>
    <w:rsid w:val="00A64916"/>
    <w:rsid w:val="00A65EBA"/>
    <w:rsid w:val="00A6747C"/>
    <w:rsid w:val="00A70035"/>
    <w:rsid w:val="00A70275"/>
    <w:rsid w:val="00A722B0"/>
    <w:rsid w:val="00A742F7"/>
    <w:rsid w:val="00A747A0"/>
    <w:rsid w:val="00A74829"/>
    <w:rsid w:val="00A75B27"/>
    <w:rsid w:val="00A80CC1"/>
    <w:rsid w:val="00A81F8B"/>
    <w:rsid w:val="00A82945"/>
    <w:rsid w:val="00A83832"/>
    <w:rsid w:val="00A84C91"/>
    <w:rsid w:val="00A87525"/>
    <w:rsid w:val="00A90826"/>
    <w:rsid w:val="00A919C7"/>
    <w:rsid w:val="00A9454E"/>
    <w:rsid w:val="00A948B5"/>
    <w:rsid w:val="00A95772"/>
    <w:rsid w:val="00A972F8"/>
    <w:rsid w:val="00AA0F26"/>
    <w:rsid w:val="00AA2294"/>
    <w:rsid w:val="00AA2C21"/>
    <w:rsid w:val="00AA3EEF"/>
    <w:rsid w:val="00AA5385"/>
    <w:rsid w:val="00AA71F0"/>
    <w:rsid w:val="00AA7279"/>
    <w:rsid w:val="00AB33AC"/>
    <w:rsid w:val="00AB405E"/>
    <w:rsid w:val="00AB4663"/>
    <w:rsid w:val="00AB4955"/>
    <w:rsid w:val="00AB4FFC"/>
    <w:rsid w:val="00AB508A"/>
    <w:rsid w:val="00AB50F4"/>
    <w:rsid w:val="00AB7E16"/>
    <w:rsid w:val="00AC0118"/>
    <w:rsid w:val="00AC12C3"/>
    <w:rsid w:val="00AC3653"/>
    <w:rsid w:val="00AC4B59"/>
    <w:rsid w:val="00AC4F33"/>
    <w:rsid w:val="00AC5D0E"/>
    <w:rsid w:val="00AC5E25"/>
    <w:rsid w:val="00AC7D57"/>
    <w:rsid w:val="00AD1090"/>
    <w:rsid w:val="00AD2834"/>
    <w:rsid w:val="00AD5466"/>
    <w:rsid w:val="00AD6572"/>
    <w:rsid w:val="00AD7148"/>
    <w:rsid w:val="00AD72D1"/>
    <w:rsid w:val="00AE476C"/>
    <w:rsid w:val="00AE58B2"/>
    <w:rsid w:val="00AF3AB4"/>
    <w:rsid w:val="00AF48C7"/>
    <w:rsid w:val="00AF495A"/>
    <w:rsid w:val="00AF5813"/>
    <w:rsid w:val="00AF597C"/>
    <w:rsid w:val="00AF65D6"/>
    <w:rsid w:val="00AF701C"/>
    <w:rsid w:val="00AF79D9"/>
    <w:rsid w:val="00B02416"/>
    <w:rsid w:val="00B02BA4"/>
    <w:rsid w:val="00B03205"/>
    <w:rsid w:val="00B045A2"/>
    <w:rsid w:val="00B04A02"/>
    <w:rsid w:val="00B06E79"/>
    <w:rsid w:val="00B072D2"/>
    <w:rsid w:val="00B12759"/>
    <w:rsid w:val="00B1328B"/>
    <w:rsid w:val="00B136AC"/>
    <w:rsid w:val="00B14A6C"/>
    <w:rsid w:val="00B171DE"/>
    <w:rsid w:val="00B203F5"/>
    <w:rsid w:val="00B2127A"/>
    <w:rsid w:val="00B22170"/>
    <w:rsid w:val="00B22FB0"/>
    <w:rsid w:val="00B2366E"/>
    <w:rsid w:val="00B23F14"/>
    <w:rsid w:val="00B2636C"/>
    <w:rsid w:val="00B263CB"/>
    <w:rsid w:val="00B269DD"/>
    <w:rsid w:val="00B27941"/>
    <w:rsid w:val="00B31886"/>
    <w:rsid w:val="00B320D7"/>
    <w:rsid w:val="00B34068"/>
    <w:rsid w:val="00B4189B"/>
    <w:rsid w:val="00B41C45"/>
    <w:rsid w:val="00B426C4"/>
    <w:rsid w:val="00B4320B"/>
    <w:rsid w:val="00B43A02"/>
    <w:rsid w:val="00B43A69"/>
    <w:rsid w:val="00B45BE4"/>
    <w:rsid w:val="00B46A53"/>
    <w:rsid w:val="00B47378"/>
    <w:rsid w:val="00B47A53"/>
    <w:rsid w:val="00B50A08"/>
    <w:rsid w:val="00B512D4"/>
    <w:rsid w:val="00B55C66"/>
    <w:rsid w:val="00B56275"/>
    <w:rsid w:val="00B5754C"/>
    <w:rsid w:val="00B6116E"/>
    <w:rsid w:val="00B620BF"/>
    <w:rsid w:val="00B62A94"/>
    <w:rsid w:val="00B62B81"/>
    <w:rsid w:val="00B636EF"/>
    <w:rsid w:val="00B63E50"/>
    <w:rsid w:val="00B67E26"/>
    <w:rsid w:val="00B71E3F"/>
    <w:rsid w:val="00B74663"/>
    <w:rsid w:val="00B74FD2"/>
    <w:rsid w:val="00B75C46"/>
    <w:rsid w:val="00B77465"/>
    <w:rsid w:val="00B80FC7"/>
    <w:rsid w:val="00B81E8B"/>
    <w:rsid w:val="00B830A4"/>
    <w:rsid w:val="00B83168"/>
    <w:rsid w:val="00B84A16"/>
    <w:rsid w:val="00B8579D"/>
    <w:rsid w:val="00B859C0"/>
    <w:rsid w:val="00B86A61"/>
    <w:rsid w:val="00B87D6B"/>
    <w:rsid w:val="00B90701"/>
    <w:rsid w:val="00B919F3"/>
    <w:rsid w:val="00B9357E"/>
    <w:rsid w:val="00B95084"/>
    <w:rsid w:val="00B9796E"/>
    <w:rsid w:val="00BA0F5C"/>
    <w:rsid w:val="00BA21CF"/>
    <w:rsid w:val="00BA2239"/>
    <w:rsid w:val="00BA2BD1"/>
    <w:rsid w:val="00BA2BFD"/>
    <w:rsid w:val="00BB073E"/>
    <w:rsid w:val="00BB1BE0"/>
    <w:rsid w:val="00BB4737"/>
    <w:rsid w:val="00BB5265"/>
    <w:rsid w:val="00BC1CFD"/>
    <w:rsid w:val="00BC277B"/>
    <w:rsid w:val="00BC373A"/>
    <w:rsid w:val="00BC6A21"/>
    <w:rsid w:val="00BC73DA"/>
    <w:rsid w:val="00BD24FE"/>
    <w:rsid w:val="00BD4B86"/>
    <w:rsid w:val="00BD5EAA"/>
    <w:rsid w:val="00BE0205"/>
    <w:rsid w:val="00BE02C7"/>
    <w:rsid w:val="00BE0375"/>
    <w:rsid w:val="00BE0BCA"/>
    <w:rsid w:val="00BE18F2"/>
    <w:rsid w:val="00BE3E08"/>
    <w:rsid w:val="00BE57C8"/>
    <w:rsid w:val="00BE5950"/>
    <w:rsid w:val="00BE7001"/>
    <w:rsid w:val="00BF0537"/>
    <w:rsid w:val="00BF0EFA"/>
    <w:rsid w:val="00BF1574"/>
    <w:rsid w:val="00BF161D"/>
    <w:rsid w:val="00BF5A83"/>
    <w:rsid w:val="00BF713B"/>
    <w:rsid w:val="00C00894"/>
    <w:rsid w:val="00C034C5"/>
    <w:rsid w:val="00C0439A"/>
    <w:rsid w:val="00C059AD"/>
    <w:rsid w:val="00C0621F"/>
    <w:rsid w:val="00C066B7"/>
    <w:rsid w:val="00C06ECA"/>
    <w:rsid w:val="00C077DD"/>
    <w:rsid w:val="00C07E2E"/>
    <w:rsid w:val="00C12226"/>
    <w:rsid w:val="00C14E74"/>
    <w:rsid w:val="00C15A49"/>
    <w:rsid w:val="00C16800"/>
    <w:rsid w:val="00C21482"/>
    <w:rsid w:val="00C221FB"/>
    <w:rsid w:val="00C22352"/>
    <w:rsid w:val="00C23855"/>
    <w:rsid w:val="00C252C6"/>
    <w:rsid w:val="00C260F7"/>
    <w:rsid w:val="00C328D5"/>
    <w:rsid w:val="00C33463"/>
    <w:rsid w:val="00C335DE"/>
    <w:rsid w:val="00C33914"/>
    <w:rsid w:val="00C33D9C"/>
    <w:rsid w:val="00C35B13"/>
    <w:rsid w:val="00C372E7"/>
    <w:rsid w:val="00C44A65"/>
    <w:rsid w:val="00C45B94"/>
    <w:rsid w:val="00C46253"/>
    <w:rsid w:val="00C514F8"/>
    <w:rsid w:val="00C53018"/>
    <w:rsid w:val="00C630A8"/>
    <w:rsid w:val="00C67343"/>
    <w:rsid w:val="00C70277"/>
    <w:rsid w:val="00C72AFD"/>
    <w:rsid w:val="00C73736"/>
    <w:rsid w:val="00C745F6"/>
    <w:rsid w:val="00C759D1"/>
    <w:rsid w:val="00C76577"/>
    <w:rsid w:val="00C765AB"/>
    <w:rsid w:val="00C76657"/>
    <w:rsid w:val="00C81E65"/>
    <w:rsid w:val="00C81F26"/>
    <w:rsid w:val="00C87362"/>
    <w:rsid w:val="00C915DA"/>
    <w:rsid w:val="00C923BA"/>
    <w:rsid w:val="00C9529B"/>
    <w:rsid w:val="00C954DD"/>
    <w:rsid w:val="00CA1736"/>
    <w:rsid w:val="00CA1E05"/>
    <w:rsid w:val="00CA33C4"/>
    <w:rsid w:val="00CA451E"/>
    <w:rsid w:val="00CA5A63"/>
    <w:rsid w:val="00CA6329"/>
    <w:rsid w:val="00CA6674"/>
    <w:rsid w:val="00CA7151"/>
    <w:rsid w:val="00CB0AB9"/>
    <w:rsid w:val="00CB2EE8"/>
    <w:rsid w:val="00CB5162"/>
    <w:rsid w:val="00CB71C6"/>
    <w:rsid w:val="00CC11C1"/>
    <w:rsid w:val="00CC188B"/>
    <w:rsid w:val="00CC3930"/>
    <w:rsid w:val="00CC3D72"/>
    <w:rsid w:val="00CC6584"/>
    <w:rsid w:val="00CD06F6"/>
    <w:rsid w:val="00CD7345"/>
    <w:rsid w:val="00CD7B1E"/>
    <w:rsid w:val="00CD7D01"/>
    <w:rsid w:val="00CE04AF"/>
    <w:rsid w:val="00CE050E"/>
    <w:rsid w:val="00CE14E4"/>
    <w:rsid w:val="00CE3EE4"/>
    <w:rsid w:val="00CF16F3"/>
    <w:rsid w:val="00CF33D2"/>
    <w:rsid w:val="00CF3EDA"/>
    <w:rsid w:val="00CF4902"/>
    <w:rsid w:val="00CF5516"/>
    <w:rsid w:val="00CF5ECF"/>
    <w:rsid w:val="00CF6756"/>
    <w:rsid w:val="00D013DA"/>
    <w:rsid w:val="00D01BD6"/>
    <w:rsid w:val="00D04337"/>
    <w:rsid w:val="00D070B4"/>
    <w:rsid w:val="00D0735F"/>
    <w:rsid w:val="00D07D11"/>
    <w:rsid w:val="00D11FCD"/>
    <w:rsid w:val="00D12300"/>
    <w:rsid w:val="00D13DF6"/>
    <w:rsid w:val="00D14AA7"/>
    <w:rsid w:val="00D15391"/>
    <w:rsid w:val="00D153C7"/>
    <w:rsid w:val="00D15883"/>
    <w:rsid w:val="00D16ECD"/>
    <w:rsid w:val="00D20242"/>
    <w:rsid w:val="00D213E2"/>
    <w:rsid w:val="00D22349"/>
    <w:rsid w:val="00D3100F"/>
    <w:rsid w:val="00D31B00"/>
    <w:rsid w:val="00D32784"/>
    <w:rsid w:val="00D32FD9"/>
    <w:rsid w:val="00D36CF1"/>
    <w:rsid w:val="00D37A52"/>
    <w:rsid w:val="00D42501"/>
    <w:rsid w:val="00D42FFC"/>
    <w:rsid w:val="00D439A3"/>
    <w:rsid w:val="00D45363"/>
    <w:rsid w:val="00D51E78"/>
    <w:rsid w:val="00D52782"/>
    <w:rsid w:val="00D53BEC"/>
    <w:rsid w:val="00D54857"/>
    <w:rsid w:val="00D5591A"/>
    <w:rsid w:val="00D57669"/>
    <w:rsid w:val="00D578C0"/>
    <w:rsid w:val="00D60ED0"/>
    <w:rsid w:val="00D64922"/>
    <w:rsid w:val="00D66B8D"/>
    <w:rsid w:val="00D67323"/>
    <w:rsid w:val="00D72027"/>
    <w:rsid w:val="00D76753"/>
    <w:rsid w:val="00D80168"/>
    <w:rsid w:val="00D834CA"/>
    <w:rsid w:val="00D84361"/>
    <w:rsid w:val="00D844A7"/>
    <w:rsid w:val="00D86EB2"/>
    <w:rsid w:val="00D873C6"/>
    <w:rsid w:val="00D90D76"/>
    <w:rsid w:val="00D95E87"/>
    <w:rsid w:val="00D975DC"/>
    <w:rsid w:val="00DA07A7"/>
    <w:rsid w:val="00DA115D"/>
    <w:rsid w:val="00DA1794"/>
    <w:rsid w:val="00DA18AA"/>
    <w:rsid w:val="00DA1F9E"/>
    <w:rsid w:val="00DA48A6"/>
    <w:rsid w:val="00DA527A"/>
    <w:rsid w:val="00DA64B3"/>
    <w:rsid w:val="00DB0962"/>
    <w:rsid w:val="00DB10C7"/>
    <w:rsid w:val="00DB2088"/>
    <w:rsid w:val="00DB2CBC"/>
    <w:rsid w:val="00DB7BEF"/>
    <w:rsid w:val="00DB7C0F"/>
    <w:rsid w:val="00DB7CE1"/>
    <w:rsid w:val="00DC651A"/>
    <w:rsid w:val="00DC651D"/>
    <w:rsid w:val="00DD0309"/>
    <w:rsid w:val="00DD17FC"/>
    <w:rsid w:val="00DE0C1F"/>
    <w:rsid w:val="00DE2465"/>
    <w:rsid w:val="00DE247A"/>
    <w:rsid w:val="00DE29A8"/>
    <w:rsid w:val="00DE366C"/>
    <w:rsid w:val="00DE3D44"/>
    <w:rsid w:val="00DE71CC"/>
    <w:rsid w:val="00DE7810"/>
    <w:rsid w:val="00DF07D8"/>
    <w:rsid w:val="00DF3596"/>
    <w:rsid w:val="00DF4B14"/>
    <w:rsid w:val="00DF614A"/>
    <w:rsid w:val="00E010B2"/>
    <w:rsid w:val="00E04B71"/>
    <w:rsid w:val="00E05E1F"/>
    <w:rsid w:val="00E0621B"/>
    <w:rsid w:val="00E07EEF"/>
    <w:rsid w:val="00E11259"/>
    <w:rsid w:val="00E12A51"/>
    <w:rsid w:val="00E16692"/>
    <w:rsid w:val="00E16BAA"/>
    <w:rsid w:val="00E1790D"/>
    <w:rsid w:val="00E22C27"/>
    <w:rsid w:val="00E2428B"/>
    <w:rsid w:val="00E24F44"/>
    <w:rsid w:val="00E265D2"/>
    <w:rsid w:val="00E267A7"/>
    <w:rsid w:val="00E30C12"/>
    <w:rsid w:val="00E30DF7"/>
    <w:rsid w:val="00E31732"/>
    <w:rsid w:val="00E3248A"/>
    <w:rsid w:val="00E33092"/>
    <w:rsid w:val="00E342EF"/>
    <w:rsid w:val="00E4212F"/>
    <w:rsid w:val="00E4554C"/>
    <w:rsid w:val="00E455EF"/>
    <w:rsid w:val="00E479B9"/>
    <w:rsid w:val="00E50D01"/>
    <w:rsid w:val="00E51594"/>
    <w:rsid w:val="00E51CC5"/>
    <w:rsid w:val="00E521E9"/>
    <w:rsid w:val="00E5280D"/>
    <w:rsid w:val="00E538D6"/>
    <w:rsid w:val="00E54095"/>
    <w:rsid w:val="00E55D86"/>
    <w:rsid w:val="00E56B7F"/>
    <w:rsid w:val="00E577F0"/>
    <w:rsid w:val="00E57A4C"/>
    <w:rsid w:val="00E606E9"/>
    <w:rsid w:val="00E63819"/>
    <w:rsid w:val="00E63BD4"/>
    <w:rsid w:val="00E64526"/>
    <w:rsid w:val="00E65A52"/>
    <w:rsid w:val="00E663A9"/>
    <w:rsid w:val="00E71C14"/>
    <w:rsid w:val="00E71E3E"/>
    <w:rsid w:val="00E7224A"/>
    <w:rsid w:val="00E7329C"/>
    <w:rsid w:val="00E73FD3"/>
    <w:rsid w:val="00E77127"/>
    <w:rsid w:val="00E802F5"/>
    <w:rsid w:val="00E80B9C"/>
    <w:rsid w:val="00E81017"/>
    <w:rsid w:val="00E82A88"/>
    <w:rsid w:val="00E84498"/>
    <w:rsid w:val="00E84E86"/>
    <w:rsid w:val="00E84F82"/>
    <w:rsid w:val="00E85920"/>
    <w:rsid w:val="00E86133"/>
    <w:rsid w:val="00E87A0F"/>
    <w:rsid w:val="00E87BB4"/>
    <w:rsid w:val="00E90BDB"/>
    <w:rsid w:val="00E91923"/>
    <w:rsid w:val="00E95372"/>
    <w:rsid w:val="00E95A53"/>
    <w:rsid w:val="00E967F8"/>
    <w:rsid w:val="00EA00CA"/>
    <w:rsid w:val="00EA1F3B"/>
    <w:rsid w:val="00EA24D9"/>
    <w:rsid w:val="00EA2A24"/>
    <w:rsid w:val="00EA4159"/>
    <w:rsid w:val="00EA6F5D"/>
    <w:rsid w:val="00EA7265"/>
    <w:rsid w:val="00EA7517"/>
    <w:rsid w:val="00EA768E"/>
    <w:rsid w:val="00EA7B64"/>
    <w:rsid w:val="00EB36CF"/>
    <w:rsid w:val="00EB6BB8"/>
    <w:rsid w:val="00EC1ACC"/>
    <w:rsid w:val="00EC2ADC"/>
    <w:rsid w:val="00EC59C2"/>
    <w:rsid w:val="00ED08AC"/>
    <w:rsid w:val="00ED2ABA"/>
    <w:rsid w:val="00ED378E"/>
    <w:rsid w:val="00ED4903"/>
    <w:rsid w:val="00ED5BCA"/>
    <w:rsid w:val="00ED7188"/>
    <w:rsid w:val="00EE00DA"/>
    <w:rsid w:val="00EE091B"/>
    <w:rsid w:val="00EE3240"/>
    <w:rsid w:val="00EE3C18"/>
    <w:rsid w:val="00EE4452"/>
    <w:rsid w:val="00EE4925"/>
    <w:rsid w:val="00EE5415"/>
    <w:rsid w:val="00EE61AE"/>
    <w:rsid w:val="00EE6ABF"/>
    <w:rsid w:val="00EE6DC1"/>
    <w:rsid w:val="00EE79B2"/>
    <w:rsid w:val="00EF296C"/>
    <w:rsid w:val="00EF3024"/>
    <w:rsid w:val="00EF3FCE"/>
    <w:rsid w:val="00EF4743"/>
    <w:rsid w:val="00EF5E37"/>
    <w:rsid w:val="00EF6330"/>
    <w:rsid w:val="00EF705E"/>
    <w:rsid w:val="00EF7C18"/>
    <w:rsid w:val="00F0007C"/>
    <w:rsid w:val="00F050A2"/>
    <w:rsid w:val="00F066D0"/>
    <w:rsid w:val="00F1174C"/>
    <w:rsid w:val="00F12F77"/>
    <w:rsid w:val="00F131B7"/>
    <w:rsid w:val="00F145CE"/>
    <w:rsid w:val="00F14D6C"/>
    <w:rsid w:val="00F14FFC"/>
    <w:rsid w:val="00F15667"/>
    <w:rsid w:val="00F177C4"/>
    <w:rsid w:val="00F2003F"/>
    <w:rsid w:val="00F21E35"/>
    <w:rsid w:val="00F22A82"/>
    <w:rsid w:val="00F22BD0"/>
    <w:rsid w:val="00F22FE9"/>
    <w:rsid w:val="00F24B3F"/>
    <w:rsid w:val="00F24BE1"/>
    <w:rsid w:val="00F252F3"/>
    <w:rsid w:val="00F26B72"/>
    <w:rsid w:val="00F311D4"/>
    <w:rsid w:val="00F31C3A"/>
    <w:rsid w:val="00F33DDF"/>
    <w:rsid w:val="00F34ECF"/>
    <w:rsid w:val="00F35E99"/>
    <w:rsid w:val="00F41E46"/>
    <w:rsid w:val="00F43D44"/>
    <w:rsid w:val="00F454BB"/>
    <w:rsid w:val="00F45598"/>
    <w:rsid w:val="00F47583"/>
    <w:rsid w:val="00F50596"/>
    <w:rsid w:val="00F51EA3"/>
    <w:rsid w:val="00F52953"/>
    <w:rsid w:val="00F52A9F"/>
    <w:rsid w:val="00F568F9"/>
    <w:rsid w:val="00F573BC"/>
    <w:rsid w:val="00F66E49"/>
    <w:rsid w:val="00F702AC"/>
    <w:rsid w:val="00F71BD6"/>
    <w:rsid w:val="00F72EDB"/>
    <w:rsid w:val="00F738C5"/>
    <w:rsid w:val="00F73CBE"/>
    <w:rsid w:val="00F753A3"/>
    <w:rsid w:val="00F759A5"/>
    <w:rsid w:val="00F77483"/>
    <w:rsid w:val="00F774AB"/>
    <w:rsid w:val="00F808E9"/>
    <w:rsid w:val="00F81E1A"/>
    <w:rsid w:val="00F84151"/>
    <w:rsid w:val="00F86901"/>
    <w:rsid w:val="00F86F1F"/>
    <w:rsid w:val="00F90B09"/>
    <w:rsid w:val="00F90DFD"/>
    <w:rsid w:val="00F9264C"/>
    <w:rsid w:val="00F93551"/>
    <w:rsid w:val="00F9549F"/>
    <w:rsid w:val="00F9739F"/>
    <w:rsid w:val="00FA0AAA"/>
    <w:rsid w:val="00FA1188"/>
    <w:rsid w:val="00FA34FB"/>
    <w:rsid w:val="00FA3569"/>
    <w:rsid w:val="00FA4A82"/>
    <w:rsid w:val="00FA4ECF"/>
    <w:rsid w:val="00FA7CBF"/>
    <w:rsid w:val="00FB300B"/>
    <w:rsid w:val="00FB3846"/>
    <w:rsid w:val="00FB3946"/>
    <w:rsid w:val="00FB54D5"/>
    <w:rsid w:val="00FB5A3C"/>
    <w:rsid w:val="00FC13EC"/>
    <w:rsid w:val="00FC234A"/>
    <w:rsid w:val="00FC3E92"/>
    <w:rsid w:val="00FC552B"/>
    <w:rsid w:val="00FC5C1F"/>
    <w:rsid w:val="00FC604C"/>
    <w:rsid w:val="00FC7722"/>
    <w:rsid w:val="00FD203C"/>
    <w:rsid w:val="00FD2393"/>
    <w:rsid w:val="00FD24B4"/>
    <w:rsid w:val="00FD3572"/>
    <w:rsid w:val="00FD4906"/>
    <w:rsid w:val="00FD4E73"/>
    <w:rsid w:val="00FD6143"/>
    <w:rsid w:val="00FD7CAA"/>
    <w:rsid w:val="00FE0BD1"/>
    <w:rsid w:val="00FE18D7"/>
    <w:rsid w:val="00FE4425"/>
    <w:rsid w:val="00FE7896"/>
    <w:rsid w:val="00FF020B"/>
    <w:rsid w:val="00FF03A1"/>
    <w:rsid w:val="00FF0F33"/>
    <w:rsid w:val="00FF1E30"/>
    <w:rsid w:val="00FF4501"/>
    <w:rsid w:val="00FF7209"/>
    <w:rsid w:val="00FF742B"/>
    <w:rsid w:val="00FF7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F87DF"/>
  <w15:docId w15:val="{55665CF0-BC1B-47C7-803E-AA1E78A5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9059C"/>
    <w:rPr>
      <w:color w:val="808080"/>
    </w:rPr>
  </w:style>
  <w:style w:type="paragraph" w:styleId="Revisie">
    <w:name w:val="Revision"/>
    <w:hidden/>
    <w:uiPriority w:val="99"/>
    <w:semiHidden/>
    <w:rsid w:val="0099059C"/>
    <w:rPr>
      <w:rFonts w:ascii="Univers" w:hAnsi="Univers"/>
      <w:sz w:val="22"/>
      <w:szCs w:val="24"/>
    </w:rPr>
  </w:style>
  <w:style w:type="paragraph" w:styleId="Lijstalinea">
    <w:name w:val="List Paragraph"/>
    <w:basedOn w:val="Standaard"/>
    <w:uiPriority w:val="34"/>
    <w:qFormat/>
    <w:rsid w:val="007F6B6A"/>
    <w:pPr>
      <w:ind w:left="720"/>
      <w:contextualSpacing/>
    </w:pPr>
  </w:style>
  <w:style w:type="paragraph" w:styleId="Voetnoottekst">
    <w:name w:val="footnote text"/>
    <w:aliases w:val="Codata Voetnoottekst,DTE-Voetnoottekst"/>
    <w:basedOn w:val="Standaard"/>
    <w:link w:val="VoetnoottekstChar"/>
    <w:uiPriority w:val="99"/>
    <w:unhideWhenUsed/>
    <w:rsid w:val="00CC6584"/>
    <w:rPr>
      <w:sz w:val="20"/>
      <w:szCs w:val="20"/>
    </w:rPr>
  </w:style>
  <w:style w:type="character" w:customStyle="1" w:styleId="VoetnoottekstChar">
    <w:name w:val="Voetnoottekst Char"/>
    <w:aliases w:val="Codata Voetnoottekst Char,DTE-Voetnoottekst Char"/>
    <w:basedOn w:val="Standaardalinea-lettertype"/>
    <w:link w:val="Voetnoottekst"/>
    <w:uiPriority w:val="99"/>
    <w:rsid w:val="00CC6584"/>
    <w:rPr>
      <w:rFonts w:ascii="Univers" w:hAnsi="Univers"/>
    </w:rPr>
  </w:style>
  <w:style w:type="character" w:styleId="Voetnootmarkering">
    <w:name w:val="footnote reference"/>
    <w:basedOn w:val="Standaardalinea-lettertype"/>
    <w:uiPriority w:val="99"/>
    <w:semiHidden/>
    <w:unhideWhenUsed/>
    <w:rsid w:val="00CC6584"/>
    <w:rPr>
      <w:vertAlign w:val="superscript"/>
    </w:rPr>
  </w:style>
  <w:style w:type="character" w:styleId="Verwijzingopmerking">
    <w:name w:val="annotation reference"/>
    <w:basedOn w:val="Standaardalinea-lettertype"/>
    <w:uiPriority w:val="99"/>
    <w:semiHidden/>
    <w:unhideWhenUsed/>
    <w:rsid w:val="006505AB"/>
    <w:rPr>
      <w:sz w:val="16"/>
      <w:szCs w:val="16"/>
    </w:rPr>
  </w:style>
  <w:style w:type="paragraph" w:styleId="Tekstopmerking">
    <w:name w:val="annotation text"/>
    <w:basedOn w:val="Standaard"/>
    <w:link w:val="TekstopmerkingChar"/>
    <w:uiPriority w:val="99"/>
    <w:unhideWhenUsed/>
    <w:rsid w:val="006505AB"/>
    <w:rPr>
      <w:sz w:val="20"/>
      <w:szCs w:val="20"/>
    </w:rPr>
  </w:style>
  <w:style w:type="character" w:customStyle="1" w:styleId="TekstopmerkingChar">
    <w:name w:val="Tekst opmerking Char"/>
    <w:basedOn w:val="Standaardalinea-lettertype"/>
    <w:link w:val="Tekstopmerking"/>
    <w:uiPriority w:val="99"/>
    <w:rsid w:val="006505A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505AB"/>
    <w:rPr>
      <w:b/>
      <w:bCs/>
    </w:rPr>
  </w:style>
  <w:style w:type="character" w:customStyle="1" w:styleId="OnderwerpvanopmerkingChar">
    <w:name w:val="Onderwerp van opmerking Char"/>
    <w:basedOn w:val="TekstopmerkingChar"/>
    <w:link w:val="Onderwerpvanopmerking"/>
    <w:uiPriority w:val="99"/>
    <w:semiHidden/>
    <w:rsid w:val="006505AB"/>
    <w:rPr>
      <w:rFonts w:ascii="Univers" w:hAnsi="Univers"/>
      <w:b/>
      <w:bCs/>
    </w:rPr>
  </w:style>
  <w:style w:type="character" w:styleId="Vermelding">
    <w:name w:val="Mention"/>
    <w:basedOn w:val="Standaardalinea-lettertype"/>
    <w:uiPriority w:val="99"/>
    <w:rsid w:val="006505AB"/>
    <w:rPr>
      <w:color w:val="2B579A"/>
      <w:shd w:val="clear" w:color="auto" w:fill="E1DFDD"/>
    </w:rPr>
  </w:style>
  <w:style w:type="character" w:styleId="Hyperlink">
    <w:name w:val="Hyperlink"/>
    <w:basedOn w:val="Standaardalinea-lettertype"/>
    <w:uiPriority w:val="99"/>
    <w:unhideWhenUsed/>
    <w:rsid w:val="00DF3596"/>
    <w:rPr>
      <w:color w:val="0000FF" w:themeColor="hyperlink"/>
      <w:u w:val="single"/>
    </w:rPr>
  </w:style>
  <w:style w:type="character" w:styleId="Onopgelostemelding">
    <w:name w:val="Unresolved Mention"/>
    <w:basedOn w:val="Standaardalinea-lettertype"/>
    <w:uiPriority w:val="99"/>
    <w:rsid w:val="00DF3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134573">
      <w:bodyDiv w:val="1"/>
      <w:marLeft w:val="0"/>
      <w:marRight w:val="0"/>
      <w:marTop w:val="0"/>
      <w:marBottom w:val="0"/>
      <w:divBdr>
        <w:top w:val="none" w:sz="0" w:space="0" w:color="auto"/>
        <w:left w:val="none" w:sz="0" w:space="0" w:color="auto"/>
        <w:bottom w:val="none" w:sz="0" w:space="0" w:color="auto"/>
        <w:right w:val="none" w:sz="0" w:space="0" w:color="auto"/>
      </w:divBdr>
    </w:div>
    <w:div w:id="15519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0EBCBC9-DBEB-4164-8622-E828A413B28B}"/>
      </w:docPartPr>
      <w:docPartBody>
        <w:p w:rsidR="00D73076" w:rsidRDefault="00377E81">
          <w:r w:rsidRPr="0022539D">
            <w:rPr>
              <w:rStyle w:val="Tekstvantijdelijkeaanduiding"/>
            </w:rPr>
            <w:t>Klik of tik om tekst in te voeren.</w:t>
          </w:r>
        </w:p>
      </w:docPartBody>
    </w:docPart>
    <w:docPart>
      <w:docPartPr>
        <w:name w:val="67062848473947A0AB7FC6B6D8485459"/>
        <w:category>
          <w:name w:val="Algemeen"/>
          <w:gallery w:val="placeholder"/>
        </w:category>
        <w:types>
          <w:type w:val="bbPlcHdr"/>
        </w:types>
        <w:behaviors>
          <w:behavior w:val="content"/>
        </w:behaviors>
        <w:guid w:val="{E31DE286-E91F-43B8-9595-33E925969D2C}"/>
      </w:docPartPr>
      <w:docPartBody>
        <w:p w:rsidR="009D21FA" w:rsidRDefault="00377E81">
          <w:pPr>
            <w:pStyle w:val="67062848473947A0AB7FC6B6D8485459"/>
          </w:pPr>
          <w:r w:rsidRPr="0022539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81"/>
    <w:rsid w:val="00377E81"/>
    <w:rsid w:val="009D21FA"/>
    <w:rsid w:val="00D73076"/>
    <w:rsid w:val="00EE6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7E81"/>
    <w:rPr>
      <w:color w:val="808080"/>
    </w:rPr>
  </w:style>
  <w:style w:type="paragraph" w:customStyle="1" w:styleId="67062848473947A0AB7FC6B6D8485459">
    <w:name w:val="67062848473947A0AB7FC6B6D84854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1589</ap:Words>
  <ap:Characters>8744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2023-10-03T07:51:00.0000000Z</lastPrinted>
  <dcterms:created xsi:type="dcterms:W3CDTF">2024-01-26T09:25:00.0000000Z</dcterms:created>
  <dcterms:modified xsi:type="dcterms:W3CDTF">2024-01-26T09:25:00.0000000Z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W18.23.00218/IV</vt:lpwstr>
  </property>
  <property fmtid="{D5CDD505-2E9C-101B-9397-08002B2CF9AE}" pid="5" name="zaaktype">
    <vt:lpwstr>WET</vt:lpwstr>
  </property>
  <property fmtid="{D5CDD505-2E9C-101B-9397-08002B2CF9AE}" pid="6" name="ContentTypeId">
    <vt:lpwstr>0x010100FA5A77795FEADA4EA512273036134446002673CB53647FA8479861DBC874F43095</vt:lpwstr>
  </property>
  <property fmtid="{D5CDD505-2E9C-101B-9397-08002B2CF9AE}" pid="7" name="Bestemming">
    <vt:lpwstr>2;#Corsa|a7721b99-8166-4953-a37e-7c8574fb4b8b</vt:lpwstr>
  </property>
  <property fmtid="{D5CDD505-2E9C-101B-9397-08002B2CF9AE}" pid="8" name="_dlc_DocIdItemGuid">
    <vt:lpwstr>c959d23c-255a-4b9c-96be-e1407f7830a4</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