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5C5AC9" w:rsidTr="005C5AC9" w14:paraId="0A2FFC33" w14:textId="77777777">
        <w:bookmarkStart w:name="_GoBack" w:displacedByCustomXml="next" w:id="0"/>
        <w:bookmarkEnd w:displacedByCustomXml="next" w:id="0"/>
        <w:sdt>
          <w:sdtPr>
            <w:tag w:val="bmZaakNummerAdvies"/>
            <w:id w:val="314535154"/>
            <w:lock w:val="sdtLocked"/>
            <w:placeholder>
              <w:docPart w:val="DefaultPlaceholder_-1854013440"/>
            </w:placeholder>
          </w:sdtPr>
          <w:sdtEndPr/>
          <w:sdtContent>
            <w:tc>
              <w:tcPr>
                <w:tcW w:w="4251" w:type="dxa"/>
              </w:tcPr>
              <w:p w:rsidR="005C5AC9" w:rsidRDefault="005C5AC9" w14:paraId="139BA9C0" w14:textId="33A4E2C7">
                <w:r>
                  <w:t>No. W16.23.00320/II</w:t>
                </w:r>
              </w:p>
            </w:tc>
          </w:sdtContent>
        </w:sdt>
        <w:sdt>
          <w:sdtPr>
            <w:tag w:val="bmDatumAdvies"/>
            <w:id w:val="-1177428591"/>
            <w:lock w:val="sdtLocked"/>
            <w:placeholder>
              <w:docPart w:val="DefaultPlaceholder_-1854013440"/>
            </w:placeholder>
          </w:sdtPr>
          <w:sdtEndPr/>
          <w:sdtContent>
            <w:tc>
              <w:tcPr>
                <w:tcW w:w="4252" w:type="dxa"/>
              </w:tcPr>
              <w:p w:rsidR="005C5AC9" w:rsidRDefault="005C5AC9" w14:paraId="55CBE57E" w14:textId="39DD11E6">
                <w:r>
                  <w:t>'s-Gravenhage, 2</w:t>
                </w:r>
                <w:r w:rsidR="002B3E13">
                  <w:t>4</w:t>
                </w:r>
                <w:r>
                  <w:t xml:space="preserve"> januari 2024</w:t>
                </w:r>
              </w:p>
            </w:tc>
          </w:sdtContent>
        </w:sdt>
      </w:tr>
    </w:tbl>
    <w:p w:rsidR="005C5AC9" w:rsidRDefault="005C5AC9" w14:paraId="786A47E8" w14:textId="77777777"/>
    <w:p w:rsidR="005C5AC9" w:rsidRDefault="005C5AC9" w14:paraId="0BE48B97" w14:textId="77777777"/>
    <w:p w:rsidR="00EB2A32" w:rsidRDefault="00852525" w14:paraId="1CBEF8C6" w14:textId="7FCFAE90">
      <w:sdt>
        <w:sdtPr>
          <w:tag w:val="bmAanhef"/>
          <w:id w:val="1192800433"/>
          <w:lock w:val="sdtLocked"/>
          <w:placeholder>
            <w:docPart w:val="DefaultPlaceholder_-1854013440"/>
          </w:placeholder>
        </w:sdtPr>
        <w:sdtEndPr/>
        <w:sdtContent>
          <w:r w:rsidR="005C5AC9">
            <w:rPr>
              <w:color w:val="000000"/>
            </w:rPr>
            <w:t xml:space="preserve">Bij brief van de Voorzitter van de Tweede Kamer der Staten-Generaal van 26 oktober 2023 heeft de Tweede Kamer, bij de Afdeling advisering van de Raad van State ter overweging aanhangig gemaakt het voorstel van wet van het lid </w:t>
          </w:r>
          <w:proofErr w:type="spellStart"/>
          <w:r w:rsidR="005C5AC9">
            <w:rPr>
              <w:color w:val="000000"/>
            </w:rPr>
            <w:t>Ellian</w:t>
          </w:r>
          <w:proofErr w:type="spellEnd"/>
          <w:r w:rsidR="005C5AC9">
            <w:rPr>
              <w:color w:val="000000"/>
            </w:rPr>
            <w:t xml:space="preserve"> tot wijziging van de Penitentiaire beginselenwet in verband met de toevoeging van een regeling ter aanscherping van het regime in extra beveiligde inrichtingen en afdelingen intensief toezicht (Wet Aanscherping EBI- en AIT-regime), met memorie van toelichting.</w:t>
          </w:r>
        </w:sdtContent>
      </w:sdt>
    </w:p>
    <w:p w:rsidR="00EB2A32" w:rsidRDefault="00EB2A32" w14:paraId="1CBEF8C7" w14:textId="77777777"/>
    <w:sdt>
      <w:sdtPr>
        <w:tag w:val="bmVrijeTekst1"/>
        <w:id w:val="-1970970249"/>
        <w:lock w:val="sdtLocked"/>
        <w:placeholder>
          <w:docPart w:val="DefaultPlaceholder_-1854013440"/>
        </w:placeholder>
      </w:sdtPr>
      <w:sdtEndPr/>
      <w:sdtContent>
        <w:p w:rsidR="00297ABB" w:rsidRDefault="00874210" w14:paraId="3E26F236" w14:textId="020A7CE1">
          <w:r>
            <w:t xml:space="preserve">Het </w:t>
          </w:r>
          <w:r w:rsidR="00F43EEF">
            <w:t>initiatiefwetsvoorstel</w:t>
          </w:r>
          <w:r>
            <w:t xml:space="preserve"> strekt ertoe het regime binnen de Extra </w:t>
          </w:r>
          <w:r w:rsidR="00E759B9">
            <w:t>B</w:t>
          </w:r>
          <w:r>
            <w:t xml:space="preserve">eveiligde Inrichting </w:t>
          </w:r>
          <w:r w:rsidR="00276CF5">
            <w:t xml:space="preserve">(EBI) en </w:t>
          </w:r>
          <w:r w:rsidR="00E759B9">
            <w:t xml:space="preserve">op de </w:t>
          </w:r>
          <w:r w:rsidR="00276CF5">
            <w:t>Afdeling Int</w:t>
          </w:r>
          <w:r w:rsidR="00E759B9">
            <w:t xml:space="preserve">ensief Toezicht (AIT) binnen de penitentiaire inrichtingen aan te scherpen. </w:t>
          </w:r>
          <w:r w:rsidR="00944967">
            <w:t xml:space="preserve">De directeur moet altijd vooraf toestemming geven voor communicatie </w:t>
          </w:r>
          <w:r w:rsidR="0008284A">
            <w:t>met de buitenwereld en hierop toezicht houden. De frequentie en de duur van het bezoek en het telefonisch contact worden sterk beperkt.</w:t>
          </w:r>
          <w:r w:rsidR="00FE7E01">
            <w:t xml:space="preserve"> Contact met andere gedetineerden of met verdachten van ernstige misdrijven wordt niet toegestaan. </w:t>
          </w:r>
          <w:r w:rsidR="0008284A">
            <w:t>Ook</w:t>
          </w:r>
          <w:r w:rsidR="008013A9">
            <w:t xml:space="preserve"> moeten gedetineerden in beginsel in het Nederlands, Fries, Papiaments of Engels communiceren</w:t>
          </w:r>
          <w:r w:rsidR="00FE7E01">
            <w:t xml:space="preserve">. </w:t>
          </w:r>
        </w:p>
        <w:p w:rsidR="00FE7E01" w:rsidRDefault="00FE7E01" w14:paraId="6E9BA1D2" w14:textId="77777777"/>
        <w:p w:rsidR="00E60A21" w:rsidP="001E54CE" w:rsidRDefault="00FE7E01" w14:paraId="69DD7AB7" w14:textId="3AF40CE0">
          <w:r>
            <w:t>De Afdeling</w:t>
          </w:r>
          <w:r w:rsidR="00BC053F">
            <w:t xml:space="preserve"> advisering van de Raad van State </w:t>
          </w:r>
          <w:r w:rsidR="001E54CE">
            <w:t xml:space="preserve">erkent dat gedetineerden die banden hebben met de georganiseerde criminaliteit zelfs vanuit detentie een grote bedreiging voor de openbare orde, veiligheid en democratische rechtsstaat kunnen vormen. Een kleine, uitzonderlijke categorie gedetineerden vraagt in dat verband om uitzonderlijke maatregelen. </w:t>
          </w:r>
          <w:r w:rsidR="00E60A21">
            <w:t>De afgelopen jaren</w:t>
          </w:r>
          <w:r w:rsidR="00A019DB">
            <w:t xml:space="preserve"> hebben zich op dit terrein veel ontwikkelingen voorgedaan. Zo heeft de regering een wetsvoorstel aanhangig gemaakt waarin verschillende maatregelen voor de EBI en AIT worden getroffen. </w:t>
          </w:r>
          <w:r w:rsidR="004F22AB">
            <w:t xml:space="preserve">De Afdeling adviseert </w:t>
          </w:r>
          <w:r w:rsidR="00D600C5">
            <w:t xml:space="preserve">de </w:t>
          </w:r>
          <w:r w:rsidR="00E4467F">
            <w:t>parlementaire</w:t>
          </w:r>
          <w:r w:rsidR="00D600C5">
            <w:t xml:space="preserve"> behandeling van </w:t>
          </w:r>
          <w:r w:rsidR="000B287C">
            <w:t xml:space="preserve">het regeringsvoorstel af te wachten alvorens </w:t>
          </w:r>
          <w:r w:rsidR="009B214B">
            <w:t xml:space="preserve">de behandeling van het </w:t>
          </w:r>
          <w:r w:rsidR="00F43EEF">
            <w:t>initiatiefwetsvoorstel</w:t>
          </w:r>
          <w:r w:rsidR="009B214B">
            <w:t xml:space="preserve"> te vervolgen. </w:t>
          </w:r>
          <w:r w:rsidR="007B298E">
            <w:t>In elk geval moet</w:t>
          </w:r>
          <w:r w:rsidR="004F22AB">
            <w:t xml:space="preserve"> in de toelichting </w:t>
          </w:r>
          <w:r w:rsidR="007B298E">
            <w:t>worden verduidelijkt</w:t>
          </w:r>
          <w:r w:rsidR="004F22AB">
            <w:t xml:space="preserve"> hoe het </w:t>
          </w:r>
          <w:r w:rsidR="00F43EEF">
            <w:t>initiatiefwetsvoorstel</w:t>
          </w:r>
          <w:r w:rsidR="004F22AB">
            <w:t xml:space="preserve"> zich verhoudt tot recente </w:t>
          </w:r>
          <w:r w:rsidR="00BD64C0">
            <w:t>ontwikkelingen op dit terrein.</w:t>
          </w:r>
          <w:r w:rsidR="004F22AB">
            <w:t xml:space="preserve"> </w:t>
          </w:r>
          <w:r w:rsidR="00F605DF">
            <w:t xml:space="preserve">Dit is belangrijk met het oog op de kwaliteit van wetgeving. </w:t>
          </w:r>
        </w:p>
        <w:p w:rsidR="009D52CE" w:rsidP="001E54CE" w:rsidRDefault="009D52CE" w14:paraId="53E101C0" w14:textId="77777777"/>
        <w:p w:rsidR="00CA5C37" w:rsidP="00210EC8" w:rsidRDefault="009D52CE" w14:paraId="2062B942" w14:textId="7EC0F192">
          <w:r>
            <w:t xml:space="preserve">De Afdeling merkt voorts op dat </w:t>
          </w:r>
          <w:r w:rsidR="005A102D">
            <w:t xml:space="preserve">het </w:t>
          </w:r>
          <w:r w:rsidR="00F43EEF">
            <w:t>initiatiefwetsvoorstel</w:t>
          </w:r>
          <w:r w:rsidRPr="007041A4">
            <w:t xml:space="preserve"> ingrijpende mogelijkheden behelst </w:t>
          </w:r>
          <w:r>
            <w:t>die</w:t>
          </w:r>
          <w:r w:rsidRPr="007041A4">
            <w:t xml:space="preserve"> de rechten van gedetineerden in de EBI </w:t>
          </w:r>
          <w:r>
            <w:t>en op de AIT be</w:t>
          </w:r>
          <w:r w:rsidRPr="007041A4">
            <w:t>perke</w:t>
          </w:r>
          <w:r w:rsidR="005A102D">
            <w:t>n</w:t>
          </w:r>
          <w:r w:rsidR="00D911F9">
            <w:t>.</w:t>
          </w:r>
          <w:r w:rsidR="001E54CE">
            <w:t xml:space="preserve"> </w:t>
          </w:r>
          <w:r w:rsidR="00382CC2">
            <w:t>E</w:t>
          </w:r>
          <w:r w:rsidRPr="00AD5093" w:rsidR="00382CC2">
            <w:t xml:space="preserve">en inmenging in rechten </w:t>
          </w:r>
          <w:r w:rsidR="00013028">
            <w:t>–</w:t>
          </w:r>
          <w:r w:rsidRPr="00AD5093" w:rsidR="00382CC2">
            <w:t xml:space="preserve"> óók wanneer dat gebeurt met het oog op het beschermen van de democratische rechtsstaat, openbare orde en veiligheid </w:t>
          </w:r>
          <w:r w:rsidR="00013028">
            <w:t>–</w:t>
          </w:r>
          <w:r w:rsidRPr="00AD5093" w:rsidR="00382CC2">
            <w:t xml:space="preserve"> dient zorgvuldig te worden afgewogen. </w:t>
          </w:r>
          <w:r w:rsidR="00D357FE">
            <w:t>I</w:t>
          </w:r>
          <w:r w:rsidRPr="00D357FE" w:rsidR="00D357FE">
            <w:t>n het voorstel moet</w:t>
          </w:r>
          <w:r w:rsidR="00D357FE">
            <w:t xml:space="preserve"> dus een evenwicht</w:t>
          </w:r>
          <w:r w:rsidRPr="00D357FE" w:rsidR="00D357FE">
            <w:t xml:space="preserve"> worden gevonden tussen de verschillende belangen die in verband met de democratische rechtstaat in het geding zijn</w:t>
          </w:r>
          <w:r w:rsidR="00D357FE">
            <w:t xml:space="preserve">. </w:t>
          </w:r>
        </w:p>
        <w:p w:rsidR="00CA5C37" w:rsidP="00210EC8" w:rsidRDefault="00CA5C37" w14:paraId="20D7BA91" w14:textId="77777777"/>
        <w:p w:rsidR="005D701E" w:rsidP="00210EC8" w:rsidRDefault="00382CC2" w14:paraId="0DA5C46E" w14:textId="67AF6EFB">
          <w:r>
            <w:t xml:space="preserve">Bij het treffen van </w:t>
          </w:r>
          <w:r w:rsidR="00AB62FC">
            <w:t xml:space="preserve">vrijheidsbeperkende </w:t>
          </w:r>
          <w:r>
            <w:t xml:space="preserve">maatregelen moet </w:t>
          </w:r>
          <w:r w:rsidR="00AB62FC">
            <w:t>in elk geval</w:t>
          </w:r>
          <w:r>
            <w:t xml:space="preserve"> v</w:t>
          </w:r>
          <w:r w:rsidRPr="00AD5093">
            <w:t xml:space="preserve">oldaan worden aan eisen van noodzaak, proportionaliteit en subsidiariteit. </w:t>
          </w:r>
          <w:r w:rsidR="009925A3">
            <w:t xml:space="preserve">De Afdeling stelt </w:t>
          </w:r>
          <w:r w:rsidR="00910680">
            <w:t xml:space="preserve">in dat verband vragen over de probleemanalyse die aan het wetsvoorstel ten grondslag ligt. </w:t>
          </w:r>
          <w:r w:rsidR="00210EC8">
            <w:t xml:space="preserve">Daarnaast vraagt de Afdeling aandacht voor de </w:t>
          </w:r>
          <w:r w:rsidR="00593B10">
            <w:t xml:space="preserve">grote </w:t>
          </w:r>
          <w:r w:rsidR="00210EC8">
            <w:t xml:space="preserve">verschillen tussen de gedetineerden in de EBI en </w:t>
          </w:r>
          <w:r w:rsidR="00A430A8">
            <w:t xml:space="preserve">op </w:t>
          </w:r>
          <w:r w:rsidR="00210EC8">
            <w:t>de AIT</w:t>
          </w:r>
          <w:r w:rsidR="00593B10">
            <w:t xml:space="preserve"> en binnen deze regimes</w:t>
          </w:r>
          <w:r w:rsidR="00210EC8">
            <w:t xml:space="preserve">. </w:t>
          </w:r>
          <w:r w:rsidR="00593B10">
            <w:t>Hierdoor ontstaat het risico dat de vrijheidsbeperkingen die initiatiefnemer aan het regime wil verbinden</w:t>
          </w:r>
          <w:r w:rsidR="00DE5E09">
            <w:t xml:space="preserve">, </w:t>
          </w:r>
          <w:r w:rsidR="00593B10">
            <w:t>de vrijheid van een gedetineerde</w:t>
          </w:r>
          <w:r w:rsidR="00E23246">
            <w:t xml:space="preserve"> in het concrete geval</w:t>
          </w:r>
          <w:r w:rsidR="00593B10">
            <w:t xml:space="preserve"> onnodig of onevenredig beperken.</w:t>
          </w:r>
        </w:p>
        <w:p w:rsidR="00AE551E" w:rsidP="001E54CE" w:rsidRDefault="00AE551E" w14:paraId="1AF65A5B" w14:textId="77777777"/>
        <w:p w:rsidR="005D262E" w:rsidP="001E54CE" w:rsidRDefault="0077540F" w14:paraId="247F0356" w14:textId="687E4A45">
          <w:r>
            <w:lastRenderedPageBreak/>
            <w:t xml:space="preserve">Het </w:t>
          </w:r>
          <w:r w:rsidR="00F43EEF">
            <w:t>initiatiefwetsvoorstel</w:t>
          </w:r>
          <w:r>
            <w:t xml:space="preserve"> leidt ertoe dat gedetineerden </w:t>
          </w:r>
          <w:r w:rsidR="00E54272">
            <w:t xml:space="preserve">in de EBI en op de AIT geen </w:t>
          </w:r>
          <w:r w:rsidR="00426205">
            <w:t xml:space="preserve">wettelijk </w:t>
          </w:r>
          <w:r w:rsidR="00E54272">
            <w:t xml:space="preserve">recht meer hebben op </w:t>
          </w:r>
          <w:r w:rsidR="001E1ACB">
            <w:t xml:space="preserve">bezoek </w:t>
          </w:r>
          <w:r w:rsidR="00393D09">
            <w:t>van</w:t>
          </w:r>
          <w:r w:rsidR="001E1ACB">
            <w:t xml:space="preserve"> of telefonisch contact</w:t>
          </w:r>
          <w:r w:rsidR="00426205">
            <w:t xml:space="preserve"> met </w:t>
          </w:r>
          <w:r w:rsidR="00D32DD2">
            <w:t>niet-geprivilegieerde contacten</w:t>
          </w:r>
          <w:r w:rsidR="0066130E">
            <w:t>,</w:t>
          </w:r>
          <w:r w:rsidR="001B3902">
            <w:t xml:space="preserve"> doordat het </w:t>
          </w:r>
          <w:r w:rsidR="002F696F">
            <w:t xml:space="preserve">in plaats van een ondergrens </w:t>
          </w:r>
          <w:r w:rsidR="009F7AAF">
            <w:t xml:space="preserve">een bovengrens stelt aan de duur en frequentie van het bezoek en telefonisch contact. </w:t>
          </w:r>
        </w:p>
        <w:p w:rsidR="00D4567A" w:rsidP="001E54CE" w:rsidRDefault="00D07465" w14:paraId="0E6ACD08" w14:textId="09110C39">
          <w:r>
            <w:t xml:space="preserve">Het loslaten van een ondergrens voor deze vormen van contact </w:t>
          </w:r>
          <w:r w:rsidR="00FF2420">
            <w:t>is</w:t>
          </w:r>
          <w:r w:rsidR="00CC23D7">
            <w:t xml:space="preserve"> echter</w:t>
          </w:r>
          <w:r w:rsidR="00FF2420">
            <w:t xml:space="preserve"> in strijd</w:t>
          </w:r>
          <w:r w:rsidR="00426205">
            <w:t xml:space="preserve"> </w:t>
          </w:r>
          <w:r w:rsidR="00CE6C33">
            <w:t>met</w:t>
          </w:r>
          <w:r w:rsidR="00426205">
            <w:t xml:space="preserve"> het recht op privé- en familieleven in de zin van artikel 8 EVRM. </w:t>
          </w:r>
          <w:r w:rsidR="008360F1">
            <w:t xml:space="preserve">De voorgestelde bovengrens </w:t>
          </w:r>
          <w:r w:rsidR="0024709D">
            <w:t>laat bovendien weinig</w:t>
          </w:r>
          <w:r w:rsidR="009D400A">
            <w:t xml:space="preserve"> ruimte </w:t>
          </w:r>
          <w:r w:rsidR="0024709D">
            <w:t xml:space="preserve">om </w:t>
          </w:r>
          <w:r w:rsidR="009D400A">
            <w:t>maatwerk</w:t>
          </w:r>
          <w:r w:rsidR="0024709D">
            <w:t xml:space="preserve"> te leveren.</w:t>
          </w:r>
          <w:r w:rsidR="009D400A">
            <w:t xml:space="preserve"> </w:t>
          </w:r>
          <w:r w:rsidR="00FC1291">
            <w:t xml:space="preserve">Voldoende </w:t>
          </w:r>
          <w:r w:rsidR="009F7732">
            <w:t xml:space="preserve">ruimte voor maatwerk is niet alleen van belang vanuit een grondrechtelijk perspectief, maar ook met het oog op een veilige tenuitvoerlegging van de detentie en </w:t>
          </w:r>
          <w:r w:rsidR="00D32DD2">
            <w:t xml:space="preserve">verantwoorde resocialisatie. </w:t>
          </w:r>
          <w:r w:rsidR="009D400A">
            <w:t xml:space="preserve">De Afdeling adviseert daarom </w:t>
          </w:r>
          <w:r w:rsidR="004B42AD">
            <w:t>de ondergrens te handhaven en</w:t>
          </w:r>
          <w:r w:rsidR="009D400A">
            <w:t xml:space="preserve"> af te zie</w:t>
          </w:r>
          <w:r w:rsidR="00D32DD2">
            <w:t xml:space="preserve">n van de voorgestelde bovengrens. </w:t>
          </w:r>
        </w:p>
        <w:p w:rsidR="00881E99" w:rsidP="001E54CE" w:rsidRDefault="00881E99" w14:paraId="57EE2127" w14:textId="77777777"/>
        <w:p w:rsidR="00FE7E01" w:rsidRDefault="00881E99" w14:paraId="35A5F02B" w14:textId="2573D59E">
          <w:r>
            <w:t xml:space="preserve">De Afdeling </w:t>
          </w:r>
          <w:r w:rsidR="00AF4EA0">
            <w:t>wijst er</w:t>
          </w:r>
          <w:r w:rsidR="00C45C58">
            <w:t xml:space="preserve"> daarnaast </w:t>
          </w:r>
          <w:r w:rsidR="00AF4EA0">
            <w:t xml:space="preserve">op </w:t>
          </w:r>
          <w:r w:rsidR="00C45C58">
            <w:t xml:space="preserve">dat </w:t>
          </w:r>
          <w:r w:rsidR="00E43970">
            <w:t>de noodzaak</w:t>
          </w:r>
          <w:r w:rsidR="006F42BF">
            <w:t xml:space="preserve"> en </w:t>
          </w:r>
          <w:r w:rsidR="002C1801">
            <w:t xml:space="preserve">proportionaliteit </w:t>
          </w:r>
          <w:r w:rsidR="00E43970">
            <w:t xml:space="preserve">van een aantal andere maatregelen in het </w:t>
          </w:r>
          <w:r w:rsidR="00F43EEF">
            <w:t>initiatiefwetsvoorstel</w:t>
          </w:r>
          <w:r w:rsidR="00E43970">
            <w:t xml:space="preserve"> onvoldoende </w:t>
          </w:r>
          <w:r w:rsidR="00DA036E">
            <w:t xml:space="preserve">zijn </w:t>
          </w:r>
          <w:r w:rsidR="00AF4EA0">
            <w:t>gemotiveerd</w:t>
          </w:r>
          <w:r w:rsidR="00B0761B">
            <w:t>.</w:t>
          </w:r>
          <w:r w:rsidR="00733777">
            <w:t xml:space="preserve"> De Afdeling </w:t>
          </w:r>
          <w:r w:rsidR="006F42BF">
            <w:t xml:space="preserve">maakt in dat verband opmerkingen over het beperken van groepen personen waarmee de gedetineerde contact mag hebben en de talen waarin met de buitenwereld gecommuniceerd mag worden. </w:t>
          </w:r>
          <w:r w:rsidR="00964AFE">
            <w:t xml:space="preserve">Ook merkt de Afdeling op dat de passages over procedurele waarborgen </w:t>
          </w:r>
          <w:r w:rsidR="00383E9F">
            <w:t>moeten</w:t>
          </w:r>
          <w:r w:rsidR="00964AFE">
            <w:t xml:space="preserve"> worden </w:t>
          </w:r>
          <w:r w:rsidR="00193D43">
            <w:t xml:space="preserve">aangevuld met verwijzingen naar de beklagprocedure binnen penitentiaire inrichtingen. </w:t>
          </w:r>
        </w:p>
        <w:p w:rsidR="00D702EA" w:rsidRDefault="00D702EA" w14:paraId="4E78A232" w14:textId="77777777"/>
        <w:p w:rsidR="00D702EA" w:rsidRDefault="00D702EA" w14:paraId="68D78347" w14:textId="67D6C3E5">
          <w:r>
            <w:t xml:space="preserve">In het licht van deze opmerkingen adviseert de Afdeling het </w:t>
          </w:r>
          <w:r w:rsidR="00F43EEF">
            <w:t>initiatiefwetsvoorstel</w:t>
          </w:r>
          <w:r>
            <w:t xml:space="preserve"> </w:t>
          </w:r>
          <w:r w:rsidR="002A7E30">
            <w:t xml:space="preserve">nader </w:t>
          </w:r>
          <w:r>
            <w:t xml:space="preserve">te overwegen. </w:t>
          </w:r>
        </w:p>
        <w:p w:rsidR="00944967" w:rsidRDefault="00944967" w14:paraId="1F1581E5" w14:textId="77777777"/>
        <w:p w:rsidRPr="005C5AC9" w:rsidR="0030039E" w:rsidP="005C5AC9" w:rsidRDefault="0030039E" w14:paraId="5E1EC046" w14:textId="2DA06D8A">
          <w:pPr>
            <w:pStyle w:val="Lijstalinea"/>
            <w:numPr>
              <w:ilvl w:val="0"/>
              <w:numId w:val="2"/>
            </w:numPr>
            <w:rPr>
              <w:u w:val="single"/>
            </w:rPr>
          </w:pPr>
          <w:r w:rsidRPr="005C5AC9">
            <w:rPr>
              <w:u w:val="single"/>
            </w:rPr>
            <w:t xml:space="preserve">Inhoud van het </w:t>
          </w:r>
          <w:r w:rsidR="00F43EEF">
            <w:rPr>
              <w:u w:val="single"/>
            </w:rPr>
            <w:t>initiatiefwetsvoorstel</w:t>
          </w:r>
        </w:p>
        <w:p w:rsidR="00450BEE" w:rsidP="00570400" w:rsidRDefault="00450BEE" w14:paraId="667F26C0" w14:textId="77777777"/>
        <w:p w:rsidR="000E57C5" w:rsidP="000E57C5" w:rsidRDefault="000E57C5" w14:paraId="33A8B811" w14:textId="7E96FFDA">
          <w:r>
            <w:t xml:space="preserve">Met dit </w:t>
          </w:r>
          <w:r w:rsidR="00770FE7">
            <w:t>wets</w:t>
          </w:r>
          <w:r>
            <w:t xml:space="preserve">voorstel wil de initiatiefnemer </w:t>
          </w:r>
          <w:r w:rsidR="008112BB">
            <w:t xml:space="preserve">voortgezet crimineel handelen in detentie </w:t>
          </w:r>
          <w:r w:rsidR="002A4243">
            <w:t>(hierna: VCHD)</w:t>
          </w:r>
          <w:r w:rsidR="008112BB">
            <w:t xml:space="preserve"> </w:t>
          </w:r>
          <w:r>
            <w:t xml:space="preserve">aanpakken. </w:t>
          </w:r>
          <w:r w:rsidR="000570BD">
            <w:t xml:space="preserve">Er </w:t>
          </w:r>
          <w:r w:rsidR="00AE49B7">
            <w:t>zit</w:t>
          </w:r>
          <w:r w:rsidR="00EE19DA">
            <w:t xml:space="preserve"> </w:t>
          </w:r>
          <w:r w:rsidR="00D72BEE">
            <w:t xml:space="preserve">volgens </w:t>
          </w:r>
          <w:r w:rsidR="006915C4">
            <w:t xml:space="preserve">de initiatiefnemer een nieuwe </w:t>
          </w:r>
          <w:r w:rsidR="00350886">
            <w:t>categorie</w:t>
          </w:r>
          <w:r>
            <w:t xml:space="preserve"> criminelen in detentie, die </w:t>
          </w:r>
          <w:r w:rsidR="00B00590">
            <w:t xml:space="preserve">meer dan voorheen </w:t>
          </w:r>
          <w:r>
            <w:t xml:space="preserve">het geld, het netwerk en de middelen hebben om door te gaan met criminele activiteiten. Daarnaast is er een groep geharde criminelen die </w:t>
          </w:r>
          <w:r w:rsidR="00123F38">
            <w:t>niet</w:t>
          </w:r>
          <w:r>
            <w:t xml:space="preserve"> berusten in hun straf en doorgaan met criminele activiteiten. </w:t>
          </w:r>
          <w:r w:rsidR="006915C4">
            <w:t>Deze</w:t>
          </w:r>
          <w:r>
            <w:t xml:space="preserve"> groepen</w:t>
          </w:r>
          <w:r w:rsidR="006915C4">
            <w:t xml:space="preserve"> maken</w:t>
          </w:r>
          <w:r>
            <w:t xml:space="preserve"> veelvuldig misbruik van de mogelijkheden die zij hebben om met mensen buiten de penitentiaire inrichting te communiceren. De initiatiefnemer stelt daarom een wijziging van de Penitentiaire beginselenwet voor zodat de communicatiemogelijkheden van gedetineerden </w:t>
          </w:r>
          <w:r w:rsidR="00C703DE">
            <w:t xml:space="preserve">in </w:t>
          </w:r>
          <w:r>
            <w:t xml:space="preserve">de EBI en </w:t>
          </w:r>
          <w:r w:rsidR="00C703DE">
            <w:t xml:space="preserve">op de </w:t>
          </w:r>
          <w:r>
            <w:t>AIT beperkt worden. In de EBI en op de AIT worden personen gedetineerd van wie de grootste veiligheidsrisico</w:t>
          </w:r>
          <w:r w:rsidR="00F76E4F">
            <w:t>’</w:t>
          </w:r>
          <w:r>
            <w:t>s uitgaan.</w:t>
          </w:r>
          <w:r>
            <w:rPr>
              <w:rStyle w:val="Voetnootmarkering"/>
            </w:rPr>
            <w:footnoteReference w:id="2"/>
          </w:r>
          <w:r>
            <w:t xml:space="preserve"> </w:t>
          </w:r>
        </w:p>
        <w:p w:rsidR="000E57C5" w:rsidP="00570400" w:rsidRDefault="000E57C5" w14:paraId="06689F80" w14:textId="77777777"/>
        <w:p w:rsidR="00F76E4F" w:rsidP="00570400" w:rsidRDefault="00766306" w14:paraId="43056D1E" w14:textId="77777777">
          <w:r>
            <w:t xml:space="preserve">Het </w:t>
          </w:r>
          <w:r w:rsidR="00583D7E">
            <w:t xml:space="preserve">huidige </w:t>
          </w:r>
          <w:r>
            <w:t xml:space="preserve">uitgangspunt van de </w:t>
          </w:r>
          <w:r w:rsidR="0098391C">
            <w:t>P</w:t>
          </w:r>
          <w:r>
            <w:t>enitentiaire beginselenwet is dat gedetineerden mogen communiceren met de buitenwereld</w:t>
          </w:r>
          <w:r w:rsidR="007F3575">
            <w:t xml:space="preserve">, tenzij de directeur hieraan beperkingen stelt </w:t>
          </w:r>
          <w:r w:rsidR="007E0D60">
            <w:t xml:space="preserve">met het oog op de handhaving van de orde en veiligheid in de inrichting, de bescherming van de openbare orde en nationale veiligheid, de voorkoming of opsporing van strafbare feiten of de bescherming van slachtoffers of anderszins betrokkenen bij misdrijven. </w:t>
          </w:r>
          <w:r w:rsidR="00665673">
            <w:t xml:space="preserve">Alle gedetineerden hebben </w:t>
          </w:r>
          <w:r w:rsidR="0098391C">
            <w:t>het</w:t>
          </w:r>
          <w:r w:rsidR="00665673">
            <w:t xml:space="preserve"> recht o</w:t>
          </w:r>
          <w:r w:rsidR="00D16A58">
            <w:t xml:space="preserve">m brieven te sturen en te ontvangen. </w:t>
          </w:r>
        </w:p>
        <w:p w:rsidR="00F76E4F" w:rsidP="00570400" w:rsidRDefault="00F76E4F" w14:paraId="47A8BCC1" w14:textId="77777777"/>
        <w:p w:rsidR="006D7706" w:rsidP="00570400" w:rsidRDefault="00D16A58" w14:paraId="5E870275" w14:textId="4E08EE3F">
          <w:r>
            <w:t>Daarnaast mogen zij</w:t>
          </w:r>
          <w:r w:rsidR="00666D42">
            <w:t xml:space="preserve"> minimaal</w:t>
          </w:r>
          <w:r>
            <w:t xml:space="preserve"> </w:t>
          </w:r>
          <w:r w:rsidR="00665673">
            <w:t xml:space="preserve">één uur bezoek per week </w:t>
          </w:r>
          <w:r w:rsidR="00666D42">
            <w:t>ontvangen</w:t>
          </w:r>
          <w:r>
            <w:t xml:space="preserve"> </w:t>
          </w:r>
          <w:r w:rsidR="00665673">
            <w:t>en één of meer telefoongesprekken van in totaal tien minuten per week</w:t>
          </w:r>
          <w:r>
            <w:t xml:space="preserve"> voeren</w:t>
          </w:r>
          <w:r w:rsidR="00665673">
            <w:t xml:space="preserve">. </w:t>
          </w:r>
          <w:r w:rsidR="004351A9">
            <w:t xml:space="preserve">In de huisregels wordt vastgelegd wanneer dit contact kan plaatsvinden. </w:t>
          </w:r>
          <w:r>
            <w:t xml:space="preserve">De directeur kan op deze vormen </w:t>
          </w:r>
          <w:r>
            <w:lastRenderedPageBreak/>
            <w:t>van communicatie toezicht houden</w:t>
          </w:r>
          <w:r w:rsidR="00204F43">
            <w:t>, behalve als het contact geprivilegieerd is.</w:t>
          </w:r>
          <w:r w:rsidR="00222C2A">
            <w:rPr>
              <w:rStyle w:val="Voetnootmarkering"/>
            </w:rPr>
            <w:footnoteReference w:id="3"/>
          </w:r>
          <w:r>
            <w:t xml:space="preserve"> </w:t>
          </w:r>
          <w:r w:rsidR="0034291D">
            <w:t>In de praktijk</w:t>
          </w:r>
          <w:r>
            <w:t xml:space="preserve"> worden</w:t>
          </w:r>
          <w:r w:rsidR="008A5C66">
            <w:t xml:space="preserve"> de communicatiemogelijkheden </w:t>
          </w:r>
          <w:r w:rsidR="0034291D">
            <w:t xml:space="preserve">aan gedetineerden </w:t>
          </w:r>
          <w:r w:rsidR="00204F43">
            <w:t xml:space="preserve">in </w:t>
          </w:r>
          <w:r w:rsidR="0034291D">
            <w:t>de EBI en</w:t>
          </w:r>
          <w:r w:rsidR="00204F43">
            <w:t xml:space="preserve"> op de </w:t>
          </w:r>
          <w:r w:rsidR="0034291D">
            <w:t>AIT</w:t>
          </w:r>
          <w:r>
            <w:t xml:space="preserve"> beperkt met het oog op </w:t>
          </w:r>
          <w:r w:rsidR="006E601C">
            <w:t xml:space="preserve">de veiligheid. </w:t>
          </w:r>
          <w:r w:rsidR="00D926DA">
            <w:t>Naast beperkingen in de huisregels</w:t>
          </w:r>
          <w:r w:rsidR="00751E45">
            <w:t xml:space="preserve"> kan de</w:t>
          </w:r>
          <w:r w:rsidR="00750478">
            <w:t xml:space="preserve"> directeur </w:t>
          </w:r>
          <w:r w:rsidR="00751E45">
            <w:t xml:space="preserve">zowel in de EBI als </w:t>
          </w:r>
          <w:r w:rsidR="00255186">
            <w:t xml:space="preserve">op </w:t>
          </w:r>
          <w:r w:rsidR="00751E45">
            <w:t>de AIT</w:t>
          </w:r>
          <w:r w:rsidR="00750478">
            <w:t xml:space="preserve"> individuele toezichtmaatregelen opleggen</w:t>
          </w:r>
          <w:r w:rsidR="008D335B">
            <w:t>.</w:t>
          </w:r>
          <w:r w:rsidR="008D335B">
            <w:rPr>
              <w:rStyle w:val="Voetnootmarkering"/>
            </w:rPr>
            <w:footnoteReference w:id="4"/>
          </w:r>
        </w:p>
        <w:p w:rsidR="008D335B" w:rsidP="00570400" w:rsidRDefault="008D335B" w14:paraId="3D548778" w14:textId="77777777"/>
        <w:p w:rsidR="00F76E4F" w:rsidP="00546CD1" w:rsidRDefault="00B8222D" w14:paraId="048C8CA8" w14:textId="5F0971B4">
          <w:r>
            <w:t xml:space="preserve">Het </w:t>
          </w:r>
          <w:r w:rsidR="00F43EEF">
            <w:t>initiatiefwetsvoorstel</w:t>
          </w:r>
          <w:r>
            <w:t xml:space="preserve"> scherpt</w:t>
          </w:r>
          <w:r w:rsidR="00B25808">
            <w:t xml:space="preserve"> de regels</w:t>
          </w:r>
          <w:r w:rsidR="00C24F6D">
            <w:t xml:space="preserve"> </w:t>
          </w:r>
          <w:r w:rsidR="00CD5A67">
            <w:t xml:space="preserve">in de EBI en op de AIT </w:t>
          </w:r>
          <w:r w:rsidR="00C24F6D">
            <w:t>aan</w:t>
          </w:r>
          <w:r w:rsidR="00B25808">
            <w:t xml:space="preserve"> voor</w:t>
          </w:r>
          <w:r w:rsidR="00DC5F2A">
            <w:t xml:space="preserve"> het versturen en ontvangen van post, telefoneren en het ontvangen van bezoek. </w:t>
          </w:r>
          <w:r w:rsidR="00B25808">
            <w:t xml:space="preserve">Niet in individuele beslissingen, maar in de </w:t>
          </w:r>
          <w:r w:rsidR="00B03026">
            <w:t>P</w:t>
          </w:r>
          <w:r w:rsidR="00152BCC">
            <w:t>enitentiaire beginselen</w:t>
          </w:r>
          <w:r w:rsidR="00B25808">
            <w:t>wet wordt vastge</w:t>
          </w:r>
          <w:r w:rsidR="00152BCC">
            <w:t>legd</w:t>
          </w:r>
          <w:r w:rsidR="00B25808">
            <w:t xml:space="preserve"> dat gedetineerden </w:t>
          </w:r>
          <w:r w:rsidR="00C175BA">
            <w:t>voor</w:t>
          </w:r>
          <w:r w:rsidR="00E45783">
            <w:t>afgaand aan de</w:t>
          </w:r>
          <w:r w:rsidR="00C175BA">
            <w:t xml:space="preserve"> communicatie </w:t>
          </w:r>
          <w:r w:rsidR="003541FB">
            <w:t>toestemming</w:t>
          </w:r>
          <w:r w:rsidR="00B25808">
            <w:t xml:space="preserve"> moeten</w:t>
          </w:r>
          <w:r w:rsidR="003541FB">
            <w:t xml:space="preserve"> </w:t>
          </w:r>
          <w:r w:rsidR="00C175BA">
            <w:t xml:space="preserve">krijgen </w:t>
          </w:r>
          <w:r w:rsidR="003541FB">
            <w:t>van de directeu</w:t>
          </w:r>
          <w:r w:rsidR="00A4639C">
            <w:t>r</w:t>
          </w:r>
          <w:r w:rsidR="00365747">
            <w:t xml:space="preserve"> en dat op alle communicatie toezicht wordt gehouden.</w:t>
          </w:r>
          <w:r w:rsidR="00365747">
            <w:rPr>
              <w:rStyle w:val="Voetnootmarkering"/>
            </w:rPr>
            <w:footnoteReference w:id="5"/>
          </w:r>
          <w:r w:rsidR="00365747">
            <w:t xml:space="preserve"> </w:t>
          </w:r>
        </w:p>
        <w:p w:rsidR="00F76E4F" w:rsidP="00546CD1" w:rsidRDefault="00F76E4F" w14:paraId="5A0BBBDC" w14:textId="77777777"/>
        <w:p w:rsidR="00045FAB" w:rsidP="00546CD1" w:rsidRDefault="00032FF8" w14:paraId="67668FD0" w14:textId="1C6B4390">
          <w:r>
            <w:t>De i</w:t>
          </w:r>
          <w:r w:rsidR="008F1926">
            <w:t>nitiatiefnemer stelt verder voor</w:t>
          </w:r>
          <w:r w:rsidR="00A235E0">
            <w:t xml:space="preserve"> </w:t>
          </w:r>
          <w:r w:rsidR="008F1926">
            <w:t>om</w:t>
          </w:r>
          <w:r w:rsidR="00A235E0">
            <w:t xml:space="preserve"> communicatie </w:t>
          </w:r>
          <w:r w:rsidR="00475E18">
            <w:t xml:space="preserve">met </w:t>
          </w:r>
          <w:r w:rsidR="00E45783">
            <w:t>andere gedetineerden</w:t>
          </w:r>
          <w:r w:rsidR="00B30F6F">
            <w:t xml:space="preserve"> en</w:t>
          </w:r>
          <w:r w:rsidR="00E45783">
            <w:t xml:space="preserve"> personen die verdacht worden van deelname aan een criminele organisatie of van delicten waarop acht jaar of meer staat</w:t>
          </w:r>
          <w:r w:rsidR="00B408FE">
            <w:t>,</w:t>
          </w:r>
          <w:r w:rsidR="00214876">
            <w:t xml:space="preserve"> </w:t>
          </w:r>
          <w:r w:rsidR="003C351B">
            <w:t xml:space="preserve">niet </w:t>
          </w:r>
          <w:r w:rsidR="008F1926">
            <w:t>toe te staan</w:t>
          </w:r>
          <w:r w:rsidR="003C351B">
            <w:t>.</w:t>
          </w:r>
          <w:r w:rsidR="00214876">
            <w:t xml:space="preserve"> In een </w:t>
          </w:r>
          <w:r w:rsidR="003146F9">
            <w:t>algemene maatregel van bestuur (</w:t>
          </w:r>
          <w:proofErr w:type="spellStart"/>
          <w:r w:rsidR="00214876">
            <w:t>amvb</w:t>
          </w:r>
          <w:proofErr w:type="spellEnd"/>
          <w:r w:rsidR="003146F9">
            <w:t>)</w:t>
          </w:r>
          <w:r w:rsidR="00214876">
            <w:t xml:space="preserve"> kunnen meer categorieën van personen worden aangewezen met wie </w:t>
          </w:r>
          <w:r w:rsidR="00566EF5">
            <w:t xml:space="preserve">de gedetineerde </w:t>
          </w:r>
          <w:r w:rsidR="00214876">
            <w:t>geen contact mag onderhouden.</w:t>
          </w:r>
          <w:r w:rsidR="004C2442">
            <w:rPr>
              <w:rStyle w:val="Voetnootmarkering"/>
            </w:rPr>
            <w:footnoteReference w:id="6"/>
          </w:r>
          <w:r w:rsidR="003C351B">
            <w:t xml:space="preserve"> </w:t>
          </w:r>
          <w:r w:rsidR="00EE5134">
            <w:t xml:space="preserve">De </w:t>
          </w:r>
          <w:r w:rsidR="00A86D38">
            <w:t xml:space="preserve">gedetineerde en zijn contactpersoon mogen enkel in het </w:t>
          </w:r>
          <w:r w:rsidR="00A06D73">
            <w:t>Nederlands, Fries, Papiaments of Engels</w:t>
          </w:r>
          <w:r w:rsidR="00566EF5">
            <w:t xml:space="preserve"> communiceren</w:t>
          </w:r>
          <w:r w:rsidR="00A06D73">
            <w:t xml:space="preserve">, tenzij evident is dat </w:t>
          </w:r>
          <w:r w:rsidR="00782300">
            <w:t>een van beiden</w:t>
          </w:r>
          <w:r w:rsidR="00A06D73">
            <w:t xml:space="preserve"> </w:t>
          </w:r>
          <w:r w:rsidR="00CD6BDF">
            <w:t xml:space="preserve">deze </w:t>
          </w:r>
          <w:r w:rsidR="00A06D73">
            <w:t>talen niet machtig is.</w:t>
          </w:r>
          <w:r w:rsidR="004B6A75">
            <w:rPr>
              <w:rStyle w:val="Voetnootmarkering"/>
            </w:rPr>
            <w:footnoteReference w:id="7"/>
          </w:r>
        </w:p>
        <w:p w:rsidR="00216193" w:rsidP="00546CD1" w:rsidRDefault="00216193" w14:paraId="5C6AA22A" w14:textId="77777777"/>
        <w:p w:rsidR="00045FAB" w:rsidP="00546CD1" w:rsidRDefault="00F40E4A" w14:paraId="01DC0804" w14:textId="26FDECA5">
          <w:r>
            <w:t xml:space="preserve">Het </w:t>
          </w:r>
          <w:r w:rsidR="00F76E4F">
            <w:t>wets</w:t>
          </w:r>
          <w:r>
            <w:t xml:space="preserve">voorstel </w:t>
          </w:r>
          <w:r w:rsidR="00F41D68">
            <w:t>om</w:t>
          </w:r>
          <w:r>
            <w:t xml:space="preserve">vat </w:t>
          </w:r>
          <w:r w:rsidR="00551038">
            <w:t xml:space="preserve">daarnaast </w:t>
          </w:r>
          <w:r w:rsidR="00AD24A6">
            <w:t xml:space="preserve">enkele </w:t>
          </w:r>
          <w:r w:rsidR="00F41D68">
            <w:t xml:space="preserve">specifieke </w:t>
          </w:r>
          <w:r>
            <w:t xml:space="preserve">aanscherpingen </w:t>
          </w:r>
          <w:r w:rsidR="002A7F82">
            <w:t>voor het bezoek en het telefoneren in de EBI.</w:t>
          </w:r>
          <w:r w:rsidR="00126D55">
            <w:rPr>
              <w:rStyle w:val="Voetnootmarkering"/>
            </w:rPr>
            <w:footnoteReference w:id="8"/>
          </w:r>
          <w:r w:rsidR="002A7F82">
            <w:t xml:space="preserve"> </w:t>
          </w:r>
          <w:r w:rsidR="00C519A6">
            <w:t xml:space="preserve">In afwijking van het wettelijk minimum mogen </w:t>
          </w:r>
          <w:r w:rsidR="00045FAB">
            <w:t xml:space="preserve">gedetineerden maximaal twee keer per maand een telefoongesprek voeren en één keer per maand bezoek ontvangen. Als de gedetineerde </w:t>
          </w:r>
          <w:r w:rsidR="00981049">
            <w:t>in de EBI</w:t>
          </w:r>
          <w:r w:rsidR="00045FAB">
            <w:t xml:space="preserve"> zich </w:t>
          </w:r>
          <w:r w:rsidR="00964B22">
            <w:t>gedurende éé</w:t>
          </w:r>
          <w:r w:rsidR="00045FAB">
            <w:t xml:space="preserve">n jaar aan de regels houdt, </w:t>
          </w:r>
          <w:r w:rsidR="00DA3624">
            <w:t xml:space="preserve">kan </w:t>
          </w:r>
          <w:r w:rsidR="00F82AA9">
            <w:t xml:space="preserve">de directeur </w:t>
          </w:r>
          <w:r w:rsidR="00045FAB">
            <w:t xml:space="preserve">twee keer per maand bezoek </w:t>
          </w:r>
          <w:r w:rsidR="00F82AA9">
            <w:t>toestaan</w:t>
          </w:r>
          <w:r w:rsidR="00045FAB">
            <w:t xml:space="preserve">. Het aantal bezoekers </w:t>
          </w:r>
          <w:r w:rsidR="00964B22">
            <w:t xml:space="preserve">per bezoekmoment </w:t>
          </w:r>
          <w:r w:rsidR="00045FAB">
            <w:t xml:space="preserve">wordt beperkt tot </w:t>
          </w:r>
          <w:r w:rsidR="00EE5134">
            <w:t>é</w:t>
          </w:r>
          <w:r w:rsidR="00FA5E9E">
            <w:t>én volwassen</w:t>
          </w:r>
          <w:r w:rsidR="00045FAB">
            <w:t xml:space="preserve">e </w:t>
          </w:r>
          <w:r w:rsidR="00FA5E9E">
            <w:t>dan wel één minderjarige met een volwassene.</w:t>
          </w:r>
          <w:r w:rsidR="00126D55">
            <w:rPr>
              <w:rStyle w:val="Voetnootmarkering"/>
            </w:rPr>
            <w:footnoteReference w:id="9"/>
          </w:r>
          <w:r w:rsidR="00FA5E9E">
            <w:t xml:space="preserve"> </w:t>
          </w:r>
          <w:r w:rsidR="00C900C9">
            <w:t xml:space="preserve">Uit de huisregels van de EBI blijkt dat </w:t>
          </w:r>
          <w:r w:rsidR="00E35684">
            <w:t xml:space="preserve">onder de huidige regels </w:t>
          </w:r>
          <w:r w:rsidR="009A1695">
            <w:t>h</w:t>
          </w:r>
          <w:r w:rsidR="001A5A2F">
            <w:t xml:space="preserve">et bezoek </w:t>
          </w:r>
          <w:r w:rsidR="00C900C9">
            <w:t xml:space="preserve">kan </w:t>
          </w:r>
          <w:r w:rsidR="001A5A2F">
            <w:t xml:space="preserve">bestaan uit één volwassene of </w:t>
          </w:r>
          <w:r w:rsidR="002670F2">
            <w:t xml:space="preserve">maximaal twee kinderen jonger dan veertien jaar </w:t>
          </w:r>
          <w:r w:rsidR="001A5A2F">
            <w:t>onder begeleiding van</w:t>
          </w:r>
          <w:r w:rsidR="002670F2">
            <w:t xml:space="preserve"> een volwassene</w:t>
          </w:r>
          <w:r w:rsidR="001A5A2F">
            <w:t xml:space="preserve">. </w:t>
          </w:r>
          <w:r w:rsidR="001E46F2">
            <w:t>Wanneer de gedetineerde meer dan zes kinderen heeft, kan maatwerk worden geleverd.</w:t>
          </w:r>
          <w:r w:rsidR="00126D55">
            <w:rPr>
              <w:rStyle w:val="Voetnootmarkering"/>
            </w:rPr>
            <w:footnoteReference w:id="10"/>
          </w:r>
          <w:r w:rsidR="001E46F2">
            <w:t xml:space="preserve"> </w:t>
          </w:r>
        </w:p>
        <w:p w:rsidR="00045FAB" w:rsidP="00546CD1" w:rsidRDefault="00045FAB" w14:paraId="22FC26AB" w14:textId="77777777"/>
        <w:p w:rsidR="00AD4A1B" w:rsidP="00993A75" w:rsidRDefault="001B440D" w14:paraId="17AE9213" w14:textId="0637203D">
          <w:r>
            <w:t xml:space="preserve">Ook </w:t>
          </w:r>
          <w:r w:rsidR="00364CF8">
            <w:t xml:space="preserve">de regels voor </w:t>
          </w:r>
          <w:r>
            <w:t>het</w:t>
          </w:r>
          <w:r w:rsidR="00AF6509">
            <w:t xml:space="preserve"> bezoek en het telefoneren op de AIT </w:t>
          </w:r>
          <w:r>
            <w:t>word</w:t>
          </w:r>
          <w:r w:rsidR="00206F2B">
            <w:t>en</w:t>
          </w:r>
          <w:r w:rsidR="00364CF8">
            <w:t xml:space="preserve"> aangescherpt</w:t>
          </w:r>
          <w:r w:rsidR="00C900C9">
            <w:t xml:space="preserve"> met dit </w:t>
          </w:r>
          <w:r w:rsidR="00916E85">
            <w:t>initiatief</w:t>
          </w:r>
          <w:r w:rsidR="00BD5C57">
            <w:t>wets</w:t>
          </w:r>
          <w:r w:rsidR="00C900C9">
            <w:t>voorstel</w:t>
          </w:r>
          <w:r w:rsidR="00364CF8">
            <w:t>.</w:t>
          </w:r>
          <w:r w:rsidR="0039225D">
            <w:rPr>
              <w:rStyle w:val="Voetnootmarkering"/>
            </w:rPr>
            <w:footnoteReference w:id="11"/>
          </w:r>
          <w:r w:rsidR="00364CF8">
            <w:t xml:space="preserve"> </w:t>
          </w:r>
          <w:r w:rsidR="00206F2B">
            <w:t xml:space="preserve">Naast </w:t>
          </w:r>
          <w:r w:rsidR="00CE467D">
            <w:t xml:space="preserve">de wettelijke minima zijn er nu geen </w:t>
          </w:r>
          <w:r w:rsidR="00206F2B">
            <w:t>landelijke</w:t>
          </w:r>
          <w:r w:rsidR="00CE467D">
            <w:t xml:space="preserve"> regels voor bezoek of telefoneren op de AIT. </w:t>
          </w:r>
          <w:r w:rsidR="00A84963">
            <w:t>Eventuele b</w:t>
          </w:r>
          <w:r w:rsidR="001836F3">
            <w:t>eperkingen worden gesteld i</w:t>
          </w:r>
          <w:r w:rsidR="001E46F2">
            <w:t xml:space="preserve">n </w:t>
          </w:r>
          <w:r w:rsidR="00CE467D">
            <w:t>de huisregels van de penitentiaire inrichting</w:t>
          </w:r>
          <w:r w:rsidR="001836F3">
            <w:t>en</w:t>
          </w:r>
          <w:r w:rsidR="00CE467D">
            <w:t xml:space="preserve"> </w:t>
          </w:r>
          <w:r w:rsidR="00CA6CD0">
            <w:t>of bij</w:t>
          </w:r>
          <w:r w:rsidR="001E46F2">
            <w:t xml:space="preserve"> </w:t>
          </w:r>
          <w:r w:rsidR="00CE467D">
            <w:t>individuele toezichtmaatregelen</w:t>
          </w:r>
          <w:r w:rsidR="00564DBA">
            <w:t xml:space="preserve">. </w:t>
          </w:r>
          <w:r w:rsidR="00903AB3">
            <w:t>De initiatiefnemer</w:t>
          </w:r>
          <w:r w:rsidDel="00417485" w:rsidR="00AD0254">
            <w:t xml:space="preserve"> </w:t>
          </w:r>
          <w:r w:rsidR="00417485">
            <w:t>wil</w:t>
          </w:r>
          <w:r w:rsidR="00AD0254">
            <w:t xml:space="preserve"> dat voor alle gedetineerden op de AIT dezelfde</w:t>
          </w:r>
          <w:r w:rsidR="0030475D">
            <w:t xml:space="preserve"> landelijke</w:t>
          </w:r>
          <w:r w:rsidR="00AD0254">
            <w:t xml:space="preserve"> regels gaan gelden. </w:t>
          </w:r>
          <w:r w:rsidR="003C3C04">
            <w:t xml:space="preserve">Gedetineerden mogen </w:t>
          </w:r>
          <w:r w:rsidR="00AD0254">
            <w:t xml:space="preserve">dan </w:t>
          </w:r>
          <w:r w:rsidR="00AA6FBD">
            <w:t>maximaal twee keer per maand bezoek</w:t>
          </w:r>
          <w:r w:rsidR="003C3C04">
            <w:t xml:space="preserve"> </w:t>
          </w:r>
          <w:r w:rsidR="00AA6FBD">
            <w:t>ontvangen</w:t>
          </w:r>
          <w:r w:rsidR="001E2AB7">
            <w:t xml:space="preserve"> van één volwassen</w:t>
          </w:r>
          <w:r w:rsidR="005D2E9C">
            <w:t>e</w:t>
          </w:r>
          <w:r w:rsidR="001E2AB7">
            <w:t xml:space="preserve"> of maximaal</w:t>
          </w:r>
          <w:r w:rsidR="00C45F2A">
            <w:t xml:space="preserve"> één</w:t>
          </w:r>
          <w:r w:rsidR="001E2AB7">
            <w:t xml:space="preserve"> kind</w:t>
          </w:r>
          <w:r w:rsidR="00C45F2A">
            <w:t xml:space="preserve"> </w:t>
          </w:r>
          <w:r w:rsidR="005D2E9C">
            <w:t xml:space="preserve">jonger dan </w:t>
          </w:r>
          <w:r w:rsidR="001E2AB7">
            <w:t>veertien</w:t>
          </w:r>
          <w:r w:rsidR="005D2E9C">
            <w:t xml:space="preserve"> jaar met </w:t>
          </w:r>
          <w:r w:rsidR="001E2AB7">
            <w:t>een volwassene.</w:t>
          </w:r>
          <w:r w:rsidR="00226781">
            <w:rPr>
              <w:rStyle w:val="Voetnootmarkering"/>
            </w:rPr>
            <w:footnoteReference w:id="12"/>
          </w:r>
          <w:r w:rsidR="001E2AB7">
            <w:t xml:space="preserve"> Daarnaast mogen gedetineerden </w:t>
          </w:r>
          <w:r w:rsidR="006E4E2F">
            <w:t xml:space="preserve">op de AIT </w:t>
          </w:r>
          <w:r w:rsidR="001E2AB7">
            <w:t xml:space="preserve">maximaal één keer per week een telefoongesprek voeren. </w:t>
          </w:r>
        </w:p>
        <w:p w:rsidR="00BE1554" w:rsidP="00993A75" w:rsidRDefault="00BE1554" w14:paraId="448B9EDF" w14:textId="77777777"/>
        <w:p w:rsidR="007F53BA" w:rsidP="00AD5093" w:rsidRDefault="007F3BA8" w14:paraId="13B25E86" w14:textId="78F77DD3">
          <w:pPr>
            <w:rPr>
              <w:u w:val="single"/>
            </w:rPr>
          </w:pPr>
          <w:r>
            <w:t xml:space="preserve">2. </w:t>
          </w:r>
          <w:r>
            <w:tab/>
          </w:r>
          <w:r w:rsidR="00AE4586">
            <w:rPr>
              <w:u w:val="single"/>
            </w:rPr>
            <w:t xml:space="preserve">Verhouding tot andere </w:t>
          </w:r>
          <w:r w:rsidR="007F53BA">
            <w:rPr>
              <w:u w:val="single"/>
            </w:rPr>
            <w:t xml:space="preserve">maatregelen voor EBI en AIT </w:t>
          </w:r>
        </w:p>
        <w:p w:rsidR="0038752A" w:rsidP="00AD5093" w:rsidRDefault="0038752A" w14:paraId="35A13384" w14:textId="78BED00D"/>
        <w:p w:rsidR="00566FD6" w:rsidP="00AD5093" w:rsidRDefault="00CF4B3C" w14:paraId="5D20E650" w14:textId="3F08B96C">
          <w:r>
            <w:t xml:space="preserve">De afgelopen jaren is gebleken dat de georganiseerde misdaad zelfs vanuit detentie een grote bedreiging voor de openbare orde, veiligheid en democratische rechtsstaat kan vormen. </w:t>
          </w:r>
          <w:r w:rsidR="004630F3">
            <w:t xml:space="preserve">Met de initiatiefnemer is de Afdeling van opvatting dat het volstrekt onwenselijk is als gedetineerden hun criminele activiteiten </w:t>
          </w:r>
          <w:r w:rsidR="00520335">
            <w:t>kunnen</w:t>
          </w:r>
          <w:r w:rsidR="004630F3">
            <w:t xml:space="preserve"> voor</w:t>
          </w:r>
          <w:r w:rsidR="00520335">
            <w:t>t</w:t>
          </w:r>
          <w:r w:rsidR="004630F3">
            <w:t>zetten.</w:t>
          </w:r>
          <w:r w:rsidR="007E2D57">
            <w:t xml:space="preserve"> </w:t>
          </w:r>
          <w:r w:rsidR="00AC7B5C">
            <w:t xml:space="preserve">Een kleine, uitzonderlijke groep gedetineerden vraagt in dat verband om uitzonderlijke maatregelen. </w:t>
          </w:r>
          <w:r w:rsidR="00FC694B">
            <w:t xml:space="preserve">De </w:t>
          </w:r>
          <w:r w:rsidRPr="008F1BE7" w:rsidR="008F1BE7">
            <w:t xml:space="preserve">doelstelling om de samenleving te beschermen tegen </w:t>
          </w:r>
          <w:r w:rsidR="002E2F0D">
            <w:t>VCHD</w:t>
          </w:r>
          <w:r w:rsidRPr="008F1BE7" w:rsidR="008F1BE7">
            <w:t xml:space="preserve"> </w:t>
          </w:r>
          <w:r w:rsidR="00FC694B">
            <w:t xml:space="preserve">kan </w:t>
          </w:r>
          <w:r w:rsidR="00FC2643">
            <w:t xml:space="preserve">in </w:t>
          </w:r>
          <w:r w:rsidR="00953A65">
            <w:t>dergelijke gevallen</w:t>
          </w:r>
          <w:r w:rsidR="00FC2643">
            <w:t xml:space="preserve"> </w:t>
          </w:r>
          <w:r w:rsidR="00566FD6">
            <w:t>vergaande beperkingen van grondrechten rechtvaardige</w:t>
          </w:r>
          <w:r w:rsidR="006A7A17">
            <w:t>n</w:t>
          </w:r>
          <w:r w:rsidR="008067E5">
            <w:t xml:space="preserve">. </w:t>
          </w:r>
          <w:r w:rsidR="005C2273">
            <w:t xml:space="preserve">De Afdeling heeft dan ook begrip </w:t>
          </w:r>
          <w:r w:rsidR="005B2830">
            <w:t xml:space="preserve">dat de afgelopen jaren verschillende maatregelen zijn getroffen </w:t>
          </w:r>
          <w:r w:rsidR="006507E3">
            <w:t>om VCHD tegen te gaan</w:t>
          </w:r>
          <w:r w:rsidR="00E60A21">
            <w:t>.</w:t>
          </w:r>
        </w:p>
        <w:p w:rsidR="00C11990" w:rsidP="00AD5093" w:rsidRDefault="00C11990" w14:paraId="3B875ADB" w14:textId="77777777"/>
        <w:p w:rsidR="000F6A9F" w:rsidP="00AD5093" w:rsidRDefault="005B2830" w14:paraId="71911ADE" w14:textId="1D59C8BA">
          <w:r>
            <w:t>Voor de beoordeling</w:t>
          </w:r>
          <w:r w:rsidR="00C72765">
            <w:t xml:space="preserve"> </w:t>
          </w:r>
          <w:r w:rsidR="007B4FAA">
            <w:t xml:space="preserve">van </w:t>
          </w:r>
          <w:r>
            <w:t xml:space="preserve">het </w:t>
          </w:r>
          <w:r w:rsidR="00015E7B">
            <w:t>initiatief</w:t>
          </w:r>
          <w:r w:rsidR="00BD5C57">
            <w:t>wets</w:t>
          </w:r>
          <w:r>
            <w:t xml:space="preserve">voorstel zijn </w:t>
          </w:r>
          <w:r w:rsidR="00BD5C57">
            <w:t xml:space="preserve">in het bijzonder </w:t>
          </w:r>
          <w:r>
            <w:t>de volgende</w:t>
          </w:r>
          <w:r w:rsidR="00C81C67">
            <w:t xml:space="preserve"> ontwikkelingen </w:t>
          </w:r>
          <w:r>
            <w:t>relevant.</w:t>
          </w:r>
          <w:r w:rsidR="00C81C67">
            <w:t xml:space="preserve"> </w:t>
          </w:r>
          <w:r w:rsidR="00CB2C9F">
            <w:t xml:space="preserve">In juni </w:t>
          </w:r>
          <w:r w:rsidR="00B308CF">
            <w:t xml:space="preserve">2023 heeft de regering een wetsvoorstel bij de Tweede Kamer ingediend </w:t>
          </w:r>
          <w:r w:rsidR="00C81C67">
            <w:t xml:space="preserve">dat strekt tot wijziging van de Penitentiaire </w:t>
          </w:r>
          <w:r w:rsidRPr="00E60A21" w:rsidR="00C81C67">
            <w:t>beginselenwet in verband met aanvullende maatregelen tegen georganiseerde criminaliteit (hierna: het regeringsvoorstel).</w:t>
          </w:r>
          <w:r w:rsidRPr="00E60A21" w:rsidR="00C15E0A">
            <w:rPr>
              <w:rStyle w:val="Voetnootmarkering"/>
            </w:rPr>
            <w:footnoteReference w:id="13"/>
          </w:r>
          <w:r w:rsidR="00C15E0A">
            <w:t xml:space="preserve"> Dat wetsvoorstel houdt onder meer in dat de </w:t>
          </w:r>
          <w:r w:rsidR="00BD5C57">
            <w:t>M</w:t>
          </w:r>
          <w:r w:rsidR="00C15E0A">
            <w:t xml:space="preserve">inister voor Rechtsbescherming een bevel kan geven om het </w:t>
          </w:r>
          <w:r w:rsidR="0049438B">
            <w:t xml:space="preserve">niet-geprivilegieerd </w:t>
          </w:r>
          <w:r w:rsidR="00C15E0A">
            <w:t xml:space="preserve">contact van een gedetineerde in de EBI of op de AIT met de buitenwereld </w:t>
          </w:r>
          <w:r w:rsidR="001B73B8">
            <w:t xml:space="preserve">volledig en </w:t>
          </w:r>
          <w:r w:rsidR="0049438B">
            <w:t>langdurig te</w:t>
          </w:r>
          <w:r w:rsidR="00C15E0A">
            <w:t xml:space="preserve"> beperken. </w:t>
          </w:r>
        </w:p>
        <w:p w:rsidR="000F6A9F" w:rsidP="00AD5093" w:rsidRDefault="000F6A9F" w14:paraId="184D5012" w14:textId="77777777"/>
        <w:p w:rsidR="00261278" w:rsidP="00AD5093" w:rsidRDefault="00260BAD" w14:paraId="5F9BB8DE" w14:textId="3529DEB8">
          <w:r>
            <w:t>Daarnaast</w:t>
          </w:r>
          <w:r w:rsidR="001B73B8">
            <w:t xml:space="preserve"> maakt het </w:t>
          </w:r>
          <w:r w:rsidR="002530FB">
            <w:t>regerings</w:t>
          </w:r>
          <w:r w:rsidR="001B73B8">
            <w:t xml:space="preserve">voorstel het mogelijk om </w:t>
          </w:r>
          <w:r w:rsidR="00BC03BA">
            <w:t>op contact tussen de rechtsbijstandverlener en de gedetineerde</w:t>
          </w:r>
          <w:r w:rsidR="001B73B8">
            <w:t xml:space="preserve"> in de EBI of op de AIT</w:t>
          </w:r>
          <w:r w:rsidR="00BC03BA">
            <w:t xml:space="preserve"> visueel toezicht </w:t>
          </w:r>
          <w:r w:rsidR="001B73B8">
            <w:t>te houden.</w:t>
          </w:r>
          <w:r w:rsidR="00B52FCA">
            <w:t xml:space="preserve"> </w:t>
          </w:r>
          <w:r w:rsidR="00FF3B7B">
            <w:t xml:space="preserve">Een </w:t>
          </w:r>
          <w:r w:rsidR="008E4091">
            <w:t>andere</w:t>
          </w:r>
          <w:r w:rsidR="00A014D8">
            <w:t xml:space="preserve"> </w:t>
          </w:r>
          <w:r w:rsidR="00FF3B7B">
            <w:t xml:space="preserve">ontwikkeling met betrekking tot de EBI is dat de huisregels aldaar zijn gewijzigd, waarmee de </w:t>
          </w:r>
          <w:r w:rsidR="00CB0FAF">
            <w:t>duur en frequentie van bezoek of telefonisch contact met de buitenwereld is teruggebracht tot het wettelijk minimum.</w:t>
          </w:r>
          <w:r w:rsidR="00095FA7">
            <w:rPr>
              <w:rStyle w:val="Voetnootmarkering"/>
            </w:rPr>
            <w:footnoteReference w:id="14"/>
          </w:r>
          <w:r w:rsidR="00095FA7">
            <w:t xml:space="preserve"> </w:t>
          </w:r>
          <w:r w:rsidR="008203C2">
            <w:t>Verder heeft d</w:t>
          </w:r>
          <w:r w:rsidR="00486072">
            <w:t>e toenemende aandacht voor VCHD</w:t>
          </w:r>
          <w:r w:rsidR="00EF79DF">
            <w:t xml:space="preserve"> </w:t>
          </w:r>
          <w:r w:rsidR="008203C2">
            <w:t xml:space="preserve">geleid tot </w:t>
          </w:r>
          <w:r w:rsidR="00EF79DF">
            <w:t xml:space="preserve">de </w:t>
          </w:r>
          <w:r w:rsidR="008203C2">
            <w:t>(door)</w:t>
          </w:r>
          <w:r w:rsidR="00EF79DF">
            <w:t>ontwikkeling van de AIT</w:t>
          </w:r>
          <w:r w:rsidR="00486072">
            <w:t xml:space="preserve">. </w:t>
          </w:r>
          <w:r w:rsidR="00860430">
            <w:t xml:space="preserve">Momenteel worden een wettelijke grondslag, vaste plaatsingscriteria en een standaardisering van het regime op de AIT voorbereid (zie punt </w:t>
          </w:r>
          <w:r w:rsidR="006D5384">
            <w:t>5</w:t>
          </w:r>
          <w:r w:rsidR="00860430">
            <w:t>).</w:t>
          </w:r>
          <w:r w:rsidRPr="00724FCC" w:rsidR="00261278">
            <w:rPr>
              <w:rStyle w:val="Voetnootmarkering"/>
            </w:rPr>
            <w:footnoteReference w:id="15"/>
          </w:r>
        </w:p>
        <w:p w:rsidR="00261278" w:rsidP="00AD5093" w:rsidRDefault="00261278" w14:paraId="4B8474DA" w14:textId="77777777"/>
        <w:p w:rsidR="000F6A9F" w:rsidP="00AD5093" w:rsidRDefault="004002BC" w14:paraId="3A75257A" w14:textId="77777777">
          <w:r>
            <w:t>De</w:t>
          </w:r>
          <w:r w:rsidR="00BE54E7">
            <w:t xml:space="preserve"> maatregelen op dit terrein</w:t>
          </w:r>
          <w:r>
            <w:t xml:space="preserve"> volgen</w:t>
          </w:r>
          <w:r w:rsidR="00BE54E7">
            <w:t xml:space="preserve"> elkaar</w:t>
          </w:r>
          <w:r>
            <w:t xml:space="preserve"> dus</w:t>
          </w:r>
          <w:r w:rsidR="00BE54E7">
            <w:t xml:space="preserve"> nu in hoog tempo op</w:t>
          </w:r>
          <w:r>
            <w:t xml:space="preserve">, terwijl </w:t>
          </w:r>
          <w:r w:rsidR="00BE54E7">
            <w:t xml:space="preserve">de doelstelling gelijkluidend is. </w:t>
          </w:r>
          <w:r w:rsidR="00F13B50">
            <w:t>Dit vergroot</w:t>
          </w:r>
          <w:r>
            <w:t xml:space="preserve"> volgens de Afdeling</w:t>
          </w:r>
          <w:r w:rsidR="00F13B50">
            <w:t xml:space="preserve"> het risico dat de onderlinge samenhang van de verschillende maatregelen uit het oog wordt verloren. Waar de maatregelen op zichzelf wellicht de toets van noodzaak, proportionaliteit en subsidiariteit kunnen doorstaan, kan juist de stapeling van maatregelen tot een schending van </w:t>
          </w:r>
          <w:r w:rsidR="007D3623">
            <w:t xml:space="preserve">grondrechten </w:t>
          </w:r>
          <w:r w:rsidR="00F13B50">
            <w:t>leiden.</w:t>
          </w:r>
          <w:r w:rsidR="00122BB3">
            <w:t xml:space="preserve"> </w:t>
          </w:r>
        </w:p>
        <w:p w:rsidR="000F6A9F" w:rsidP="00AD5093" w:rsidRDefault="000F6A9F" w14:paraId="0EDBEA55" w14:textId="77777777"/>
        <w:p w:rsidR="00A15AAA" w:rsidP="00AD5093" w:rsidRDefault="0078503F" w14:paraId="332578F3" w14:textId="2E9B175C">
          <w:r>
            <w:t>Ook kan het ontbreken van onderlinge samenhang ertoe leiden dat he</w:t>
          </w:r>
          <w:r w:rsidR="00FA3492">
            <w:t xml:space="preserve">t </w:t>
          </w:r>
          <w:r w:rsidR="00307B1C">
            <w:t xml:space="preserve">geheel van maatregelen in de praktijk niet werkbaar </w:t>
          </w:r>
          <w:r w:rsidR="00FA3492">
            <w:t xml:space="preserve">is </w:t>
          </w:r>
          <w:r w:rsidR="00307B1C">
            <w:t xml:space="preserve">of zelfs </w:t>
          </w:r>
          <w:r w:rsidR="0007756E">
            <w:t xml:space="preserve">onbedoelde </w:t>
          </w:r>
          <w:r w:rsidR="001225E9">
            <w:t>negatieve effecten heeft op de veiligheid binnen en buiten detentie.</w:t>
          </w:r>
          <w:r w:rsidR="0007756E">
            <w:t xml:space="preserve"> </w:t>
          </w:r>
          <w:r w:rsidR="0036396E">
            <w:t xml:space="preserve">Wanneer aanvullende maatregelen overwogen worden, is het daarom van belang </w:t>
          </w:r>
          <w:r w:rsidR="00A15AAA">
            <w:t xml:space="preserve">dat goed gekeken wordt naar de samenhang met bestaande of voorgenomen maatregelen. </w:t>
          </w:r>
        </w:p>
        <w:p w:rsidR="00B463B0" w:rsidP="00AD5093" w:rsidRDefault="00B463B0" w14:paraId="337CF0FB" w14:textId="77777777"/>
        <w:p w:rsidR="005D58CF" w:rsidP="005D58CF" w:rsidRDefault="00B463B0" w14:paraId="395B1F9B" w14:textId="3AFEEEAB">
          <w:r>
            <w:t xml:space="preserve">Uit de toelichting blijkt nog onvoldoende </w:t>
          </w:r>
          <w:r w:rsidR="006563AD">
            <w:t xml:space="preserve">hoe </w:t>
          </w:r>
          <w:r>
            <w:t>het initiatief</w:t>
          </w:r>
          <w:r w:rsidR="000F6A9F">
            <w:t>wets</w:t>
          </w:r>
          <w:r>
            <w:t xml:space="preserve">voorstel </w:t>
          </w:r>
          <w:r w:rsidR="006563AD">
            <w:t>zich verhoudt</w:t>
          </w:r>
          <w:r>
            <w:t xml:space="preserve"> tot </w:t>
          </w:r>
          <w:r w:rsidR="00857480">
            <w:t>de genoemde ontwikkelingen</w:t>
          </w:r>
          <w:r>
            <w:t>.</w:t>
          </w:r>
          <w:r w:rsidR="00857480">
            <w:t xml:space="preserve"> </w:t>
          </w:r>
          <w:r w:rsidR="005D58CF">
            <w:t xml:space="preserve">Initiatiefnemer erkent in de toelichting dat zijn wetsvoorstel op dezelfde problematiek betrekking heeft als het regeringsvoorstel, maar </w:t>
          </w:r>
          <w:r w:rsidR="00FA7848">
            <w:lastRenderedPageBreak/>
            <w:t>kiest ervoor</w:t>
          </w:r>
          <w:r w:rsidR="005D58CF">
            <w:t xml:space="preserve"> het wetsvoorstel pas na advisering van de Afdeling aan te vullen met betrekking tot de samenloop van deze voorstellen. </w:t>
          </w:r>
          <w:r w:rsidR="000D74A1">
            <w:t>Ook ontbreekt</w:t>
          </w:r>
          <w:r w:rsidR="00D30348">
            <w:t xml:space="preserve"> de</w:t>
          </w:r>
          <w:r w:rsidR="00134685">
            <w:t xml:space="preserve"> verhouding tot a</w:t>
          </w:r>
          <w:r w:rsidR="005D58CF">
            <w:t>ndere ontwikkelingen</w:t>
          </w:r>
          <w:r w:rsidR="006120D6">
            <w:t>, waaronder</w:t>
          </w:r>
          <w:r w:rsidR="005D58CF">
            <w:t xml:space="preserve"> de aangepaste huisregels op de EBI en de doorontwikkeling van de AIT.</w:t>
          </w:r>
          <w:r w:rsidR="005D58CF">
            <w:rPr>
              <w:rStyle w:val="Voetnootmarkering"/>
            </w:rPr>
            <w:footnoteReference w:id="16"/>
          </w:r>
          <w:r w:rsidR="005D58CF">
            <w:t xml:space="preserve"> </w:t>
          </w:r>
        </w:p>
        <w:p w:rsidR="005D58CF" w:rsidP="005D58CF" w:rsidRDefault="005D58CF" w14:paraId="060842A8" w14:textId="77777777"/>
        <w:p w:rsidR="00140CDC" w:rsidP="002F152E" w:rsidRDefault="009A6CA8" w14:paraId="4B04E7D9" w14:textId="72C25AA1">
          <w:r>
            <w:t>De</w:t>
          </w:r>
          <w:r w:rsidR="003F5903">
            <w:t xml:space="preserve"> verduidelijking </w:t>
          </w:r>
          <w:r w:rsidR="005D58CF">
            <w:t xml:space="preserve">van </w:t>
          </w:r>
          <w:r w:rsidR="008B2745">
            <w:t xml:space="preserve">de </w:t>
          </w:r>
          <w:r w:rsidR="005D58CF">
            <w:t xml:space="preserve">verhouding </w:t>
          </w:r>
          <w:r w:rsidR="00134685">
            <w:t xml:space="preserve">van </w:t>
          </w:r>
          <w:r w:rsidR="005D58CF">
            <w:t xml:space="preserve">het </w:t>
          </w:r>
          <w:r w:rsidR="00134685">
            <w:t>initiatiefwetsvoorstel tot</w:t>
          </w:r>
          <w:r w:rsidR="005D58CF">
            <w:t xml:space="preserve"> </w:t>
          </w:r>
          <w:r w:rsidR="000F6A9F">
            <w:t>voorg</w:t>
          </w:r>
          <w:r w:rsidR="00317DC4">
            <w:t>aande</w:t>
          </w:r>
          <w:r w:rsidR="005D58CF">
            <w:t xml:space="preserve"> </w:t>
          </w:r>
          <w:r w:rsidR="008B2745">
            <w:t xml:space="preserve">ontwikkelingen </w:t>
          </w:r>
          <w:r w:rsidR="003F5903">
            <w:t xml:space="preserve">is met het oog op de kwaliteit van wetgeving noodzakelijk. </w:t>
          </w:r>
          <w:r w:rsidR="000F6A9F">
            <w:t xml:space="preserve">In het bijzonder </w:t>
          </w:r>
          <w:r w:rsidR="00457B29">
            <w:t xml:space="preserve">als </w:t>
          </w:r>
          <w:r w:rsidR="00C91C93">
            <w:t xml:space="preserve">het </w:t>
          </w:r>
          <w:r w:rsidR="000760C1">
            <w:t xml:space="preserve">eventueel geamendeerde </w:t>
          </w:r>
          <w:r w:rsidR="00C91C93">
            <w:t>regeringsvoorstel wordt aangenomen,</w:t>
          </w:r>
          <w:r w:rsidR="000760C1">
            <w:t xml:space="preserve"> </w:t>
          </w:r>
          <w:r w:rsidR="00C91C93">
            <w:t>is het de vraag of het nog noodzakelijk en w</w:t>
          </w:r>
          <w:r w:rsidR="00B463B0">
            <w:t>enselijk is om verdere beperkingen aan het regime van de EBI en de AIT te verbinden.</w:t>
          </w:r>
          <w:r w:rsidR="00140CDC">
            <w:t xml:space="preserve"> </w:t>
          </w:r>
          <w:r w:rsidR="00494EA9">
            <w:t xml:space="preserve">De </w:t>
          </w:r>
          <w:r w:rsidR="000F6A9F">
            <w:t>M</w:t>
          </w:r>
          <w:r w:rsidR="00494EA9">
            <w:t xml:space="preserve">inister voor Rechtsbescherming heeft </w:t>
          </w:r>
          <w:r w:rsidR="00FF6EBF">
            <w:t>te kennen ge</w:t>
          </w:r>
          <w:r w:rsidR="00494EA9">
            <w:t xml:space="preserve">geven </w:t>
          </w:r>
          <w:r w:rsidR="00517867">
            <w:t xml:space="preserve">dat het </w:t>
          </w:r>
          <w:r w:rsidR="00494EA9">
            <w:t xml:space="preserve">van belang is </w:t>
          </w:r>
          <w:r w:rsidR="008C3A9B">
            <w:t xml:space="preserve">dan </w:t>
          </w:r>
          <w:r w:rsidR="00494EA9">
            <w:t>goed</w:t>
          </w:r>
          <w:r w:rsidR="00D95024">
            <w:t xml:space="preserve"> te </w:t>
          </w:r>
          <w:r w:rsidR="00494EA9">
            <w:t>monitoren</w:t>
          </w:r>
          <w:r w:rsidR="00D95024">
            <w:t xml:space="preserve"> of </w:t>
          </w:r>
          <w:r w:rsidR="00494EA9">
            <w:t>de huidige en voorgenomen</w:t>
          </w:r>
          <w:r w:rsidR="00D95024">
            <w:t xml:space="preserve"> maatregelen</w:t>
          </w:r>
          <w:r w:rsidR="00E15906">
            <w:t xml:space="preserve"> afdoende</w:t>
          </w:r>
          <w:r w:rsidR="00D95024">
            <w:t xml:space="preserve"> zijn</w:t>
          </w:r>
          <w:r w:rsidR="00604DA9">
            <w:t xml:space="preserve"> voordat nieuwe</w:t>
          </w:r>
          <w:r w:rsidR="006251EB">
            <w:t xml:space="preserve"> maatregelen </w:t>
          </w:r>
          <w:r w:rsidR="00604DA9">
            <w:t>worden getroffen</w:t>
          </w:r>
          <w:r w:rsidR="00F13B50">
            <w:t>.</w:t>
          </w:r>
          <w:r w:rsidR="00F13B50">
            <w:rPr>
              <w:rStyle w:val="Voetnootmarkering"/>
            </w:rPr>
            <w:footnoteReference w:id="17"/>
          </w:r>
          <w:r w:rsidR="00140CDC">
            <w:t xml:space="preserve"> Dit </w:t>
          </w:r>
          <w:r w:rsidR="0000340C">
            <w:t>voornemen is in lijn met</w:t>
          </w:r>
          <w:r w:rsidR="00140CDC">
            <w:t xml:space="preserve"> de </w:t>
          </w:r>
          <w:r w:rsidR="001E2817">
            <w:t>aanbeveling</w:t>
          </w:r>
          <w:r w:rsidR="00140CDC">
            <w:t xml:space="preserve"> in </w:t>
          </w:r>
          <w:r w:rsidR="001E2817">
            <w:t>een</w:t>
          </w:r>
          <w:r w:rsidR="00140CDC">
            <w:t xml:space="preserve"> recent WODC-onderzoek</w:t>
          </w:r>
          <w:r w:rsidR="0000340C">
            <w:t xml:space="preserve">, waarin </w:t>
          </w:r>
          <w:r w:rsidR="008B2745">
            <w:t>het Italiaanse anti</w:t>
          </w:r>
          <w:r w:rsidR="001E2817">
            <w:t>-maffiaregime en de Nederlandse EBI</w:t>
          </w:r>
          <w:r w:rsidR="0000340C">
            <w:t xml:space="preserve"> met elkaar vergeleken worden</w:t>
          </w:r>
          <w:r w:rsidR="001E2817">
            <w:t>. Hierin werd opgeroepen om</w:t>
          </w:r>
          <w:r w:rsidR="00DA4FF4">
            <w:t xml:space="preserve"> een pas op de plaats te maken met nieuwe </w:t>
          </w:r>
          <w:r w:rsidR="00BA297D">
            <w:t xml:space="preserve">beperkende </w:t>
          </w:r>
          <w:r w:rsidR="00DA4FF4">
            <w:t>maatregelen</w:t>
          </w:r>
          <w:r w:rsidR="00132D6A">
            <w:t>.</w:t>
          </w:r>
          <w:r w:rsidR="00132D6A">
            <w:rPr>
              <w:rStyle w:val="Voetnootmarkering"/>
            </w:rPr>
            <w:footnoteReference w:id="18"/>
          </w:r>
        </w:p>
        <w:p w:rsidR="00140CDC" w:rsidP="002F152E" w:rsidRDefault="00140CDC" w14:paraId="29B24562" w14:textId="77777777"/>
        <w:p w:rsidR="001B7A05" w:rsidP="006F3444" w:rsidRDefault="0000340C" w14:paraId="73C531B9" w14:textId="5B9336A2">
          <w:r>
            <w:t xml:space="preserve">In het licht van het </w:t>
          </w:r>
          <w:r w:rsidR="000F6A9F">
            <w:t>voorg</w:t>
          </w:r>
          <w:r>
            <w:t xml:space="preserve">aande adviseert de Afdeling </w:t>
          </w:r>
          <w:r w:rsidR="00946081">
            <w:t xml:space="preserve">ten minste </w:t>
          </w:r>
          <w:r>
            <w:t xml:space="preserve">de </w:t>
          </w:r>
          <w:r w:rsidR="00BD2863">
            <w:t xml:space="preserve">parlementaire </w:t>
          </w:r>
          <w:r>
            <w:t xml:space="preserve">behandeling van het regeringsvoorstel af te wachten alvorens de behandeling van het </w:t>
          </w:r>
          <w:r w:rsidR="00F43EEF">
            <w:t>initiatiefwetsvoorstel</w:t>
          </w:r>
          <w:r>
            <w:t xml:space="preserve"> te vervolgen. </w:t>
          </w:r>
          <w:r w:rsidR="00470F77">
            <w:t>In</w:t>
          </w:r>
          <w:r w:rsidR="00946081">
            <w:t xml:space="preserve"> </w:t>
          </w:r>
          <w:r w:rsidR="00A449FF">
            <w:t xml:space="preserve">elk geval </w:t>
          </w:r>
          <w:r w:rsidR="00470F77">
            <w:t xml:space="preserve">dient </w:t>
          </w:r>
          <w:r w:rsidR="00A449FF">
            <w:t xml:space="preserve">in </w:t>
          </w:r>
          <w:r w:rsidR="00946081">
            <w:t xml:space="preserve">de toelichting worden verduidelijkt hoe het </w:t>
          </w:r>
          <w:r w:rsidR="00F43EEF">
            <w:t>initiatiefwetsvoorstel</w:t>
          </w:r>
          <w:r w:rsidR="00946081">
            <w:t xml:space="preserve"> zich verhoudt tot recente ontwikkelingen op dit terrein</w:t>
          </w:r>
          <w:r w:rsidR="00A449FF">
            <w:t xml:space="preserve"> en dan in het bijzonder het regeringsvoorstel. </w:t>
          </w:r>
          <w:r w:rsidR="00624A47">
            <w:t xml:space="preserve">Hoewel verduidelijking ten aanzien van recente en voorgenomen maatregelen geboden is en thans ontbreekt, </w:t>
          </w:r>
          <w:r w:rsidR="00266D7C">
            <w:t xml:space="preserve">gaat de Afdeling in het vervolg van het advies over tot een zelfstandige beoordeling van het </w:t>
          </w:r>
          <w:r w:rsidR="00F43EEF">
            <w:t>initiatiefwetsvoorstel</w:t>
          </w:r>
          <w:r w:rsidR="00266D7C">
            <w:t xml:space="preserve">. </w:t>
          </w:r>
        </w:p>
        <w:p w:rsidR="00E01593" w:rsidP="006F3444" w:rsidRDefault="00E01593" w14:paraId="705DAFCA" w14:textId="69E92F50"/>
        <w:p w:rsidR="004B125C" w:rsidP="00AD5093" w:rsidRDefault="00E01593" w14:paraId="6670223E" w14:textId="31C9051A">
          <w:r>
            <w:t xml:space="preserve">3. </w:t>
          </w:r>
          <w:r w:rsidR="007F3BA8">
            <w:tab/>
          </w:r>
          <w:r w:rsidRPr="00F00638" w:rsidR="00AD24A6">
            <w:rPr>
              <w:u w:val="single"/>
            </w:rPr>
            <w:t>Constitutioneel kader</w:t>
          </w:r>
        </w:p>
        <w:p w:rsidR="002C47F6" w:rsidP="00AD5093" w:rsidRDefault="002C47F6" w14:paraId="22026D97" w14:textId="77777777"/>
        <w:p w:rsidR="000F6A9F" w:rsidP="00AD5093" w:rsidRDefault="001C7204" w14:paraId="21D2F78D" w14:textId="39A3CB34">
          <w:r>
            <w:t>De</w:t>
          </w:r>
          <w:r w:rsidRPr="007041A4" w:rsidR="007041A4">
            <w:t xml:space="preserve"> Afdeling </w:t>
          </w:r>
          <w:r>
            <w:t xml:space="preserve">constateert </w:t>
          </w:r>
          <w:r w:rsidRPr="007041A4" w:rsidR="007041A4">
            <w:t xml:space="preserve">dat </w:t>
          </w:r>
          <w:r w:rsidR="000B5B25">
            <w:t>dit</w:t>
          </w:r>
          <w:r w:rsidRPr="007041A4" w:rsidR="007041A4">
            <w:t xml:space="preserve"> </w:t>
          </w:r>
          <w:r w:rsidR="00FB71A4">
            <w:t>initiatief</w:t>
          </w:r>
          <w:r w:rsidR="000F6A9F">
            <w:t>wets</w:t>
          </w:r>
          <w:r w:rsidRPr="007041A4" w:rsidR="007041A4">
            <w:t xml:space="preserve">voorstel ingrijpende mogelijkheden behelst </w:t>
          </w:r>
          <w:r w:rsidR="0039758B">
            <w:t>die</w:t>
          </w:r>
          <w:r w:rsidRPr="007041A4" w:rsidR="0039758B">
            <w:t xml:space="preserve"> </w:t>
          </w:r>
          <w:r w:rsidRPr="007041A4" w:rsidR="007041A4">
            <w:t xml:space="preserve">de rechten van gedetineerden in de EBI </w:t>
          </w:r>
          <w:r w:rsidR="00981049">
            <w:t>en op de AIT</w:t>
          </w:r>
          <w:r w:rsidRPr="007041A4" w:rsidR="007041A4">
            <w:t xml:space="preserve"> </w:t>
          </w:r>
          <w:r w:rsidR="002C47F6">
            <w:t>be</w:t>
          </w:r>
          <w:r w:rsidRPr="007041A4" w:rsidR="007041A4">
            <w:t>perken</w:t>
          </w:r>
          <w:r w:rsidR="009858E4">
            <w:t>.</w:t>
          </w:r>
          <w:r w:rsidR="002C47F6">
            <w:t xml:space="preserve"> </w:t>
          </w:r>
          <w:r w:rsidR="0028324D">
            <w:t xml:space="preserve">Zoals ook </w:t>
          </w:r>
          <w:r w:rsidR="00C26221">
            <w:t xml:space="preserve">de </w:t>
          </w:r>
          <w:r w:rsidR="004B125C">
            <w:t xml:space="preserve">initiatiefnemer </w:t>
          </w:r>
          <w:r w:rsidR="0028324D">
            <w:t xml:space="preserve">onderkent, </w:t>
          </w:r>
          <w:r w:rsidR="0039758B">
            <w:t xml:space="preserve">heeft het </w:t>
          </w:r>
          <w:r w:rsidR="00F43EEF">
            <w:t>initiatiefwetsvoorstel</w:t>
          </w:r>
          <w:r w:rsidR="0039758B">
            <w:t xml:space="preserve"> gevolgen voor</w:t>
          </w:r>
          <w:r w:rsidR="006A4A04">
            <w:t xml:space="preserve"> het recht op </w:t>
          </w:r>
          <w:r w:rsidR="00571053">
            <w:t>bescherming van de persoonlijke levenssfeer</w:t>
          </w:r>
          <w:r w:rsidR="006A4A04">
            <w:t xml:space="preserve"> en het </w:t>
          </w:r>
          <w:r w:rsidR="006A210E">
            <w:t xml:space="preserve">familieleven, </w:t>
          </w:r>
          <w:r w:rsidR="00157FC5">
            <w:t>de vrijheid van meningsuiting</w:t>
          </w:r>
          <w:r w:rsidR="006A4A04">
            <w:t xml:space="preserve"> en </w:t>
          </w:r>
          <w:r w:rsidR="000B26DA">
            <w:t>de bescherming van het briefgeheim</w:t>
          </w:r>
          <w:r w:rsidR="006A4A04">
            <w:t xml:space="preserve"> </w:t>
          </w:r>
          <w:r w:rsidR="00920833">
            <w:t xml:space="preserve">zoals </w:t>
          </w:r>
          <w:r w:rsidR="009E2C71">
            <w:t>neergelegd in</w:t>
          </w:r>
          <w:r w:rsidR="00920833">
            <w:t xml:space="preserve"> de Grondwet</w:t>
          </w:r>
          <w:r w:rsidR="0032484F">
            <w:t xml:space="preserve"> en</w:t>
          </w:r>
          <w:r w:rsidR="00194B31">
            <w:t>/of</w:t>
          </w:r>
          <w:r w:rsidR="007349F2">
            <w:t xml:space="preserve"> het Europees Verdrag van de Rechten van de Mens</w:t>
          </w:r>
          <w:r w:rsidR="00A24F60">
            <w:t xml:space="preserve"> (EVRM)</w:t>
          </w:r>
          <w:r w:rsidR="0032484F">
            <w:t>.</w:t>
          </w:r>
          <w:r w:rsidR="00A24609">
            <w:rPr>
              <w:rStyle w:val="Voetnootmarkering"/>
            </w:rPr>
            <w:footnoteReference w:id="19"/>
          </w:r>
          <w:r w:rsidR="00CF7819">
            <w:t xml:space="preserve"> </w:t>
          </w:r>
        </w:p>
        <w:p w:rsidR="000F6A9F" w:rsidP="00AD5093" w:rsidRDefault="000F6A9F" w14:paraId="04BE48D0" w14:textId="77777777"/>
        <w:p w:rsidR="001C7204" w:rsidP="00AD5093" w:rsidRDefault="00E7759A" w14:paraId="5B94A873" w14:textId="0121B235">
          <w:r>
            <w:t>Met betrekking tot de beperkingen die worden gesteld aan de taal waarin de gedetineerde met anderen kan communiceren</w:t>
          </w:r>
          <w:r w:rsidR="006A40A3">
            <w:t xml:space="preserve"> (zie punt </w:t>
          </w:r>
          <w:r w:rsidR="006D5384">
            <w:t>8</w:t>
          </w:r>
          <w:r w:rsidR="006A40A3">
            <w:t>)</w:t>
          </w:r>
          <w:r>
            <w:t>,</w:t>
          </w:r>
          <w:r w:rsidR="000B12E4">
            <w:t xml:space="preserve"> zijn</w:t>
          </w:r>
          <w:r>
            <w:t xml:space="preserve"> het verbod op discriminatie</w:t>
          </w:r>
          <w:r w:rsidR="0028324D">
            <w:t xml:space="preserve"> en ongelijke behandeling</w:t>
          </w:r>
          <w:r>
            <w:t xml:space="preserve"> relevant.</w:t>
          </w:r>
          <w:r>
            <w:rPr>
              <w:rStyle w:val="Voetnootmarkering"/>
            </w:rPr>
            <w:footnoteReference w:id="20"/>
          </w:r>
          <w:r>
            <w:t xml:space="preserve"> </w:t>
          </w:r>
          <w:r w:rsidR="00BA4DD4">
            <w:t xml:space="preserve">Voor zover het voorstel betrekking heeft op het contact </w:t>
          </w:r>
          <w:r w:rsidR="002B2D45">
            <w:t>tussen gedetineerden en minderjarige</w:t>
          </w:r>
          <w:r w:rsidR="00BA4DD4">
            <w:t xml:space="preserve"> kinderen, dient </w:t>
          </w:r>
          <w:r w:rsidR="00A13F03">
            <w:t xml:space="preserve">het voorstel </w:t>
          </w:r>
          <w:r w:rsidR="00BA4DD4">
            <w:t xml:space="preserve">ook </w:t>
          </w:r>
          <w:r w:rsidR="00A13F03">
            <w:t xml:space="preserve">aan </w:t>
          </w:r>
          <w:r w:rsidR="00BA4DD4">
            <w:t>het Verdrag inzake de rechten voor het kind</w:t>
          </w:r>
          <w:r w:rsidR="00A13F03">
            <w:t xml:space="preserve"> te worden getoetst.</w:t>
          </w:r>
          <w:r w:rsidR="004C0F61">
            <w:rPr>
              <w:rStyle w:val="Voetnootmarkering"/>
            </w:rPr>
            <w:footnoteReference w:id="21"/>
          </w:r>
          <w:r w:rsidR="00A34CBE">
            <w:t xml:space="preserve"> </w:t>
          </w:r>
        </w:p>
        <w:p w:rsidR="004B125C" w:rsidP="00AD5093" w:rsidRDefault="004B125C" w14:paraId="7971E03C" w14:textId="77777777"/>
        <w:p w:rsidR="00713748" w:rsidP="00713748" w:rsidRDefault="00260C05" w14:paraId="0959DFA8" w14:textId="4C7035F0">
          <w:r>
            <w:t>E</w:t>
          </w:r>
          <w:r w:rsidRPr="00AD5093" w:rsidR="00AD5093">
            <w:t xml:space="preserve">en inmenging in rechten </w:t>
          </w:r>
          <w:r w:rsidR="00372B7A">
            <w:t>–</w:t>
          </w:r>
          <w:r w:rsidRPr="00AD5093" w:rsidR="00AD5093">
            <w:t xml:space="preserve"> óók wanneer dat gebeurt met het oog op het beschermen van de democratische rechtsstaat, openbare orde en veiligheid </w:t>
          </w:r>
          <w:r w:rsidR="00372B7A">
            <w:t>–</w:t>
          </w:r>
          <w:r w:rsidRPr="00AD5093" w:rsidR="00AD5093">
            <w:t xml:space="preserve"> dient </w:t>
          </w:r>
          <w:r w:rsidRPr="00AD5093" w:rsidR="00CD0E88">
            <w:t xml:space="preserve">zorgvuldig </w:t>
          </w:r>
          <w:r w:rsidRPr="00AD5093" w:rsidR="00AD5093">
            <w:t>te worden afgewogen.</w:t>
          </w:r>
          <w:r w:rsidR="00690E14">
            <w:rPr>
              <w:rStyle w:val="Voetnootmarkering"/>
            </w:rPr>
            <w:footnoteReference w:id="22"/>
          </w:r>
          <w:r w:rsidRPr="00AD5093" w:rsidR="00AD5093">
            <w:t xml:space="preserve"> </w:t>
          </w:r>
          <w:r w:rsidR="00194579">
            <w:t xml:space="preserve">Bij </w:t>
          </w:r>
          <w:r w:rsidR="003E036A">
            <w:t xml:space="preserve">het treffen van dergelijke maatregelen </w:t>
          </w:r>
          <w:r w:rsidR="00134334">
            <w:t xml:space="preserve">moet </w:t>
          </w:r>
          <w:r w:rsidR="003E036A">
            <w:t>v</w:t>
          </w:r>
          <w:r w:rsidRPr="00AD5093" w:rsidR="00AD5093">
            <w:t xml:space="preserve">oldaan worden aan eisen van noodzaak, proportionaliteit en subsidiariteit. Deze uitgangspunten gelden onverkort voor de detentie van gedetineerden van wie een grote bedreiging uitgaat. Het is dan ook cruciaal dat in het </w:t>
          </w:r>
          <w:r w:rsidR="000F6A9F">
            <w:t>wets</w:t>
          </w:r>
          <w:r w:rsidRPr="00AD5093" w:rsidR="00AD5093">
            <w:t>voorstel een evenwicht wordt gevonden tussen de verschillende belangen die in verband met de democratische rechtsstaat in het geding zijn.</w:t>
          </w:r>
        </w:p>
        <w:p w:rsidR="00F56692" w:rsidP="00F56692" w:rsidRDefault="00F56692" w14:paraId="7AA732DB" w14:textId="77777777"/>
        <w:p w:rsidR="00251F60" w:rsidP="00F56692" w:rsidRDefault="00F56692" w14:paraId="289FC3AD" w14:textId="1357B525">
          <w:r>
            <w:t>Het initiatief</w:t>
          </w:r>
          <w:r w:rsidR="000F6A9F">
            <w:t>wets</w:t>
          </w:r>
          <w:r>
            <w:t xml:space="preserve">voorstel bevat </w:t>
          </w:r>
          <w:r w:rsidR="007C7925">
            <w:t xml:space="preserve">bovendien </w:t>
          </w:r>
          <w:r>
            <w:t xml:space="preserve">generieke maatregelen die voor alle gedetineerden in de EBI en op de AIT zullen gelden. Beperkende maatregelen kunnen worden getroffen op basis van het regime waarin de gedetineerde wordt geplaatst, mits bij de plaatsing in dat regime voldoende rekening wordt gehouden met de veiligheidsrisico’s die van de betreffende gedetineerde uitgaan. Wanneer de plaatsingscriteria voor een bepaald regime ruim geformuleerd zijn, kunnen er binnen dat regime grotere verschillen tussen gedetineerden en hun veiligheidsrisico’s ontstaan. Indien in dat geval aan een regime veel (generieke) vrijheidsbeperkingen worden verbonden, rijst de vraag of de vrijheden van de gedetineerde in een concreet geval niet onnodig of onevenredig worden beperkt. </w:t>
          </w:r>
        </w:p>
        <w:p w:rsidR="00251F60" w:rsidP="00F56692" w:rsidRDefault="00251F60" w14:paraId="2DE4EAE9" w14:textId="77777777"/>
        <w:p w:rsidR="00E84D82" w:rsidP="00E84D82" w:rsidRDefault="000F6A9F" w14:paraId="108CDD6B" w14:textId="2251FF5A">
          <w:r>
            <w:t>T</w:t>
          </w:r>
          <w:r w:rsidR="00B52459">
            <w:t xml:space="preserve">egen deze achtergrond </w:t>
          </w:r>
          <w:r>
            <w:t>maakt</w:t>
          </w:r>
          <w:r w:rsidR="00B52459">
            <w:t xml:space="preserve"> de Afdeling </w:t>
          </w:r>
          <w:r w:rsidR="00A81E6F">
            <w:t>opmerkingen over de</w:t>
          </w:r>
          <w:r w:rsidR="004E7701">
            <w:t xml:space="preserve"> </w:t>
          </w:r>
          <w:r w:rsidR="00351926">
            <w:t xml:space="preserve">probleemanalyse </w:t>
          </w:r>
          <w:r w:rsidR="006F0B6C">
            <w:t>waarmee de noodzaak</w:t>
          </w:r>
          <w:r w:rsidR="00F300C2">
            <w:t>, proportionaliteit en subsidiariteit</w:t>
          </w:r>
          <w:r w:rsidR="006F0B6C">
            <w:t xml:space="preserve"> voor het onderhavige wetsvoorstel door initiatiefnemer </w:t>
          </w:r>
          <w:r w:rsidR="00FE1FB1">
            <w:t xml:space="preserve">wordt </w:t>
          </w:r>
          <w:r w:rsidR="00286C2E">
            <w:t>gemotiveer</w:t>
          </w:r>
          <w:r w:rsidR="00FE1FB1">
            <w:t>d</w:t>
          </w:r>
          <w:r w:rsidR="004E62F8">
            <w:t xml:space="preserve"> (punt </w:t>
          </w:r>
          <w:r w:rsidR="00641DA0">
            <w:t>4</w:t>
          </w:r>
          <w:r w:rsidR="004E62F8">
            <w:t>)</w:t>
          </w:r>
          <w:r w:rsidR="005B7EB9">
            <w:t xml:space="preserve">. </w:t>
          </w:r>
          <w:r w:rsidR="00C4486E">
            <w:t>Hiervoor is tevens van</w:t>
          </w:r>
          <w:r w:rsidR="00492692">
            <w:t xml:space="preserve"> belang </w:t>
          </w:r>
          <w:r w:rsidR="004E39C0">
            <w:t>op wie de</w:t>
          </w:r>
          <w:r w:rsidR="00F300C2">
            <w:t xml:space="preserve"> voorgestelde</w:t>
          </w:r>
          <w:r w:rsidR="004E39C0">
            <w:t xml:space="preserve"> maatregelen van toepassing zijn</w:t>
          </w:r>
          <w:r w:rsidR="00492692">
            <w:t xml:space="preserve">. De Afdeling </w:t>
          </w:r>
          <w:r w:rsidR="00CA6100">
            <w:t>gaat daarom vervolgens in op de gedetineerdenpopulaties in de EBI en de AIT</w:t>
          </w:r>
          <w:r w:rsidR="004E39C0">
            <w:t xml:space="preserve"> (punt </w:t>
          </w:r>
          <w:r w:rsidR="00641DA0">
            <w:t>5</w:t>
          </w:r>
          <w:r w:rsidR="004E39C0">
            <w:t xml:space="preserve">). </w:t>
          </w:r>
          <w:r w:rsidR="00E27B28">
            <w:t>Aansluitend</w:t>
          </w:r>
          <w:r w:rsidR="00C4486E">
            <w:t xml:space="preserve"> </w:t>
          </w:r>
          <w:r w:rsidR="00B52E06">
            <w:t xml:space="preserve">maakt de Afdeling enkele opmerkingen over specifieke maatregelen in het wetvoorstel, </w:t>
          </w:r>
          <w:r w:rsidR="005069D3">
            <w:t>die</w:t>
          </w:r>
          <w:r w:rsidR="00C4486E">
            <w:t xml:space="preserve"> </w:t>
          </w:r>
          <w:r w:rsidR="005069D3">
            <w:t xml:space="preserve">op grondrechtelijke bezwaren stuiten. </w:t>
          </w:r>
          <w:r w:rsidRPr="00C62319" w:rsidR="00E84D82">
            <w:t xml:space="preserve">Achtereenvolgens gaat het over het schrappen van de ondergrens en het stellen van een bovengrens voor het bezoek en telefonisch contact (punt </w:t>
          </w:r>
          <w:r w:rsidR="00641DA0">
            <w:t>6</w:t>
          </w:r>
          <w:r w:rsidRPr="00C62319" w:rsidR="00E84D82">
            <w:t xml:space="preserve">), het verbieden van contact met bepaalde groepen personen (punt </w:t>
          </w:r>
          <w:r w:rsidR="00641DA0">
            <w:t>7</w:t>
          </w:r>
          <w:r w:rsidRPr="00C62319" w:rsidR="00E84D82">
            <w:t xml:space="preserve">) en het beperken van de talen waarin gecommuniceerd mag worden (punt </w:t>
          </w:r>
          <w:r w:rsidR="00641DA0">
            <w:t>8</w:t>
          </w:r>
          <w:r w:rsidRPr="00C62319" w:rsidR="00E84D82">
            <w:t xml:space="preserve">). Tot slot maakt de Afdeling een opmerking over de rechtsbescherming (punt </w:t>
          </w:r>
          <w:r w:rsidR="00641DA0">
            <w:t>9</w:t>
          </w:r>
          <w:r w:rsidRPr="00C62319" w:rsidR="00E84D82">
            <w:t>).</w:t>
          </w:r>
          <w:r w:rsidR="00E84D82">
            <w:t xml:space="preserve"> </w:t>
          </w:r>
        </w:p>
        <w:p w:rsidR="00251F60" w:rsidP="00F56692" w:rsidRDefault="00251F60" w14:paraId="63B735CF" w14:textId="07171456"/>
        <w:p w:rsidR="00492692" w:rsidP="00492692" w:rsidRDefault="001A1C29" w14:paraId="1342EB6C" w14:textId="6EF18750">
          <w:r>
            <w:t>4</w:t>
          </w:r>
          <w:r w:rsidR="00665042">
            <w:t>.</w:t>
          </w:r>
          <w:r w:rsidR="00492692">
            <w:tab/>
          </w:r>
          <w:r w:rsidR="00492692">
            <w:rPr>
              <w:u w:val="single"/>
            </w:rPr>
            <w:t>Probleemanalyse</w:t>
          </w:r>
        </w:p>
        <w:p w:rsidR="003453A6" w:rsidP="00492692" w:rsidRDefault="003453A6" w14:paraId="0AA39C6F" w14:textId="77777777"/>
        <w:p w:rsidR="00492692" w:rsidDel="00372B7A" w:rsidP="00492692" w:rsidRDefault="00492692" w14:paraId="094E5319" w14:textId="671DADCD">
          <w:r w:rsidDel="00372B7A">
            <w:t>Voor het beoordelen van de noodzaak, proportionaliteit en subsidiariteit van het voorstel is het essentieel dat de problematiek voldoende in kaart is gebracht</w:t>
          </w:r>
          <w:r w:rsidRPr="00D85B04" w:rsidDel="00372B7A">
            <w:t xml:space="preserve">. Hoewel het evident is dat </w:t>
          </w:r>
          <w:r w:rsidDel="00372B7A">
            <w:t>VCHD</w:t>
          </w:r>
          <w:r w:rsidRPr="00D85B04" w:rsidDel="00372B7A">
            <w:t xml:space="preserve"> voorkomt en ernstige gevolgen </w:t>
          </w:r>
          <w:r w:rsidDel="00372B7A">
            <w:t>kan hebben</w:t>
          </w:r>
          <w:r w:rsidRPr="00D85B04" w:rsidDel="00372B7A">
            <w:t>, geeft de toelichting weinig inzicht in de omvang en oorzaken van deze problematiek</w:t>
          </w:r>
          <w:r w:rsidDel="00372B7A">
            <w:t xml:space="preserve"> in de EBI en op de AIT</w:t>
          </w:r>
          <w:r w:rsidRPr="00D85B04" w:rsidDel="00372B7A">
            <w:t xml:space="preserve">. </w:t>
          </w:r>
          <w:r w:rsidDel="00372B7A">
            <w:t xml:space="preserve">De rapporten en de meeste nieuwsartikelen die initiatiefnemer aanhaalt, gaan immers over VCHD binnen de reguliere, normaal beveiligde detentieregimes. De rapporten laten bovendien zien dat oplossingen voor VCHD met name in de sfeer van uitvoering liggen. Zo is het van belang dat er voldoende personeel is om signalen van VCHD op te pikken en daarop adequaat te reageren. Verder is het belangrijk dat </w:t>
          </w:r>
          <w:r w:rsidDel="00372B7A">
            <w:lastRenderedPageBreak/>
            <w:t>relevante informatie tussen politie, OM en penitentiaire inrichtingen gedeeld kan worden zodat deze partijen, ieder vanuit hun eigen rol en verantwoordelijkheid, kunnen bijdragen aan het voorkomen van VCHD.</w:t>
          </w:r>
          <w:r w:rsidDel="00372B7A">
            <w:rPr>
              <w:rStyle w:val="Voetnootmarkering"/>
            </w:rPr>
            <w:footnoteReference w:id="23"/>
          </w:r>
          <w:r w:rsidDel="00372B7A">
            <w:t xml:space="preserve"> </w:t>
          </w:r>
        </w:p>
        <w:p w:rsidR="00492692" w:rsidDel="00372B7A" w:rsidP="00492692" w:rsidRDefault="00492692" w14:paraId="1CD696CA" w14:textId="77777777"/>
        <w:p w:rsidR="00492692" w:rsidDel="00372B7A" w:rsidP="00492692" w:rsidRDefault="00492692" w14:paraId="6F637967" w14:textId="1B9E6FD4">
          <w:r w:rsidDel="00372B7A">
            <w:t>De rapporten over reguliere inrichtingen zijn niet één-op-één te vertalen naar de EBI en de AIT. Deze detentieregimes kenmerken zich niet alleen door meer beveiligingsmaatregelen, maar ook door een grotere inzet van personeel, dat doorgaans beter opgeleid en meer ervaren is dan het personeel in de reguliere detentieregimes. Hierdoor kan meer en intensiever toezicht worden gehouden. Daarnaast is de informatie-uitwisseling tussen politie, OM en penitentiaire inrichtingen met betrekking tot deze gedetineerden over het algemeen beter georganiseerd, hoewel op dit terrein nog winst te boeken valt.</w:t>
          </w:r>
          <w:r w:rsidDel="00372B7A">
            <w:rPr>
              <w:rStyle w:val="Voetnootmarkering"/>
            </w:rPr>
            <w:footnoteReference w:id="24"/>
          </w:r>
          <w:r w:rsidDel="00372B7A">
            <w:t xml:space="preserve"> Het is echter evident dat ook gedetineerden in de EBI en op de AIT pogingen doen om hun criminele activiteiten voort te zetten en hierin soms ook (bijna) slagen. </w:t>
          </w:r>
        </w:p>
        <w:p w:rsidR="00492692" w:rsidDel="00372B7A" w:rsidP="00492692" w:rsidRDefault="00492692" w14:paraId="56356332" w14:textId="77777777"/>
        <w:p w:rsidR="00492692" w:rsidDel="00372B7A" w:rsidP="00492692" w:rsidRDefault="00AA5C72" w14:paraId="592B5BE4" w14:textId="4863B761">
          <w:r>
            <w:t>Mede gelet op het voorgaande</w:t>
          </w:r>
          <w:r w:rsidDel="00372B7A">
            <w:t xml:space="preserve"> </w:t>
          </w:r>
          <w:r w:rsidDel="00372B7A" w:rsidR="00492692">
            <w:t>is</w:t>
          </w:r>
          <w:r>
            <w:t xml:space="preserve"> onduidelijk</w:t>
          </w:r>
          <w:r w:rsidDel="00372B7A" w:rsidR="00492692">
            <w:t xml:space="preserve"> in hoeverre de voorgestelde aanscherpingen van het regime in de EBI of op de AIT zullen bijdragen aan het voorkomen van VCHD. Ter illustratie</w:t>
          </w:r>
          <w:r w:rsidR="007C2C5A">
            <w:t xml:space="preserve"> wijs de Afdeling op het volgende.</w:t>
          </w:r>
          <w:r w:rsidDel="00372B7A" w:rsidR="00492692">
            <w:t xml:space="preserve"> </w:t>
          </w:r>
          <w:r w:rsidR="007C2C5A">
            <w:t>B</w:t>
          </w:r>
          <w:r w:rsidDel="00372B7A" w:rsidR="00492692">
            <w:t xml:space="preserve">ij de </w:t>
          </w:r>
          <w:r w:rsidR="00C13303">
            <w:t xml:space="preserve">recente </w:t>
          </w:r>
          <w:r w:rsidDel="00372B7A" w:rsidR="00492692">
            <w:t xml:space="preserve">voorbeelden van VCHD die de initiatiefnemer aanhaalt, lijken geprivilegieerde contacten een rol te spelen. In tegenstelling tot </w:t>
          </w:r>
          <w:r w:rsidR="00E45DC7">
            <w:t>het</w:t>
          </w:r>
          <w:r w:rsidDel="00372B7A" w:rsidR="00492692">
            <w:t xml:space="preserve"> </w:t>
          </w:r>
          <w:r w:rsidR="00492692">
            <w:t>regeringsvoorstel</w:t>
          </w:r>
          <w:r w:rsidDel="00372B7A" w:rsidR="00492692">
            <w:t xml:space="preserve"> heeft het </w:t>
          </w:r>
          <w:r w:rsidR="00F43EEF">
            <w:t>initiatiefwetsvoorstel</w:t>
          </w:r>
          <w:r w:rsidDel="00372B7A" w:rsidR="00492692">
            <w:t xml:space="preserve"> echter geen gevolgen voor geprivilegieerd contact. Dit roept de vraag op in hoeverre het voorstel daadwerkelijk leidt tot minder VCHD in de EBI en op de AIT. Door meer onderzoek te doen naar de omvang en oorzaken van VCHD in de EBI en op de AIT kan beter worden ingeschat of (verdere) beperkingen van de communicatie nodig en wenselijk zijn. </w:t>
          </w:r>
        </w:p>
        <w:p w:rsidR="00492692" w:rsidDel="00372B7A" w:rsidP="00492692" w:rsidRDefault="00492692" w14:paraId="6F7114CA" w14:textId="77777777"/>
        <w:p w:rsidR="00492692" w:rsidP="00713748" w:rsidRDefault="00492692" w14:paraId="370890DF" w14:textId="3EBDF69D">
          <w:r w:rsidRPr="00D06B0F" w:rsidDel="00372B7A">
            <w:t xml:space="preserve">In het licht van </w:t>
          </w:r>
          <w:r w:rsidR="001214D5">
            <w:t xml:space="preserve">het </w:t>
          </w:r>
          <w:r w:rsidR="00AD4F26">
            <w:t>voorg</w:t>
          </w:r>
          <w:r w:rsidR="001214D5">
            <w:t>aande</w:t>
          </w:r>
          <w:r w:rsidRPr="00D06B0F" w:rsidDel="00372B7A">
            <w:t xml:space="preserve"> adviseert de Afdeling </w:t>
          </w:r>
          <w:r w:rsidR="00600255">
            <w:t xml:space="preserve">de probleemanalyse </w:t>
          </w:r>
          <w:r w:rsidR="00F75FB3">
            <w:t xml:space="preserve">in de toelichting aan te vullen, zodat de </w:t>
          </w:r>
          <w:r w:rsidRPr="00D06B0F" w:rsidDel="00372B7A">
            <w:t xml:space="preserve">noodzaak, proportionaliteit en subsidiariteit van (verdere) aanscherpingen van het regime in de EBI of op de AIT </w:t>
          </w:r>
          <w:r w:rsidR="001214D5">
            <w:t>dragend gemotiveerd word</w:t>
          </w:r>
          <w:r w:rsidR="00AD4F26">
            <w:t>en</w:t>
          </w:r>
          <w:r w:rsidR="001214D5">
            <w:t>.</w:t>
          </w:r>
        </w:p>
        <w:p w:rsidR="00492692" w:rsidP="00713748" w:rsidRDefault="00492692" w14:paraId="394F3589" w14:textId="77777777"/>
        <w:p w:rsidR="00665042" w:rsidP="00AA29C0" w:rsidRDefault="001A1C29" w14:paraId="7CA8EF36" w14:textId="3447DABE">
          <w:r>
            <w:t>5</w:t>
          </w:r>
          <w:r w:rsidR="00665042">
            <w:t xml:space="preserve">. </w:t>
          </w:r>
          <w:r w:rsidR="00665042">
            <w:tab/>
          </w:r>
          <w:r w:rsidR="004C1FD6">
            <w:rPr>
              <w:u w:val="single"/>
            </w:rPr>
            <w:t xml:space="preserve">Verschillen </w:t>
          </w:r>
          <w:r w:rsidR="0055359D">
            <w:rPr>
              <w:u w:val="single"/>
            </w:rPr>
            <w:t xml:space="preserve">tussen en binnen de </w:t>
          </w:r>
          <w:r w:rsidR="004E7162">
            <w:rPr>
              <w:u w:val="single"/>
            </w:rPr>
            <w:t>EBI en de AIT</w:t>
          </w:r>
        </w:p>
        <w:p w:rsidR="00AB4BBF" w:rsidP="00AA29C0" w:rsidRDefault="00AB4BBF" w14:paraId="07578434" w14:textId="20227159"/>
        <w:p w:rsidR="00D12F48" w:rsidP="006F7479" w:rsidRDefault="00E47DC4" w14:paraId="4D5EF5BC" w14:textId="439F7E32">
          <w:r>
            <w:t xml:space="preserve">De </w:t>
          </w:r>
          <w:r w:rsidR="00AD2CCE">
            <w:t xml:space="preserve">initiatiefnemer </w:t>
          </w:r>
          <w:r>
            <w:t>heeft ervoor gekozen om de voorgestelde maatregelen zowel van toepassing te laten zijn</w:t>
          </w:r>
          <w:r w:rsidR="006D56CB">
            <w:t xml:space="preserve"> </w:t>
          </w:r>
          <w:r w:rsidR="00981049">
            <w:t xml:space="preserve">op de </w:t>
          </w:r>
          <w:r>
            <w:t xml:space="preserve">EBI als de </w:t>
          </w:r>
          <w:r w:rsidR="006D56CB">
            <w:t>AIT</w:t>
          </w:r>
          <w:r>
            <w:t>.</w:t>
          </w:r>
          <w:r w:rsidR="00453D23">
            <w:t xml:space="preserve"> </w:t>
          </w:r>
          <w:r w:rsidR="00777507">
            <w:t xml:space="preserve">Volgens de initiatiefnemer worden </w:t>
          </w:r>
          <w:r w:rsidR="00981049">
            <w:t>in de EBI</w:t>
          </w:r>
          <w:r w:rsidR="00777507">
            <w:t xml:space="preserve"> </w:t>
          </w:r>
          <w:r w:rsidR="007822CA">
            <w:t>‘criminelen uit de top van een netwerk’ geplaatst</w:t>
          </w:r>
          <w:r w:rsidR="00122414">
            <w:t xml:space="preserve">. </w:t>
          </w:r>
          <w:r w:rsidR="00EC3EAC">
            <w:t>De AIT is</w:t>
          </w:r>
          <w:r w:rsidR="00B51352">
            <w:t xml:space="preserve"> onder meer</w:t>
          </w:r>
          <w:r w:rsidR="00EC3EAC">
            <w:t xml:space="preserve"> bedoeld voor </w:t>
          </w:r>
          <w:r w:rsidR="004B5B40">
            <w:t>‘kopstukken</w:t>
          </w:r>
          <w:r w:rsidR="00E3175F">
            <w:t>’, ‘</w:t>
          </w:r>
          <w:r w:rsidR="004B5B40">
            <w:t>het middenkader uit criminele samenwerkingsverbanden’</w:t>
          </w:r>
          <w:r w:rsidR="00600206">
            <w:t xml:space="preserve"> en ‘schutters en uitvoerders van liquidaties’.</w:t>
          </w:r>
          <w:r w:rsidR="00600206">
            <w:rPr>
              <w:rStyle w:val="Voetnootmarkering"/>
            </w:rPr>
            <w:footnoteReference w:id="25"/>
          </w:r>
          <w:r w:rsidR="00BE42BB">
            <w:t xml:space="preserve"> D</w:t>
          </w:r>
          <w:r w:rsidR="00090C5D">
            <w:t xml:space="preserve">e </w:t>
          </w:r>
          <w:r w:rsidR="00BE42BB">
            <w:t xml:space="preserve">initiatiefnemer </w:t>
          </w:r>
          <w:r w:rsidR="00090C5D">
            <w:t xml:space="preserve">lijkt </w:t>
          </w:r>
          <w:r w:rsidR="00BE42BB">
            <w:t xml:space="preserve">te veronderstellen dat van personen </w:t>
          </w:r>
          <w:r w:rsidR="00090C5D">
            <w:t>die voldoen aan</w:t>
          </w:r>
          <w:r w:rsidR="00BE42BB">
            <w:t xml:space="preserve"> </w:t>
          </w:r>
          <w:r w:rsidR="00090C5D">
            <w:t xml:space="preserve">de criteria voor plaatsing in de EBI of op de AIT </w:t>
          </w:r>
          <w:r w:rsidR="008752A1">
            <w:t xml:space="preserve">min of meer </w:t>
          </w:r>
          <w:r w:rsidR="00BE42BB">
            <w:t>vergelijkbare risico</w:t>
          </w:r>
          <w:r w:rsidR="0014473D">
            <w:t>’</w:t>
          </w:r>
          <w:r w:rsidR="00BE42BB">
            <w:t>s uitgaa</w:t>
          </w:r>
          <w:r w:rsidR="00E56BFF">
            <w:t>n</w:t>
          </w:r>
          <w:r w:rsidR="00090C5D">
            <w:t xml:space="preserve">. </w:t>
          </w:r>
          <w:r w:rsidR="00925CD9">
            <w:t xml:space="preserve">Deze veronderstelling lijkt in de praktijk echter niet geheel juist te zijn. </w:t>
          </w:r>
        </w:p>
        <w:p w:rsidR="00D12F48" w:rsidP="006F7479" w:rsidRDefault="00D12F48" w14:paraId="12E01873" w14:textId="77777777"/>
        <w:p w:rsidR="006F7479" w:rsidP="006F7479" w:rsidRDefault="00B7476C" w14:paraId="3C66F951" w14:textId="58B90F77">
          <w:r>
            <w:lastRenderedPageBreak/>
            <w:t>De EBI</w:t>
          </w:r>
          <w:r w:rsidR="006F7479">
            <w:t xml:space="preserve"> werd opgericht om paal en perk te stellen aan </w:t>
          </w:r>
          <w:r w:rsidR="00530244">
            <w:t xml:space="preserve">(gewelddadige) ontvluchtingen en gijzelingen </w:t>
          </w:r>
          <w:r w:rsidR="007F6ED4">
            <w:t xml:space="preserve">vanuit </w:t>
          </w:r>
          <w:r w:rsidR="006F7479">
            <w:t>extra beveiligde afdelingen binnen reguliere penitentiaire inrichtingen in de jaren ’80 en ’90.</w:t>
          </w:r>
          <w:r w:rsidR="001C41DB">
            <w:rPr>
              <w:rStyle w:val="Voetnootmarkering"/>
            </w:rPr>
            <w:footnoteReference w:id="26"/>
          </w:r>
          <w:r w:rsidR="006F7479">
            <w:t xml:space="preserve"> </w:t>
          </w:r>
          <w:r w:rsidR="00F14707">
            <w:t xml:space="preserve">Door de jaren heen </w:t>
          </w:r>
          <w:r w:rsidR="00F26B60">
            <w:t>is</w:t>
          </w:r>
          <w:r w:rsidR="00F14707">
            <w:t xml:space="preserve"> </w:t>
          </w:r>
          <w:r w:rsidR="001A682B">
            <w:t xml:space="preserve">het vluchtgevaar als indicatie voor plaatsing </w:t>
          </w:r>
          <w:r w:rsidR="00981049">
            <w:t>in de EBI</w:t>
          </w:r>
          <w:r w:rsidR="001A682B">
            <w:t xml:space="preserve"> </w:t>
          </w:r>
          <w:r w:rsidR="006104DF">
            <w:t xml:space="preserve">enigszins </w:t>
          </w:r>
          <w:r w:rsidR="001A682B">
            <w:t>naar de achtergrond verdwenen</w:t>
          </w:r>
          <w:r w:rsidR="0038392E">
            <w:t xml:space="preserve">. De nadruk ligt </w:t>
          </w:r>
          <w:r w:rsidR="00DB305B">
            <w:t xml:space="preserve">nu </w:t>
          </w:r>
          <w:r w:rsidR="0038392E">
            <w:t xml:space="preserve">meer </w:t>
          </w:r>
          <w:r w:rsidR="00DB305B">
            <w:t>op</w:t>
          </w:r>
          <w:r w:rsidR="0038392E">
            <w:t xml:space="preserve"> </w:t>
          </w:r>
          <w:r w:rsidR="001768FF">
            <w:t>d</w:t>
          </w:r>
          <w:r w:rsidR="00197C11">
            <w:t>e risico</w:t>
          </w:r>
          <w:r w:rsidR="0014473D">
            <w:t>’</w:t>
          </w:r>
          <w:r w:rsidR="00197C11">
            <w:t xml:space="preserve">s op </w:t>
          </w:r>
          <w:r w:rsidR="00E7671F">
            <w:t>VCHD</w:t>
          </w:r>
          <w:r w:rsidR="00197C11">
            <w:t xml:space="preserve"> en de </w:t>
          </w:r>
          <w:r w:rsidR="00852F06">
            <w:t>algemene gevaarzetting</w:t>
          </w:r>
          <w:r w:rsidR="00BD7866">
            <w:t xml:space="preserve"> die uitgaa</w:t>
          </w:r>
          <w:r w:rsidR="00852F06">
            <w:t>t</w:t>
          </w:r>
          <w:r w:rsidR="00BD7866">
            <w:t xml:space="preserve"> van de </w:t>
          </w:r>
          <w:r w:rsidR="00852F06">
            <w:t xml:space="preserve">rol en </w:t>
          </w:r>
          <w:r w:rsidR="00197C11">
            <w:t xml:space="preserve">positie van de gedetineerde binnen een crimineel netwerk. </w:t>
          </w:r>
          <w:r w:rsidR="00B52A83">
            <w:t xml:space="preserve">In het licht van deze ontwikkelingen </w:t>
          </w:r>
          <w:r w:rsidR="00BD7866">
            <w:t xml:space="preserve">zijn de plaatsingscriteria </w:t>
          </w:r>
          <w:r w:rsidR="00981049">
            <w:t>voor</w:t>
          </w:r>
          <w:r w:rsidR="00BD7866">
            <w:t xml:space="preserve"> de EBI in december 2022 aangepast.</w:t>
          </w:r>
          <w:r w:rsidR="00BD7866">
            <w:rPr>
              <w:rStyle w:val="Voetnootmarkering"/>
            </w:rPr>
            <w:footnoteReference w:id="27"/>
          </w:r>
          <w:r w:rsidR="00BD7866">
            <w:t xml:space="preserve"> </w:t>
          </w:r>
          <w:r w:rsidR="00FB25A1">
            <w:t xml:space="preserve">Niettemin kunnen binnen de EBI ook gedetineerden worden geplaatst </w:t>
          </w:r>
          <w:r w:rsidR="008F7AA4">
            <w:t xml:space="preserve">die </w:t>
          </w:r>
          <w:r w:rsidR="00F27C19">
            <w:t>geen</w:t>
          </w:r>
          <w:r w:rsidR="00C920B1">
            <w:t xml:space="preserve"> </w:t>
          </w:r>
          <w:r w:rsidR="00F27C19">
            <w:t xml:space="preserve">banden hebben </w:t>
          </w:r>
          <w:r w:rsidR="00C920B1">
            <w:t>met de georganiseerde misdaad</w:t>
          </w:r>
          <w:r w:rsidR="00E7671F">
            <w:t xml:space="preserve"> of waarvan geen risico op </w:t>
          </w:r>
          <w:r w:rsidR="003505E9">
            <w:t xml:space="preserve">VCHD uitgaat. </w:t>
          </w:r>
        </w:p>
        <w:p w:rsidR="00B7476C" w:rsidP="00AA29C0" w:rsidRDefault="00B7476C" w14:paraId="00A8C866" w14:textId="77777777"/>
        <w:p w:rsidR="001B3445" w:rsidP="00AA29C0" w:rsidRDefault="00F27C19" w14:paraId="19D29D7E" w14:textId="6FEE6B79">
          <w:r>
            <w:t xml:space="preserve">De AIT </w:t>
          </w:r>
          <w:r w:rsidR="004E7162">
            <w:t xml:space="preserve">is een relatief </w:t>
          </w:r>
          <w:r w:rsidR="00ED38B6">
            <w:t>nieuw</w:t>
          </w:r>
          <w:r w:rsidR="004E7162">
            <w:t xml:space="preserve"> fenomeen in het detentiewezen. </w:t>
          </w:r>
          <w:r w:rsidR="00382CC2">
            <w:t>Het gaat om</w:t>
          </w:r>
          <w:r w:rsidR="00B06D85">
            <w:t xml:space="preserve"> kleinere</w:t>
          </w:r>
          <w:r w:rsidR="00C67796">
            <w:t xml:space="preserve"> afdelingen binnen reguliere </w:t>
          </w:r>
          <w:r w:rsidR="00636FFD">
            <w:t xml:space="preserve">penitentiaire inrichtingen, waar meer toezicht op </w:t>
          </w:r>
          <w:r w:rsidR="004A7398">
            <w:t xml:space="preserve">gedetineerden </w:t>
          </w:r>
          <w:r w:rsidR="005610CD">
            <w:t xml:space="preserve">kan worden gehouden. </w:t>
          </w:r>
          <w:r w:rsidR="00DE4619">
            <w:t xml:space="preserve">Dat extra toezicht kan nodig zijn om verschillende redenen. </w:t>
          </w:r>
          <w:r w:rsidR="00E2250F">
            <w:t xml:space="preserve">Omdat de AIT een interne differentiatie is binnen een reguliere </w:t>
          </w:r>
          <w:r w:rsidR="00D67163">
            <w:t xml:space="preserve">inrichting, gaat de directeur in beginsel zelf over de plaatsing </w:t>
          </w:r>
          <w:r w:rsidR="00C45931">
            <w:t>van</w:t>
          </w:r>
          <w:r w:rsidR="0060011E">
            <w:t xml:space="preserve"> gedetineerden op </w:t>
          </w:r>
          <w:r w:rsidR="00D67163">
            <w:t>de AIT</w:t>
          </w:r>
          <w:r w:rsidR="0060011E">
            <w:t xml:space="preserve">. </w:t>
          </w:r>
          <w:r w:rsidR="009D46A7">
            <w:t xml:space="preserve">Hiervoor bestaan nu nog geen vaste criteria. </w:t>
          </w:r>
          <w:r w:rsidR="0060011E">
            <w:t xml:space="preserve">Meestal betreft het gedetineerden </w:t>
          </w:r>
          <w:r w:rsidR="004C2DE0">
            <w:t>die op de lijst staan van gedetineerden met een vlucht- of maatschappelijk risico (GVM-lijst)</w:t>
          </w:r>
          <w:r w:rsidR="00D67163">
            <w:t xml:space="preserve"> en die om die reden onderworpen zijn aan extra individuele </w:t>
          </w:r>
          <w:proofErr w:type="spellStart"/>
          <w:r w:rsidR="00432298">
            <w:t>toezichts</w:t>
          </w:r>
          <w:r w:rsidR="00D67163">
            <w:t>maatregelen</w:t>
          </w:r>
          <w:proofErr w:type="spellEnd"/>
          <w:r w:rsidR="00D67163">
            <w:t>.</w:t>
          </w:r>
          <w:r w:rsidR="00B45BAC">
            <w:rPr>
              <w:rStyle w:val="Voetnootmarkering"/>
            </w:rPr>
            <w:footnoteReference w:id="28"/>
          </w:r>
          <w:r w:rsidR="00580438">
            <w:t xml:space="preserve"> </w:t>
          </w:r>
          <w:r w:rsidR="00E92F1A">
            <w:t xml:space="preserve">Dit </w:t>
          </w:r>
          <w:r w:rsidR="007A77E9">
            <w:t xml:space="preserve">hoeven geen gedetineerden te zijn die </w:t>
          </w:r>
          <w:r w:rsidR="00FA4721">
            <w:t>banden hebben met de georganiseerde misdaad</w:t>
          </w:r>
          <w:r w:rsidR="00B8033F">
            <w:t xml:space="preserve">, </w:t>
          </w:r>
          <w:r w:rsidR="004C04EC">
            <w:t xml:space="preserve">maar </w:t>
          </w:r>
          <w:r w:rsidR="007A77E9">
            <w:t>kunnen ook mensen zijn die</w:t>
          </w:r>
          <w:r w:rsidR="00B8033F">
            <w:t xml:space="preserve"> verdacht </w:t>
          </w:r>
          <w:r w:rsidR="004C04EC">
            <w:t xml:space="preserve">worden van </w:t>
          </w:r>
          <w:r w:rsidR="00B8033F">
            <w:t>of veroordeeld zijn voor vermogensdelicten of (ernstige) geweldsdelicten in de privésfeer.</w:t>
          </w:r>
          <w:r w:rsidR="00FA4721">
            <w:t xml:space="preserve"> </w:t>
          </w:r>
          <w:r w:rsidR="009916B0">
            <w:t>Bij</w:t>
          </w:r>
          <w:r w:rsidR="00FA4721">
            <w:t xml:space="preserve"> gedetineerden die wel banden met de georganiseerde misdaad hebben, vormt een risico op VCHD bovendien niet altijd de </w:t>
          </w:r>
          <w:r w:rsidR="003E6C83">
            <w:t xml:space="preserve">reden waarom zij </w:t>
          </w:r>
          <w:r w:rsidR="00FC5A2F">
            <w:t>op een</w:t>
          </w:r>
          <w:r w:rsidR="00FA4721">
            <w:t xml:space="preserve"> AIT</w:t>
          </w:r>
          <w:r w:rsidR="004A7398">
            <w:t xml:space="preserve"> </w:t>
          </w:r>
          <w:r w:rsidR="00FC5A2F">
            <w:t>word</w:t>
          </w:r>
          <w:r w:rsidR="00BF11AF">
            <w:t>en</w:t>
          </w:r>
          <w:r w:rsidR="00FC5A2F">
            <w:t xml:space="preserve"> </w:t>
          </w:r>
          <w:r w:rsidR="004A7398">
            <w:t>geplaatst</w:t>
          </w:r>
          <w:r w:rsidR="00FA4721">
            <w:t xml:space="preserve">. Zo kan plaatsing </w:t>
          </w:r>
          <w:r w:rsidR="00295E6F">
            <w:t xml:space="preserve">ook </w:t>
          </w:r>
          <w:r w:rsidR="00FA4721">
            <w:t>noodzakelijk zijn wegens het risico dat de gedetineerde geliquideerd zal worden uit wraak voor een verklaring die een persoon heeft afgelegd in een strafzaak.</w:t>
          </w:r>
          <w:r w:rsidR="001B3445">
            <w:t xml:space="preserve"> </w:t>
          </w:r>
        </w:p>
        <w:p w:rsidR="00404E4D" w:rsidP="00AA29C0" w:rsidRDefault="00404E4D" w14:paraId="35685F44" w14:textId="77777777"/>
        <w:p w:rsidR="0014473D" w:rsidP="00AA29C0" w:rsidRDefault="00AE2B48" w14:paraId="1E4771D6" w14:textId="7839D248">
          <w:r>
            <w:t>D</w:t>
          </w:r>
          <w:r w:rsidR="00580438">
            <w:t xml:space="preserve">e </w:t>
          </w:r>
          <w:r w:rsidR="00F42808">
            <w:t>regering</w:t>
          </w:r>
          <w:r>
            <w:t xml:space="preserve"> heeft</w:t>
          </w:r>
          <w:r w:rsidR="00580438">
            <w:t xml:space="preserve"> het voornemen </w:t>
          </w:r>
          <w:r>
            <w:t xml:space="preserve">kenbaar gemaakt </w:t>
          </w:r>
          <w:r w:rsidR="00580438">
            <w:t>om van de AIT een externe differentiatie te maken</w:t>
          </w:r>
          <w:r w:rsidR="00A97A1F">
            <w:t xml:space="preserve">. </w:t>
          </w:r>
          <w:r w:rsidR="0010669E">
            <w:t xml:space="preserve">Dit betekent dat </w:t>
          </w:r>
          <w:r w:rsidR="00335BD3">
            <w:t>d</w:t>
          </w:r>
          <w:r w:rsidR="009C2547">
            <w:t>e</w:t>
          </w:r>
          <w:r w:rsidR="00580438">
            <w:t xml:space="preserve"> selectiefunctionaris namens de minister</w:t>
          </w:r>
          <w:r w:rsidR="00335BD3">
            <w:t xml:space="preserve"> zal</w:t>
          </w:r>
          <w:r w:rsidR="00580438">
            <w:t xml:space="preserve"> </w:t>
          </w:r>
          <w:r w:rsidR="009D46A7">
            <w:t xml:space="preserve">beslissen over de plaatsing van </w:t>
          </w:r>
          <w:r w:rsidR="00FF4BEA">
            <w:t xml:space="preserve">gedetineerden op </w:t>
          </w:r>
          <w:r w:rsidR="009D46A7">
            <w:t>de AIT</w:t>
          </w:r>
          <w:r w:rsidR="008B60F6">
            <w:t xml:space="preserve"> op basis van vaste </w:t>
          </w:r>
          <w:r w:rsidR="00966796">
            <w:t>plaatsings</w:t>
          </w:r>
          <w:r w:rsidR="008B60F6">
            <w:t>criteria</w:t>
          </w:r>
          <w:r w:rsidR="009D46A7">
            <w:t>.</w:t>
          </w:r>
          <w:r w:rsidR="009C2547">
            <w:rPr>
              <w:rStyle w:val="Voetnootmarkering"/>
            </w:rPr>
            <w:footnoteReference w:id="29"/>
          </w:r>
          <w:r w:rsidR="004A7398">
            <w:t xml:space="preserve"> </w:t>
          </w:r>
          <w:r w:rsidR="00124D7D">
            <w:t>Deze criteria worden:</w:t>
          </w:r>
          <w:r w:rsidR="001627B4">
            <w:t xml:space="preserve"> “aanzienlijk verhoogd risico op recidive, ontvluchting, voortzetting van ernstig crimineel handelen of het aanhoudend onderhouden van contacten met de </w:t>
          </w:r>
          <w:r w:rsidR="002E72EE">
            <w:t>buitenwereld met een maatschappelijk ont</w:t>
          </w:r>
          <w:r w:rsidR="0038237C">
            <w:t>wrichtend karakter”.</w:t>
          </w:r>
          <w:r w:rsidR="00CD4470">
            <w:rPr>
              <w:rStyle w:val="Voetnootmarkering"/>
            </w:rPr>
            <w:footnoteReference w:id="30"/>
          </w:r>
          <w:r w:rsidR="007F1159">
            <w:t xml:space="preserve"> </w:t>
          </w:r>
        </w:p>
        <w:p w:rsidR="0014473D" w:rsidP="00AA29C0" w:rsidRDefault="0014473D" w14:paraId="6A70EBD8" w14:textId="77777777"/>
        <w:p w:rsidR="009C4B6E" w:rsidP="00AA29C0" w:rsidRDefault="00CA7A3F" w14:paraId="59DCF795" w14:textId="528F9C6D">
          <w:r>
            <w:t xml:space="preserve">Hoe deze criteria zich verhouden tot criteria voor plaatsing op de </w:t>
          </w:r>
          <w:r w:rsidR="00D97B71">
            <w:t xml:space="preserve">EBI of de </w:t>
          </w:r>
          <w:r>
            <w:t xml:space="preserve">GVM-lijst, blijkt niet uit de parlementaire stukken. </w:t>
          </w:r>
          <w:r w:rsidR="00ED62CF">
            <w:t>De</w:t>
          </w:r>
          <w:r w:rsidR="0082311F">
            <w:t xml:space="preserve"> initiatiefnemer </w:t>
          </w:r>
          <w:r w:rsidR="00ED62CF">
            <w:t xml:space="preserve">heeft </w:t>
          </w:r>
          <w:r w:rsidR="00617369">
            <w:t xml:space="preserve">voor dezelfde wettelijke </w:t>
          </w:r>
          <w:r w:rsidR="00617369">
            <w:lastRenderedPageBreak/>
            <w:t xml:space="preserve">grondslag voor de AIT </w:t>
          </w:r>
          <w:r w:rsidR="00ED62CF">
            <w:t xml:space="preserve">gekozen </w:t>
          </w:r>
          <w:r w:rsidR="00617369">
            <w:t xml:space="preserve">als </w:t>
          </w:r>
          <w:r w:rsidR="005B7035">
            <w:t xml:space="preserve">de </w:t>
          </w:r>
          <w:r w:rsidR="00F42808">
            <w:t xml:space="preserve">regering </w:t>
          </w:r>
          <w:r w:rsidR="00ED62CF">
            <w:t>heeft voorgesteld, al wordt dit niet verder toegelicht</w:t>
          </w:r>
          <w:r w:rsidR="005B7035">
            <w:t xml:space="preserve">. </w:t>
          </w:r>
          <w:r w:rsidR="00907043">
            <w:t xml:space="preserve">De </w:t>
          </w:r>
          <w:r w:rsidR="00176599">
            <w:t xml:space="preserve">Afdeling </w:t>
          </w:r>
          <w:r w:rsidR="00651B36">
            <w:t>leidt hieruit af</w:t>
          </w:r>
          <w:r w:rsidR="00297638">
            <w:t xml:space="preserve"> dat de initiatiefnemer </w:t>
          </w:r>
          <w:r w:rsidR="000C40F7">
            <w:t>zich</w:t>
          </w:r>
          <w:r w:rsidR="00760BD1">
            <w:t xml:space="preserve"> op dit punt</w:t>
          </w:r>
          <w:r w:rsidR="000C40F7">
            <w:t xml:space="preserve"> </w:t>
          </w:r>
          <w:r w:rsidR="00393307">
            <w:t>aansluit bij</w:t>
          </w:r>
          <w:r w:rsidR="000C40F7">
            <w:t xml:space="preserve"> het</w:t>
          </w:r>
          <w:r w:rsidR="00760BD1">
            <w:t xml:space="preserve"> voorgenomen</w:t>
          </w:r>
          <w:r w:rsidR="000C40F7">
            <w:t xml:space="preserve"> beleid </w:t>
          </w:r>
          <w:r w:rsidR="00760BD1">
            <w:t xml:space="preserve">van de </w:t>
          </w:r>
          <w:r w:rsidR="00F42808">
            <w:t>regering</w:t>
          </w:r>
          <w:r w:rsidR="00E06BDC">
            <w:t xml:space="preserve">. </w:t>
          </w:r>
        </w:p>
        <w:p w:rsidR="004F0D18" w:rsidP="00AA29C0" w:rsidRDefault="004F0D18" w14:paraId="17BC9953" w14:textId="77777777"/>
        <w:p w:rsidR="002E380F" w:rsidP="00E56BFF" w:rsidRDefault="00C664B1" w14:paraId="26244A8E" w14:textId="5CD0B455">
          <w:r>
            <w:t xml:space="preserve">De Afdeling constateert dat voor zowel de EBI als de AIT </w:t>
          </w:r>
          <w:r w:rsidR="00C839CD">
            <w:t xml:space="preserve">ruime </w:t>
          </w:r>
          <w:r w:rsidR="00E56BFF">
            <w:t xml:space="preserve">plaatsingscriteria </w:t>
          </w:r>
          <w:r w:rsidR="00903937">
            <w:t>zijn geformuleerd</w:t>
          </w:r>
          <w:r w:rsidR="006F4FFF">
            <w:t>, waardoor daar</w:t>
          </w:r>
          <w:r w:rsidR="00C839CD">
            <w:t xml:space="preserve"> gedetineerden </w:t>
          </w:r>
          <w:r w:rsidR="002F35C4">
            <w:t xml:space="preserve">kunnen </w:t>
          </w:r>
          <w:r w:rsidR="006F4FFF">
            <w:t>verblijven van</w:t>
          </w:r>
          <w:r w:rsidR="00C839CD">
            <w:t xml:space="preserve"> </w:t>
          </w:r>
          <w:r w:rsidR="00AD1930">
            <w:t xml:space="preserve">wie </w:t>
          </w:r>
          <w:r w:rsidR="00C839CD">
            <w:t>verschillende soorten</w:t>
          </w:r>
          <w:r w:rsidR="00AA5C72">
            <w:t xml:space="preserve"> en gradaties</w:t>
          </w:r>
          <w:r w:rsidR="007574DC">
            <w:t xml:space="preserve"> van</w:t>
          </w:r>
          <w:r w:rsidR="00C839CD">
            <w:t xml:space="preserve"> risico’s uitgaan.</w:t>
          </w:r>
          <w:r w:rsidR="002E380F">
            <w:t xml:space="preserve"> </w:t>
          </w:r>
          <w:r w:rsidR="00321180">
            <w:t xml:space="preserve">In het </w:t>
          </w:r>
          <w:r w:rsidR="00F43EEF">
            <w:t>initiatiefwetsvoorstel</w:t>
          </w:r>
          <w:r w:rsidR="00321180">
            <w:t xml:space="preserve"> wordt op basis van deze regimes vergaande </w:t>
          </w:r>
          <w:r w:rsidR="002E380F">
            <w:t>beperki</w:t>
          </w:r>
          <w:r w:rsidR="009953F3">
            <w:t>ngen aan de vrijheden van gedetineerden</w:t>
          </w:r>
          <w:r w:rsidR="00321180">
            <w:t xml:space="preserve"> gesteld</w:t>
          </w:r>
          <w:r w:rsidR="009953F3">
            <w:t xml:space="preserve">, </w:t>
          </w:r>
          <w:r w:rsidR="00321180">
            <w:t xml:space="preserve">waarbij geen of weinig maatwerk kan worden </w:t>
          </w:r>
          <w:r w:rsidR="001E174B">
            <w:t xml:space="preserve">geleverd. </w:t>
          </w:r>
          <w:r w:rsidR="007C20F6">
            <w:t xml:space="preserve">Hierdoor ontstaat </w:t>
          </w:r>
          <w:r w:rsidR="00D11293">
            <w:t xml:space="preserve">de </w:t>
          </w:r>
          <w:r w:rsidR="00085C6D">
            <w:t>aanzienlijke</w:t>
          </w:r>
          <w:r w:rsidR="00A93524">
            <w:t xml:space="preserve"> </w:t>
          </w:r>
          <w:r w:rsidR="00D11293">
            <w:t>kans</w:t>
          </w:r>
          <w:r w:rsidR="007C20F6">
            <w:t xml:space="preserve"> dat</w:t>
          </w:r>
          <w:r w:rsidR="001E174B">
            <w:t xml:space="preserve"> deze</w:t>
          </w:r>
          <w:r w:rsidR="007C20F6">
            <w:t xml:space="preserve"> </w:t>
          </w:r>
          <w:r w:rsidR="00A153BD">
            <w:t>generieke vrijheidsbeperkingen de vrijheid van een individuele gedetineerde onnodig of onevenredig beperken</w:t>
          </w:r>
          <w:r w:rsidR="00CD1F59">
            <w:t>.</w:t>
          </w:r>
          <w:r w:rsidR="00471175">
            <w:t xml:space="preserve"> </w:t>
          </w:r>
          <w:r w:rsidR="004C47E6">
            <w:t xml:space="preserve">Dat </w:t>
          </w:r>
          <w:r w:rsidR="00D57674">
            <w:t xml:space="preserve">de gedetineerde </w:t>
          </w:r>
          <w:r w:rsidR="005A0E73">
            <w:t>bij de Raad voor S</w:t>
          </w:r>
          <w:r w:rsidR="00456336">
            <w:t>trafrechts</w:t>
          </w:r>
          <w:r w:rsidR="005A0E73">
            <w:t>toepassing en Jeugdbescherming</w:t>
          </w:r>
          <w:r w:rsidR="00D57674">
            <w:t xml:space="preserve"> kan opkomen tegen de plaatsingsbeslissing</w:t>
          </w:r>
          <w:r w:rsidR="00966AB3">
            <w:t xml:space="preserve">, vormt </w:t>
          </w:r>
          <w:r w:rsidR="00E11C15">
            <w:t>in dat geval</w:t>
          </w:r>
          <w:r w:rsidR="009C4C0C">
            <w:t xml:space="preserve"> ook</w:t>
          </w:r>
          <w:r w:rsidR="00966AB3">
            <w:t xml:space="preserve"> onvoldoende rechtsbescherming</w:t>
          </w:r>
          <w:r w:rsidR="00A40DAD">
            <w:t xml:space="preserve">. </w:t>
          </w:r>
          <w:r w:rsidR="00D75F5B">
            <w:t>Deze kijkt immers of aan de plaatsingscriteria is voldaan, n</w:t>
          </w:r>
          <w:r w:rsidR="00CF1C17">
            <w:t xml:space="preserve">iet of </w:t>
          </w:r>
          <w:r w:rsidR="00944197">
            <w:t>specifieke</w:t>
          </w:r>
          <w:r w:rsidR="00CF1C17">
            <w:t xml:space="preserve"> vrijheidsbeperkingen die aan het regime verbonden zijn ook in het concrete geval </w:t>
          </w:r>
          <w:r w:rsidR="00DE00D7">
            <w:t>noodzakelijk en evenredig zijn.</w:t>
          </w:r>
        </w:p>
        <w:p w:rsidR="007068B4" w:rsidP="00E56BFF" w:rsidRDefault="007068B4" w14:paraId="7CB7633C" w14:textId="77777777"/>
        <w:p w:rsidR="007068B4" w:rsidP="00041BEC" w:rsidRDefault="007068B4" w14:paraId="18B61ECF" w14:textId="40482FA1">
          <w:r>
            <w:t>In het vervolg van het advies behandelt de Afdeling een aantal maatregelen waarvan zij de kans het grootst acht dat deze een schending van grondrechten van gedetineerden vormen. Dat laat echter onverlet dat ook voor andere maatregele</w:t>
          </w:r>
          <w:r w:rsidR="006768E6">
            <w:t xml:space="preserve">n, zoals het toezicht op contacten </w:t>
          </w:r>
          <w:r w:rsidR="00920DDF">
            <w:t>of het beperken van het aantal bezoekers, toegelicht moet worden waarom deze maatregelen</w:t>
          </w:r>
          <w:r w:rsidR="0022311B">
            <w:t xml:space="preserve"> </w:t>
          </w:r>
          <w:r w:rsidR="00920DDF">
            <w:t xml:space="preserve">noodzakelijk en evenredig zijn </w:t>
          </w:r>
          <w:r w:rsidR="00A14372">
            <w:t xml:space="preserve">gelet op de risico’s die </w:t>
          </w:r>
          <w:r w:rsidR="00041BEC">
            <w:t xml:space="preserve">van </w:t>
          </w:r>
          <w:r w:rsidR="00A14372">
            <w:t xml:space="preserve">gedetineerden </w:t>
          </w:r>
          <w:r w:rsidR="00041BEC">
            <w:t xml:space="preserve">in de EBI en AIT uitgaan. </w:t>
          </w:r>
          <w:r w:rsidR="00987A7E">
            <w:t xml:space="preserve">Enkel in dat geval kunnen </w:t>
          </w:r>
          <w:r w:rsidR="00422109">
            <w:t>de maatregelen</w:t>
          </w:r>
          <w:r w:rsidR="00987A7E">
            <w:t xml:space="preserve"> worden verbonden aan deze regimes. </w:t>
          </w:r>
        </w:p>
        <w:p w:rsidR="00041BEC" w:rsidP="00041BEC" w:rsidRDefault="00041BEC" w14:paraId="172949A0" w14:textId="77777777"/>
        <w:p w:rsidR="004C47E6" w:rsidP="00E56BFF" w:rsidRDefault="004C47E6" w14:paraId="1DB3E9B8" w14:textId="5FAF2696">
          <w:r>
            <w:t>D</w:t>
          </w:r>
          <w:r w:rsidR="00E03BF5">
            <w:t>e Afdeling adviseert in de toelichting</w:t>
          </w:r>
          <w:r w:rsidR="00EC7950">
            <w:t xml:space="preserve"> </w:t>
          </w:r>
          <w:r w:rsidR="00A27BDC">
            <w:t xml:space="preserve">in te gaan op de </w:t>
          </w:r>
          <w:r w:rsidR="00CC7954">
            <w:t>verschillende groepen</w:t>
          </w:r>
          <w:r w:rsidR="00A27BDC">
            <w:t xml:space="preserve"> gedetineerden die </w:t>
          </w:r>
          <w:r w:rsidR="00981049">
            <w:t>in de EBI</w:t>
          </w:r>
          <w:r w:rsidR="00A27BDC">
            <w:t xml:space="preserve"> en AIT verblijven</w:t>
          </w:r>
          <w:r w:rsidR="00D00A54">
            <w:t xml:space="preserve"> en </w:t>
          </w:r>
          <w:r w:rsidR="00D97C8B">
            <w:t xml:space="preserve">door welke soorten en gradaties van risico’s deze groepen zich kenmerken. </w:t>
          </w:r>
          <w:r w:rsidR="00A27BDC">
            <w:t>Dit dient vervolgens te worden betrokken bij de vraag o</w:t>
          </w:r>
          <w:r w:rsidR="00BF6AD1">
            <w:t>f</w:t>
          </w:r>
          <w:r w:rsidR="00A27BDC">
            <w:t xml:space="preserve"> de voorgestelde maatregelen ook in het concrete geval </w:t>
          </w:r>
          <w:r w:rsidR="00F7780E">
            <w:t xml:space="preserve">een noodzakelijke, proportionele en subsidiaire </w:t>
          </w:r>
          <w:r w:rsidR="005248E0">
            <w:t xml:space="preserve">inmenging </w:t>
          </w:r>
          <w:r w:rsidR="0045486C">
            <w:t>in</w:t>
          </w:r>
          <w:r w:rsidR="00F7780E">
            <w:t xml:space="preserve"> de rechten van gedetineerden</w:t>
          </w:r>
          <w:r w:rsidR="00BE0868">
            <w:t xml:space="preserve"> vormen</w:t>
          </w:r>
          <w:r w:rsidR="00F7780E">
            <w:t xml:space="preserve">. </w:t>
          </w:r>
        </w:p>
        <w:p w:rsidR="00B4143A" w:rsidP="00E56BFF" w:rsidRDefault="00B4143A" w14:paraId="530FE7D0" w14:textId="77777777"/>
        <w:p w:rsidR="00325D1A" w:rsidP="00E56BFF" w:rsidRDefault="001A1C29" w14:paraId="3EA1BDA4" w14:textId="2EACE02C">
          <w:r>
            <w:t>6</w:t>
          </w:r>
          <w:r w:rsidR="00782962">
            <w:t>.</w:t>
          </w:r>
          <w:r w:rsidR="00B4143A">
            <w:t xml:space="preserve"> </w:t>
          </w:r>
          <w:r w:rsidR="00B4143A">
            <w:tab/>
          </w:r>
          <w:r w:rsidR="00CF381C">
            <w:rPr>
              <w:u w:val="single"/>
            </w:rPr>
            <w:t xml:space="preserve">Grenzen aan </w:t>
          </w:r>
          <w:r w:rsidR="00B54ADF">
            <w:rPr>
              <w:u w:val="single"/>
            </w:rPr>
            <w:t>bezoek en telefonisch contact</w:t>
          </w:r>
          <w:r w:rsidDel="00866233" w:rsidR="00B54ADF">
            <w:rPr>
              <w:u w:val="single"/>
            </w:rPr>
            <w:t xml:space="preserve"> </w:t>
          </w:r>
        </w:p>
        <w:p w:rsidR="00325D1A" w:rsidP="00E56BFF" w:rsidRDefault="00325D1A" w14:paraId="37EC8C51" w14:textId="77777777"/>
        <w:p w:rsidRPr="009623B3" w:rsidR="009623B3" w:rsidP="00E56BFF" w:rsidRDefault="009623B3" w14:paraId="645B9766" w14:textId="42592DFE">
          <w:pPr>
            <w:rPr>
              <w:i/>
              <w:iCs/>
            </w:rPr>
          </w:pPr>
          <w:r>
            <w:t>a.</w:t>
          </w:r>
          <w:r>
            <w:tab/>
          </w:r>
          <w:r w:rsidR="009D789F">
            <w:rPr>
              <w:i/>
              <w:iCs/>
            </w:rPr>
            <w:t xml:space="preserve">Het </w:t>
          </w:r>
          <w:r w:rsidR="00D14BF5">
            <w:rPr>
              <w:i/>
              <w:iCs/>
            </w:rPr>
            <w:t>loslaten</w:t>
          </w:r>
          <w:r w:rsidR="00502D55">
            <w:rPr>
              <w:i/>
              <w:iCs/>
            </w:rPr>
            <w:t xml:space="preserve"> van</w:t>
          </w:r>
          <w:r w:rsidR="00D14BF5">
            <w:rPr>
              <w:i/>
              <w:iCs/>
            </w:rPr>
            <w:t xml:space="preserve"> de </w:t>
          </w:r>
          <w:r w:rsidR="0079063D">
            <w:rPr>
              <w:i/>
              <w:iCs/>
            </w:rPr>
            <w:t>ondergrens</w:t>
          </w:r>
        </w:p>
        <w:p w:rsidR="008542ED" w:rsidP="00E56BFF" w:rsidRDefault="00E756E5" w14:paraId="2E98F901" w14:textId="26E748C4">
          <w:r>
            <w:t xml:space="preserve">De huidige systematiek van de Penitentiaire beginselenwet is dat de wet een ondergrens formuleert </w:t>
          </w:r>
          <w:r w:rsidR="00303623">
            <w:t xml:space="preserve">voor </w:t>
          </w:r>
          <w:r w:rsidR="00120B0E">
            <w:t xml:space="preserve">hoeveel bezoek en hoeveel telefooncontact </w:t>
          </w:r>
          <w:r w:rsidR="00303623">
            <w:t xml:space="preserve">de gedetineerde met de buitenwereld mag hebben. </w:t>
          </w:r>
          <w:r w:rsidR="004B2346">
            <w:t xml:space="preserve">Hiervan mag enkel worden afgeweken als sprake is </w:t>
          </w:r>
          <w:r w:rsidR="003C4EDF">
            <w:t>van weigeringsgronden die eveneens in de wet zijn ondergebracht.</w:t>
          </w:r>
          <w:r w:rsidR="00B92F82">
            <w:rPr>
              <w:rStyle w:val="Voetnootmarkering"/>
            </w:rPr>
            <w:footnoteReference w:id="31"/>
          </w:r>
          <w:r w:rsidR="003C4EDF">
            <w:t xml:space="preserve"> </w:t>
          </w:r>
          <w:r w:rsidR="008542ED">
            <w:t xml:space="preserve">Deze systematiek is in overeenstemming met diverse internationale verdragen en </w:t>
          </w:r>
          <w:r w:rsidR="008542ED">
            <w:rPr>
              <w:i/>
              <w:iCs/>
            </w:rPr>
            <w:t xml:space="preserve">soft </w:t>
          </w:r>
          <w:proofErr w:type="spellStart"/>
          <w:r w:rsidR="008542ED">
            <w:rPr>
              <w:i/>
              <w:iCs/>
            </w:rPr>
            <w:t>law</w:t>
          </w:r>
          <w:proofErr w:type="spellEnd"/>
          <w:r w:rsidR="008542ED">
            <w:t xml:space="preserve"> instrumenten, waaruit voortvloeit dat gedetineerden in beginsel het recht hebben om contact te onderhouden met de buitenwereld, bijvoorbeeld door bezoek of telefo</w:t>
          </w:r>
          <w:r w:rsidR="00BC6C6B">
            <w:t>neren</w:t>
          </w:r>
          <w:r w:rsidR="008542ED">
            <w:t>.</w:t>
          </w:r>
          <w:r w:rsidR="00AE5331">
            <w:rPr>
              <w:rStyle w:val="Voetnootmarkering"/>
            </w:rPr>
            <w:footnoteReference w:id="32"/>
          </w:r>
          <w:r w:rsidR="008542ED">
            <w:t xml:space="preserve"> D</w:t>
          </w:r>
          <w:r w:rsidR="002C7908">
            <w:t>it</w:t>
          </w:r>
          <w:r w:rsidR="008542ED">
            <w:t xml:space="preserve"> recht </w:t>
          </w:r>
          <w:r w:rsidR="00FC3D52">
            <w:t xml:space="preserve">is niet absoluut, maar </w:t>
          </w:r>
          <w:r w:rsidR="008542ED">
            <w:t xml:space="preserve">kan beperkt worden met het oog op bijvoorbeeld de veiligheid. </w:t>
          </w:r>
        </w:p>
        <w:p w:rsidR="008542ED" w:rsidP="00E56BFF" w:rsidRDefault="008542ED" w14:paraId="139F3D04" w14:textId="77777777"/>
        <w:p w:rsidR="00022601" w:rsidP="00E56BFF" w:rsidRDefault="003C4EDF" w14:paraId="6C261F6A" w14:textId="0F7F19D1">
          <w:r>
            <w:t xml:space="preserve">Het </w:t>
          </w:r>
          <w:r w:rsidR="00F67037">
            <w:t>initiatief</w:t>
          </w:r>
          <w:r w:rsidR="00612F4B">
            <w:t>wets</w:t>
          </w:r>
          <w:r>
            <w:t>voorstel leidt ertoe dat</w:t>
          </w:r>
          <w:r w:rsidR="00DB12BB">
            <w:t xml:space="preserve"> </w:t>
          </w:r>
          <w:r w:rsidR="00120B0E">
            <w:t>de</w:t>
          </w:r>
          <w:r w:rsidR="00F30A7E">
            <w:t xml:space="preserve"> ondergrens in de Penitentiaire beginselenwet </w:t>
          </w:r>
          <w:r w:rsidR="00120B0E">
            <w:t xml:space="preserve">niet langer geldt voor gedetineerden </w:t>
          </w:r>
          <w:r w:rsidR="000F2E1F">
            <w:t>in</w:t>
          </w:r>
          <w:r w:rsidR="00A63E50">
            <w:t xml:space="preserve"> de EBI en </w:t>
          </w:r>
          <w:r w:rsidR="00502D55">
            <w:t>op</w:t>
          </w:r>
          <w:r w:rsidR="000F2E1F">
            <w:t xml:space="preserve"> </w:t>
          </w:r>
          <w:r w:rsidR="00A63E50">
            <w:t xml:space="preserve">de AIT. Dit betekent dat deze gedetineerden </w:t>
          </w:r>
          <w:r w:rsidR="00325D1A">
            <w:t xml:space="preserve">zich niet langer kunnen beroepen op een recht om </w:t>
          </w:r>
          <w:r w:rsidR="00022601">
            <w:t xml:space="preserve">een minimaal aantal keer </w:t>
          </w:r>
          <w:r w:rsidR="00325D1A">
            <w:t xml:space="preserve">bezoek te ontvangen of </w:t>
          </w:r>
          <w:r w:rsidR="00F03735">
            <w:t xml:space="preserve">te telefoneren. </w:t>
          </w:r>
          <w:r w:rsidR="00A24695">
            <w:t xml:space="preserve">Hiermee lijkt ook de verplichting voor de directeur te vervallen om deze vormen van contact op gezette tijden te faciliteren. </w:t>
          </w:r>
          <w:r w:rsidR="00F03735">
            <w:t xml:space="preserve">Dit is een substantiële wijziging van de rechtspositie van </w:t>
          </w:r>
          <w:r w:rsidR="00266332">
            <w:t xml:space="preserve">gedetineerden, die in de toelichting </w:t>
          </w:r>
          <w:r w:rsidR="00EC025B">
            <w:t>niet</w:t>
          </w:r>
          <w:r w:rsidR="00C90066">
            <w:t xml:space="preserve"> als zodanig</w:t>
          </w:r>
          <w:r w:rsidR="00266332">
            <w:t xml:space="preserve"> wordt onderkend</w:t>
          </w:r>
          <w:r w:rsidR="00122F97">
            <w:t xml:space="preserve">. </w:t>
          </w:r>
        </w:p>
        <w:p w:rsidR="00022601" w:rsidP="00E56BFF" w:rsidRDefault="00022601" w14:paraId="207EEDC3" w14:textId="77777777"/>
        <w:p w:rsidR="0041210F" w:rsidP="00E56BFF" w:rsidRDefault="00122F97" w14:paraId="32F3E578" w14:textId="5C71D72E">
          <w:r>
            <w:t xml:space="preserve">Een dergelijke beperking van de rechten van gedetineerden staat bovendien op gespannen voet met de </w:t>
          </w:r>
          <w:r w:rsidR="00636F5A">
            <w:t xml:space="preserve">hiervoor </w:t>
          </w:r>
          <w:r>
            <w:t xml:space="preserve">genoemde internationale verdragen en instrumenten. </w:t>
          </w:r>
          <w:r w:rsidR="007F6FD2">
            <w:t>Het voorstel</w:t>
          </w:r>
          <w:r w:rsidR="00C96BCB">
            <w:t xml:space="preserve"> </w:t>
          </w:r>
          <w:r w:rsidR="001A6E85">
            <w:t>is</w:t>
          </w:r>
          <w:r w:rsidR="007F6FD2">
            <w:t xml:space="preserve"> op dit punt </w:t>
          </w:r>
          <w:r w:rsidR="00636F5A">
            <w:t xml:space="preserve">in het bijzonder </w:t>
          </w:r>
          <w:r w:rsidR="00C96BCB">
            <w:t>in strijd met</w:t>
          </w:r>
          <w:r w:rsidR="007F6FD2">
            <w:t xml:space="preserve"> artikel 8 </w:t>
          </w:r>
          <w:r w:rsidR="00176913">
            <w:t xml:space="preserve">van het EVRM, waarin de bescherming van </w:t>
          </w:r>
          <w:r w:rsidRPr="00417120" w:rsidR="00417120">
            <w:t>eerbiediging van privé-, familie- en gezinsleven</w:t>
          </w:r>
          <w:r w:rsidR="00417120">
            <w:t xml:space="preserve"> is opgenomen. </w:t>
          </w:r>
          <w:r w:rsidR="00091CE6">
            <w:t xml:space="preserve">Een </w:t>
          </w:r>
          <w:r w:rsidR="005A1769">
            <w:t>inmenging</w:t>
          </w:r>
          <w:r w:rsidR="00417120">
            <w:t xml:space="preserve"> in artikel 8 EVRM</w:t>
          </w:r>
          <w:r w:rsidR="00091CE6">
            <w:t xml:space="preserve"> kan gerechtvaardigd zijn als in een wettelijke grondslag is voorzien</w:t>
          </w:r>
          <w:r w:rsidR="00A842AB">
            <w:t>, deze een legitie</w:t>
          </w:r>
          <w:r w:rsidR="00085467">
            <w:t xml:space="preserve">m </w:t>
          </w:r>
          <w:r w:rsidR="001575B3">
            <w:t xml:space="preserve">belang </w:t>
          </w:r>
          <w:r w:rsidR="00085467">
            <w:t>dient en</w:t>
          </w:r>
          <w:r w:rsidR="00B339E3">
            <w:t xml:space="preserve"> met het oog daarop</w:t>
          </w:r>
          <w:r w:rsidR="00085467">
            <w:t xml:space="preserve"> </w:t>
          </w:r>
          <w:r w:rsidR="00A91FC0">
            <w:t xml:space="preserve">noodzakelijk en </w:t>
          </w:r>
          <w:r w:rsidR="00B339E3">
            <w:t>proportioneel is</w:t>
          </w:r>
          <w:r w:rsidR="00091CE6">
            <w:t xml:space="preserve">. </w:t>
          </w:r>
          <w:r w:rsidR="00875889">
            <w:t>Een</w:t>
          </w:r>
          <w:r w:rsidR="005E380B">
            <w:t xml:space="preserve"> wet </w:t>
          </w:r>
          <w:r w:rsidR="00875889">
            <w:t xml:space="preserve">of regeling die de </w:t>
          </w:r>
          <w:r w:rsidR="00D547EB">
            <w:t xml:space="preserve">bevoegde </w:t>
          </w:r>
          <w:r w:rsidR="005E380B">
            <w:t xml:space="preserve">autoriteit </w:t>
          </w:r>
          <w:r w:rsidR="00875889">
            <w:t>onbeperkte</w:t>
          </w:r>
          <w:r w:rsidR="00D01732">
            <w:t xml:space="preserve"> beslissingsbevoegdheid</w:t>
          </w:r>
          <w:r w:rsidR="00D547EB">
            <w:t xml:space="preserve"> geeft om </w:t>
          </w:r>
          <w:r w:rsidR="000B7B82">
            <w:t>contact toe te staan of te weigeren</w:t>
          </w:r>
          <w:r w:rsidR="00875889">
            <w:t xml:space="preserve"> voldoet niet aan de eisen die het EHRM stelt aan de kwaliteit van de wettelijke grondslag.</w:t>
          </w:r>
          <w:r w:rsidR="00F81DFB">
            <w:rPr>
              <w:rStyle w:val="Voetnootmarkering"/>
            </w:rPr>
            <w:footnoteReference w:id="33"/>
          </w:r>
          <w:r w:rsidR="000B7B82">
            <w:t xml:space="preserve"> </w:t>
          </w:r>
          <w:r w:rsidR="001255F3">
            <w:t xml:space="preserve">Het gaat er </w:t>
          </w:r>
          <w:r w:rsidR="00661047">
            <w:t>volgens EHRM</w:t>
          </w:r>
          <w:r w:rsidR="001255F3">
            <w:t xml:space="preserve"> niet alleen om dát er een wettelijke grondslag is, maar ook dat deze zodanig is dat d</w:t>
          </w:r>
          <w:r w:rsidR="00CA44D1">
            <w:t>e gedetineerde tegen willekeur of machtsmisbruik door de autoriteit</w:t>
          </w:r>
          <w:r w:rsidR="001255F3">
            <w:t xml:space="preserve"> wordt</w:t>
          </w:r>
          <w:r w:rsidR="0028785F">
            <w:t xml:space="preserve"> beschermd</w:t>
          </w:r>
          <w:r w:rsidR="00CA44D1">
            <w:t>.</w:t>
          </w:r>
          <w:r w:rsidR="004512D4">
            <w:t xml:space="preserve"> </w:t>
          </w:r>
          <w:r w:rsidR="002C61B4">
            <w:t xml:space="preserve">Hieruit </w:t>
          </w:r>
          <w:r w:rsidR="005D194E">
            <w:t>kan</w:t>
          </w:r>
          <w:r w:rsidR="002C61B4">
            <w:t xml:space="preserve"> worden afgeleid dat </w:t>
          </w:r>
          <w:r w:rsidR="00875889">
            <w:t xml:space="preserve">ook </w:t>
          </w:r>
          <w:r w:rsidR="002C61B4">
            <w:t xml:space="preserve">het </w:t>
          </w:r>
          <w:r w:rsidR="00F43EEF">
            <w:t>initiatiefwetsvoorstel</w:t>
          </w:r>
          <w:r w:rsidR="002C61B4">
            <w:t xml:space="preserve"> </w:t>
          </w:r>
          <w:r w:rsidR="00875889">
            <w:t>tekortschiet waar het gaat om de eisen die worden gesteld aan de kwaliteit van de</w:t>
          </w:r>
          <w:r w:rsidR="002C61B4">
            <w:t xml:space="preserve"> wettelijke grondslag</w:t>
          </w:r>
          <w:r w:rsidR="00875889">
            <w:t>.</w:t>
          </w:r>
          <w:r w:rsidR="0076292C">
            <w:t xml:space="preserve"> </w:t>
          </w:r>
          <w:r w:rsidR="000F7BC5">
            <w:t>In het voorstel</w:t>
          </w:r>
          <w:r w:rsidR="0076292C">
            <w:t xml:space="preserve"> is immers </w:t>
          </w:r>
          <w:r w:rsidR="00D10A2A">
            <w:t>geen</w:t>
          </w:r>
          <w:r w:rsidR="0076292C">
            <w:t xml:space="preserve"> wettelijke ondergrens </w:t>
          </w:r>
          <w:r w:rsidR="00D10A2A">
            <w:t xml:space="preserve">opgenomen </w:t>
          </w:r>
          <w:r w:rsidR="0076292C">
            <w:t xml:space="preserve">die de gedetineerde </w:t>
          </w:r>
          <w:r w:rsidR="00500C28">
            <w:t xml:space="preserve">beschermt </w:t>
          </w:r>
          <w:r w:rsidR="0076292C">
            <w:t xml:space="preserve">tegen </w:t>
          </w:r>
          <w:r w:rsidR="00B92BAD">
            <w:t>willekeur</w:t>
          </w:r>
          <w:r w:rsidR="00A23046">
            <w:t xml:space="preserve"> of machtsmisbruik</w:t>
          </w:r>
          <w:r w:rsidR="00B92BAD">
            <w:t>.</w:t>
          </w:r>
        </w:p>
        <w:p w:rsidR="0076292C" w:rsidP="00E56BFF" w:rsidRDefault="0076292C" w14:paraId="191C8AF2" w14:textId="77777777"/>
        <w:p w:rsidR="00C90066" w:rsidP="00E56BFF" w:rsidRDefault="00C90066" w14:paraId="25FDC2AF" w14:textId="6AA48866">
          <w:r>
            <w:t xml:space="preserve">De Afdeling adviseert </w:t>
          </w:r>
          <w:r w:rsidR="001D2536">
            <w:t xml:space="preserve">in de Penitentiaire beginselenwet </w:t>
          </w:r>
          <w:r w:rsidR="006D392A">
            <w:t xml:space="preserve">te handhaven dat gedetineerden </w:t>
          </w:r>
          <w:r w:rsidR="00D37B61">
            <w:t xml:space="preserve">in de EBI en op de AIT </w:t>
          </w:r>
          <w:r w:rsidR="002C29A6">
            <w:t xml:space="preserve">in beginsel </w:t>
          </w:r>
          <w:r w:rsidR="006D392A">
            <w:t>het recht hebben om</w:t>
          </w:r>
          <w:r w:rsidR="00973301">
            <w:t xml:space="preserve"> </w:t>
          </w:r>
          <w:r w:rsidR="004247AC">
            <w:t xml:space="preserve">een </w:t>
          </w:r>
          <w:r w:rsidR="004917A6">
            <w:t xml:space="preserve">minimum </w:t>
          </w:r>
          <w:r w:rsidR="00973301">
            <w:t xml:space="preserve">aantal keer </w:t>
          </w:r>
          <w:r w:rsidR="006D392A">
            <w:t xml:space="preserve">bezoek te ontvangen </w:t>
          </w:r>
          <w:r w:rsidR="00D37B61">
            <w:t>en te telefonere</w:t>
          </w:r>
          <w:r w:rsidR="00D72A6F">
            <w:t>n</w:t>
          </w:r>
          <w:r w:rsidR="00D37B61">
            <w:t xml:space="preserve">. </w:t>
          </w:r>
        </w:p>
        <w:p w:rsidR="0025243E" w:rsidP="00E56BFF" w:rsidRDefault="0025243E" w14:paraId="1ED459B8" w14:textId="77777777">
          <w:pPr>
            <w:rPr>
              <w:rFonts w:ascii="Calibri" w:hAnsi="Calibri"/>
              <w:szCs w:val="22"/>
            </w:rPr>
          </w:pPr>
        </w:p>
        <w:p w:rsidR="009A3328" w:rsidP="004C4FD0" w:rsidRDefault="00B54ADF" w14:paraId="46103702" w14:textId="35733A62">
          <w:r>
            <w:t>b</w:t>
          </w:r>
          <w:r w:rsidR="00236A0F">
            <w:t xml:space="preserve">. </w:t>
          </w:r>
          <w:r w:rsidR="00236A0F">
            <w:tab/>
          </w:r>
          <w:r w:rsidR="00D14BF5">
            <w:rPr>
              <w:i/>
              <w:iCs/>
            </w:rPr>
            <w:t xml:space="preserve">Het vastleggen van een </w:t>
          </w:r>
          <w:r w:rsidR="007A3710">
            <w:rPr>
              <w:i/>
              <w:iCs/>
            </w:rPr>
            <w:t>bovengrens</w:t>
          </w:r>
          <w:r w:rsidDel="00866233" w:rsidR="007A3710">
            <w:rPr>
              <w:i/>
              <w:iCs/>
            </w:rPr>
            <w:t xml:space="preserve"> </w:t>
          </w:r>
        </w:p>
        <w:p w:rsidR="003A29A7" w:rsidP="00B92BAD" w:rsidRDefault="00B92BAD" w14:paraId="0804A85E" w14:textId="2B2342A1">
          <w:r>
            <w:t>Het initiatief</w:t>
          </w:r>
          <w:r w:rsidR="00F43EEF">
            <w:t>wets</w:t>
          </w:r>
          <w:r>
            <w:t xml:space="preserve">voorstel stelt </w:t>
          </w:r>
          <w:r w:rsidR="007A3710">
            <w:t>een bovengrens</w:t>
          </w:r>
          <w:r w:rsidR="0080312C">
            <w:t xml:space="preserve"> aan hoeveel bezoek en telefonisch contact gedetineerden met de buitenwereld mogen hebben.</w:t>
          </w:r>
          <w:r w:rsidR="00791EE5">
            <w:rPr>
              <w:rStyle w:val="Voetnootmarkering"/>
            </w:rPr>
            <w:footnoteReference w:id="34"/>
          </w:r>
          <w:r w:rsidR="0080312C">
            <w:t xml:space="preserve"> </w:t>
          </w:r>
          <w:r w:rsidR="003A29A7">
            <w:t xml:space="preserve">De directeur </w:t>
          </w:r>
          <w:r w:rsidR="00DD1AB8">
            <w:t>heeft</w:t>
          </w:r>
          <w:r w:rsidR="008B3DFE">
            <w:t xml:space="preserve"> daardoor </w:t>
          </w:r>
          <w:r w:rsidR="00D23791">
            <w:t>weinig</w:t>
          </w:r>
          <w:r w:rsidR="008B3DFE">
            <w:t xml:space="preserve"> ruimte om binnen de EBI en op de AIT </w:t>
          </w:r>
          <w:r w:rsidR="00CF283A">
            <w:t xml:space="preserve">maatwerk te leveren met het oog op de verschillen tussen gedetineerden. Hoewel het op zichzelf niet </w:t>
          </w:r>
          <w:r w:rsidR="0021798C">
            <w:t>on</w:t>
          </w:r>
          <w:r w:rsidR="00E24EC9">
            <w:t>begrijpelijk</w:t>
          </w:r>
          <w:r w:rsidR="00CF283A">
            <w:t xml:space="preserve"> is als de wet kaders </w:t>
          </w:r>
          <w:r w:rsidR="00D23791">
            <w:t>schept</w:t>
          </w:r>
          <w:r w:rsidR="00CF283A">
            <w:t xml:space="preserve"> voor </w:t>
          </w:r>
          <w:r w:rsidR="007A3710">
            <w:t>de hoeveelheid</w:t>
          </w:r>
          <w:r w:rsidR="00CF283A">
            <w:t xml:space="preserve"> contact d</w:t>
          </w:r>
          <w:r w:rsidR="00FD6497">
            <w:t>ie</w:t>
          </w:r>
          <w:r w:rsidR="00CF283A">
            <w:t xml:space="preserve"> de gedetineerde met de buitenwereld </w:t>
          </w:r>
          <w:r w:rsidR="007A3710">
            <w:t>kan</w:t>
          </w:r>
          <w:r w:rsidR="00CF283A">
            <w:t xml:space="preserve"> hebben, </w:t>
          </w:r>
          <w:r w:rsidR="00B6761C">
            <w:t xml:space="preserve">is het </w:t>
          </w:r>
          <w:r w:rsidR="006C663C">
            <w:t xml:space="preserve">met het oog op de rechten </w:t>
          </w:r>
          <w:r w:rsidR="00B6761C">
            <w:t>van</w:t>
          </w:r>
          <w:r w:rsidR="00D23791">
            <w:t xml:space="preserve"> gedetineerden </w:t>
          </w:r>
          <w:r w:rsidR="00B6761C">
            <w:t xml:space="preserve">van belang </w:t>
          </w:r>
          <w:r w:rsidR="00BD4AC6">
            <w:t xml:space="preserve">dat </w:t>
          </w:r>
          <w:r w:rsidR="00B6761C">
            <w:t>deze kaders ruimte la</w:t>
          </w:r>
          <w:r w:rsidR="009D2002">
            <w:t xml:space="preserve">ten </w:t>
          </w:r>
          <w:r w:rsidR="00C6392B">
            <w:t xml:space="preserve">voor passende maatregelen </w:t>
          </w:r>
          <w:r w:rsidR="0001607C">
            <w:t xml:space="preserve">die afgestemd zijn op </w:t>
          </w:r>
          <w:r w:rsidR="0001607C">
            <w:lastRenderedPageBreak/>
            <w:t xml:space="preserve">de risico’s en omstandigheden van het </w:t>
          </w:r>
          <w:r w:rsidR="00614046">
            <w:t>individuele geval.</w:t>
          </w:r>
          <w:r w:rsidR="00163542">
            <w:rPr>
              <w:rStyle w:val="Voetnootmarkering"/>
            </w:rPr>
            <w:footnoteReference w:id="35"/>
          </w:r>
          <w:r w:rsidR="00614046">
            <w:t xml:space="preserve"> </w:t>
          </w:r>
          <w:r w:rsidR="00C6392B">
            <w:t xml:space="preserve">Het voorstel </w:t>
          </w:r>
          <w:r w:rsidR="00614046">
            <w:t>biedt bovendien</w:t>
          </w:r>
          <w:r w:rsidR="00C6392B">
            <w:t xml:space="preserve"> geen </w:t>
          </w:r>
          <w:r w:rsidR="00614046">
            <w:t xml:space="preserve">mogelijkheid tot </w:t>
          </w:r>
          <w:r w:rsidR="00C6392B">
            <w:t xml:space="preserve">maatwerk in uitzonderlijke situaties, zoals de geboorte van een kind of het (aanstaande) overlijden van een familielid. </w:t>
          </w:r>
          <w:r w:rsidR="00501E3D">
            <w:t xml:space="preserve">Het past bij een humaan detentieregime </w:t>
          </w:r>
          <w:r w:rsidR="00C6392B">
            <w:t xml:space="preserve">dat gedetineerden </w:t>
          </w:r>
          <w:r w:rsidR="00501E3D">
            <w:t>in die situaties (</w:t>
          </w:r>
          <w:r w:rsidR="00C6392B">
            <w:t>tijdelijk</w:t>
          </w:r>
          <w:r w:rsidR="00501E3D">
            <w:t>)</w:t>
          </w:r>
          <w:r w:rsidR="00C6392B">
            <w:t xml:space="preserve"> meer contact met hun naasten kunnen onderhouden</w:t>
          </w:r>
          <w:r w:rsidR="004E587D">
            <w:t>, mits d</w:t>
          </w:r>
          <w:r w:rsidR="00DD3550">
            <w:t>e veiligheid dit toelaat.</w:t>
          </w:r>
          <w:r w:rsidR="00866233">
            <w:t xml:space="preserve"> </w:t>
          </w:r>
        </w:p>
        <w:p w:rsidR="00DB4CFD" w:rsidP="00CA4511" w:rsidRDefault="00DB4CFD" w14:paraId="27F809B0" w14:textId="77777777"/>
        <w:p w:rsidR="000F2E1F" w:rsidP="006D50BA" w:rsidRDefault="00B849A5" w14:paraId="2F5C6228" w14:textId="714F798D">
          <w:r>
            <w:t xml:space="preserve">De </w:t>
          </w:r>
          <w:r w:rsidR="00614046">
            <w:t>voor</w:t>
          </w:r>
          <w:r>
            <w:t xml:space="preserve">gestelde maxima </w:t>
          </w:r>
          <w:r w:rsidR="00614046">
            <w:t xml:space="preserve">kunnen daarnaast ook </w:t>
          </w:r>
          <w:r w:rsidR="006D50BA">
            <w:t xml:space="preserve">een </w:t>
          </w:r>
          <w:r w:rsidR="00501E3D">
            <w:t xml:space="preserve">onbedoeld </w:t>
          </w:r>
          <w:r w:rsidR="006D50BA">
            <w:t xml:space="preserve">negatief effect </w:t>
          </w:r>
          <w:r w:rsidR="00CD0449">
            <w:t xml:space="preserve">hebben </w:t>
          </w:r>
          <w:r w:rsidR="006D50BA">
            <w:t xml:space="preserve">op de veiligheid in detentie. </w:t>
          </w:r>
          <w:r w:rsidR="00CA4511">
            <w:t xml:space="preserve">Binnen detentie geldt als uitgangspunt dat gedetineerden voor </w:t>
          </w:r>
          <w:r w:rsidR="00AF667E">
            <w:t>gewenst</w:t>
          </w:r>
          <w:r w:rsidR="00CA4511">
            <w:t xml:space="preserve"> gedrag worden beloond. Het</w:t>
          </w:r>
          <w:r w:rsidR="00364BEA">
            <w:t xml:space="preserve"> uitbreiden van het contact met de buitenwereld kan </w:t>
          </w:r>
          <w:r w:rsidR="00CA4511">
            <w:t xml:space="preserve">voor gedetineerden een belangrijke stimulans zijn om </w:t>
          </w:r>
          <w:r w:rsidR="006A6BC4">
            <w:t>dergelijk</w:t>
          </w:r>
          <w:r w:rsidR="007A1E48">
            <w:t xml:space="preserve"> gedrag te laten zien</w:t>
          </w:r>
          <w:r w:rsidR="00CA4511">
            <w:t>.</w:t>
          </w:r>
          <w:r w:rsidR="007A1E48">
            <w:t xml:space="preserve"> </w:t>
          </w:r>
          <w:r w:rsidR="00846928">
            <w:t>Daarnaast kan het behulpzaam zijn dat gedetineerden met hun naasten kunne</w:t>
          </w:r>
          <w:r w:rsidR="00D32B8A">
            <w:t>n</w:t>
          </w:r>
          <w:r w:rsidR="00846928">
            <w:t xml:space="preserve"> praten als zij niet goed in hun vel zitten</w:t>
          </w:r>
          <w:r w:rsidR="00BE784D">
            <w:t xml:space="preserve"> </w:t>
          </w:r>
          <w:r w:rsidR="00FA2BA0">
            <w:t xml:space="preserve">en </w:t>
          </w:r>
          <w:r w:rsidR="00BE784D">
            <w:t xml:space="preserve">deze naasten </w:t>
          </w:r>
          <w:r w:rsidR="006A6BC4">
            <w:t xml:space="preserve">gewenst </w:t>
          </w:r>
          <w:r w:rsidR="00BE784D">
            <w:t>gedrag stimuleren</w:t>
          </w:r>
          <w:r w:rsidR="00846928">
            <w:t xml:space="preserve">. </w:t>
          </w:r>
          <w:r w:rsidR="00CA4511">
            <w:t xml:space="preserve">Een dergelijke uitlaatklep </w:t>
          </w:r>
          <w:r w:rsidR="003A4B1F">
            <w:t xml:space="preserve">kan </w:t>
          </w:r>
          <w:r w:rsidR="00CA4511">
            <w:t>voorkom</w:t>
          </w:r>
          <w:r w:rsidR="003A4B1F">
            <w:t>en</w:t>
          </w:r>
          <w:r w:rsidR="00CA4511">
            <w:t xml:space="preserve"> dat oplopende spanningen en frustraties </w:t>
          </w:r>
          <w:r w:rsidR="00434BE6">
            <w:t>escaleren</w:t>
          </w:r>
          <w:r w:rsidR="003A4B1F">
            <w:t xml:space="preserve"> tot situaties waarin de veiligheid van personeel, medegedetineerden of de gedetineerde zelf in het geding </w:t>
          </w:r>
          <w:r w:rsidR="0049724C">
            <w:t>raakt</w:t>
          </w:r>
          <w:r w:rsidR="00846928">
            <w:t>.</w:t>
          </w:r>
          <w:r w:rsidR="000F2E1F">
            <w:rPr>
              <w:rStyle w:val="Voetnootmarkering"/>
            </w:rPr>
            <w:footnoteReference w:id="36"/>
          </w:r>
        </w:p>
        <w:p w:rsidR="000F2E1F" w:rsidP="00CA4511" w:rsidRDefault="000F2E1F" w14:paraId="7AB9ABE4" w14:textId="77777777"/>
        <w:p w:rsidR="00CA4511" w:rsidP="00CA4511" w:rsidRDefault="00CA4511" w14:paraId="06349C41" w14:textId="1658DB47">
          <w:r>
            <w:t xml:space="preserve">Ook met het oog op </w:t>
          </w:r>
          <w:r w:rsidR="000F2E1F">
            <w:t>een verantwoorde</w:t>
          </w:r>
          <w:r>
            <w:t xml:space="preserve"> resocialisatie kan het </w:t>
          </w:r>
          <w:r w:rsidR="00AD3905">
            <w:t>zinvol</w:t>
          </w:r>
          <w:r>
            <w:t xml:space="preserve"> zijn om de communicatie met de buitenwereld </w:t>
          </w:r>
          <w:r w:rsidR="00AD3905">
            <w:t xml:space="preserve">geleidelijk </w:t>
          </w:r>
          <w:r w:rsidR="00244FCD">
            <w:t>op</w:t>
          </w:r>
          <w:r w:rsidR="000214B9">
            <w:t xml:space="preserve"> te bouwen</w:t>
          </w:r>
          <w:r>
            <w:t xml:space="preserve">. Niet alle gedetineerden </w:t>
          </w:r>
          <w:r w:rsidR="00AE551E">
            <w:t xml:space="preserve">in </w:t>
          </w:r>
          <w:r>
            <w:t xml:space="preserve">de EBI en </w:t>
          </w:r>
          <w:r w:rsidR="00AE551E">
            <w:t xml:space="preserve">op de </w:t>
          </w:r>
          <w:r>
            <w:t xml:space="preserve">AIT zitten zeer langdurige of levenslange straffen uit. Door </w:t>
          </w:r>
          <w:r w:rsidR="00AD3905">
            <w:t>stapsgewijs</w:t>
          </w:r>
          <w:r>
            <w:t xml:space="preserve"> meer </w:t>
          </w:r>
          <w:r w:rsidR="001517EB">
            <w:t>contact</w:t>
          </w:r>
          <w:r>
            <w:t xml:space="preserve"> met de buitenwereld toe te staan, kunnen veiligheidsrisico’s in kaart worden gebracht</w:t>
          </w:r>
          <w:r w:rsidR="000214B9">
            <w:t xml:space="preserve"> en kan getoetst worden hoe de gedetineerde op meer vrijheden reageert</w:t>
          </w:r>
          <w:r>
            <w:t xml:space="preserve">. Deze informatie is essentieel om een gedetineerde te kunnen overplaatsen naar een afdeling met </w:t>
          </w:r>
          <w:r w:rsidR="001517EB">
            <w:t xml:space="preserve">een lager beveiligingsniveau </w:t>
          </w:r>
          <w:r>
            <w:t>of te</w:t>
          </w:r>
          <w:r w:rsidR="001517EB">
            <w:t xml:space="preserve"> kunnen</w:t>
          </w:r>
          <w:r>
            <w:t xml:space="preserve"> begeleiden bij een veilige terugkeer naar de samenleving na afloop van de straf.</w:t>
          </w:r>
          <w:r w:rsidR="00DB4CFD">
            <w:rPr>
              <w:rStyle w:val="Voetnootmarkering"/>
            </w:rPr>
            <w:footnoteReference w:id="37"/>
          </w:r>
        </w:p>
        <w:p w:rsidR="00CA4511" w:rsidP="00CA4511" w:rsidRDefault="00CA4511" w14:paraId="2B5B2362" w14:textId="77777777"/>
        <w:p w:rsidR="00CA4511" w:rsidP="00CA4511" w:rsidRDefault="00173A89" w14:paraId="6269422A" w14:textId="69E0E4EB">
          <w:r>
            <w:t xml:space="preserve">In het licht van het </w:t>
          </w:r>
          <w:r w:rsidR="00F43EEF">
            <w:t>voorg</w:t>
          </w:r>
          <w:r>
            <w:t>aande adviseert d</w:t>
          </w:r>
          <w:r w:rsidR="00CA4511">
            <w:t>e Afdeling af te zien van het vastleggen van een maximale duur van bezoek of telefoongesprekken en van een maximaal aantal bezoek- of belmomenten in de EBI en op de AIT</w:t>
          </w:r>
          <w:r w:rsidR="00726E12">
            <w:t xml:space="preserve"> in de Penitentiaire beginselenwet</w:t>
          </w:r>
          <w:r w:rsidR="00CF381C">
            <w:t xml:space="preserve">. </w:t>
          </w:r>
        </w:p>
        <w:p w:rsidR="00CA4511" w:rsidP="00CA4511" w:rsidRDefault="00CA4511" w14:paraId="7B1C1DBF" w14:textId="77777777"/>
        <w:p w:rsidRPr="00D32DD2" w:rsidR="00CA4511" w:rsidP="00CA4511" w:rsidRDefault="001A1C29" w14:paraId="00AE1616" w14:textId="0E299821">
          <w:pPr>
            <w:rPr>
              <w:iCs/>
              <w:u w:val="single"/>
            </w:rPr>
          </w:pPr>
          <w:r>
            <w:t>7</w:t>
          </w:r>
          <w:r w:rsidR="00CA4511">
            <w:t xml:space="preserve">. </w:t>
          </w:r>
          <w:r w:rsidR="001517EB">
            <w:tab/>
          </w:r>
          <w:r w:rsidRPr="00D32DD2" w:rsidR="001517EB">
            <w:rPr>
              <w:iCs/>
              <w:u w:val="single"/>
            </w:rPr>
            <w:t>Geen contact met bepaalde groep</w:t>
          </w:r>
          <w:r w:rsidRPr="00D32DD2" w:rsidR="00D372E5">
            <w:rPr>
              <w:iCs/>
              <w:u w:val="single"/>
            </w:rPr>
            <w:t>en personen</w:t>
          </w:r>
        </w:p>
        <w:p w:rsidR="00CA4511" w:rsidP="00CA4511" w:rsidRDefault="00CA4511" w14:paraId="3191FA79" w14:textId="77777777"/>
        <w:p w:rsidR="008A0309" w:rsidP="00CA4511" w:rsidRDefault="00D32DD2" w14:paraId="3C087FC7" w14:textId="66F2EE9B">
          <w:r>
            <w:t>a</w:t>
          </w:r>
          <w:r w:rsidR="008A0309">
            <w:t>.</w:t>
          </w:r>
          <w:r w:rsidR="008A0309">
            <w:tab/>
          </w:r>
          <w:r w:rsidRPr="00480419" w:rsidR="00D14BF5">
            <w:rPr>
              <w:i/>
              <w:iCs/>
            </w:rPr>
            <w:t>Noodzaak en proportionaliteit</w:t>
          </w:r>
        </w:p>
        <w:p w:rsidR="00646136" w:rsidP="00CA4511" w:rsidRDefault="00CA4511" w14:paraId="2FB9CF62" w14:textId="384CEA4E">
          <w:r>
            <w:t xml:space="preserve">Het </w:t>
          </w:r>
          <w:r w:rsidR="00F83F0D">
            <w:t>initiatief</w:t>
          </w:r>
          <w:r w:rsidR="00F43EEF">
            <w:t>wets</w:t>
          </w:r>
          <w:r>
            <w:t xml:space="preserve">voorstel strekt ertoe dat de directeur toestemming moet geven voor contacten met de buitenwereld. Deze toestemming wordt </w:t>
          </w:r>
          <w:r w:rsidR="00BB450C">
            <w:t>volgens het voorstel</w:t>
          </w:r>
          <w:r>
            <w:t xml:space="preserve"> in elk geval niet verleend als de gedetineerde contact wil hebben met andere gedetineerden, met personen die verdacht worden van lidmaatschap van een criminele organisatie of van feiten waar acht jaar of meer gevangenisstraf op staat. In een </w:t>
          </w:r>
          <w:proofErr w:type="spellStart"/>
          <w:r>
            <w:t>amvb</w:t>
          </w:r>
          <w:proofErr w:type="spellEnd"/>
          <w:r>
            <w:t xml:space="preserve"> kunnen meer categorieën personen worden aangewezen waarmee geen contact mag worden onderhouden.</w:t>
          </w:r>
          <w:r w:rsidR="00CA7B2E">
            <w:rPr>
              <w:rStyle w:val="Voetnootmarkering"/>
            </w:rPr>
            <w:footnoteReference w:id="38"/>
          </w:r>
          <w:r>
            <w:t xml:space="preserve"> De initiatiefnemer motiveert deze maatregelen door te wijzen op het </w:t>
          </w:r>
          <w:r>
            <w:lastRenderedPageBreak/>
            <w:t>risico dat gedetineerden andere gedetineerden ronselen voor het plegen van nieuwe misdrijven.</w:t>
          </w:r>
          <w:r w:rsidR="00646136">
            <w:t xml:space="preserve"> </w:t>
          </w:r>
        </w:p>
        <w:p w:rsidR="00646136" w:rsidP="00CA4511" w:rsidRDefault="00646136" w14:paraId="76FB8758" w14:textId="77777777"/>
        <w:p w:rsidR="00F43EEF" w:rsidP="00646136" w:rsidRDefault="00CA4511" w14:paraId="4CB9691C" w14:textId="77777777">
          <w:r>
            <w:t xml:space="preserve">Hoewel het </w:t>
          </w:r>
          <w:r w:rsidR="009A161D">
            <w:t>vanzelfsprekend</w:t>
          </w:r>
          <w:r>
            <w:t xml:space="preserve"> ongewenst is</w:t>
          </w:r>
          <w:r w:rsidR="0089275F">
            <w:t xml:space="preserve"> </w:t>
          </w:r>
          <w:r>
            <w:t xml:space="preserve">als gedetineerden </w:t>
          </w:r>
          <w:r w:rsidR="009A161D">
            <w:t>elkaar</w:t>
          </w:r>
          <w:r>
            <w:t xml:space="preserve"> aanzetten tot </w:t>
          </w:r>
          <w:r w:rsidR="009A161D">
            <w:t>strafbare feiten</w:t>
          </w:r>
          <w:r>
            <w:t xml:space="preserve">, </w:t>
          </w:r>
          <w:r w:rsidR="00646136">
            <w:t xml:space="preserve">merkt </w:t>
          </w:r>
          <w:r w:rsidR="00EB0A87">
            <w:t xml:space="preserve">de Afdeling </w:t>
          </w:r>
          <w:r w:rsidR="00646136">
            <w:t>op dat ook op dit punt een gedegen analyse van de omvang en oorzaken van de problematiek ontbreekt. De</w:t>
          </w:r>
          <w:r>
            <w:t xml:space="preserve"> directeur</w:t>
          </w:r>
          <w:r w:rsidR="00646136">
            <w:t xml:space="preserve"> heeft immers</w:t>
          </w:r>
          <w:r>
            <w:t xml:space="preserve"> al de nodige bevoegdheden om </w:t>
          </w:r>
          <w:r w:rsidR="00646136">
            <w:t>on</w:t>
          </w:r>
          <w:r w:rsidR="00D341BE">
            <w:t xml:space="preserve">gewenste </w:t>
          </w:r>
          <w:r>
            <w:t xml:space="preserve">contacten tegen te gaan. Voor gedetineerden </w:t>
          </w:r>
          <w:r w:rsidR="00981049">
            <w:t>in de EBI</w:t>
          </w:r>
          <w:r>
            <w:t xml:space="preserve"> en </w:t>
          </w:r>
          <w:r w:rsidR="001B4335">
            <w:t xml:space="preserve">in </w:t>
          </w:r>
          <w:r>
            <w:t>de AIT geldt</w:t>
          </w:r>
          <w:r w:rsidR="007F3832">
            <w:t xml:space="preserve"> bovendien</w:t>
          </w:r>
          <w:r>
            <w:t xml:space="preserve"> in de meeste gevallen </w:t>
          </w:r>
          <w:r w:rsidR="00894B20">
            <w:t xml:space="preserve">al </w:t>
          </w:r>
          <w:r>
            <w:t xml:space="preserve">dat zij enkel mogen communiceren met personen die vooraf gescreend zijn. Hierbij wordt uiteraard ook gekeken naar de criminele antecedenten van de contactpersoon. </w:t>
          </w:r>
        </w:p>
        <w:p w:rsidR="00F43EEF" w:rsidP="00646136" w:rsidRDefault="00F43EEF" w14:paraId="306910A5" w14:textId="77777777"/>
        <w:p w:rsidR="00CA4511" w:rsidP="00646136" w:rsidRDefault="00CA4511" w14:paraId="63C1A304" w14:textId="4DBB95A7">
          <w:r>
            <w:t xml:space="preserve">Daarnaast </w:t>
          </w:r>
          <w:r w:rsidR="001F2C42">
            <w:t>kan</w:t>
          </w:r>
          <w:r w:rsidR="007F3832">
            <w:t xml:space="preserve"> </w:t>
          </w:r>
          <w:r>
            <w:t xml:space="preserve">de directeur </w:t>
          </w:r>
          <w:r w:rsidR="007F3832">
            <w:t xml:space="preserve">in de EBI en op de AIT </w:t>
          </w:r>
          <w:r>
            <w:t xml:space="preserve">toezicht </w:t>
          </w:r>
          <w:r w:rsidR="001F2C42">
            <w:t>houden</w:t>
          </w:r>
          <w:r>
            <w:t xml:space="preserve"> op de inhoud van </w:t>
          </w:r>
          <w:r w:rsidR="0087221C">
            <w:t>niet-</w:t>
          </w:r>
          <w:r w:rsidR="00E33C6C">
            <w:t>geprivilegieerde</w:t>
          </w:r>
          <w:r w:rsidR="0087221C">
            <w:t xml:space="preserve"> </w:t>
          </w:r>
          <w:r>
            <w:t xml:space="preserve">communicatie. </w:t>
          </w:r>
          <w:r w:rsidR="001B4335">
            <w:t xml:space="preserve">Voor zover </w:t>
          </w:r>
          <w:r w:rsidR="00ED4297">
            <w:t xml:space="preserve">al sprake is van een </w:t>
          </w:r>
          <w:r w:rsidR="009B33EA">
            <w:t>risico op het ronselen van andere gedetineerde</w:t>
          </w:r>
          <w:r w:rsidR="00183B1E">
            <w:t>n</w:t>
          </w:r>
          <w:r w:rsidR="009B33EA">
            <w:t xml:space="preserve">, </w:t>
          </w:r>
          <w:r w:rsidR="00366034">
            <w:t>biedt</w:t>
          </w:r>
          <w:r w:rsidR="009B33EA">
            <w:t xml:space="preserve"> het wettelijk</w:t>
          </w:r>
          <w:r w:rsidR="007F3832">
            <w:t xml:space="preserve"> </w:t>
          </w:r>
          <w:r w:rsidR="009B33EA">
            <w:t xml:space="preserve">kader voldoende </w:t>
          </w:r>
          <w:r w:rsidR="00E7765B">
            <w:t xml:space="preserve">mogelijkheden om hiertegen op te treden. Wanneer het </w:t>
          </w:r>
          <w:r w:rsidR="007C784A">
            <w:t>echter aan</w:t>
          </w:r>
          <w:r w:rsidR="00E7765B">
            <w:t xml:space="preserve"> de uitvoering schort, is het de vraag of een aanscherping van het regime </w:t>
          </w:r>
          <w:r w:rsidR="00366034">
            <w:t>dit zal oplossen.</w:t>
          </w:r>
          <w:r w:rsidR="00E7765B">
            <w:t xml:space="preserve"> </w:t>
          </w:r>
        </w:p>
        <w:p w:rsidR="00CA4511" w:rsidP="00CA4511" w:rsidRDefault="00CA4511" w14:paraId="1697CD10" w14:textId="77777777"/>
        <w:p w:rsidR="00F43EEF" w:rsidP="00841985" w:rsidRDefault="007C784A" w14:paraId="77424C41" w14:textId="77777777">
          <w:r>
            <w:t>De</w:t>
          </w:r>
          <w:r w:rsidR="00F7114F">
            <w:t xml:space="preserve"> </w:t>
          </w:r>
          <w:r w:rsidR="00151025">
            <w:t xml:space="preserve">noodzaak voor de </w:t>
          </w:r>
          <w:r w:rsidR="00F7114F">
            <w:t>voorgestelde wettelijke beperking</w:t>
          </w:r>
          <w:r w:rsidR="004763A2">
            <w:t xml:space="preserve"> </w:t>
          </w:r>
          <w:r w:rsidR="00113012">
            <w:t xml:space="preserve">is ook van belang voor </w:t>
          </w:r>
          <w:r w:rsidR="00151025">
            <w:t xml:space="preserve">de </w:t>
          </w:r>
          <w:r w:rsidR="00113012">
            <w:t xml:space="preserve">rechtvaardiging van een inmenging in de </w:t>
          </w:r>
          <w:r w:rsidR="00151025">
            <w:t xml:space="preserve">rechten van gedetineerden. </w:t>
          </w:r>
          <w:r w:rsidR="00CA4511">
            <w:t>Contact tussen gedetineerde</w:t>
          </w:r>
          <w:r w:rsidR="00F510D9">
            <w:t>n</w:t>
          </w:r>
          <w:r w:rsidR="00CA4511">
            <w:t xml:space="preserve"> </w:t>
          </w:r>
          <w:r w:rsidR="00DF6E40">
            <w:t xml:space="preserve">of verdachten </w:t>
          </w:r>
          <w:r w:rsidR="004763A2">
            <w:t xml:space="preserve">van ernstige strafbare feiten </w:t>
          </w:r>
          <w:r w:rsidR="000E23B6">
            <w:t xml:space="preserve">zal immers niet mogelijk zijn </w:t>
          </w:r>
          <w:r w:rsidR="002E67FC">
            <w:t xml:space="preserve">zolang </w:t>
          </w:r>
          <w:r w:rsidR="00CF5F4E">
            <w:t>éé</w:t>
          </w:r>
          <w:r w:rsidR="00CA4511">
            <w:t xml:space="preserve">n van beiden in de EBI of op de AIT verblijft. </w:t>
          </w:r>
          <w:r w:rsidR="00DB723A">
            <w:t xml:space="preserve">Daarbij moet in acht worden genomen </w:t>
          </w:r>
          <w:r w:rsidR="00BD76E8">
            <w:t>dat het verblijf binnen deze setting zeer langdurig kan zijn</w:t>
          </w:r>
          <w:r w:rsidR="00400FB3">
            <w:t xml:space="preserve">. </w:t>
          </w:r>
        </w:p>
        <w:p w:rsidR="00F43EEF" w:rsidP="00841985" w:rsidRDefault="00F43EEF" w14:paraId="26FA237C" w14:textId="77777777"/>
        <w:p w:rsidR="0009236F" w:rsidP="00841985" w:rsidRDefault="00F43EEF" w14:paraId="4EF85482" w14:textId="73BAF910">
          <w:r>
            <w:t xml:space="preserve">In het bijzonder </w:t>
          </w:r>
          <w:r w:rsidR="00482A14">
            <w:t>als</w:t>
          </w:r>
          <w:r w:rsidR="001A0ACF">
            <w:t xml:space="preserve"> gedurende langere tijd</w:t>
          </w:r>
          <w:r w:rsidR="00000A2D">
            <w:t xml:space="preserve"> </w:t>
          </w:r>
          <w:r w:rsidR="00FB7D4C">
            <w:t>contact tussen</w:t>
          </w:r>
          <w:r w:rsidR="00400FB3">
            <w:t xml:space="preserve"> familieleden</w:t>
          </w:r>
          <w:r w:rsidR="00FB7D4C">
            <w:t xml:space="preserve"> geweigerd</w:t>
          </w:r>
          <w:r w:rsidR="00DB723A">
            <w:t xml:space="preserve"> wordt</w:t>
          </w:r>
          <w:r w:rsidR="00FB7D4C">
            <w:t xml:space="preserve">, zou dit </w:t>
          </w:r>
          <w:r w:rsidR="001A0ACF">
            <w:t>tot e</w:t>
          </w:r>
          <w:r w:rsidR="00FB7D4C">
            <w:t>en schending van</w:t>
          </w:r>
          <w:r w:rsidR="00DB723A">
            <w:t xml:space="preserve"> het recht op familieleven in de zin van artikel 8 EVRM</w:t>
          </w:r>
          <w:r w:rsidR="00FB7D4C">
            <w:t xml:space="preserve"> kunnen </w:t>
          </w:r>
          <w:r w:rsidR="00482A14">
            <w:t>vormen</w:t>
          </w:r>
          <w:r w:rsidR="00FB7D4C">
            <w:t xml:space="preserve">. Het </w:t>
          </w:r>
          <w:r w:rsidR="00BD76E8">
            <w:t xml:space="preserve">is </w:t>
          </w:r>
          <w:r w:rsidR="00FB7D4C">
            <w:t xml:space="preserve">dan immers </w:t>
          </w:r>
          <w:r w:rsidR="00BD76E8">
            <w:t xml:space="preserve">de vraag of </w:t>
          </w:r>
          <w:r w:rsidR="00FB7D4C">
            <w:t>het weigeren van enige vorm van co</w:t>
          </w:r>
          <w:r w:rsidR="001A0ACF">
            <w:t>ntact</w:t>
          </w:r>
          <w:r w:rsidR="00BD76E8">
            <w:t xml:space="preserve"> proportioneel is en of geen lichter middel volstaat om de</w:t>
          </w:r>
          <w:r w:rsidR="004763A2">
            <w:t xml:space="preserve"> </w:t>
          </w:r>
          <w:r w:rsidR="00BD76E8">
            <w:t xml:space="preserve">veiligheidsrisico’s tot een aanvaardbaar niveau terug te brengen. </w:t>
          </w:r>
          <w:r w:rsidR="00841985">
            <w:t>Het voorstel biedt geen mogelijkheid om in een dergelijk geval maatwerk te leveren</w:t>
          </w:r>
          <w:r w:rsidR="004F2B85">
            <w:t xml:space="preserve"> met inachtneming van de veiligheidsrisico’s</w:t>
          </w:r>
          <w:r w:rsidR="00841985">
            <w:t xml:space="preserve">. </w:t>
          </w:r>
        </w:p>
        <w:p w:rsidR="00841985" w:rsidP="00841985" w:rsidRDefault="00841985" w14:paraId="283C3E02" w14:textId="77777777"/>
        <w:p w:rsidR="00C54C16" w:rsidP="00CA4511" w:rsidRDefault="00C54C16" w14:paraId="34F8F68D" w14:textId="2DF448D5">
          <w:r>
            <w:t xml:space="preserve">Het beperken van het contact met personen die verdacht worden van </w:t>
          </w:r>
          <w:r w:rsidR="006C58F2">
            <w:t xml:space="preserve">deelname aan een criminele organisatie of een misdrijf waarop een gevangenisstraf van langer dan vier jaar staat, heeft bovendien </w:t>
          </w:r>
          <w:r w:rsidR="00F7114F">
            <w:t xml:space="preserve">een praktische keerzijde. </w:t>
          </w:r>
          <w:r w:rsidR="00095DA3">
            <w:t xml:space="preserve">De initiatiefnemer schrijft dat deze maatregel zou kunnen betekenen dat het </w:t>
          </w:r>
          <w:r w:rsidR="00841985">
            <w:t>openbaar ministerie</w:t>
          </w:r>
          <w:r w:rsidR="00095DA3">
            <w:t xml:space="preserve"> in een eerder stadium dan gebruikelijk is, moet aangeven of bijvoorbeeld een </w:t>
          </w:r>
          <w:r w:rsidR="008D2519">
            <w:t>familielid</w:t>
          </w:r>
          <w:r w:rsidR="00095DA3">
            <w:t xml:space="preserve"> verdachte is.</w:t>
          </w:r>
          <w:r w:rsidR="00095DA3">
            <w:rPr>
              <w:rStyle w:val="Voetnootmarkering"/>
            </w:rPr>
            <w:footnoteReference w:id="39"/>
          </w:r>
          <w:r w:rsidR="00095DA3">
            <w:t xml:space="preserve"> </w:t>
          </w:r>
          <w:r w:rsidR="008D2519">
            <w:t xml:space="preserve">Nu het </w:t>
          </w:r>
          <w:r w:rsidR="00EC0003">
            <w:t xml:space="preserve">openbaar ministerie </w:t>
          </w:r>
          <w:r w:rsidR="008D2519">
            <w:t xml:space="preserve">niet is geconsulteerd, is onduidelijk of </w:t>
          </w:r>
          <w:r w:rsidR="00ED0B91">
            <w:t xml:space="preserve">dit wenselijk en haalbaar is. De Afdeling kan zich echter voorstellen dat een dergelijke mededeling verstorend </w:t>
          </w:r>
          <w:r w:rsidR="00EC0003">
            <w:t xml:space="preserve">kan werken </w:t>
          </w:r>
          <w:r w:rsidR="00ED0B91">
            <w:t xml:space="preserve">binnen een lopend opsporingsonderzoek. Het is daarom wenselijk dat het </w:t>
          </w:r>
          <w:r w:rsidR="00EC0003">
            <w:t xml:space="preserve">openbaar ministerie </w:t>
          </w:r>
          <w:r w:rsidR="00ED0B91">
            <w:t xml:space="preserve">op dit punt alsnog om een reactie wordt gevraagd. </w:t>
          </w:r>
        </w:p>
        <w:p w:rsidR="008A0309" w:rsidP="00CA4511" w:rsidRDefault="008A0309" w14:paraId="1BBFA912" w14:textId="77777777"/>
        <w:p w:rsidR="00BF4833" w:rsidP="00CA4511" w:rsidRDefault="008A0309" w14:paraId="788938DF" w14:textId="55AE885B">
          <w:r>
            <w:t xml:space="preserve">De Afdeling adviseert </w:t>
          </w:r>
          <w:r w:rsidR="005B2338">
            <w:t xml:space="preserve">de noodzaak, proportionaliteit en subsidiariteit van het niet toestaan van contact met bepaalde groepen personen dragend te motiveren. Indien dit niet mogelijk is, adviseert zij van dit onderdeel van het voorstel af te zien. </w:t>
          </w:r>
        </w:p>
        <w:p w:rsidR="005B2338" w:rsidP="00CA4511" w:rsidRDefault="005B2338" w14:paraId="7814385B" w14:textId="77777777"/>
        <w:p w:rsidR="00173A89" w:rsidP="00CA4511" w:rsidRDefault="00D32DD2" w14:paraId="798BB168" w14:textId="4EB5CE41">
          <w:r>
            <w:t>b</w:t>
          </w:r>
          <w:r w:rsidR="00173A89">
            <w:t xml:space="preserve">. </w:t>
          </w:r>
          <w:r w:rsidR="00173A89">
            <w:tab/>
          </w:r>
          <w:r w:rsidRPr="00480419" w:rsidR="00173A89">
            <w:rPr>
              <w:i/>
              <w:iCs/>
            </w:rPr>
            <w:t>Delegatiebepaling</w:t>
          </w:r>
        </w:p>
        <w:p w:rsidR="00E2476D" w:rsidP="00CA4511" w:rsidRDefault="00BF4833" w14:paraId="2F6C10FB" w14:textId="66F1D804">
          <w:r>
            <w:lastRenderedPageBreak/>
            <w:t xml:space="preserve">Het </w:t>
          </w:r>
          <w:r w:rsidR="00F83F0D">
            <w:t>initiatief</w:t>
          </w:r>
          <w:r w:rsidR="00F43EEF">
            <w:t>wets</w:t>
          </w:r>
          <w:r w:rsidR="00F83F0D">
            <w:t>voorstel</w:t>
          </w:r>
          <w:r>
            <w:t xml:space="preserve"> voorziet in de mogelijkheid om </w:t>
          </w:r>
          <w:r w:rsidR="00F43EEF">
            <w:t xml:space="preserve">bij </w:t>
          </w:r>
          <w:proofErr w:type="spellStart"/>
          <w:r>
            <w:t>amvb</w:t>
          </w:r>
          <w:proofErr w:type="spellEnd"/>
          <w:r>
            <w:t xml:space="preserve"> andere groepen aan te wijzen, met wie contact niet toegestaan wordt.</w:t>
          </w:r>
          <w:r w:rsidR="005823F8">
            <w:rPr>
              <w:rStyle w:val="Voetnootmarkering"/>
            </w:rPr>
            <w:footnoteReference w:id="40"/>
          </w:r>
          <w:r>
            <w:t xml:space="preserve"> </w:t>
          </w:r>
          <w:r w:rsidR="00AF08C5">
            <w:t xml:space="preserve">Uit de toelichting blijkt niet waarom deze delegatiebepaling </w:t>
          </w:r>
          <w:r w:rsidR="00314380">
            <w:t>wordt voorgesteld</w:t>
          </w:r>
          <w:r w:rsidR="00F25FD4">
            <w:t xml:space="preserve">. </w:t>
          </w:r>
          <w:r w:rsidR="00F32D2F">
            <w:t xml:space="preserve">Wanneer het noodzakelijk </w:t>
          </w:r>
          <w:r w:rsidR="00B73E8C">
            <w:t>wordt ge</w:t>
          </w:r>
          <w:r w:rsidR="00F32D2F">
            <w:t xml:space="preserve">acht om nieuwe groepen aan </w:t>
          </w:r>
          <w:r w:rsidR="00B35B0F">
            <w:t>de regeling toe te voegen</w:t>
          </w:r>
          <w:r w:rsidR="00F32D2F">
            <w:t xml:space="preserve">, </w:t>
          </w:r>
          <w:r w:rsidR="00CE0B6D">
            <w:t>is</w:t>
          </w:r>
          <w:r w:rsidR="00F32D2F">
            <w:t xml:space="preserve"> </w:t>
          </w:r>
          <w:r w:rsidR="00C6363E">
            <w:t xml:space="preserve">een wetswijziging </w:t>
          </w:r>
          <w:r w:rsidR="00CE0B6D">
            <w:t>aangewezen</w:t>
          </w:r>
          <w:r w:rsidR="00C6363E">
            <w:t xml:space="preserve"> gelet op de gevolgen die </w:t>
          </w:r>
          <w:r w:rsidR="00CE61EC">
            <w:t xml:space="preserve">een dergelijke </w:t>
          </w:r>
          <w:r w:rsidR="00C6363E">
            <w:t xml:space="preserve">wijziging kan hebben voor de grondrechten van gedetineerden. </w:t>
          </w:r>
          <w:r w:rsidR="003C3993">
            <w:t>De Afdeling voorziet ook geen spoedeisende situaties waarin een dergelijke wetswijziging niet kan worden afgewacht</w:t>
          </w:r>
          <w:r w:rsidR="00C6363E">
            <w:t>. D</w:t>
          </w:r>
          <w:r w:rsidR="003C3993">
            <w:t xml:space="preserve">e Penitentiaire beginselenwet </w:t>
          </w:r>
          <w:r w:rsidR="00C6363E">
            <w:t>biedt</w:t>
          </w:r>
          <w:r w:rsidR="007A0982">
            <w:t xml:space="preserve"> namelijk voldoende</w:t>
          </w:r>
          <w:r w:rsidR="003C3993">
            <w:t xml:space="preserve"> mogelijkheden om ongewenste contacten </w:t>
          </w:r>
          <w:r w:rsidR="00C6363E">
            <w:t xml:space="preserve">op individuele basis te verbieden. </w:t>
          </w:r>
        </w:p>
        <w:p w:rsidR="008A0309" w:rsidP="00CA4511" w:rsidRDefault="008A0309" w14:paraId="6720A733" w14:textId="77777777"/>
        <w:p w:rsidR="00C73189" w:rsidP="00CA4511" w:rsidRDefault="00C73189" w14:paraId="56636586" w14:textId="10D48FA7">
          <w:r>
            <w:t xml:space="preserve">De Afdeling adviseert de delegatiebepaling in voorgesteld artikel 40a, vierde lid onder d te schrappen. </w:t>
          </w:r>
        </w:p>
        <w:p w:rsidR="00C73189" w:rsidP="00CA4511" w:rsidRDefault="00C73189" w14:paraId="35019B87" w14:textId="77777777"/>
        <w:p w:rsidR="00AB4BBF" w:rsidP="00AA29C0" w:rsidRDefault="001A1C29" w14:paraId="1D557393" w14:textId="08BC13C0">
          <w:pPr>
            <w:rPr>
              <w:u w:val="single"/>
            </w:rPr>
          </w:pPr>
          <w:r>
            <w:t>8</w:t>
          </w:r>
          <w:r w:rsidR="00203D12">
            <w:t xml:space="preserve">. </w:t>
          </w:r>
          <w:r w:rsidR="00203D12">
            <w:tab/>
          </w:r>
          <w:r w:rsidR="00F42EB0">
            <w:rPr>
              <w:u w:val="single"/>
            </w:rPr>
            <w:t>Talen</w:t>
          </w:r>
        </w:p>
        <w:p w:rsidR="0025702A" w:rsidP="00AA29C0" w:rsidRDefault="0025702A" w14:paraId="1BF5C008" w14:textId="77777777">
          <w:pPr>
            <w:rPr>
              <w:u w:val="single"/>
            </w:rPr>
          </w:pPr>
        </w:p>
        <w:p w:rsidR="00212CA9" w:rsidP="00AA29C0" w:rsidRDefault="00F668C0" w14:paraId="7DA4E3A0" w14:textId="334E207A">
          <w:r>
            <w:t xml:space="preserve">De Penitentiaire beginselenwet stelt </w:t>
          </w:r>
          <w:r w:rsidR="00D01350">
            <w:t xml:space="preserve">thans </w:t>
          </w:r>
          <w:r>
            <w:t xml:space="preserve">geen beperking aan de taal waarin </w:t>
          </w:r>
          <w:r w:rsidR="00D01350">
            <w:t xml:space="preserve">gedetineerden met de buitenwereld communiceren. </w:t>
          </w:r>
          <w:r w:rsidR="00532844">
            <w:t xml:space="preserve">Wanneer het contact tussen de gedetineerde en zijn contactpersoon in een andere taal dan het Nederlands plaatsvindt, </w:t>
          </w:r>
          <w:r w:rsidR="0084632D">
            <w:t xml:space="preserve">kan een tolk worden ingeschakeld </w:t>
          </w:r>
          <w:r w:rsidR="00BE414F">
            <w:t>zodat op de inhoud toezicht kan worden gehouden</w:t>
          </w:r>
          <w:r w:rsidR="0084632D">
            <w:t xml:space="preserve">. </w:t>
          </w:r>
          <w:r w:rsidR="00851A6E">
            <w:t xml:space="preserve">Omdat dit capaciteit vergt, kunnen in de huisregels of op individuele basis beperkingen worden gesteld aan de duur en de frequentie van het contact. </w:t>
          </w:r>
        </w:p>
        <w:p w:rsidR="00212CA9" w:rsidP="00AA29C0" w:rsidRDefault="00212CA9" w14:paraId="027A3969" w14:textId="77777777"/>
        <w:p w:rsidR="00CF381C" w:rsidP="00AA29C0" w:rsidRDefault="001022A4" w14:paraId="66D59CE1" w14:textId="0566F3B7">
          <w:r>
            <w:t xml:space="preserve">De initiatiefnemer stelt </w:t>
          </w:r>
          <w:r w:rsidR="00851A6E">
            <w:t xml:space="preserve">dat de vertalingen </w:t>
          </w:r>
          <w:r w:rsidR="004B200C">
            <w:t xml:space="preserve">in buitenlandse talen, </w:t>
          </w:r>
          <w:r w:rsidR="005954C8">
            <w:t>met name</w:t>
          </w:r>
          <w:r w:rsidR="004B200C">
            <w:t xml:space="preserve"> vanuit het Arabisch of Berbers, een grote foutmarge kennen en </w:t>
          </w:r>
          <w:r w:rsidR="00AB54E8">
            <w:t>daardoor grotere risico’s inhouden op ongewenste communicatie.</w:t>
          </w:r>
          <w:r w:rsidR="006B6612">
            <w:rPr>
              <w:rStyle w:val="Voetnootmarkering"/>
            </w:rPr>
            <w:footnoteReference w:id="41"/>
          </w:r>
          <w:r w:rsidR="00AB54E8">
            <w:t xml:space="preserve"> </w:t>
          </w:r>
          <w:r w:rsidR="00212CA9">
            <w:t xml:space="preserve">Daarom </w:t>
          </w:r>
          <w:r w:rsidR="007F752E">
            <w:t>wil</w:t>
          </w:r>
          <w:r w:rsidR="00212CA9">
            <w:t xml:space="preserve"> </w:t>
          </w:r>
          <w:r w:rsidR="00754DCD">
            <w:t xml:space="preserve">de initiatiefnemer </w:t>
          </w:r>
          <w:r w:rsidR="009241A7">
            <w:t xml:space="preserve">de talen </w:t>
          </w:r>
          <w:r w:rsidR="00594AC3">
            <w:t xml:space="preserve">beperken </w:t>
          </w:r>
          <w:r w:rsidR="009420AB">
            <w:t xml:space="preserve">waarin de gedetineerden in de EBI en op de AIT met de buitenwereld kunnen communiceren. </w:t>
          </w:r>
          <w:r w:rsidR="00BA4534">
            <w:t>C</w:t>
          </w:r>
          <w:r w:rsidR="00AF0D28">
            <w:t xml:space="preserve">ontact kan </w:t>
          </w:r>
          <w:r w:rsidR="00594AC3">
            <w:t xml:space="preserve">dan nog </w:t>
          </w:r>
          <w:r w:rsidR="00AF0D28">
            <w:t xml:space="preserve">enkel in het Nederlands, Fries, Papiaments of Engels plaatsvinden. In die situaties waarin de gedetineerde en zijn contactpersoon deze talen niet machtig zijn, </w:t>
          </w:r>
          <w:r w:rsidR="0025702A">
            <w:t>kan een uitzondering worden gemaakt.</w:t>
          </w:r>
          <w:r w:rsidR="00107193">
            <w:rPr>
              <w:rStyle w:val="Voetnootmarkering"/>
            </w:rPr>
            <w:footnoteReference w:id="42"/>
          </w:r>
          <w:r w:rsidR="0025702A">
            <w:t xml:space="preserve"> </w:t>
          </w:r>
          <w:r w:rsidR="009241A7">
            <w:t xml:space="preserve">Door het beperken van de talen verwacht de initiatiefnemer dat </w:t>
          </w:r>
          <w:r w:rsidR="001F4DD3">
            <w:t xml:space="preserve">sneller en effectiever toezicht kan worden gehouden en hier dus minder capaciteit voor nodig is. </w:t>
          </w:r>
        </w:p>
        <w:p w:rsidR="001F4DD3" w:rsidP="00AA29C0" w:rsidRDefault="001F4DD3" w14:paraId="3B3A4DC6" w14:textId="77777777"/>
        <w:p w:rsidR="00630307" w:rsidP="00AA29C0" w:rsidRDefault="005954C8" w14:paraId="1181725B" w14:textId="0F9B2DD9">
          <w:r>
            <w:t xml:space="preserve">Ook voor dit onderdeel van het voorstel geldt dat </w:t>
          </w:r>
          <w:r w:rsidR="003919FB">
            <w:t xml:space="preserve">een gedegen probleemanalyse </w:t>
          </w:r>
          <w:r w:rsidR="00535E01">
            <w:t>ontbreekt</w:t>
          </w:r>
          <w:r w:rsidR="003919FB">
            <w:t xml:space="preserve">. De initiatiefnemer wijst niet op bronnen waaruit blijkt </w:t>
          </w:r>
          <w:r w:rsidR="00535E01">
            <w:t xml:space="preserve">dat de foutmarge bij vertalingen </w:t>
          </w:r>
          <w:r w:rsidR="001C753B">
            <w:t xml:space="preserve">uit andere talen </w:t>
          </w:r>
          <w:r w:rsidR="00535E01">
            <w:t xml:space="preserve">groter is dan bij transcripties </w:t>
          </w:r>
          <w:r w:rsidR="006062E5">
            <w:t xml:space="preserve">of vertalingen </w:t>
          </w:r>
          <w:r w:rsidR="00FF07F7">
            <w:t>in het Nederlands, Fries, Papiaments of Engels</w:t>
          </w:r>
          <w:r w:rsidR="00535E01">
            <w:t xml:space="preserve">. </w:t>
          </w:r>
          <w:r w:rsidR="0098303D">
            <w:t xml:space="preserve">Zelfs als </w:t>
          </w:r>
          <w:r w:rsidR="005D7F72">
            <w:t xml:space="preserve">blijkt dat </w:t>
          </w:r>
          <w:r w:rsidR="0098303D">
            <w:t xml:space="preserve">de foutmarge </w:t>
          </w:r>
          <w:r w:rsidR="008A3282">
            <w:t xml:space="preserve">bij het gebruik van bepaalde talen </w:t>
          </w:r>
          <w:r w:rsidR="006A6BC4">
            <w:t xml:space="preserve">(zoals de initiatiefnemer stelt, Arabisch en Berbers) </w:t>
          </w:r>
          <w:r w:rsidR="008A3282">
            <w:t xml:space="preserve">groter is, </w:t>
          </w:r>
          <w:r w:rsidR="005D7F72">
            <w:t>is</w:t>
          </w:r>
          <w:r w:rsidR="007E17DC">
            <w:t xml:space="preserve"> dit </w:t>
          </w:r>
          <w:r w:rsidR="00B42663">
            <w:t xml:space="preserve">nog </w:t>
          </w:r>
          <w:r w:rsidR="005D7F72">
            <w:t xml:space="preserve">geen argument om </w:t>
          </w:r>
          <w:r w:rsidR="007E17DC">
            <w:t xml:space="preserve">het gebruik van andere talen </w:t>
          </w:r>
          <w:r w:rsidR="006A6BC4">
            <w:t xml:space="preserve">(zoals Frans of Duits) </w:t>
          </w:r>
          <w:r w:rsidR="005D7F72">
            <w:t>te</w:t>
          </w:r>
          <w:r w:rsidR="007E17DC">
            <w:t xml:space="preserve"> </w:t>
          </w:r>
          <w:r w:rsidR="00B42663">
            <w:t>verbieden</w:t>
          </w:r>
          <w:r w:rsidR="007E17DC">
            <w:t xml:space="preserve">. </w:t>
          </w:r>
          <w:r w:rsidR="0051756A">
            <w:t xml:space="preserve">Daarnaast </w:t>
          </w:r>
          <w:r w:rsidR="00705948">
            <w:t>blijkt niet uit de toelichting</w:t>
          </w:r>
          <w:r w:rsidR="00630307">
            <w:t xml:space="preserve"> dat andere, minder ingrijpende oplossingen zijn onderzocht alvorens tot een beperking van de</w:t>
          </w:r>
          <w:r w:rsidR="005823F8">
            <w:t xml:space="preserve"> toegestane</w:t>
          </w:r>
          <w:r w:rsidR="00630307">
            <w:t xml:space="preserve"> talen over te gaan.</w:t>
          </w:r>
          <w:r w:rsidR="00705948">
            <w:t xml:space="preserve"> Er zouden bijvoorbeeld maatregelen kunnen worden getroffen om de kwaliteit van vertalingen te verhogen. </w:t>
          </w:r>
        </w:p>
        <w:p w:rsidR="00630307" w:rsidP="00AA29C0" w:rsidRDefault="00630307" w14:paraId="6E238932" w14:textId="77777777"/>
        <w:p w:rsidR="003259E7" w:rsidP="00AA29C0" w:rsidRDefault="00971AC2" w14:paraId="4CF46A60" w14:textId="7F6C0E9C">
          <w:r>
            <w:t xml:space="preserve">Voor zover de voorgestelde beperking is ingegeven door </w:t>
          </w:r>
          <w:r w:rsidR="004C664E">
            <w:t xml:space="preserve">de </w:t>
          </w:r>
          <w:r w:rsidR="00FD2858">
            <w:t>benodigde vertaal</w:t>
          </w:r>
          <w:r w:rsidR="00F27E1A">
            <w:t xml:space="preserve">capaciteit, </w:t>
          </w:r>
          <w:r w:rsidR="00FD2858">
            <w:t>zou</w:t>
          </w:r>
          <w:r w:rsidR="00F27E1A">
            <w:t xml:space="preserve"> een onderscheid tussen mondelinge en schriftelijke communicatie </w:t>
          </w:r>
          <w:r w:rsidR="00FD2858">
            <w:t>overwogen kunnen worden.</w:t>
          </w:r>
          <w:r w:rsidR="00F27E1A">
            <w:t xml:space="preserve"> Bij mondelinge communicatie </w:t>
          </w:r>
          <w:r w:rsidR="00F113BF">
            <w:t>kan</w:t>
          </w:r>
          <w:r>
            <w:t xml:space="preserve"> het </w:t>
          </w:r>
          <w:r>
            <w:lastRenderedPageBreak/>
            <w:t xml:space="preserve">immers </w:t>
          </w:r>
          <w:r w:rsidR="00F113BF">
            <w:t xml:space="preserve">nodig zijn </w:t>
          </w:r>
          <w:r>
            <w:t>om direct in</w:t>
          </w:r>
          <w:r w:rsidR="00EC2809">
            <w:t xml:space="preserve"> te </w:t>
          </w:r>
          <w:r>
            <w:t xml:space="preserve">grijpen als ongewenste boodschappen worden uitgewisseld. Een tolk moet </w:t>
          </w:r>
          <w:r w:rsidR="002A3B5D">
            <w:t xml:space="preserve">op dat moment beschikbaar </w:t>
          </w:r>
          <w:r w:rsidR="006A7B63">
            <w:t xml:space="preserve">zijn </w:t>
          </w:r>
          <w:r w:rsidR="00F113BF">
            <w:t>om</w:t>
          </w:r>
          <w:r w:rsidR="006A7B63">
            <w:t xml:space="preserve"> </w:t>
          </w:r>
          <w:r w:rsidR="00B57DF2">
            <w:t xml:space="preserve">simultaan </w:t>
          </w:r>
          <w:r w:rsidR="00F113BF">
            <w:t xml:space="preserve">te </w:t>
          </w:r>
          <w:r w:rsidR="00292ECA">
            <w:t>tolken</w:t>
          </w:r>
          <w:r>
            <w:t xml:space="preserve">. Bij schriftelijke communicatie is deze </w:t>
          </w:r>
          <w:r w:rsidR="002A3B5D">
            <w:t>tijdsdruk niet aanwezig</w:t>
          </w:r>
          <w:r>
            <w:t xml:space="preserve">. </w:t>
          </w:r>
          <w:r w:rsidR="009A58F2">
            <w:t>De tolk en inrichting hebben</w:t>
          </w:r>
          <w:r w:rsidR="00FD2858">
            <w:t xml:space="preserve"> de</w:t>
          </w:r>
          <w:r w:rsidR="00AC1077">
            <w:t xml:space="preserve"> gelegenheid om de communicatie te bestuderen voordat wordt besloten tot verzending van</w:t>
          </w:r>
          <w:r w:rsidR="00FD2858">
            <w:t xml:space="preserve"> </w:t>
          </w:r>
          <w:r w:rsidR="00AC1077">
            <w:t xml:space="preserve">post of afgifte van </w:t>
          </w:r>
          <w:r w:rsidR="00FD2858">
            <w:t>p</w:t>
          </w:r>
          <w:r w:rsidR="00AC1077">
            <w:t xml:space="preserve">ost aan de gedetineerde. </w:t>
          </w:r>
          <w:r w:rsidR="00EC2809">
            <w:t xml:space="preserve">In de toelichting zou daarom verduidelijkt moeten worden waarom de voorgestelde beperking </w:t>
          </w:r>
          <w:r w:rsidR="009A58F2">
            <w:t xml:space="preserve">van talen </w:t>
          </w:r>
          <w:r w:rsidR="00AC1077">
            <w:t xml:space="preserve">zowel voor mondelinge als schriftelijke communicatie geldt. </w:t>
          </w:r>
        </w:p>
        <w:p w:rsidR="00AC1077" w:rsidP="00AA29C0" w:rsidRDefault="00AC1077" w14:paraId="2B117150" w14:textId="77777777"/>
        <w:p w:rsidR="00761869" w:rsidP="005B6364" w:rsidRDefault="00AE1FB7" w14:paraId="650208EC" w14:textId="66F8FF5F">
          <w:r>
            <w:t xml:space="preserve">Een goede </w:t>
          </w:r>
          <w:r w:rsidR="00F43EEF">
            <w:t>motiver</w:t>
          </w:r>
          <w:r>
            <w:t xml:space="preserve">ing van de </w:t>
          </w:r>
          <w:r w:rsidR="00AC1077">
            <w:t xml:space="preserve">noodzaak tot het beperken van het aantal talen is </w:t>
          </w:r>
          <w:r w:rsidR="00A819B9">
            <w:t xml:space="preserve">van belang omdat </w:t>
          </w:r>
          <w:r>
            <w:t xml:space="preserve">deze </w:t>
          </w:r>
          <w:r w:rsidR="00AF2FC3">
            <w:t>maatregel</w:t>
          </w:r>
          <w:r w:rsidR="00A819B9">
            <w:t xml:space="preserve"> een </w:t>
          </w:r>
          <w:r w:rsidR="00AF2FC3">
            <w:t>inmen</w:t>
          </w:r>
          <w:r w:rsidR="000C6316">
            <w:t>g</w:t>
          </w:r>
          <w:r w:rsidR="00AF2FC3">
            <w:t xml:space="preserve">ing </w:t>
          </w:r>
          <w:r w:rsidR="000C6316">
            <w:t>in</w:t>
          </w:r>
          <w:r w:rsidR="00AF2FC3">
            <w:t xml:space="preserve"> </w:t>
          </w:r>
          <w:r w:rsidR="0078226F">
            <w:t>de grondrechten van gedetineerden</w:t>
          </w:r>
          <w:r w:rsidR="000C6316">
            <w:t xml:space="preserve"> behelst</w:t>
          </w:r>
          <w:r w:rsidR="0078226F">
            <w:t xml:space="preserve">. De initiatiefnemer onderkent </w:t>
          </w:r>
          <w:r w:rsidR="004A210D">
            <w:t xml:space="preserve">dat dit onderdeel van het voorstel raakt aan het </w:t>
          </w:r>
          <w:r w:rsidR="002E7D7D">
            <w:t xml:space="preserve">discriminatieverbod </w:t>
          </w:r>
          <w:r w:rsidR="009D475C">
            <w:t xml:space="preserve">in de zin van artikel 14 EVRM en artikel 1 van het Twaalfde Protocol </w:t>
          </w:r>
          <w:r w:rsidR="00427D4B">
            <w:t xml:space="preserve">bij het EVRM. </w:t>
          </w:r>
          <w:r w:rsidR="00B9687C">
            <w:t xml:space="preserve">Naast het EVRM wordt </w:t>
          </w:r>
          <w:r w:rsidR="005018C3">
            <w:t xml:space="preserve">discriminatie op grond van taal ook verboden in artikel 1 van de Nederlandse Grondwet en </w:t>
          </w:r>
          <w:r w:rsidR="00990BE3">
            <w:t>in andere internationale verdragen.</w:t>
          </w:r>
          <w:r w:rsidR="00341B1D">
            <w:rPr>
              <w:rStyle w:val="Voetnootmarkering"/>
            </w:rPr>
            <w:footnoteReference w:id="43"/>
          </w:r>
          <w:r w:rsidR="00990BE3">
            <w:t xml:space="preserve"> </w:t>
          </w:r>
          <w:r w:rsidR="005B6364">
            <w:t xml:space="preserve">Behalve het discriminatieverbod heeft dit onderdeel van het voorstel ook </w:t>
          </w:r>
          <w:r w:rsidR="00E30ACC">
            <w:t>gevolgen voor</w:t>
          </w:r>
          <w:r w:rsidR="005B6364">
            <w:t xml:space="preserve"> het recht op</w:t>
          </w:r>
          <w:r w:rsidR="008454F9">
            <w:t xml:space="preserve"> bescherming van</w:t>
          </w:r>
          <w:r w:rsidR="005B6364">
            <w:t xml:space="preserve"> privé- en familieleven</w:t>
          </w:r>
          <w:r w:rsidR="008454F9">
            <w:t xml:space="preserve"> en het briefgeheim</w:t>
          </w:r>
          <w:r w:rsidR="005B6364">
            <w:t xml:space="preserve"> in de zin van artikel 8 EVRM.</w:t>
          </w:r>
          <w:r w:rsidR="00FC7E04">
            <w:rPr>
              <w:rStyle w:val="Voetnootmarkering"/>
            </w:rPr>
            <w:footnoteReference w:id="44"/>
          </w:r>
          <w:r w:rsidR="005B6364">
            <w:t xml:space="preserve"> In de toelichting wordt hier echter niet zelfstandig aan getoetst. </w:t>
          </w:r>
          <w:r w:rsidR="00B20BD5">
            <w:t>De</w:t>
          </w:r>
          <w:r w:rsidR="005B6364">
            <w:t xml:space="preserve">ze grondrechten kunnen </w:t>
          </w:r>
          <w:r w:rsidR="000064C2">
            <w:t>slechts</w:t>
          </w:r>
          <w:r w:rsidR="005B6364">
            <w:t xml:space="preserve"> beperkt worden als de noodzaak en de proportionaliteit daarvan afdoende worden onderbouwd</w:t>
          </w:r>
          <w:r w:rsidR="00AD04B4">
            <w:t xml:space="preserve"> en geen lichter middel voorhanden is</w:t>
          </w:r>
          <w:r w:rsidR="005B6364">
            <w:t xml:space="preserve">. De toelichting geeft daar thans nog onvoldoende blijk van. </w:t>
          </w:r>
        </w:p>
        <w:p w:rsidR="005B6364" w:rsidP="005B6364" w:rsidRDefault="005B6364" w14:paraId="52E44A99" w14:textId="6B16D5D3">
          <w:r>
            <w:br/>
            <w:t>De Afdeling adviseert de noodzaak</w:t>
          </w:r>
          <w:r w:rsidR="00AD04B4">
            <w:t xml:space="preserve">, </w:t>
          </w:r>
          <w:r>
            <w:t>proportionaliteit</w:t>
          </w:r>
          <w:r w:rsidR="00AD04B4">
            <w:t xml:space="preserve"> en subsidiariteit</w:t>
          </w:r>
          <w:r>
            <w:t xml:space="preserve"> </w:t>
          </w:r>
          <w:r w:rsidR="00AD04B4">
            <w:t xml:space="preserve">van de beperking van de talen </w:t>
          </w:r>
          <w:r w:rsidR="00FB41DC">
            <w:t xml:space="preserve">voor zowel de mondelinge als schriftelijke communicatie </w:t>
          </w:r>
          <w:r w:rsidR="005B2338">
            <w:t>dragend</w:t>
          </w:r>
          <w:r w:rsidR="00AD04B4">
            <w:t xml:space="preserve"> te</w:t>
          </w:r>
          <w:r w:rsidR="00FC7E04">
            <w:t xml:space="preserve"> motiveren in de toelichting. </w:t>
          </w:r>
          <w:r w:rsidR="005B2338">
            <w:t xml:space="preserve">Indien dit niet mogelijk is, adviseert zij van dit onderdeel van het voorstel af te zien. </w:t>
          </w:r>
        </w:p>
        <w:p w:rsidR="000713D8" w:rsidP="00AA29C0" w:rsidRDefault="000713D8" w14:paraId="5631F24A" w14:textId="77777777"/>
        <w:p w:rsidR="00531AF0" w:rsidP="00AA29C0" w:rsidRDefault="001A1C29" w14:paraId="09349A92" w14:textId="395416A0">
          <w:pPr>
            <w:rPr>
              <w:u w:val="single"/>
            </w:rPr>
          </w:pPr>
          <w:r>
            <w:t>9</w:t>
          </w:r>
          <w:r w:rsidR="00531AF0">
            <w:t xml:space="preserve">. </w:t>
          </w:r>
          <w:r w:rsidR="00531AF0">
            <w:tab/>
          </w:r>
          <w:r w:rsidR="00531AF0">
            <w:softHyphen/>
          </w:r>
          <w:r w:rsidR="00531AF0">
            <w:rPr>
              <w:u w:val="single"/>
            </w:rPr>
            <w:t>Rechtsbescherming</w:t>
          </w:r>
        </w:p>
        <w:p w:rsidR="00FC7E04" w:rsidP="00AA29C0" w:rsidRDefault="00FC7E04" w14:paraId="411AEA66" w14:textId="1DFA22CC"/>
        <w:p w:rsidR="00F43EEF" w:rsidP="00AA29C0" w:rsidRDefault="00DE76BF" w14:paraId="689A3982" w14:textId="6AA78475">
          <w:r>
            <w:t xml:space="preserve">Het </w:t>
          </w:r>
          <w:r w:rsidR="00F83F0D">
            <w:t>initiatief</w:t>
          </w:r>
          <w:r w:rsidR="00F43EEF">
            <w:t>wets</w:t>
          </w:r>
          <w:r>
            <w:t xml:space="preserve">voorstel </w:t>
          </w:r>
          <w:r w:rsidR="00D829C4">
            <w:t xml:space="preserve">bevat vergaande beperkingen van de grondrechten van gedetineerden. </w:t>
          </w:r>
          <w:r w:rsidR="00E96375">
            <w:t>Het is daarom van belang dat de</w:t>
          </w:r>
          <w:r w:rsidR="0030180F">
            <w:t xml:space="preserve"> toepassing van deze</w:t>
          </w:r>
          <w:r w:rsidR="00871C23">
            <w:t xml:space="preserve"> bevoegdheden </w:t>
          </w:r>
          <w:r w:rsidR="00E96375">
            <w:t xml:space="preserve">met voldoende procedurele waarborgen zijn omkleed, zodat de </w:t>
          </w:r>
          <w:r w:rsidR="00871C23">
            <w:t>gedetineerde</w:t>
          </w:r>
          <w:r w:rsidR="00D829C4">
            <w:t xml:space="preserve"> </w:t>
          </w:r>
          <w:r w:rsidR="00871C23">
            <w:t xml:space="preserve">tegen deze beperkingen </w:t>
          </w:r>
          <w:r w:rsidR="0030180F">
            <w:t xml:space="preserve">in rechte </w:t>
          </w:r>
          <w:r w:rsidR="00E4445D">
            <w:t xml:space="preserve">kan </w:t>
          </w:r>
          <w:r w:rsidR="00871C23">
            <w:t xml:space="preserve">opkomen. </w:t>
          </w:r>
          <w:r w:rsidR="00CE56AB">
            <w:t>De initiatiefnemer</w:t>
          </w:r>
          <w:r w:rsidR="00A1398A">
            <w:t xml:space="preserve"> wijst erop dat de gedetineerde </w:t>
          </w:r>
          <w:r w:rsidR="001E658A">
            <w:t>bij de Raad voor S</w:t>
          </w:r>
          <w:r w:rsidR="00456336">
            <w:t>trafrechts</w:t>
          </w:r>
          <w:r w:rsidR="001E658A">
            <w:t xml:space="preserve">toepassing en Jeugdbescherming </w:t>
          </w:r>
          <w:r w:rsidR="009B65B9">
            <w:t xml:space="preserve">kan opkomen </w:t>
          </w:r>
          <w:r w:rsidR="00A1398A">
            <w:t xml:space="preserve">tegen de beslissing van de selectiefunctionaris </w:t>
          </w:r>
          <w:r w:rsidR="00B7011F">
            <w:t xml:space="preserve">namens de minister </w:t>
          </w:r>
          <w:r w:rsidR="000D4605">
            <w:t>om in de EBI of op de AIT te worden geplaatst.</w:t>
          </w:r>
          <w:r w:rsidR="005C45FC">
            <w:rPr>
              <w:rStyle w:val="Voetnootmarkering"/>
            </w:rPr>
            <w:footnoteReference w:id="45"/>
          </w:r>
          <w:r w:rsidR="000D4605">
            <w:t xml:space="preserve"> </w:t>
          </w:r>
          <w:r w:rsidR="00A105C8">
            <w:t xml:space="preserve">De maatregelen in het </w:t>
          </w:r>
          <w:r w:rsidR="00655EFE">
            <w:t xml:space="preserve">voorstel zijn immers verbonden aan </w:t>
          </w:r>
          <w:r w:rsidR="00A55234">
            <w:t>de plaatsing binnen deze regime</w:t>
          </w:r>
          <w:r w:rsidR="000429BD">
            <w:t xml:space="preserve">s. </w:t>
          </w:r>
        </w:p>
        <w:p w:rsidR="00F43EEF" w:rsidP="00AA29C0" w:rsidRDefault="00F43EEF" w14:paraId="37B707A7" w14:textId="77777777"/>
        <w:p w:rsidR="009C1CAF" w:rsidP="00AA29C0" w:rsidRDefault="000429BD" w14:paraId="6242C696" w14:textId="7F92A453">
          <w:r>
            <w:t xml:space="preserve">In de toelichting wordt echter nog geen aandacht besteed aan de rechtsbescherming die de </w:t>
          </w:r>
          <w:r w:rsidR="009C1CAF">
            <w:t xml:space="preserve">reguliere </w:t>
          </w:r>
          <w:r>
            <w:t xml:space="preserve">beklagprocedure binnen </w:t>
          </w:r>
          <w:r w:rsidR="001255EC">
            <w:t xml:space="preserve">de </w:t>
          </w:r>
          <w:r w:rsidR="00D0491B">
            <w:t xml:space="preserve">penitentiaire </w:t>
          </w:r>
          <w:r w:rsidR="001255EC">
            <w:t xml:space="preserve">inrichting kan bieden. </w:t>
          </w:r>
          <w:r w:rsidR="00D90322">
            <w:t xml:space="preserve">Wanneer de directeur immers </w:t>
          </w:r>
          <w:r w:rsidR="00FD54B8">
            <w:t xml:space="preserve">in een concreet geval </w:t>
          </w:r>
          <w:r w:rsidR="00D90322">
            <w:t xml:space="preserve">toestemming weigert voor </w:t>
          </w:r>
          <w:r w:rsidR="009C1CAF">
            <w:t>contact of contact afbreekt</w:t>
          </w:r>
          <w:r w:rsidR="00002921">
            <w:t xml:space="preserve">, is dit een beslissing in de zin van artikel 60 </w:t>
          </w:r>
          <w:r w:rsidR="009C1CAF">
            <w:t xml:space="preserve">van de Penitentiaire </w:t>
          </w:r>
          <w:r w:rsidR="00320B8D">
            <w:t>beginselenwet</w:t>
          </w:r>
          <w:r w:rsidR="009C1CAF">
            <w:t xml:space="preserve">. De toelichting </w:t>
          </w:r>
          <w:r w:rsidR="00D41FF9">
            <w:t>moet</w:t>
          </w:r>
          <w:r w:rsidR="009C1CAF">
            <w:t xml:space="preserve"> op dit punt worden aangevuld. </w:t>
          </w:r>
        </w:p>
        <w:p w:rsidR="00F43EEF" w:rsidP="00570400" w:rsidRDefault="009C1CAF" w14:paraId="0E559521" w14:textId="46BB927A">
          <w:r>
            <w:lastRenderedPageBreak/>
            <w:br/>
            <w:t>De Afdeling adviseert</w:t>
          </w:r>
          <w:r w:rsidR="00416F31">
            <w:t xml:space="preserve"> de passages over procedurele waarborgen in de toelichting aan te vullen </w:t>
          </w:r>
          <w:r w:rsidR="008C3DE0">
            <w:t xml:space="preserve">door in te gaan op de beklagprocedure binnen de inrichting. </w:t>
          </w:r>
        </w:p>
      </w:sdtContent>
    </w:sdt>
    <w:p w:rsidR="00744C12" w:rsidP="00570400" w:rsidRDefault="00744C12" w14:paraId="2F1DE7D5" w14:textId="77777777"/>
    <w:sdt>
      <w:sdtPr>
        <w:tag w:val="bmDictum"/>
        <w:id w:val="-1138567721"/>
        <w:lock w:val="sdtLocked"/>
        <w:placeholder>
          <w:docPart w:val="4A93EAA440544247AFDBB6AA7DD18572"/>
        </w:placeholder>
      </w:sdtPr>
      <w:sdtEndPr/>
      <w:sdtContent>
        <w:p w:rsidR="00B75F9B" w:rsidP="00570400" w:rsidRDefault="006144E9" w14:paraId="4375A572" w14:textId="7448CF2F">
          <w:r>
            <w:t xml:space="preserve">De Afdeling advisering van de Raad van State heeft een aantal bezwaren bij het </w:t>
          </w:r>
          <w:r w:rsidR="00F43EEF">
            <w:t>initiatiefwetsvoorstel</w:t>
          </w:r>
          <w:r>
            <w:t xml:space="preserve"> en adviseert het voorstel niet in behandeling te nemen, tenzij het is aangepast.</w:t>
          </w:r>
          <w:r>
            <w:br/>
          </w:r>
          <w:r>
            <w:br/>
          </w:r>
          <w:r>
            <w:br/>
            <w:t xml:space="preserve">De </w:t>
          </w:r>
          <w:proofErr w:type="spellStart"/>
          <w:r>
            <w:t>vice-president</w:t>
          </w:r>
          <w:proofErr w:type="spellEnd"/>
          <w:r>
            <w:t xml:space="preserve"> van de Raad van State,</w:t>
          </w:r>
        </w:p>
      </w:sdtContent>
    </w:sdt>
    <w:p w:rsidR="007B41BE" w:rsidP="00570400" w:rsidRDefault="007B41BE" w14:paraId="56796A90" w14:textId="77777777"/>
    <w:p w:rsidR="007B41BE" w:rsidP="00570400" w:rsidRDefault="007B41BE" w14:paraId="346D1816" w14:textId="77777777"/>
    <w:p w:rsidR="007B41BE" w:rsidP="00570400" w:rsidRDefault="007B41BE" w14:paraId="4A938751" w14:textId="18BB0C3D"/>
    <w:p w:rsidR="00FC77E7" w:rsidP="00570400" w:rsidRDefault="00FC77E7" w14:paraId="5AD14385" w14:textId="7AB66608"/>
    <w:p w:rsidR="008F1E05" w:rsidRDefault="008F1E05" w14:paraId="4F0D8F3A" w14:textId="141B5444"/>
    <w:sectPr w:rsidR="008F1E05" w:rsidSect="005C5AC9">
      <w:headerReference w:type="even" r:id="rId12"/>
      <w:headerReference w:type="default" r:id="rId13"/>
      <w:footerReference w:type="even" r:id="rId14"/>
      <w:footerReference w:type="default" r:id="rId15"/>
      <w:headerReference w:type="first" r:id="rId16"/>
      <w:footerReference w:type="first" r:id="rId17"/>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C71AED" w14:textId="77777777" w:rsidR="00C95072" w:rsidRDefault="00C95072">
      <w:r>
        <w:separator/>
      </w:r>
    </w:p>
  </w:endnote>
  <w:endnote w:type="continuationSeparator" w:id="0">
    <w:p w14:paraId="4A6CF184" w14:textId="77777777" w:rsidR="00C95072" w:rsidRDefault="00C95072">
      <w:r>
        <w:continuationSeparator/>
      </w:r>
    </w:p>
  </w:endnote>
  <w:endnote w:type="continuationNotice" w:id="1">
    <w:p w14:paraId="7B7BA6BE" w14:textId="77777777" w:rsidR="00C95072" w:rsidRDefault="00C950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altName w:val="Goudy Old Style"/>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D12B51" w14:textId="77777777" w:rsidR="00013028" w:rsidRDefault="0001302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7E07F0" w14:paraId="1CBEF8D0" w14:textId="77777777" w:rsidTr="00A11D27">
      <w:tc>
        <w:tcPr>
          <w:tcW w:w="4815" w:type="dxa"/>
        </w:tcPr>
        <w:p w14:paraId="1CBEF8CE" w14:textId="77777777" w:rsidR="00EB2A32" w:rsidRDefault="00EB2A32" w:rsidP="00A11D27">
          <w:pPr>
            <w:pStyle w:val="Voettekst"/>
          </w:pPr>
        </w:p>
      </w:tc>
      <w:tc>
        <w:tcPr>
          <w:tcW w:w="4247" w:type="dxa"/>
        </w:tcPr>
        <w:p w14:paraId="1CBEF8CF" w14:textId="77777777" w:rsidR="00EB2A32" w:rsidRDefault="00EB2A32" w:rsidP="00A11D27">
          <w:pPr>
            <w:pStyle w:val="Voettekst"/>
            <w:jc w:val="right"/>
          </w:pPr>
        </w:p>
      </w:tc>
    </w:tr>
  </w:tbl>
  <w:p w14:paraId="1CBEF8D1" w14:textId="77777777" w:rsidR="00EB2A32" w:rsidRDefault="00EB2A3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972E5E" w14:textId="48A212A9" w:rsidR="005C5AC9" w:rsidRPr="005C5AC9" w:rsidRDefault="005C5AC9">
    <w:pPr>
      <w:pStyle w:val="Voettekst"/>
      <w:rPr>
        <w:rFonts w:ascii="Bembo" w:hAnsi="Bembo"/>
        <w:sz w:val="32"/>
      </w:rPr>
    </w:pPr>
    <w:r w:rsidRPr="005C5AC9">
      <w:rPr>
        <w:rFonts w:ascii="Bembo" w:hAnsi="Bembo"/>
        <w:sz w:val="32"/>
      </w:rPr>
      <w:t>AAN DE VOORZITTER VAN DE TWEEDE KAMER DER STATEN-GENERAAL</w:t>
    </w:r>
  </w:p>
  <w:p w14:paraId="3DE27ACF" w14:textId="77777777" w:rsidR="005C5AC9" w:rsidRDefault="005C5AC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828EBE" w14:textId="77777777" w:rsidR="00C95072" w:rsidRDefault="00C95072">
      <w:r>
        <w:separator/>
      </w:r>
    </w:p>
  </w:footnote>
  <w:footnote w:type="continuationSeparator" w:id="0">
    <w:p w14:paraId="37B6EC52" w14:textId="77777777" w:rsidR="00C95072" w:rsidRDefault="00C95072">
      <w:r>
        <w:continuationSeparator/>
      </w:r>
    </w:p>
  </w:footnote>
  <w:footnote w:type="continuationNotice" w:id="1">
    <w:p w14:paraId="096BA22B" w14:textId="77777777" w:rsidR="00C95072" w:rsidRDefault="00C95072"/>
  </w:footnote>
  <w:footnote w:id="2">
    <w:p w14:paraId="6AAA32C6" w14:textId="2FAB382D" w:rsidR="000E57C5" w:rsidRDefault="000E57C5" w:rsidP="000E57C5">
      <w:pPr>
        <w:pStyle w:val="Voetnoottekst"/>
      </w:pPr>
      <w:r>
        <w:rPr>
          <w:rStyle w:val="Voetnootmarkering"/>
        </w:rPr>
        <w:footnoteRef/>
      </w:r>
      <w:r>
        <w:t xml:space="preserve"> </w:t>
      </w:r>
      <w:r w:rsidR="001B7A05">
        <w:t>Memorie van t</w:t>
      </w:r>
      <w:r>
        <w:t xml:space="preserve">oelichting, paragraaf 1 (Inleiding) en 2 (Aanleiding en achtergrond). </w:t>
      </w:r>
    </w:p>
  </w:footnote>
  <w:footnote w:id="3">
    <w:p w14:paraId="5871504E" w14:textId="4116D90C" w:rsidR="00222C2A" w:rsidRDefault="00222C2A" w:rsidP="00222C2A">
      <w:pPr>
        <w:pStyle w:val="Voetnoottekst"/>
      </w:pPr>
      <w:r>
        <w:rPr>
          <w:rStyle w:val="Voetnootmarkering"/>
        </w:rPr>
        <w:footnoteRef/>
      </w:r>
      <w:r>
        <w:t xml:space="preserve"> Artikelen 36 tot en met 39 </w:t>
      </w:r>
      <w:proofErr w:type="spellStart"/>
      <w:r>
        <w:t>Pbw</w:t>
      </w:r>
      <w:proofErr w:type="spellEnd"/>
      <w:r>
        <w:t>.</w:t>
      </w:r>
      <w:r w:rsidDel="00866233">
        <w:t xml:space="preserve"> </w:t>
      </w:r>
    </w:p>
  </w:footnote>
  <w:footnote w:id="4">
    <w:p w14:paraId="09C052B1" w14:textId="77777777" w:rsidR="008D335B" w:rsidRDefault="008D335B" w:rsidP="008D335B">
      <w:pPr>
        <w:pStyle w:val="Voetnoottekst"/>
      </w:pPr>
      <w:r>
        <w:rPr>
          <w:rStyle w:val="Voetnootmarkering"/>
        </w:rPr>
        <w:footnoteRef/>
      </w:r>
      <w:r>
        <w:t xml:space="preserve"> Zie de circulaire Gedetineerden met een vlucht- en/of maatschappelijk risico van 8 juli 2021, kenmerk: 3399954. </w:t>
      </w:r>
    </w:p>
  </w:footnote>
  <w:footnote w:id="5">
    <w:p w14:paraId="32B18D97" w14:textId="6B2BD8EA" w:rsidR="00365747" w:rsidRDefault="00365747" w:rsidP="00365747">
      <w:pPr>
        <w:pStyle w:val="Voetnoottekst"/>
      </w:pPr>
      <w:r>
        <w:rPr>
          <w:rStyle w:val="Voetnootmarkering"/>
        </w:rPr>
        <w:footnoteRef/>
      </w:r>
      <w:r w:rsidR="009F4F6F">
        <w:t xml:space="preserve"> </w:t>
      </w:r>
      <w:r w:rsidR="006B3AF4">
        <w:t>Voorgesteld artikel 40a, derde, vierde en zesde lid</w:t>
      </w:r>
    </w:p>
  </w:footnote>
  <w:footnote w:id="6">
    <w:p w14:paraId="133A68EA" w14:textId="47E972F7" w:rsidR="004C2442" w:rsidRDefault="004C2442">
      <w:pPr>
        <w:pStyle w:val="Voetnoottekst"/>
      </w:pPr>
      <w:r>
        <w:rPr>
          <w:rStyle w:val="Voetnootmarkering"/>
        </w:rPr>
        <w:footnoteRef/>
      </w:r>
      <w:r>
        <w:t xml:space="preserve"> Voorgesteld artikel 40a, </w:t>
      </w:r>
      <w:r w:rsidR="004B6A75">
        <w:t xml:space="preserve">vijfde lid. </w:t>
      </w:r>
    </w:p>
  </w:footnote>
  <w:footnote w:id="7">
    <w:p w14:paraId="75D83F8F" w14:textId="1B176289" w:rsidR="004B6A75" w:rsidRDefault="004B6A75">
      <w:pPr>
        <w:pStyle w:val="Voetnoottekst"/>
      </w:pPr>
      <w:r>
        <w:rPr>
          <w:rStyle w:val="Voetnootmarkering"/>
        </w:rPr>
        <w:footnoteRef/>
      </w:r>
      <w:r w:rsidR="006B3AF4">
        <w:t xml:space="preserve"> </w:t>
      </w:r>
      <w:r w:rsidR="00DA384D">
        <w:t>Voorgesteld artikel 40a, achtste lid</w:t>
      </w:r>
    </w:p>
  </w:footnote>
  <w:footnote w:id="8">
    <w:p w14:paraId="65D064B3" w14:textId="77777777" w:rsidR="00126D55" w:rsidRDefault="00126D55" w:rsidP="00126D55">
      <w:pPr>
        <w:pStyle w:val="Voetnoottekst"/>
      </w:pPr>
      <w:r>
        <w:rPr>
          <w:rStyle w:val="Voetnootmarkering"/>
        </w:rPr>
        <w:footnoteRef/>
      </w:r>
      <w:r>
        <w:t xml:space="preserve"> Voorgesteld artikel 40b. </w:t>
      </w:r>
    </w:p>
  </w:footnote>
  <w:footnote w:id="9">
    <w:p w14:paraId="6A32AC01" w14:textId="3B4AFF60" w:rsidR="00126D55" w:rsidRDefault="00126D55">
      <w:pPr>
        <w:pStyle w:val="Voetnoottekst"/>
      </w:pPr>
      <w:r>
        <w:rPr>
          <w:rStyle w:val="Voetnootmarkering"/>
        </w:rPr>
        <w:footnoteRef/>
      </w:r>
      <w:r>
        <w:t xml:space="preserve"> Voorgesteld artikel 40a, zevende lid. </w:t>
      </w:r>
    </w:p>
  </w:footnote>
  <w:footnote w:id="10">
    <w:p w14:paraId="2B56C9F3" w14:textId="3C582AF7" w:rsidR="00126D55" w:rsidRDefault="00126D55">
      <w:pPr>
        <w:pStyle w:val="Voetnoottekst"/>
      </w:pPr>
      <w:r>
        <w:rPr>
          <w:rStyle w:val="Voetnootmarkering"/>
        </w:rPr>
        <w:footnoteRef/>
      </w:r>
      <w:r>
        <w:t xml:space="preserve"> </w:t>
      </w:r>
      <w:r w:rsidR="00C34AE9">
        <w:t xml:space="preserve">Regeling model huisregels Extra beveiligde Inrichting/Afdeling, </w:t>
      </w:r>
      <w:proofErr w:type="spellStart"/>
      <w:r w:rsidR="00FE7F84">
        <w:t>Stcrt</w:t>
      </w:r>
      <w:proofErr w:type="spellEnd"/>
      <w:r w:rsidR="00FE7F84">
        <w:t xml:space="preserve">. 2022, 33927. </w:t>
      </w:r>
    </w:p>
  </w:footnote>
  <w:footnote w:id="11">
    <w:p w14:paraId="0A43C59A" w14:textId="2410041A" w:rsidR="0039225D" w:rsidRDefault="0039225D">
      <w:pPr>
        <w:pStyle w:val="Voetnoottekst"/>
      </w:pPr>
      <w:r>
        <w:rPr>
          <w:rStyle w:val="Voetnootmarkering"/>
        </w:rPr>
        <w:footnoteRef/>
      </w:r>
      <w:r>
        <w:t xml:space="preserve"> Voorgesteld artikel 40c. </w:t>
      </w:r>
    </w:p>
  </w:footnote>
  <w:footnote w:id="12">
    <w:p w14:paraId="2FA098BB" w14:textId="698C5EF0" w:rsidR="00226781" w:rsidRDefault="00226781">
      <w:pPr>
        <w:pStyle w:val="Voetnoottekst"/>
      </w:pPr>
      <w:r>
        <w:rPr>
          <w:rStyle w:val="Voetnootmarkering"/>
        </w:rPr>
        <w:footnoteRef/>
      </w:r>
      <w:r>
        <w:t xml:space="preserve"> Voorgesteld artikel 40a, zevende lid. </w:t>
      </w:r>
    </w:p>
  </w:footnote>
  <w:footnote w:id="13">
    <w:p w14:paraId="4FE55CE7" w14:textId="77777777" w:rsidR="00C15E0A" w:rsidRDefault="00C15E0A" w:rsidP="00C15E0A">
      <w:pPr>
        <w:pStyle w:val="Voetnoottekst"/>
      </w:pPr>
      <w:r>
        <w:rPr>
          <w:rStyle w:val="Voetnootmarkering"/>
        </w:rPr>
        <w:footnoteRef/>
      </w:r>
      <w:r>
        <w:t xml:space="preserve"> Kamerstukken II 2022/23, 36372, nr. 1-3. </w:t>
      </w:r>
    </w:p>
  </w:footnote>
  <w:footnote w:id="14">
    <w:p w14:paraId="739BCA14" w14:textId="77777777" w:rsidR="00095FA7" w:rsidRDefault="00095FA7" w:rsidP="00095FA7">
      <w:pPr>
        <w:pStyle w:val="Voetnoottekst"/>
      </w:pPr>
      <w:r>
        <w:rPr>
          <w:rStyle w:val="Voetnootmarkering"/>
        </w:rPr>
        <w:footnoteRef/>
      </w:r>
      <w:r>
        <w:t xml:space="preserve"> Regeling model huisregels Extra beveiligde Inrichting/Afdeling, </w:t>
      </w:r>
      <w:proofErr w:type="spellStart"/>
      <w:r>
        <w:t>Stcrt</w:t>
      </w:r>
      <w:proofErr w:type="spellEnd"/>
      <w:r>
        <w:t xml:space="preserve">. 2022, 33927. </w:t>
      </w:r>
    </w:p>
  </w:footnote>
  <w:footnote w:id="15">
    <w:p w14:paraId="1F2AD9FB" w14:textId="77777777" w:rsidR="00261278" w:rsidRDefault="00261278" w:rsidP="00261278">
      <w:pPr>
        <w:pStyle w:val="Voetnoottekst"/>
      </w:pPr>
      <w:r>
        <w:rPr>
          <w:rStyle w:val="Voetnootmarkering"/>
        </w:rPr>
        <w:footnoteRef/>
      </w:r>
      <w:r>
        <w:t xml:space="preserve"> Kamerstukken II 2022/23, 24587, nr. 902, p. 4. </w:t>
      </w:r>
    </w:p>
  </w:footnote>
  <w:footnote w:id="16">
    <w:p w14:paraId="3F0A7BB4" w14:textId="3EF7F934" w:rsidR="005D58CF" w:rsidRDefault="005D58CF" w:rsidP="005D58CF">
      <w:pPr>
        <w:pStyle w:val="Voetnoottekst"/>
      </w:pPr>
      <w:r>
        <w:rPr>
          <w:rStyle w:val="Voetnootmarkering"/>
        </w:rPr>
        <w:footnoteRef/>
      </w:r>
      <w:r>
        <w:t xml:space="preserve"> Memorie van toelichting, Algemeen deel,</w:t>
      </w:r>
      <w:r w:rsidR="0000340C">
        <w:t xml:space="preserve"> </w:t>
      </w:r>
      <w:r>
        <w:t xml:space="preserve">paragraaf 10 (Samenloop). </w:t>
      </w:r>
    </w:p>
  </w:footnote>
  <w:footnote w:id="17">
    <w:p w14:paraId="06279CF3" w14:textId="77777777" w:rsidR="00F13B50" w:rsidRDefault="00F13B50" w:rsidP="00F13B50">
      <w:pPr>
        <w:pStyle w:val="Voetnoottekst"/>
      </w:pPr>
      <w:r>
        <w:rPr>
          <w:rStyle w:val="Voetnootmarkering"/>
        </w:rPr>
        <w:footnoteRef/>
      </w:r>
      <w:r w:rsidR="00494EA9">
        <w:t xml:space="preserve"> Kamerstukken II 2023/24, 24587, nr. 925, p. 7. </w:t>
      </w:r>
    </w:p>
  </w:footnote>
  <w:footnote w:id="18">
    <w:p w14:paraId="18104510" w14:textId="78C9A198" w:rsidR="00132D6A" w:rsidRDefault="00132D6A">
      <w:pPr>
        <w:pStyle w:val="Voetnoottekst"/>
      </w:pPr>
      <w:r>
        <w:rPr>
          <w:rStyle w:val="Voetnootmarkering"/>
        </w:rPr>
        <w:footnoteRef/>
      </w:r>
      <w:r>
        <w:t xml:space="preserve"> S. </w:t>
      </w:r>
      <w:proofErr w:type="spellStart"/>
      <w:r>
        <w:t>Struijk</w:t>
      </w:r>
      <w:proofErr w:type="spellEnd"/>
      <w:r>
        <w:t xml:space="preserve"> e.a., Vergelijkend onderzoek Italiaans 41-bis detentieregime, WODC 2023.</w:t>
      </w:r>
    </w:p>
  </w:footnote>
  <w:footnote w:id="19">
    <w:p w14:paraId="2C8612EF" w14:textId="5E7C4105" w:rsidR="00A24609" w:rsidRDefault="00A24609">
      <w:pPr>
        <w:pStyle w:val="Voetnoottekst"/>
      </w:pPr>
      <w:r>
        <w:rPr>
          <w:rStyle w:val="Voetnootmarkering"/>
        </w:rPr>
        <w:footnoteRef/>
      </w:r>
      <w:r>
        <w:t xml:space="preserve"> </w:t>
      </w:r>
      <w:r w:rsidR="00745205">
        <w:t>A</w:t>
      </w:r>
      <w:r>
        <w:t xml:space="preserve">rtikelen </w:t>
      </w:r>
      <w:r w:rsidR="00945339">
        <w:t>7, 8, 10 en 13 Grondwet</w:t>
      </w:r>
      <w:r w:rsidR="006A210E">
        <w:t xml:space="preserve"> en artikelen </w:t>
      </w:r>
      <w:r>
        <w:t>3,</w:t>
      </w:r>
      <w:r w:rsidR="00A10FF7">
        <w:t xml:space="preserve"> 8 en 10 EVRM.</w:t>
      </w:r>
      <w:r w:rsidR="007763A0">
        <w:t xml:space="preserve"> Zie ook </w:t>
      </w:r>
      <w:r w:rsidR="00DE13AF">
        <w:t xml:space="preserve">artikel 7 en </w:t>
      </w:r>
      <w:r w:rsidR="004229EB">
        <w:t>11</w:t>
      </w:r>
      <w:r w:rsidR="0096678A">
        <w:t xml:space="preserve"> van het Handvest v</w:t>
      </w:r>
      <w:r w:rsidR="00340960">
        <w:t>an</w:t>
      </w:r>
      <w:r w:rsidR="0096678A">
        <w:t xml:space="preserve"> de Grondrechten van de Europese Unie. </w:t>
      </w:r>
    </w:p>
  </w:footnote>
  <w:footnote w:id="20">
    <w:p w14:paraId="12E43357" w14:textId="285AB30C" w:rsidR="00E7759A" w:rsidRDefault="00E7759A" w:rsidP="00E7759A">
      <w:pPr>
        <w:pStyle w:val="Voetnoottekst"/>
      </w:pPr>
      <w:r>
        <w:rPr>
          <w:rStyle w:val="Voetnootmarkering"/>
        </w:rPr>
        <w:footnoteRef/>
      </w:r>
      <w:r>
        <w:t xml:space="preserve"> </w:t>
      </w:r>
      <w:r w:rsidR="002F59F2">
        <w:t>A</w:t>
      </w:r>
      <w:r>
        <w:t xml:space="preserve">rtikel 1 Grondwet, artikel 8 in samenhang met artikel 14 EVRM, artikel 1 van het Twaalfde Protocol bij het EVRM en artikelen 4 en 26 van het Internationaal Verdrag inzake burgerrechten en politieke rechten. </w:t>
      </w:r>
    </w:p>
  </w:footnote>
  <w:footnote w:id="21">
    <w:p w14:paraId="312B1364" w14:textId="3442E8C2" w:rsidR="004C0F61" w:rsidRDefault="004C0F61">
      <w:pPr>
        <w:pStyle w:val="Voetnoottekst"/>
      </w:pPr>
      <w:r>
        <w:rPr>
          <w:rStyle w:val="Voetnootmarkering"/>
        </w:rPr>
        <w:footnoteRef/>
      </w:r>
      <w:r>
        <w:t xml:space="preserve"> </w:t>
      </w:r>
      <w:r w:rsidR="00FB44E8">
        <w:t xml:space="preserve">Zie </w:t>
      </w:r>
      <w:r w:rsidR="00BE7106">
        <w:t xml:space="preserve">onder andere artikel 3 en 9 van het Internationaal Verdrag voor de Rechten van het Kind. </w:t>
      </w:r>
    </w:p>
  </w:footnote>
  <w:footnote w:id="22">
    <w:p w14:paraId="3433297F" w14:textId="77777777" w:rsidR="00690E14" w:rsidRDefault="00690E14" w:rsidP="00690E14">
      <w:pPr>
        <w:pStyle w:val="Voetnoottekst"/>
      </w:pPr>
      <w:r>
        <w:rPr>
          <w:rStyle w:val="Voetnootmarkering"/>
        </w:rPr>
        <w:footnoteRef/>
      </w:r>
      <w:r>
        <w:t xml:space="preserve"> Zie het Advies van de Afdeling advisering van de Raad van State van 5 april 2023 over het wetsvoorstel </w:t>
      </w:r>
      <w:r w:rsidRPr="00575EF4">
        <w:t>Wij</w:t>
      </w:r>
      <w:r w:rsidRPr="00575EF4">
        <w:softHyphen/>
        <w:t>zi</w:t>
      </w:r>
      <w:r w:rsidRPr="00575EF4">
        <w:softHyphen/>
        <w:t>ging van de Penitentiai</w:t>
      </w:r>
      <w:r w:rsidRPr="00575EF4">
        <w:softHyphen/>
        <w:t>re be</w:t>
      </w:r>
      <w:r w:rsidRPr="00575EF4">
        <w:softHyphen/>
        <w:t>gin</w:t>
      </w:r>
      <w:r w:rsidRPr="00575EF4">
        <w:softHyphen/>
        <w:t>se</w:t>
      </w:r>
      <w:r w:rsidRPr="00575EF4">
        <w:softHyphen/>
        <w:t>len</w:t>
      </w:r>
      <w:r w:rsidRPr="00575EF4">
        <w:softHyphen/>
        <w:t>wet in ver</w:t>
      </w:r>
      <w:r w:rsidRPr="00575EF4">
        <w:softHyphen/>
        <w:t>band met aan</w:t>
      </w:r>
      <w:r w:rsidRPr="00575EF4">
        <w:softHyphen/>
        <w:t>vul</w:t>
      </w:r>
      <w:r w:rsidRPr="00575EF4">
        <w:softHyphen/>
        <w:t>len</w:t>
      </w:r>
      <w:r w:rsidRPr="00575EF4">
        <w:softHyphen/>
        <w:t>de maat</w:t>
      </w:r>
      <w:r w:rsidRPr="00575EF4">
        <w:softHyphen/>
        <w:t>re</w:t>
      </w:r>
      <w:r w:rsidRPr="00575EF4">
        <w:softHyphen/>
        <w:t>ge</w:t>
      </w:r>
      <w:r w:rsidRPr="00575EF4">
        <w:softHyphen/>
        <w:t>len te</w:t>
      </w:r>
      <w:r w:rsidRPr="00575EF4">
        <w:softHyphen/>
        <w:t>gen ge</w:t>
      </w:r>
      <w:r w:rsidRPr="00575EF4">
        <w:softHyphen/>
        <w:t>or</w:t>
      </w:r>
      <w:r w:rsidRPr="00575EF4">
        <w:softHyphen/>
        <w:t>ga</w:t>
      </w:r>
      <w:r w:rsidRPr="00575EF4">
        <w:softHyphen/>
        <w:t>ni</w:t>
      </w:r>
      <w:r w:rsidRPr="00575EF4">
        <w:softHyphen/>
        <w:t>seer</w:t>
      </w:r>
      <w:r w:rsidRPr="00575EF4">
        <w:softHyphen/>
        <w:t>de cri</w:t>
      </w:r>
      <w:r w:rsidRPr="00575EF4">
        <w:softHyphen/>
        <w:t>mi</w:t>
      </w:r>
      <w:r w:rsidRPr="00575EF4">
        <w:softHyphen/>
        <w:t>na</w:t>
      </w:r>
      <w:r w:rsidRPr="00575EF4">
        <w:softHyphen/>
        <w:t>li</w:t>
      </w:r>
      <w:r w:rsidRPr="00575EF4">
        <w:softHyphen/>
        <w:t>teit tij</w:t>
      </w:r>
      <w:r w:rsidRPr="00575EF4">
        <w:softHyphen/>
        <w:t>dens de</w:t>
      </w:r>
      <w:r w:rsidRPr="00575EF4">
        <w:softHyphen/>
        <w:t>ten</w:t>
      </w:r>
      <w:r w:rsidRPr="00575EF4">
        <w:softHyphen/>
        <w:t>tie</w:t>
      </w:r>
      <w:r>
        <w:t xml:space="preserve">, </w:t>
      </w:r>
      <w:r w:rsidRPr="00620BFC">
        <w:t>Kamerstukken II 2022/23, 36372, nr. 4</w:t>
      </w:r>
      <w:r>
        <w:t xml:space="preserve">. </w:t>
      </w:r>
    </w:p>
  </w:footnote>
  <w:footnote w:id="23">
    <w:p w14:paraId="78A16E88" w14:textId="259678B0" w:rsidR="00492692" w:rsidDel="00372B7A" w:rsidRDefault="00C25BB6" w:rsidP="00492692">
      <w:pPr>
        <w:pStyle w:val="Voetnoottekst"/>
      </w:pPr>
      <w:r>
        <w:rPr>
          <w:rStyle w:val="Voetnootmarkering"/>
        </w:rPr>
        <w:footnoteRef/>
      </w:r>
      <w:r>
        <w:t xml:space="preserve"> </w:t>
      </w:r>
      <w:r w:rsidR="00FF18A1">
        <w:t xml:space="preserve">Zie rapport van de Inspectie Veiligheid en Justitie, Binnen de muren niet toegestaan, februari 2017; rapport van Dienst Justitiële Inrichtingen, Stand van de uitvoering DJI 2021; A. </w:t>
      </w:r>
      <w:proofErr w:type="spellStart"/>
      <w:r w:rsidR="00FF18A1">
        <w:t>Verwest</w:t>
      </w:r>
      <w:proofErr w:type="spellEnd"/>
      <w:r w:rsidR="00FF18A1">
        <w:t xml:space="preserve"> e.a., Voortgezet crimineel handelen tijdens detentie: je gaat het pas zien als je het doorhebt, Den Haag: Politie en wetenschap 2018.</w:t>
      </w:r>
    </w:p>
  </w:footnote>
  <w:footnote w:id="24">
    <w:p w14:paraId="2834C5A7" w14:textId="35186060" w:rsidR="00492692" w:rsidDel="00372B7A" w:rsidRDefault="00FF18A1" w:rsidP="00492692">
      <w:pPr>
        <w:pStyle w:val="Voetnoottekst"/>
      </w:pPr>
      <w:r>
        <w:rPr>
          <w:rStyle w:val="Voetnootmarkering"/>
        </w:rPr>
        <w:footnoteRef/>
      </w:r>
      <w:r>
        <w:t xml:space="preserve"> </w:t>
      </w:r>
      <w:r w:rsidR="0054309B">
        <w:t xml:space="preserve">Kamerstukken II 2023/24, 24587, nr. 925, p. 6-7. </w:t>
      </w:r>
    </w:p>
  </w:footnote>
  <w:footnote w:id="25">
    <w:p w14:paraId="367FE144" w14:textId="4E4A5B85" w:rsidR="005614CC" w:rsidRDefault="00600206">
      <w:pPr>
        <w:pStyle w:val="Voetnoottekst"/>
      </w:pPr>
      <w:r>
        <w:rPr>
          <w:rStyle w:val="Voetnootmarkering"/>
        </w:rPr>
        <w:footnoteRef/>
      </w:r>
      <w:r>
        <w:t xml:space="preserve"> </w:t>
      </w:r>
      <w:r w:rsidR="009510F5">
        <w:t>Memorie van t</w:t>
      </w:r>
      <w:r w:rsidR="005614CC">
        <w:t xml:space="preserve">oelichting, Algemeen deel, paragraaf 4.2 </w:t>
      </w:r>
      <w:r w:rsidR="00227AEF">
        <w:t>(</w:t>
      </w:r>
      <w:r w:rsidR="005614CC">
        <w:t>Maatregelen voor de Afdeling Intensief Toezicht</w:t>
      </w:r>
      <w:r w:rsidR="00227AEF">
        <w:t xml:space="preserve">) en paragraaf </w:t>
      </w:r>
      <w:r w:rsidR="00B51352">
        <w:t xml:space="preserve">4.3 (Maatregelen voor de Extra Beveiligde Inrichting). </w:t>
      </w:r>
    </w:p>
  </w:footnote>
  <w:footnote w:id="26">
    <w:p w14:paraId="71A7E47A" w14:textId="1DF55500" w:rsidR="001C41DB" w:rsidRDefault="001C41DB">
      <w:pPr>
        <w:pStyle w:val="Voetnoottekst"/>
      </w:pPr>
      <w:r>
        <w:rPr>
          <w:rStyle w:val="Voetnootmarkering"/>
        </w:rPr>
        <w:footnoteRef/>
      </w:r>
      <w:r>
        <w:t xml:space="preserve"> Zie </w:t>
      </w:r>
      <w:r w:rsidR="00C456E6">
        <w:t xml:space="preserve">H. van de Bunt e.a., Gevangen in de EBI, Den Haag: Boom Lemma 2013, p. </w:t>
      </w:r>
      <w:r w:rsidR="001E553D">
        <w:t xml:space="preserve">33-65. </w:t>
      </w:r>
    </w:p>
  </w:footnote>
  <w:footnote w:id="27">
    <w:p w14:paraId="45DF5E80" w14:textId="5CE37D01" w:rsidR="00BD7866" w:rsidRDefault="00BD7866">
      <w:pPr>
        <w:pStyle w:val="Voetnoottekst"/>
      </w:pPr>
      <w:r>
        <w:rPr>
          <w:rStyle w:val="Voetnootmarkering"/>
        </w:rPr>
        <w:footnoteRef/>
      </w:r>
      <w:r>
        <w:t xml:space="preserve"> Artikel 6, eerste lid van de Regeling selectie, plaatsing en overplaatsing gedetineerden, </w:t>
      </w:r>
      <w:proofErr w:type="spellStart"/>
      <w:r>
        <w:t>Stcrt</w:t>
      </w:r>
      <w:proofErr w:type="spellEnd"/>
      <w:r>
        <w:t xml:space="preserve">. 2022, 339278. </w:t>
      </w:r>
    </w:p>
  </w:footnote>
  <w:footnote w:id="28">
    <w:p w14:paraId="52AFB2D2" w14:textId="0FDD798E" w:rsidR="00B45BAC" w:rsidRDefault="00B45BAC" w:rsidP="00B45BAC">
      <w:pPr>
        <w:pStyle w:val="Voetnoottekst"/>
      </w:pPr>
      <w:r>
        <w:rPr>
          <w:rStyle w:val="Voetnootmarkering"/>
        </w:rPr>
        <w:footnoteRef/>
      </w:r>
      <w:r>
        <w:t xml:space="preserve"> Zie de circulaire Gedetineerden met een vlucht- en/of maatschappelijk risico van 8 juli 2021, kenmerk: 3399954. </w:t>
      </w:r>
      <w:r w:rsidR="00413C3F">
        <w:t>Een gedetineerde kan op de GVM-lijst worden geplaatst wegens risico’s op ontvlucht</w:t>
      </w:r>
      <w:r w:rsidR="004053D4">
        <w:t>ing</w:t>
      </w:r>
      <w:r w:rsidR="00413C3F">
        <w:t xml:space="preserve"> of </w:t>
      </w:r>
      <w:r w:rsidR="004053D4">
        <w:t>VCHD</w:t>
      </w:r>
      <w:r w:rsidR="00413C3F">
        <w:t xml:space="preserve">, maar ook vanwege het risico om (zelf) geliquideerd te worden, radicalisering, ondermijning van het gezag van de directie en personeel of ongeoorloofd contact met slachtoffers, medewerkers in de strafrechtketen of media. </w:t>
      </w:r>
    </w:p>
  </w:footnote>
  <w:footnote w:id="29">
    <w:p w14:paraId="209C2DFE" w14:textId="060B703F" w:rsidR="009C2547" w:rsidRDefault="009C2547" w:rsidP="009C2547">
      <w:pPr>
        <w:pStyle w:val="Voetnoottekst"/>
      </w:pPr>
      <w:r>
        <w:rPr>
          <w:rStyle w:val="Voetnootmarkering"/>
        </w:rPr>
        <w:footnoteRef/>
      </w:r>
      <w:r>
        <w:t xml:space="preserve"> Kamerstukken II 2022/23, 24587, nr. 902, p. 4. </w:t>
      </w:r>
    </w:p>
  </w:footnote>
  <w:footnote w:id="30">
    <w:p w14:paraId="38991D91" w14:textId="2262D21D" w:rsidR="00CD4470" w:rsidRDefault="00CD4470">
      <w:pPr>
        <w:pStyle w:val="Voetnoottekst"/>
      </w:pPr>
      <w:r>
        <w:rPr>
          <w:rStyle w:val="Voetnootmarkering"/>
        </w:rPr>
        <w:footnoteRef/>
      </w:r>
      <w:r>
        <w:t xml:space="preserve"> Kamerstukken II 2022/23, 36372, nr. 3, p. </w:t>
      </w:r>
      <w:r w:rsidR="0008491B">
        <w:t>5</w:t>
      </w:r>
      <w:r>
        <w:t xml:space="preserve">. </w:t>
      </w:r>
      <w:r w:rsidR="00370B29">
        <w:t xml:space="preserve">De Afdeling heeft in het advies over het wetsvoorstel van de minister geadviseerd om de AIT niet aan te wijzen als bijzondere opvang in de zin van artikel 14, maar de maatregelen te verbinden aan het beveiligingsniveau. Deze opmerking is onverkort van toepassing op het onderhavige wetsvoorstel. Zie op dit punt ook de consultatiereactie van de RSJ </w:t>
      </w:r>
      <w:r w:rsidR="00242017">
        <w:t>op</w:t>
      </w:r>
      <w:r w:rsidR="00370B29">
        <w:t xml:space="preserve"> het </w:t>
      </w:r>
      <w:r w:rsidR="00F43EEF">
        <w:t>initiatiefwetsvoorstel</w:t>
      </w:r>
      <w:r w:rsidR="00370B29">
        <w:t xml:space="preserve"> </w:t>
      </w:r>
      <w:r w:rsidR="00242017">
        <w:t xml:space="preserve">van 31 augustus 2023, p. 2. </w:t>
      </w:r>
    </w:p>
  </w:footnote>
  <w:footnote w:id="31">
    <w:p w14:paraId="6A211F73" w14:textId="689F303D" w:rsidR="00B92F82" w:rsidRDefault="00B92F82">
      <w:pPr>
        <w:pStyle w:val="Voetnoottekst"/>
      </w:pPr>
      <w:r>
        <w:rPr>
          <w:rStyle w:val="Voetnootmarkering"/>
        </w:rPr>
        <w:footnoteRef/>
      </w:r>
      <w:r>
        <w:t xml:space="preserve"> </w:t>
      </w:r>
      <w:r w:rsidR="00D36553">
        <w:t>A</w:t>
      </w:r>
      <w:r>
        <w:t xml:space="preserve">rtikel 38, eerste lid en artikel 39, eerste lid, </w:t>
      </w:r>
      <w:proofErr w:type="spellStart"/>
      <w:r>
        <w:t>Pbw</w:t>
      </w:r>
      <w:proofErr w:type="spellEnd"/>
      <w:r>
        <w:t xml:space="preserve">. </w:t>
      </w:r>
    </w:p>
  </w:footnote>
  <w:footnote w:id="32">
    <w:p w14:paraId="28619FA9" w14:textId="549C03AE" w:rsidR="00AE5331" w:rsidRPr="00BE31D7" w:rsidRDefault="00AE5331">
      <w:pPr>
        <w:pStyle w:val="Voetnoottekst"/>
      </w:pPr>
      <w:r>
        <w:rPr>
          <w:rStyle w:val="Voetnootmarkering"/>
        </w:rPr>
        <w:footnoteRef/>
      </w:r>
      <w:r w:rsidRPr="00FB0A8B">
        <w:t xml:space="preserve"> </w:t>
      </w:r>
      <w:r w:rsidR="003961E7">
        <w:t>Bijvoorbeeld het recht op bescherming van het recht op privé- en familieleven</w:t>
      </w:r>
      <w:r w:rsidR="000D38F8">
        <w:t xml:space="preserve"> in </w:t>
      </w:r>
      <w:r w:rsidR="003961E7">
        <w:t>artikel 8 EVRM</w:t>
      </w:r>
      <w:r w:rsidR="00392B31">
        <w:t xml:space="preserve">, artikel </w:t>
      </w:r>
      <w:r w:rsidR="00B00504">
        <w:t xml:space="preserve">7 van het Handvest van de Grondrechten van de Europese Unie </w:t>
      </w:r>
      <w:r w:rsidR="00595607">
        <w:t>en</w:t>
      </w:r>
      <w:r w:rsidR="00B00504">
        <w:t xml:space="preserve"> artikel</w:t>
      </w:r>
      <w:r w:rsidR="00595607">
        <w:t xml:space="preserve"> </w:t>
      </w:r>
      <w:r w:rsidR="005F0819">
        <w:t>17</w:t>
      </w:r>
      <w:r w:rsidR="004360E3">
        <w:t xml:space="preserve"> van het </w:t>
      </w:r>
      <w:r w:rsidR="00E65791">
        <w:t>Internationaal Verdrag inzake burgerrechten en politieke rechten</w:t>
      </w:r>
      <w:r w:rsidR="001004B5">
        <w:t>,</w:t>
      </w:r>
      <w:r w:rsidR="000B43AE" w:rsidRPr="00FB0A8B">
        <w:t xml:space="preserve"> </w:t>
      </w:r>
      <w:r w:rsidR="0038471F" w:rsidRPr="00FB0A8B">
        <w:t xml:space="preserve">European Prison Rules </w:t>
      </w:r>
      <w:r w:rsidR="00B659AB" w:rsidRPr="00FB0A8B">
        <w:t>24.1-</w:t>
      </w:r>
      <w:r w:rsidR="00572B42" w:rsidRPr="00FB0A8B">
        <w:t xml:space="preserve">24.4 </w:t>
      </w:r>
      <w:r w:rsidR="0038471F" w:rsidRPr="00FB0A8B">
        <w:t>(</w:t>
      </w:r>
      <w:proofErr w:type="spellStart"/>
      <w:r w:rsidR="0038471F" w:rsidRPr="00FB0A8B">
        <w:t>Recommendation</w:t>
      </w:r>
      <w:proofErr w:type="spellEnd"/>
      <w:r w:rsidR="0038471F" w:rsidRPr="00FB0A8B">
        <w:t xml:space="preserve"> </w:t>
      </w:r>
      <w:proofErr w:type="spellStart"/>
      <w:r w:rsidR="0038471F" w:rsidRPr="00FB0A8B">
        <w:t>Rec</w:t>
      </w:r>
      <w:proofErr w:type="spellEnd"/>
      <w:r w:rsidR="0038471F" w:rsidRPr="00FB0A8B">
        <w:t xml:space="preserve">(2006)2-rev of </w:t>
      </w:r>
      <w:proofErr w:type="spellStart"/>
      <w:r w:rsidR="0038471F" w:rsidRPr="00FB0A8B">
        <w:t>the</w:t>
      </w:r>
      <w:proofErr w:type="spellEnd"/>
      <w:r w:rsidR="0038471F" w:rsidRPr="00FB0A8B">
        <w:t xml:space="preserve"> </w:t>
      </w:r>
      <w:proofErr w:type="spellStart"/>
      <w:r w:rsidR="0038471F" w:rsidRPr="00FB0A8B">
        <w:t>Committee</w:t>
      </w:r>
      <w:proofErr w:type="spellEnd"/>
      <w:r w:rsidR="0038471F" w:rsidRPr="00FB0A8B">
        <w:t xml:space="preserve"> of Ministers </w:t>
      </w:r>
      <w:proofErr w:type="spellStart"/>
      <w:r w:rsidR="0038471F" w:rsidRPr="00FB0A8B">
        <w:t>to</w:t>
      </w:r>
      <w:proofErr w:type="spellEnd"/>
      <w:r w:rsidR="0038471F" w:rsidRPr="00FB0A8B">
        <w:t xml:space="preserve"> Member </w:t>
      </w:r>
      <w:proofErr w:type="spellStart"/>
      <w:r w:rsidR="0038471F" w:rsidRPr="00FB0A8B">
        <w:t>States</w:t>
      </w:r>
      <w:proofErr w:type="spellEnd"/>
      <w:r w:rsidR="0038471F" w:rsidRPr="00FB0A8B">
        <w:t xml:space="preserve"> on </w:t>
      </w:r>
      <w:proofErr w:type="spellStart"/>
      <w:r w:rsidR="0038471F" w:rsidRPr="00FB0A8B">
        <w:t>the</w:t>
      </w:r>
      <w:proofErr w:type="spellEnd"/>
      <w:r w:rsidR="0038471F" w:rsidRPr="00FB0A8B">
        <w:t xml:space="preserve"> European Prison Rules, juli 2020)</w:t>
      </w:r>
      <w:r w:rsidR="0038548D" w:rsidRPr="00FB0A8B">
        <w:t>,</w:t>
      </w:r>
      <w:r w:rsidR="00BE31D7" w:rsidRPr="00FB0A8B">
        <w:t xml:space="preserve"> </w:t>
      </w:r>
      <w:r w:rsidR="00FB0A8B">
        <w:t>overweging</w:t>
      </w:r>
      <w:r w:rsidR="00FB0A8B" w:rsidRPr="00FB0A8B">
        <w:t xml:space="preserve"> 28</w:t>
      </w:r>
      <w:r w:rsidR="00FB28C5" w:rsidRPr="00FB0A8B">
        <w:t xml:space="preserve"> </w:t>
      </w:r>
      <w:r w:rsidR="00BE31D7" w:rsidRPr="00BE31D7">
        <w:t xml:space="preserve">Resolutie van het </w:t>
      </w:r>
      <w:r w:rsidR="00BE31D7">
        <w:t>Europees Parlement</w:t>
      </w:r>
      <w:r w:rsidR="00851A55">
        <w:t xml:space="preserve"> van 5 oktober 2017 over </w:t>
      </w:r>
      <w:r w:rsidR="00FB28C5" w:rsidRPr="00FB28C5">
        <w:t>penitentiaire systemen en de omstandigheden in de gevangenis (2015/2062(INI))</w:t>
      </w:r>
      <w:r w:rsidR="00FB28C5">
        <w:t xml:space="preserve">, </w:t>
      </w:r>
      <w:r w:rsidR="00F30A7E">
        <w:t xml:space="preserve">The United Nations Standard Minimum Rules </w:t>
      </w:r>
      <w:proofErr w:type="spellStart"/>
      <w:r w:rsidR="00F30A7E">
        <w:t>for</w:t>
      </w:r>
      <w:proofErr w:type="spellEnd"/>
      <w:r w:rsidR="00F30A7E">
        <w:t xml:space="preserve"> </w:t>
      </w:r>
      <w:proofErr w:type="spellStart"/>
      <w:r w:rsidR="00F30A7E">
        <w:t>the</w:t>
      </w:r>
      <w:proofErr w:type="spellEnd"/>
      <w:r w:rsidR="00F30A7E">
        <w:t xml:space="preserve"> Treatment of </w:t>
      </w:r>
      <w:proofErr w:type="spellStart"/>
      <w:r w:rsidR="00F30A7E">
        <w:t>Prisoners</w:t>
      </w:r>
      <w:proofErr w:type="spellEnd"/>
      <w:r w:rsidR="00F30A7E">
        <w:t xml:space="preserve"> </w:t>
      </w:r>
      <w:r w:rsidR="00C74221" w:rsidRPr="00BE31D7">
        <w:t>58</w:t>
      </w:r>
      <w:r w:rsidR="00C12C0C" w:rsidRPr="00BE31D7">
        <w:t xml:space="preserve"> </w:t>
      </w:r>
      <w:r w:rsidR="0038548D" w:rsidRPr="00BE31D7">
        <w:t>(</w:t>
      </w:r>
      <w:r w:rsidR="0065292E" w:rsidRPr="00BE31D7">
        <w:t xml:space="preserve">Resolutie van </w:t>
      </w:r>
      <w:r w:rsidR="00C12C0C" w:rsidRPr="00BE31D7">
        <w:t>Algemene Vergadering van de Verenigde Naties</w:t>
      </w:r>
      <w:r w:rsidR="0065292E" w:rsidRPr="00BE31D7">
        <w:t xml:space="preserve"> van 15 december 2015, A/RES/</w:t>
      </w:r>
      <w:r w:rsidR="00BF2D5F" w:rsidRPr="00BE31D7">
        <w:t>70/175).</w:t>
      </w:r>
      <w:r w:rsidR="00BF2D5F" w:rsidRPr="00BE31D7" w:rsidDel="00866233">
        <w:t xml:space="preserve"> </w:t>
      </w:r>
    </w:p>
  </w:footnote>
  <w:footnote w:id="33">
    <w:p w14:paraId="50980F46" w14:textId="77777777" w:rsidR="00F81DFB" w:rsidRPr="00B37795" w:rsidRDefault="00F81DFB" w:rsidP="00F81DFB">
      <w:pPr>
        <w:pStyle w:val="Voetnoottekst"/>
        <w:rPr>
          <w:lang w:val="en-US"/>
        </w:rPr>
      </w:pPr>
      <w:r>
        <w:rPr>
          <w:rStyle w:val="Voetnootmarkering"/>
        </w:rPr>
        <w:footnoteRef/>
      </w:r>
      <w:r w:rsidRPr="00052348">
        <w:rPr>
          <w:lang w:val="en-US"/>
        </w:rPr>
        <w:t xml:space="preserve"> EHRM 18 </w:t>
      </w:r>
      <w:proofErr w:type="spellStart"/>
      <w:r w:rsidRPr="00052348">
        <w:rPr>
          <w:lang w:val="en-US"/>
        </w:rPr>
        <w:t>fe</w:t>
      </w:r>
      <w:r>
        <w:rPr>
          <w:lang w:val="en-US"/>
        </w:rPr>
        <w:t>bruari</w:t>
      </w:r>
      <w:proofErr w:type="spellEnd"/>
      <w:r>
        <w:rPr>
          <w:lang w:val="en-US"/>
        </w:rPr>
        <w:t xml:space="preserve"> 2020, </w:t>
      </w:r>
      <w:r w:rsidRPr="00BB3596">
        <w:rPr>
          <w:lang w:val="en-US"/>
        </w:rPr>
        <w:t>ECLI:CE:ECHR:2020:0218JUD007046817</w:t>
      </w:r>
      <w:r>
        <w:rPr>
          <w:lang w:val="en-US"/>
        </w:rPr>
        <w:t xml:space="preserve"> (</w:t>
      </w:r>
      <w:proofErr w:type="spellStart"/>
      <w:r>
        <w:rPr>
          <w:lang w:val="en-US"/>
        </w:rPr>
        <w:t>Kungurov</w:t>
      </w:r>
      <w:proofErr w:type="spellEnd"/>
      <w:r>
        <w:rPr>
          <w:lang w:val="en-US"/>
        </w:rPr>
        <w:t xml:space="preserve"> t. </w:t>
      </w:r>
      <w:proofErr w:type="spellStart"/>
      <w:r>
        <w:rPr>
          <w:lang w:val="en-US"/>
        </w:rPr>
        <w:t>Rusland</w:t>
      </w:r>
      <w:proofErr w:type="spellEnd"/>
      <w:r>
        <w:rPr>
          <w:lang w:val="en-US"/>
        </w:rPr>
        <w:t xml:space="preserve">), ro. 17-18. </w:t>
      </w:r>
      <w:proofErr w:type="spellStart"/>
      <w:r w:rsidRPr="00EB3BAE">
        <w:rPr>
          <w:lang w:val="en-US"/>
        </w:rPr>
        <w:t>Zie</w:t>
      </w:r>
      <w:proofErr w:type="spellEnd"/>
      <w:r w:rsidRPr="00EB3BAE">
        <w:rPr>
          <w:lang w:val="en-US"/>
        </w:rPr>
        <w:t xml:space="preserve"> </w:t>
      </w:r>
      <w:proofErr w:type="spellStart"/>
      <w:r w:rsidRPr="00EB3BAE">
        <w:rPr>
          <w:lang w:val="en-US"/>
        </w:rPr>
        <w:t>ook</w:t>
      </w:r>
      <w:proofErr w:type="spellEnd"/>
      <w:r w:rsidRPr="00EB3BAE">
        <w:rPr>
          <w:lang w:val="en-US"/>
        </w:rPr>
        <w:t xml:space="preserve"> EHRM 14 </w:t>
      </w:r>
      <w:proofErr w:type="spellStart"/>
      <w:r w:rsidRPr="00EB3BAE">
        <w:rPr>
          <w:lang w:val="en-US"/>
        </w:rPr>
        <w:t>oktober</w:t>
      </w:r>
      <w:proofErr w:type="spellEnd"/>
      <w:r w:rsidRPr="00EB3BAE">
        <w:rPr>
          <w:lang w:val="en-US"/>
        </w:rPr>
        <w:t xml:space="preserve"> 2004, </w:t>
      </w:r>
      <w:r w:rsidRPr="00EB3BAE">
        <w:rPr>
          <w:lang w:val="en-US"/>
        </w:rPr>
        <w:br/>
        <w:t>ECLI:CE:ECHR:2004:1014JUD004075098 (</w:t>
      </w:r>
      <w:proofErr w:type="spellStart"/>
      <w:r w:rsidRPr="00EB3BAE">
        <w:rPr>
          <w:lang w:val="en-US"/>
        </w:rPr>
        <w:t>Ospina</w:t>
      </w:r>
      <w:proofErr w:type="spellEnd"/>
      <w:r w:rsidRPr="00EB3BAE">
        <w:rPr>
          <w:lang w:val="en-US"/>
        </w:rPr>
        <w:t xml:space="preserve"> Vargas t. </w:t>
      </w:r>
      <w:proofErr w:type="spellStart"/>
      <w:r w:rsidRPr="00EB3BAE">
        <w:rPr>
          <w:lang w:val="en-US"/>
        </w:rPr>
        <w:t>Italië</w:t>
      </w:r>
      <w:proofErr w:type="spellEnd"/>
      <w:r w:rsidRPr="00EB3BAE">
        <w:rPr>
          <w:lang w:val="en-US"/>
        </w:rPr>
        <w:t>), ro. 3</w:t>
      </w:r>
      <w:r>
        <w:rPr>
          <w:lang w:val="en-US"/>
        </w:rPr>
        <w:t>7-39</w:t>
      </w:r>
      <w:r w:rsidRPr="00B37795">
        <w:rPr>
          <w:lang w:val="en-US"/>
        </w:rPr>
        <w:t xml:space="preserve">, EHRM 17 </w:t>
      </w:r>
      <w:proofErr w:type="spellStart"/>
      <w:r w:rsidRPr="00B37795">
        <w:rPr>
          <w:lang w:val="en-US"/>
        </w:rPr>
        <w:t>september</w:t>
      </w:r>
      <w:proofErr w:type="spellEnd"/>
      <w:r w:rsidRPr="00B37795">
        <w:rPr>
          <w:lang w:val="en-US"/>
        </w:rPr>
        <w:t xml:space="preserve"> 2009, ECLI:CE:ECHR:2009:0917JUD007491201 (</w:t>
      </w:r>
      <w:proofErr w:type="spellStart"/>
      <w:r w:rsidRPr="00B37795">
        <w:rPr>
          <w:lang w:val="en-US"/>
        </w:rPr>
        <w:t>Enea</w:t>
      </w:r>
      <w:proofErr w:type="spellEnd"/>
      <w:r w:rsidRPr="00B37795">
        <w:rPr>
          <w:lang w:val="en-US"/>
        </w:rPr>
        <w:t xml:space="preserve"> t. </w:t>
      </w:r>
      <w:proofErr w:type="spellStart"/>
      <w:r w:rsidRPr="00B37795">
        <w:rPr>
          <w:lang w:val="en-US"/>
        </w:rPr>
        <w:t>Italië</w:t>
      </w:r>
      <w:proofErr w:type="spellEnd"/>
      <w:r w:rsidRPr="00B37795">
        <w:rPr>
          <w:lang w:val="en-US"/>
        </w:rPr>
        <w:t xml:space="preserve">), ro. 143. </w:t>
      </w:r>
    </w:p>
  </w:footnote>
  <w:footnote w:id="34">
    <w:p w14:paraId="2E3460DA" w14:textId="13A482F3" w:rsidR="00791EE5" w:rsidRDefault="00791EE5">
      <w:pPr>
        <w:pStyle w:val="Voetnoottekst"/>
      </w:pPr>
      <w:r>
        <w:rPr>
          <w:rStyle w:val="Voetnootmarkering"/>
        </w:rPr>
        <w:footnoteRef/>
      </w:r>
      <w:r>
        <w:t xml:space="preserve"> Voorgesteld artikel 40b en 40c. </w:t>
      </w:r>
    </w:p>
  </w:footnote>
  <w:footnote w:id="35">
    <w:p w14:paraId="23A7FCA4" w14:textId="58214A2F" w:rsidR="00163542" w:rsidRDefault="00163542">
      <w:pPr>
        <w:pStyle w:val="Voetnoottekst"/>
      </w:pPr>
      <w:r>
        <w:rPr>
          <w:rStyle w:val="Voetnootmarkering"/>
        </w:rPr>
        <w:footnoteRef/>
      </w:r>
      <w:r>
        <w:t xml:space="preserve"> Zie Advies van de Afdeling advisering van de Raad van State van 5 april 2023 over het wetsvoorstel </w:t>
      </w:r>
      <w:r w:rsidRPr="00575EF4">
        <w:t>Wij</w:t>
      </w:r>
      <w:r w:rsidRPr="00575EF4">
        <w:softHyphen/>
        <w:t>zi</w:t>
      </w:r>
      <w:r w:rsidRPr="00575EF4">
        <w:softHyphen/>
        <w:t>ging van de Penitentiai</w:t>
      </w:r>
      <w:r w:rsidRPr="00575EF4">
        <w:softHyphen/>
        <w:t>re be</w:t>
      </w:r>
      <w:r w:rsidRPr="00575EF4">
        <w:softHyphen/>
        <w:t>gin</w:t>
      </w:r>
      <w:r w:rsidRPr="00575EF4">
        <w:softHyphen/>
        <w:t>se</w:t>
      </w:r>
      <w:r w:rsidRPr="00575EF4">
        <w:softHyphen/>
        <w:t>len</w:t>
      </w:r>
      <w:r w:rsidRPr="00575EF4">
        <w:softHyphen/>
        <w:t>wet in ver</w:t>
      </w:r>
      <w:r w:rsidRPr="00575EF4">
        <w:softHyphen/>
        <w:t>band met aan</w:t>
      </w:r>
      <w:r w:rsidRPr="00575EF4">
        <w:softHyphen/>
        <w:t>vul</w:t>
      </w:r>
      <w:r w:rsidRPr="00575EF4">
        <w:softHyphen/>
        <w:t>len</w:t>
      </w:r>
      <w:r w:rsidRPr="00575EF4">
        <w:softHyphen/>
        <w:t>de maat</w:t>
      </w:r>
      <w:r w:rsidRPr="00575EF4">
        <w:softHyphen/>
        <w:t>re</w:t>
      </w:r>
      <w:r w:rsidRPr="00575EF4">
        <w:softHyphen/>
        <w:t>ge</w:t>
      </w:r>
      <w:r w:rsidRPr="00575EF4">
        <w:softHyphen/>
        <w:t>len te</w:t>
      </w:r>
      <w:r w:rsidRPr="00575EF4">
        <w:softHyphen/>
        <w:t>gen ge</w:t>
      </w:r>
      <w:r w:rsidRPr="00575EF4">
        <w:softHyphen/>
        <w:t>or</w:t>
      </w:r>
      <w:r w:rsidRPr="00575EF4">
        <w:softHyphen/>
        <w:t>ga</w:t>
      </w:r>
      <w:r w:rsidRPr="00575EF4">
        <w:softHyphen/>
        <w:t>ni</w:t>
      </w:r>
      <w:r w:rsidRPr="00575EF4">
        <w:softHyphen/>
        <w:t>seer</w:t>
      </w:r>
      <w:r w:rsidRPr="00575EF4">
        <w:softHyphen/>
        <w:t>de cri</w:t>
      </w:r>
      <w:r w:rsidRPr="00575EF4">
        <w:softHyphen/>
        <w:t>mi</w:t>
      </w:r>
      <w:r w:rsidRPr="00575EF4">
        <w:softHyphen/>
        <w:t>na</w:t>
      </w:r>
      <w:r w:rsidRPr="00575EF4">
        <w:softHyphen/>
        <w:t>li</w:t>
      </w:r>
      <w:r w:rsidRPr="00575EF4">
        <w:softHyphen/>
        <w:t>teit tij</w:t>
      </w:r>
      <w:r w:rsidRPr="00575EF4">
        <w:softHyphen/>
        <w:t>dens de</w:t>
      </w:r>
      <w:r w:rsidRPr="00575EF4">
        <w:softHyphen/>
        <w:t>ten</w:t>
      </w:r>
      <w:r w:rsidRPr="00575EF4">
        <w:softHyphen/>
        <w:t>tie</w:t>
      </w:r>
      <w:r>
        <w:t xml:space="preserve">, </w:t>
      </w:r>
      <w:r w:rsidRPr="00620BFC">
        <w:t>Kamerstukken II 2022/23, 36372, nr. 4</w:t>
      </w:r>
      <w:r w:rsidR="006B7368">
        <w:t>, paragraaf 5b</w:t>
      </w:r>
      <w:r w:rsidR="0024709D">
        <w:t xml:space="preserve"> (</w:t>
      </w:r>
      <w:r w:rsidR="0024709D" w:rsidRPr="0024709D">
        <w:t>Belang van individuele belangenafweging, proportionaliteitstoets en adequate waarborgen</w:t>
      </w:r>
      <w:r w:rsidR="0024709D">
        <w:t>)</w:t>
      </w:r>
      <w:r w:rsidR="006B7368">
        <w:t xml:space="preserve">. </w:t>
      </w:r>
      <w:r>
        <w:t xml:space="preserve"> </w:t>
      </w:r>
    </w:p>
  </w:footnote>
  <w:footnote w:id="36">
    <w:p w14:paraId="43651C38" w14:textId="77777777" w:rsidR="000F2E1F" w:rsidRDefault="000F2E1F" w:rsidP="000F2E1F">
      <w:pPr>
        <w:pStyle w:val="Voetnoottekst"/>
      </w:pPr>
      <w:r>
        <w:rPr>
          <w:rStyle w:val="Voetnootmarkering"/>
        </w:rPr>
        <w:footnoteRef/>
      </w:r>
      <w:r>
        <w:t xml:space="preserve"> </w:t>
      </w:r>
      <w:r w:rsidRPr="00723804">
        <w:t xml:space="preserve">Zie ook Raad voor Strafrechtstoepassing en Jeugdbescherming, Toenemende beveiliging in breder perspectief, 23 februari 2023, paragraaf </w:t>
      </w:r>
      <w:r>
        <w:t>4.</w:t>
      </w:r>
    </w:p>
  </w:footnote>
  <w:footnote w:id="37">
    <w:p w14:paraId="2CA6E1DC" w14:textId="5A8FB506" w:rsidR="00DB4CFD" w:rsidRDefault="00DB4CFD">
      <w:pPr>
        <w:pStyle w:val="Voetnoottekst"/>
      </w:pPr>
      <w:r>
        <w:rPr>
          <w:rStyle w:val="Voetnootmarkering"/>
        </w:rPr>
        <w:footnoteRef/>
      </w:r>
      <w:r>
        <w:t xml:space="preserve"> </w:t>
      </w:r>
      <w:r w:rsidR="00AC5DF9">
        <w:t xml:space="preserve">Zie ook </w:t>
      </w:r>
      <w:r w:rsidR="00B34517">
        <w:t xml:space="preserve">S. </w:t>
      </w:r>
      <w:proofErr w:type="spellStart"/>
      <w:r w:rsidR="00B34517">
        <w:t>Struijk</w:t>
      </w:r>
      <w:proofErr w:type="spellEnd"/>
      <w:r w:rsidR="00B34517">
        <w:t xml:space="preserve"> e.a.</w:t>
      </w:r>
      <w:r w:rsidR="00363887">
        <w:t>, Vergelijkend onderzoek Italiaans 41-bis detentieregime</w:t>
      </w:r>
      <w:r w:rsidR="000E6A7A">
        <w:t>, WODC 2023</w:t>
      </w:r>
      <w:r w:rsidR="00AC5DF9">
        <w:t>, p. 141-142</w:t>
      </w:r>
      <w:r w:rsidR="000E6A7A">
        <w:t xml:space="preserve">. </w:t>
      </w:r>
    </w:p>
  </w:footnote>
  <w:footnote w:id="38">
    <w:p w14:paraId="3317D024" w14:textId="4114B6F6" w:rsidR="00CA7B2E" w:rsidRDefault="00CA7B2E">
      <w:pPr>
        <w:pStyle w:val="Voetnoottekst"/>
      </w:pPr>
      <w:r>
        <w:rPr>
          <w:rStyle w:val="Voetnootmarkering"/>
        </w:rPr>
        <w:footnoteRef/>
      </w:r>
      <w:r>
        <w:t xml:space="preserve"> Voorgesteld artikel 40</w:t>
      </w:r>
      <w:r w:rsidR="005C263C">
        <w:t xml:space="preserve">a, vijfde lid. </w:t>
      </w:r>
    </w:p>
  </w:footnote>
  <w:footnote w:id="39">
    <w:p w14:paraId="09E0A2A2" w14:textId="3AC00629" w:rsidR="00095DA3" w:rsidRDefault="00095DA3">
      <w:pPr>
        <w:pStyle w:val="Voetnoottekst"/>
      </w:pPr>
      <w:r>
        <w:rPr>
          <w:rStyle w:val="Voetnootmarkering"/>
        </w:rPr>
        <w:footnoteRef/>
      </w:r>
      <w:r>
        <w:t xml:space="preserve"> </w:t>
      </w:r>
      <w:r w:rsidR="003B3AFB">
        <w:t>Memorie van t</w:t>
      </w:r>
      <w:r w:rsidR="00966BBB">
        <w:t>oelichting, Algemeen deel, p</w:t>
      </w:r>
      <w:r w:rsidR="00BB79EB">
        <w:t xml:space="preserve">aragraaf 4.1 (Maatregelen voor de Afdeling Intensief Toezicht én de Extra Beveiligde Inrichting). </w:t>
      </w:r>
    </w:p>
  </w:footnote>
  <w:footnote w:id="40">
    <w:p w14:paraId="42E52FD4" w14:textId="55420B83" w:rsidR="005823F8" w:rsidRDefault="005823F8">
      <w:pPr>
        <w:pStyle w:val="Voetnoottekst"/>
      </w:pPr>
      <w:r>
        <w:rPr>
          <w:rStyle w:val="Voetnootmarkering"/>
        </w:rPr>
        <w:footnoteRef/>
      </w:r>
      <w:r>
        <w:t xml:space="preserve"> </w:t>
      </w:r>
      <w:r w:rsidR="00107193">
        <w:t>Voorgesteld artikel 40a,</w:t>
      </w:r>
      <w:r w:rsidR="00C73189">
        <w:t xml:space="preserve"> vierde lid</w:t>
      </w:r>
      <w:r w:rsidR="00107193">
        <w:t xml:space="preserve"> onder d.</w:t>
      </w:r>
    </w:p>
  </w:footnote>
  <w:footnote w:id="41">
    <w:p w14:paraId="4A66583B" w14:textId="25485517" w:rsidR="006B6612" w:rsidRDefault="006B6612">
      <w:pPr>
        <w:pStyle w:val="Voetnoottekst"/>
      </w:pPr>
      <w:r>
        <w:rPr>
          <w:rStyle w:val="Voetnootmarkering"/>
        </w:rPr>
        <w:footnoteRef/>
      </w:r>
      <w:r>
        <w:t xml:space="preserve"> Memorie van toelichting, Algemeen deel, paragraaf 3.1 (Probleembeschrijving)</w:t>
      </w:r>
      <w:r w:rsidR="00D61E0C">
        <w:t xml:space="preserve"> en paragraaf 4.1 </w:t>
      </w:r>
      <w:r w:rsidR="00703DDC">
        <w:t>(</w:t>
      </w:r>
      <w:r w:rsidR="00D61E0C">
        <w:t>Maatregelen voor de Afdeling Intensief Toezicht én de Extra Beveiligde Inrichting</w:t>
      </w:r>
      <w:r w:rsidR="00703DDC">
        <w:t>)</w:t>
      </w:r>
      <w:r w:rsidR="005823F8">
        <w:t xml:space="preserve">. </w:t>
      </w:r>
    </w:p>
  </w:footnote>
  <w:footnote w:id="42">
    <w:p w14:paraId="04304E80" w14:textId="2F947F7F" w:rsidR="00107193" w:rsidRDefault="00107193">
      <w:pPr>
        <w:pStyle w:val="Voetnoottekst"/>
      </w:pPr>
      <w:r>
        <w:rPr>
          <w:rStyle w:val="Voetnootmarkering"/>
        </w:rPr>
        <w:footnoteRef/>
      </w:r>
      <w:r>
        <w:t xml:space="preserve"> Voorgesteld artikel 40a, achtste lid. </w:t>
      </w:r>
    </w:p>
  </w:footnote>
  <w:footnote w:id="43">
    <w:p w14:paraId="14846D6F" w14:textId="10CD4FD7" w:rsidR="00341B1D" w:rsidRDefault="00341B1D">
      <w:pPr>
        <w:pStyle w:val="Voetnoottekst"/>
      </w:pPr>
      <w:r>
        <w:rPr>
          <w:rStyle w:val="Voetnootmarkering"/>
        </w:rPr>
        <w:footnoteRef/>
      </w:r>
      <w:r>
        <w:t xml:space="preserve"> </w:t>
      </w:r>
      <w:r w:rsidR="00D32568">
        <w:t xml:space="preserve">Zie onder andere artikel 18 van het Verdrag betreffende werking van de Europese Unie en </w:t>
      </w:r>
      <w:r w:rsidR="00CA4045">
        <w:t xml:space="preserve">artikelen 20 tot en met 22 van het Handvest van de Grondrechten van de Europese Unie. </w:t>
      </w:r>
    </w:p>
  </w:footnote>
  <w:footnote w:id="44">
    <w:p w14:paraId="6C17167F" w14:textId="5554B2EB" w:rsidR="00FC7E04" w:rsidRDefault="00FC7E04">
      <w:pPr>
        <w:pStyle w:val="Voetnoottekst"/>
      </w:pPr>
      <w:r>
        <w:rPr>
          <w:rStyle w:val="Voetnootmarkering"/>
        </w:rPr>
        <w:footnoteRef/>
      </w:r>
      <w:r>
        <w:t xml:space="preserve"> </w:t>
      </w:r>
      <w:r w:rsidR="008454F9" w:rsidRPr="003B3AFB">
        <w:t xml:space="preserve">EHRM 6 oktober 2005, </w:t>
      </w:r>
      <w:r w:rsidR="008454F9" w:rsidRPr="003B3AFB">
        <w:rPr>
          <w:rFonts w:cs="Arial"/>
          <w:color w:val="000000"/>
          <w:shd w:val="clear" w:color="auto" w:fill="FFFFFF"/>
        </w:rPr>
        <w:t>ECLI:CE:ECHR:2005:1006DEC001360002 (</w:t>
      </w:r>
      <w:proofErr w:type="spellStart"/>
      <w:r w:rsidR="008454F9" w:rsidRPr="003B3AFB">
        <w:rPr>
          <w:rFonts w:cs="Arial"/>
          <w:color w:val="000000"/>
          <w:shd w:val="clear" w:color="auto" w:fill="FFFFFF"/>
        </w:rPr>
        <w:t>Baybasin</w:t>
      </w:r>
      <w:proofErr w:type="spellEnd"/>
      <w:r w:rsidR="008454F9" w:rsidRPr="003B3AFB">
        <w:rPr>
          <w:rFonts w:cs="Arial"/>
          <w:color w:val="000000"/>
          <w:shd w:val="clear" w:color="auto" w:fill="FFFFFF"/>
        </w:rPr>
        <w:t xml:space="preserve"> t. Nederland); </w:t>
      </w:r>
      <w:r w:rsidR="00A13CB7" w:rsidRPr="003B3AFB">
        <w:rPr>
          <w:rFonts w:cs="Arial"/>
          <w:color w:val="000000"/>
          <w:shd w:val="clear" w:color="auto" w:fill="FFFFFF"/>
        </w:rPr>
        <w:t xml:space="preserve">EHRM 22 april 2014, </w:t>
      </w:r>
      <w:r w:rsidR="003B3AFB" w:rsidRPr="003B3AFB">
        <w:rPr>
          <w:rFonts w:cs="Arial"/>
          <w:color w:val="000000"/>
          <w:shd w:val="clear" w:color="auto" w:fill="FFFFFF"/>
        </w:rPr>
        <w:t>ECLI:CE:ECHR:2014:0422JUD004375006 (</w:t>
      </w:r>
      <w:proofErr w:type="spellStart"/>
      <w:r w:rsidR="003B3AFB" w:rsidRPr="003B3AFB">
        <w:rPr>
          <w:rFonts w:cs="Arial"/>
          <w:color w:val="000000"/>
          <w:shd w:val="clear" w:color="auto" w:fill="FFFFFF"/>
        </w:rPr>
        <w:t>Nusret</w:t>
      </w:r>
      <w:proofErr w:type="spellEnd"/>
      <w:r w:rsidR="003B3AFB" w:rsidRPr="003B3AFB">
        <w:rPr>
          <w:rFonts w:cs="Arial"/>
          <w:color w:val="000000"/>
          <w:shd w:val="clear" w:color="auto" w:fill="FFFFFF"/>
        </w:rPr>
        <w:t xml:space="preserve"> Kaya t. Turkije).</w:t>
      </w:r>
      <w:r w:rsidR="003B3AFB">
        <w:rPr>
          <w:rFonts w:ascii="Arial" w:hAnsi="Arial" w:cs="Arial"/>
          <w:color w:val="000000"/>
          <w:sz w:val="17"/>
          <w:szCs w:val="17"/>
          <w:shd w:val="clear" w:color="auto" w:fill="FFFFFF"/>
        </w:rPr>
        <w:t xml:space="preserve"> </w:t>
      </w:r>
    </w:p>
  </w:footnote>
  <w:footnote w:id="45">
    <w:p w14:paraId="74B2D360" w14:textId="5871D08D" w:rsidR="005C45FC" w:rsidRDefault="005C45FC">
      <w:pPr>
        <w:pStyle w:val="Voetnoottekst"/>
      </w:pPr>
      <w:r>
        <w:rPr>
          <w:rStyle w:val="Voetnootmarkering"/>
        </w:rPr>
        <w:footnoteRef/>
      </w:r>
      <w:r>
        <w:t xml:space="preserve"> </w:t>
      </w:r>
      <w:r w:rsidR="0066023F">
        <w:t>Memorie van toelichting, Algemeen deel,</w:t>
      </w:r>
      <w:r w:rsidR="00B7011F">
        <w:t xml:space="preserve"> onder andere</w:t>
      </w:r>
      <w:r w:rsidR="0066023F">
        <w:t xml:space="preserve"> paragraaf 3.2 (Probleemaanpak)</w:t>
      </w:r>
      <w:r w:rsidR="00B7011F">
        <w:t xml:space="preserve"> en paragraaf 7.2 (Recht op bescherming van de persoonlijke levenssfeer en recht op family life en het recht op vrijheid van meningsuiting).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50A5D" w14:textId="77777777" w:rsidR="00013028" w:rsidRDefault="0001302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EF8CC" w14:textId="34F88DCF" w:rsidR="00EB2A32" w:rsidRDefault="00643603" w:rsidP="00A11D27">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852525">
      <w:rPr>
        <w:rStyle w:val="Paginanummer"/>
        <w:noProof/>
      </w:rPr>
      <w:t>15</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EF8D2" w14:textId="77777777" w:rsidR="00EB2A32" w:rsidRDefault="00643603" w:rsidP="00A11D27">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1CBEF8D3" w14:textId="77777777" w:rsidR="00EB2A32" w:rsidRDefault="00643603">
    <w:pPr>
      <w:pStyle w:val="Koptekst"/>
    </w:pPr>
    <w:r>
      <w:rPr>
        <w:noProof/>
      </w:rPr>
      <w:drawing>
        <wp:anchor distT="0" distB="0" distL="114300" distR="114300" simplePos="0" relativeHeight="251658240" behindDoc="1" locked="0" layoutInCell="1" allowOverlap="1" wp14:anchorId="1CBEF8DE" wp14:editId="1CBEF8DF">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2D058A"/>
    <w:multiLevelType w:val="hybridMultilevel"/>
    <w:tmpl w:val="C6B49282"/>
    <w:lvl w:ilvl="0" w:tplc="391E98EA">
      <w:start w:val="1"/>
      <w:numFmt w:val="decimal"/>
      <w:lvlText w:val="%1."/>
      <w:lvlJc w:val="left"/>
      <w:pPr>
        <w:ind w:left="1065" w:hanging="705"/>
      </w:pPr>
      <w:rPr>
        <w:rFonts w:hint="default"/>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903762A"/>
    <w:multiLevelType w:val="hybridMultilevel"/>
    <w:tmpl w:val="5E602120"/>
    <w:lvl w:ilvl="0" w:tplc="FFD076CE">
      <w:start w:val="1"/>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7F0"/>
    <w:rsid w:val="00000045"/>
    <w:rsid w:val="00000319"/>
    <w:rsid w:val="00000A2D"/>
    <w:rsid w:val="00000EC6"/>
    <w:rsid w:val="000018D6"/>
    <w:rsid w:val="00001CE5"/>
    <w:rsid w:val="00001EBD"/>
    <w:rsid w:val="00002921"/>
    <w:rsid w:val="00002980"/>
    <w:rsid w:val="00002C9B"/>
    <w:rsid w:val="0000340C"/>
    <w:rsid w:val="0000367F"/>
    <w:rsid w:val="00003A0F"/>
    <w:rsid w:val="000049C9"/>
    <w:rsid w:val="00004C20"/>
    <w:rsid w:val="00004C33"/>
    <w:rsid w:val="000059B4"/>
    <w:rsid w:val="000064C2"/>
    <w:rsid w:val="00007A8D"/>
    <w:rsid w:val="00010200"/>
    <w:rsid w:val="00010D20"/>
    <w:rsid w:val="00010DB2"/>
    <w:rsid w:val="0001195E"/>
    <w:rsid w:val="00011978"/>
    <w:rsid w:val="00013028"/>
    <w:rsid w:val="00013A2C"/>
    <w:rsid w:val="00014504"/>
    <w:rsid w:val="000151C3"/>
    <w:rsid w:val="00015668"/>
    <w:rsid w:val="00015BDA"/>
    <w:rsid w:val="00015BFD"/>
    <w:rsid w:val="00015E7B"/>
    <w:rsid w:val="0001607C"/>
    <w:rsid w:val="000167A2"/>
    <w:rsid w:val="000173BA"/>
    <w:rsid w:val="0001793A"/>
    <w:rsid w:val="00017E38"/>
    <w:rsid w:val="000201BC"/>
    <w:rsid w:val="00020C2E"/>
    <w:rsid w:val="00020F62"/>
    <w:rsid w:val="00021321"/>
    <w:rsid w:val="000214B9"/>
    <w:rsid w:val="00021576"/>
    <w:rsid w:val="00021B3C"/>
    <w:rsid w:val="00021D63"/>
    <w:rsid w:val="0002232C"/>
    <w:rsid w:val="0002235E"/>
    <w:rsid w:val="00022601"/>
    <w:rsid w:val="00023112"/>
    <w:rsid w:val="00023839"/>
    <w:rsid w:val="00025ADB"/>
    <w:rsid w:val="0002709B"/>
    <w:rsid w:val="00027AC5"/>
    <w:rsid w:val="0003002A"/>
    <w:rsid w:val="00030359"/>
    <w:rsid w:val="00031331"/>
    <w:rsid w:val="00031575"/>
    <w:rsid w:val="000315FA"/>
    <w:rsid w:val="000317C5"/>
    <w:rsid w:val="00031A34"/>
    <w:rsid w:val="000320E9"/>
    <w:rsid w:val="00032FF8"/>
    <w:rsid w:val="0003348A"/>
    <w:rsid w:val="000335F0"/>
    <w:rsid w:val="0003377B"/>
    <w:rsid w:val="00033D94"/>
    <w:rsid w:val="00034257"/>
    <w:rsid w:val="0003456F"/>
    <w:rsid w:val="000407ED"/>
    <w:rsid w:val="00041BEC"/>
    <w:rsid w:val="00041EFA"/>
    <w:rsid w:val="00042128"/>
    <w:rsid w:val="0004290C"/>
    <w:rsid w:val="000429BD"/>
    <w:rsid w:val="00042B88"/>
    <w:rsid w:val="000431B2"/>
    <w:rsid w:val="00044012"/>
    <w:rsid w:val="00044271"/>
    <w:rsid w:val="000447C7"/>
    <w:rsid w:val="00045A89"/>
    <w:rsid w:val="00045FAB"/>
    <w:rsid w:val="00046608"/>
    <w:rsid w:val="00047721"/>
    <w:rsid w:val="00047EE4"/>
    <w:rsid w:val="000517F9"/>
    <w:rsid w:val="00052348"/>
    <w:rsid w:val="0005259B"/>
    <w:rsid w:val="00052CAD"/>
    <w:rsid w:val="00052ED4"/>
    <w:rsid w:val="000548B9"/>
    <w:rsid w:val="00054983"/>
    <w:rsid w:val="000565E2"/>
    <w:rsid w:val="00056786"/>
    <w:rsid w:val="000570BD"/>
    <w:rsid w:val="00057CB3"/>
    <w:rsid w:val="000607E9"/>
    <w:rsid w:val="000611F1"/>
    <w:rsid w:val="00061637"/>
    <w:rsid w:val="00061EA0"/>
    <w:rsid w:val="00061F85"/>
    <w:rsid w:val="00062BA6"/>
    <w:rsid w:val="00063BB7"/>
    <w:rsid w:val="00064883"/>
    <w:rsid w:val="00065FC4"/>
    <w:rsid w:val="00066A6B"/>
    <w:rsid w:val="00067B7B"/>
    <w:rsid w:val="00067C81"/>
    <w:rsid w:val="0007029F"/>
    <w:rsid w:val="00070530"/>
    <w:rsid w:val="00070D15"/>
    <w:rsid w:val="000713D8"/>
    <w:rsid w:val="00071D5F"/>
    <w:rsid w:val="00072B15"/>
    <w:rsid w:val="00073C49"/>
    <w:rsid w:val="00074936"/>
    <w:rsid w:val="00074E8B"/>
    <w:rsid w:val="00074E9A"/>
    <w:rsid w:val="00075208"/>
    <w:rsid w:val="000752E4"/>
    <w:rsid w:val="00075956"/>
    <w:rsid w:val="000760C1"/>
    <w:rsid w:val="00076FAF"/>
    <w:rsid w:val="0007756E"/>
    <w:rsid w:val="00077BC2"/>
    <w:rsid w:val="00080FE0"/>
    <w:rsid w:val="00081DCF"/>
    <w:rsid w:val="00081E3C"/>
    <w:rsid w:val="0008284A"/>
    <w:rsid w:val="00082C1A"/>
    <w:rsid w:val="0008491B"/>
    <w:rsid w:val="0008503B"/>
    <w:rsid w:val="00085467"/>
    <w:rsid w:val="00085C6D"/>
    <w:rsid w:val="00085D57"/>
    <w:rsid w:val="00085F63"/>
    <w:rsid w:val="00086169"/>
    <w:rsid w:val="00086714"/>
    <w:rsid w:val="00086B5A"/>
    <w:rsid w:val="00086FB5"/>
    <w:rsid w:val="000903D6"/>
    <w:rsid w:val="00090AA6"/>
    <w:rsid w:val="00090C5D"/>
    <w:rsid w:val="00090DE5"/>
    <w:rsid w:val="00090E68"/>
    <w:rsid w:val="0009147A"/>
    <w:rsid w:val="00091CE6"/>
    <w:rsid w:val="0009236F"/>
    <w:rsid w:val="00092430"/>
    <w:rsid w:val="000928A6"/>
    <w:rsid w:val="00092B65"/>
    <w:rsid w:val="00093104"/>
    <w:rsid w:val="00093402"/>
    <w:rsid w:val="00094886"/>
    <w:rsid w:val="00094F1F"/>
    <w:rsid w:val="00095588"/>
    <w:rsid w:val="00095DA3"/>
    <w:rsid w:val="00095E57"/>
    <w:rsid w:val="00095FA7"/>
    <w:rsid w:val="000969B1"/>
    <w:rsid w:val="00097207"/>
    <w:rsid w:val="000972C3"/>
    <w:rsid w:val="000A0687"/>
    <w:rsid w:val="000A0D7B"/>
    <w:rsid w:val="000A0E76"/>
    <w:rsid w:val="000A0F81"/>
    <w:rsid w:val="000A189C"/>
    <w:rsid w:val="000A317B"/>
    <w:rsid w:val="000A346E"/>
    <w:rsid w:val="000A452B"/>
    <w:rsid w:val="000A5EDF"/>
    <w:rsid w:val="000A5F73"/>
    <w:rsid w:val="000A69A8"/>
    <w:rsid w:val="000A6A49"/>
    <w:rsid w:val="000A70BA"/>
    <w:rsid w:val="000B0B5D"/>
    <w:rsid w:val="000B124B"/>
    <w:rsid w:val="000B12E4"/>
    <w:rsid w:val="000B188D"/>
    <w:rsid w:val="000B26DA"/>
    <w:rsid w:val="000B275C"/>
    <w:rsid w:val="000B287C"/>
    <w:rsid w:val="000B3FAA"/>
    <w:rsid w:val="000B43AE"/>
    <w:rsid w:val="000B5208"/>
    <w:rsid w:val="000B5676"/>
    <w:rsid w:val="000B5B25"/>
    <w:rsid w:val="000B5CB0"/>
    <w:rsid w:val="000B6334"/>
    <w:rsid w:val="000B7455"/>
    <w:rsid w:val="000B7967"/>
    <w:rsid w:val="000B7B82"/>
    <w:rsid w:val="000C0D4D"/>
    <w:rsid w:val="000C27AA"/>
    <w:rsid w:val="000C3D47"/>
    <w:rsid w:val="000C40F7"/>
    <w:rsid w:val="000C4AE6"/>
    <w:rsid w:val="000C4BAA"/>
    <w:rsid w:val="000C4C57"/>
    <w:rsid w:val="000C4F47"/>
    <w:rsid w:val="000C56B9"/>
    <w:rsid w:val="000C57F8"/>
    <w:rsid w:val="000C5DBA"/>
    <w:rsid w:val="000C5FEE"/>
    <w:rsid w:val="000C6316"/>
    <w:rsid w:val="000C69F4"/>
    <w:rsid w:val="000C7293"/>
    <w:rsid w:val="000C7F1F"/>
    <w:rsid w:val="000D001B"/>
    <w:rsid w:val="000D05B5"/>
    <w:rsid w:val="000D0E2C"/>
    <w:rsid w:val="000D32DB"/>
    <w:rsid w:val="000D366C"/>
    <w:rsid w:val="000D3720"/>
    <w:rsid w:val="000D38F8"/>
    <w:rsid w:val="000D3D1F"/>
    <w:rsid w:val="000D4605"/>
    <w:rsid w:val="000D4FBD"/>
    <w:rsid w:val="000D5691"/>
    <w:rsid w:val="000D664E"/>
    <w:rsid w:val="000D67A7"/>
    <w:rsid w:val="000D705B"/>
    <w:rsid w:val="000D74A1"/>
    <w:rsid w:val="000D7FC0"/>
    <w:rsid w:val="000E0B2E"/>
    <w:rsid w:val="000E1808"/>
    <w:rsid w:val="000E1927"/>
    <w:rsid w:val="000E23B6"/>
    <w:rsid w:val="000E2B55"/>
    <w:rsid w:val="000E2D59"/>
    <w:rsid w:val="000E32C2"/>
    <w:rsid w:val="000E3574"/>
    <w:rsid w:val="000E35F8"/>
    <w:rsid w:val="000E3641"/>
    <w:rsid w:val="000E38B5"/>
    <w:rsid w:val="000E3B9A"/>
    <w:rsid w:val="000E3D1F"/>
    <w:rsid w:val="000E3E1F"/>
    <w:rsid w:val="000E4812"/>
    <w:rsid w:val="000E4C84"/>
    <w:rsid w:val="000E52DE"/>
    <w:rsid w:val="000E57C5"/>
    <w:rsid w:val="000E5B3C"/>
    <w:rsid w:val="000E6A7A"/>
    <w:rsid w:val="000E6D09"/>
    <w:rsid w:val="000E74ED"/>
    <w:rsid w:val="000E74FD"/>
    <w:rsid w:val="000E7502"/>
    <w:rsid w:val="000F243E"/>
    <w:rsid w:val="000F2C00"/>
    <w:rsid w:val="000F2E1F"/>
    <w:rsid w:val="000F3239"/>
    <w:rsid w:val="000F41B1"/>
    <w:rsid w:val="000F4468"/>
    <w:rsid w:val="000F4BD4"/>
    <w:rsid w:val="000F4DEC"/>
    <w:rsid w:val="000F55C2"/>
    <w:rsid w:val="000F55CC"/>
    <w:rsid w:val="000F6A9F"/>
    <w:rsid w:val="000F7248"/>
    <w:rsid w:val="000F7BC5"/>
    <w:rsid w:val="001004B5"/>
    <w:rsid w:val="00101555"/>
    <w:rsid w:val="001022A4"/>
    <w:rsid w:val="0010388A"/>
    <w:rsid w:val="00103EB7"/>
    <w:rsid w:val="0010469D"/>
    <w:rsid w:val="0010669E"/>
    <w:rsid w:val="00107193"/>
    <w:rsid w:val="001117B6"/>
    <w:rsid w:val="00111EEB"/>
    <w:rsid w:val="0011231F"/>
    <w:rsid w:val="00112596"/>
    <w:rsid w:val="00113012"/>
    <w:rsid w:val="00113415"/>
    <w:rsid w:val="00113A84"/>
    <w:rsid w:val="00114379"/>
    <w:rsid w:val="00114694"/>
    <w:rsid w:val="001158E5"/>
    <w:rsid w:val="00115E7F"/>
    <w:rsid w:val="0011642F"/>
    <w:rsid w:val="00116523"/>
    <w:rsid w:val="00120566"/>
    <w:rsid w:val="00120B0E"/>
    <w:rsid w:val="00120F6C"/>
    <w:rsid w:val="00120FAE"/>
    <w:rsid w:val="001214D5"/>
    <w:rsid w:val="0012203A"/>
    <w:rsid w:val="00122414"/>
    <w:rsid w:val="001225E9"/>
    <w:rsid w:val="00122701"/>
    <w:rsid w:val="00122BB3"/>
    <w:rsid w:val="00122F97"/>
    <w:rsid w:val="00123353"/>
    <w:rsid w:val="00123D8F"/>
    <w:rsid w:val="00123F38"/>
    <w:rsid w:val="001243FF"/>
    <w:rsid w:val="00124D7D"/>
    <w:rsid w:val="001250E3"/>
    <w:rsid w:val="001255EC"/>
    <w:rsid w:val="001255F3"/>
    <w:rsid w:val="001259B8"/>
    <w:rsid w:val="0012696A"/>
    <w:rsid w:val="00126D55"/>
    <w:rsid w:val="0012764D"/>
    <w:rsid w:val="00130679"/>
    <w:rsid w:val="001315C4"/>
    <w:rsid w:val="0013283D"/>
    <w:rsid w:val="00132D6A"/>
    <w:rsid w:val="00134334"/>
    <w:rsid w:val="00134685"/>
    <w:rsid w:val="00134D85"/>
    <w:rsid w:val="001353EC"/>
    <w:rsid w:val="0013630F"/>
    <w:rsid w:val="00140CDC"/>
    <w:rsid w:val="00140D65"/>
    <w:rsid w:val="00140DE5"/>
    <w:rsid w:val="00143CC3"/>
    <w:rsid w:val="00143E42"/>
    <w:rsid w:val="0014473D"/>
    <w:rsid w:val="001451BF"/>
    <w:rsid w:val="00146324"/>
    <w:rsid w:val="00147013"/>
    <w:rsid w:val="00147ABD"/>
    <w:rsid w:val="00150490"/>
    <w:rsid w:val="001508E8"/>
    <w:rsid w:val="00151025"/>
    <w:rsid w:val="00151774"/>
    <w:rsid w:val="001517EB"/>
    <w:rsid w:val="00151C15"/>
    <w:rsid w:val="00151FBF"/>
    <w:rsid w:val="001522CB"/>
    <w:rsid w:val="00152BCC"/>
    <w:rsid w:val="00154E3A"/>
    <w:rsid w:val="0015531E"/>
    <w:rsid w:val="0015546F"/>
    <w:rsid w:val="00157479"/>
    <w:rsid w:val="001575B3"/>
    <w:rsid w:val="00157FC5"/>
    <w:rsid w:val="00160F97"/>
    <w:rsid w:val="001627B4"/>
    <w:rsid w:val="00162A17"/>
    <w:rsid w:val="00163376"/>
    <w:rsid w:val="00163542"/>
    <w:rsid w:val="00166067"/>
    <w:rsid w:val="001664E9"/>
    <w:rsid w:val="00166A9F"/>
    <w:rsid w:val="00166B58"/>
    <w:rsid w:val="001701D9"/>
    <w:rsid w:val="00170E52"/>
    <w:rsid w:val="001711BB"/>
    <w:rsid w:val="00171574"/>
    <w:rsid w:val="00171C80"/>
    <w:rsid w:val="001720AA"/>
    <w:rsid w:val="0017219E"/>
    <w:rsid w:val="00172995"/>
    <w:rsid w:val="00172AA1"/>
    <w:rsid w:val="001732D5"/>
    <w:rsid w:val="00173371"/>
    <w:rsid w:val="001734CC"/>
    <w:rsid w:val="00173A89"/>
    <w:rsid w:val="001749C4"/>
    <w:rsid w:val="00175F21"/>
    <w:rsid w:val="001760F5"/>
    <w:rsid w:val="0017628C"/>
    <w:rsid w:val="001764E8"/>
    <w:rsid w:val="00176599"/>
    <w:rsid w:val="001768FF"/>
    <w:rsid w:val="00176913"/>
    <w:rsid w:val="00176A21"/>
    <w:rsid w:val="00176AA5"/>
    <w:rsid w:val="0017716D"/>
    <w:rsid w:val="001771D9"/>
    <w:rsid w:val="0017765B"/>
    <w:rsid w:val="0018026A"/>
    <w:rsid w:val="0018030E"/>
    <w:rsid w:val="00180686"/>
    <w:rsid w:val="00180C68"/>
    <w:rsid w:val="001836F3"/>
    <w:rsid w:val="00183964"/>
    <w:rsid w:val="00183ACD"/>
    <w:rsid w:val="00183B1E"/>
    <w:rsid w:val="0018462D"/>
    <w:rsid w:val="0018481A"/>
    <w:rsid w:val="00185405"/>
    <w:rsid w:val="0018569F"/>
    <w:rsid w:val="0018675A"/>
    <w:rsid w:val="00187725"/>
    <w:rsid w:val="00187789"/>
    <w:rsid w:val="00190F83"/>
    <w:rsid w:val="00192D09"/>
    <w:rsid w:val="00192FC1"/>
    <w:rsid w:val="00193059"/>
    <w:rsid w:val="001937B7"/>
    <w:rsid w:val="00193C4B"/>
    <w:rsid w:val="00193D28"/>
    <w:rsid w:val="00193D43"/>
    <w:rsid w:val="00194579"/>
    <w:rsid w:val="00194980"/>
    <w:rsid w:val="00194B31"/>
    <w:rsid w:val="001953FE"/>
    <w:rsid w:val="00196EFF"/>
    <w:rsid w:val="00197C11"/>
    <w:rsid w:val="001A0048"/>
    <w:rsid w:val="001A0ACF"/>
    <w:rsid w:val="001A1559"/>
    <w:rsid w:val="001A19C9"/>
    <w:rsid w:val="001A1C29"/>
    <w:rsid w:val="001A1E44"/>
    <w:rsid w:val="001A234D"/>
    <w:rsid w:val="001A2A2F"/>
    <w:rsid w:val="001A3979"/>
    <w:rsid w:val="001A3F28"/>
    <w:rsid w:val="001A41EB"/>
    <w:rsid w:val="001A45C7"/>
    <w:rsid w:val="001A50E6"/>
    <w:rsid w:val="001A513A"/>
    <w:rsid w:val="001A5812"/>
    <w:rsid w:val="001A5A2F"/>
    <w:rsid w:val="001A6041"/>
    <w:rsid w:val="001A682B"/>
    <w:rsid w:val="001A6E85"/>
    <w:rsid w:val="001A7825"/>
    <w:rsid w:val="001A7892"/>
    <w:rsid w:val="001A7DC0"/>
    <w:rsid w:val="001B297C"/>
    <w:rsid w:val="001B2A0C"/>
    <w:rsid w:val="001B3445"/>
    <w:rsid w:val="001B3843"/>
    <w:rsid w:val="001B3902"/>
    <w:rsid w:val="001B3C24"/>
    <w:rsid w:val="001B4335"/>
    <w:rsid w:val="001B440D"/>
    <w:rsid w:val="001B4C3D"/>
    <w:rsid w:val="001B4F89"/>
    <w:rsid w:val="001B579E"/>
    <w:rsid w:val="001B592B"/>
    <w:rsid w:val="001B5B65"/>
    <w:rsid w:val="001B73B8"/>
    <w:rsid w:val="001B79AB"/>
    <w:rsid w:val="001B7A05"/>
    <w:rsid w:val="001B7E5A"/>
    <w:rsid w:val="001C0543"/>
    <w:rsid w:val="001C0C23"/>
    <w:rsid w:val="001C0CAB"/>
    <w:rsid w:val="001C0DEA"/>
    <w:rsid w:val="001C186E"/>
    <w:rsid w:val="001C41DB"/>
    <w:rsid w:val="001C467E"/>
    <w:rsid w:val="001C5ACD"/>
    <w:rsid w:val="001C6D25"/>
    <w:rsid w:val="001C718F"/>
    <w:rsid w:val="001C7204"/>
    <w:rsid w:val="001C753B"/>
    <w:rsid w:val="001C7A3B"/>
    <w:rsid w:val="001C7A8F"/>
    <w:rsid w:val="001C7A9B"/>
    <w:rsid w:val="001D00D8"/>
    <w:rsid w:val="001D03A9"/>
    <w:rsid w:val="001D0884"/>
    <w:rsid w:val="001D0F7B"/>
    <w:rsid w:val="001D2338"/>
    <w:rsid w:val="001D2536"/>
    <w:rsid w:val="001D2941"/>
    <w:rsid w:val="001D2DBF"/>
    <w:rsid w:val="001D4324"/>
    <w:rsid w:val="001D479D"/>
    <w:rsid w:val="001D48B3"/>
    <w:rsid w:val="001D4989"/>
    <w:rsid w:val="001D4E63"/>
    <w:rsid w:val="001D5034"/>
    <w:rsid w:val="001D5149"/>
    <w:rsid w:val="001D51F4"/>
    <w:rsid w:val="001D6C4A"/>
    <w:rsid w:val="001D6C85"/>
    <w:rsid w:val="001D73F6"/>
    <w:rsid w:val="001D7D54"/>
    <w:rsid w:val="001E09AC"/>
    <w:rsid w:val="001E1652"/>
    <w:rsid w:val="001E174B"/>
    <w:rsid w:val="001E1857"/>
    <w:rsid w:val="001E1ACB"/>
    <w:rsid w:val="001E2028"/>
    <w:rsid w:val="001E217B"/>
    <w:rsid w:val="001E223D"/>
    <w:rsid w:val="001E2737"/>
    <w:rsid w:val="001E2817"/>
    <w:rsid w:val="001E2848"/>
    <w:rsid w:val="001E2AB7"/>
    <w:rsid w:val="001E373F"/>
    <w:rsid w:val="001E38F9"/>
    <w:rsid w:val="001E46F2"/>
    <w:rsid w:val="001E54CE"/>
    <w:rsid w:val="001E553D"/>
    <w:rsid w:val="001E598A"/>
    <w:rsid w:val="001E658A"/>
    <w:rsid w:val="001E66F8"/>
    <w:rsid w:val="001F1885"/>
    <w:rsid w:val="001F1D32"/>
    <w:rsid w:val="001F1E4A"/>
    <w:rsid w:val="001F2396"/>
    <w:rsid w:val="001F268A"/>
    <w:rsid w:val="001F2C42"/>
    <w:rsid w:val="001F2F0E"/>
    <w:rsid w:val="001F3FBC"/>
    <w:rsid w:val="001F40B3"/>
    <w:rsid w:val="001F4C8F"/>
    <w:rsid w:val="001F4DD3"/>
    <w:rsid w:val="001F4EC5"/>
    <w:rsid w:val="001F64A8"/>
    <w:rsid w:val="001F6FF6"/>
    <w:rsid w:val="001F73F3"/>
    <w:rsid w:val="001F79E5"/>
    <w:rsid w:val="002009E8"/>
    <w:rsid w:val="00201322"/>
    <w:rsid w:val="00202BBD"/>
    <w:rsid w:val="00202D09"/>
    <w:rsid w:val="00203D12"/>
    <w:rsid w:val="0020446C"/>
    <w:rsid w:val="00204820"/>
    <w:rsid w:val="002048AE"/>
    <w:rsid w:val="00204E62"/>
    <w:rsid w:val="00204F43"/>
    <w:rsid w:val="00206538"/>
    <w:rsid w:val="00206F2B"/>
    <w:rsid w:val="002071AC"/>
    <w:rsid w:val="00207902"/>
    <w:rsid w:val="00207C47"/>
    <w:rsid w:val="00207FF7"/>
    <w:rsid w:val="00210285"/>
    <w:rsid w:val="002104E4"/>
    <w:rsid w:val="00210EC8"/>
    <w:rsid w:val="002117D5"/>
    <w:rsid w:val="00212883"/>
    <w:rsid w:val="00212CA9"/>
    <w:rsid w:val="002131AC"/>
    <w:rsid w:val="002136A0"/>
    <w:rsid w:val="00214876"/>
    <w:rsid w:val="002148D4"/>
    <w:rsid w:val="002156D9"/>
    <w:rsid w:val="00215BD3"/>
    <w:rsid w:val="00216193"/>
    <w:rsid w:val="0021727A"/>
    <w:rsid w:val="0021798C"/>
    <w:rsid w:val="002203DA"/>
    <w:rsid w:val="0022112D"/>
    <w:rsid w:val="00222AF6"/>
    <w:rsid w:val="00222C2A"/>
    <w:rsid w:val="0022311B"/>
    <w:rsid w:val="00224414"/>
    <w:rsid w:val="0022494B"/>
    <w:rsid w:val="0022659F"/>
    <w:rsid w:val="00226781"/>
    <w:rsid w:val="00226861"/>
    <w:rsid w:val="00227143"/>
    <w:rsid w:val="00227341"/>
    <w:rsid w:val="00227AEF"/>
    <w:rsid w:val="00227C7B"/>
    <w:rsid w:val="00227CDB"/>
    <w:rsid w:val="002301B2"/>
    <w:rsid w:val="0023062A"/>
    <w:rsid w:val="0023080E"/>
    <w:rsid w:val="00230E9F"/>
    <w:rsid w:val="002313A2"/>
    <w:rsid w:val="0023170B"/>
    <w:rsid w:val="00231AE6"/>
    <w:rsid w:val="002323FC"/>
    <w:rsid w:val="002331E4"/>
    <w:rsid w:val="00233653"/>
    <w:rsid w:val="00234258"/>
    <w:rsid w:val="0023457E"/>
    <w:rsid w:val="0023494B"/>
    <w:rsid w:val="00235409"/>
    <w:rsid w:val="0023650E"/>
    <w:rsid w:val="00236840"/>
    <w:rsid w:val="00236A0F"/>
    <w:rsid w:val="00240C5C"/>
    <w:rsid w:val="00242017"/>
    <w:rsid w:val="0024302E"/>
    <w:rsid w:val="00243BA8"/>
    <w:rsid w:val="002445CA"/>
    <w:rsid w:val="00244746"/>
    <w:rsid w:val="002449C1"/>
    <w:rsid w:val="00244FCD"/>
    <w:rsid w:val="00245501"/>
    <w:rsid w:val="00245878"/>
    <w:rsid w:val="00245E21"/>
    <w:rsid w:val="00245ED5"/>
    <w:rsid w:val="0024709D"/>
    <w:rsid w:val="00247233"/>
    <w:rsid w:val="00250AEF"/>
    <w:rsid w:val="00250D1F"/>
    <w:rsid w:val="00250EA7"/>
    <w:rsid w:val="00251F60"/>
    <w:rsid w:val="0025243E"/>
    <w:rsid w:val="0025287A"/>
    <w:rsid w:val="002528FA"/>
    <w:rsid w:val="00252992"/>
    <w:rsid w:val="002530FB"/>
    <w:rsid w:val="00253685"/>
    <w:rsid w:val="002537C9"/>
    <w:rsid w:val="00254567"/>
    <w:rsid w:val="00255186"/>
    <w:rsid w:val="00255403"/>
    <w:rsid w:val="00255B0F"/>
    <w:rsid w:val="00255EDF"/>
    <w:rsid w:val="002560C4"/>
    <w:rsid w:val="0025702A"/>
    <w:rsid w:val="0025714C"/>
    <w:rsid w:val="00257241"/>
    <w:rsid w:val="0026051A"/>
    <w:rsid w:val="0026065B"/>
    <w:rsid w:val="00260682"/>
    <w:rsid w:val="00260BAD"/>
    <w:rsid w:val="00260C05"/>
    <w:rsid w:val="00261278"/>
    <w:rsid w:val="00261B1C"/>
    <w:rsid w:val="00261EA9"/>
    <w:rsid w:val="00263474"/>
    <w:rsid w:val="002636B7"/>
    <w:rsid w:val="002648B2"/>
    <w:rsid w:val="00264D16"/>
    <w:rsid w:val="002655D0"/>
    <w:rsid w:val="00266332"/>
    <w:rsid w:val="00266D7C"/>
    <w:rsid w:val="002670F2"/>
    <w:rsid w:val="0026715D"/>
    <w:rsid w:val="002707B8"/>
    <w:rsid w:val="002715B4"/>
    <w:rsid w:val="00271806"/>
    <w:rsid w:val="00271E98"/>
    <w:rsid w:val="00271FFF"/>
    <w:rsid w:val="0027203E"/>
    <w:rsid w:val="00274309"/>
    <w:rsid w:val="0027435C"/>
    <w:rsid w:val="002743C6"/>
    <w:rsid w:val="002743FF"/>
    <w:rsid w:val="00276CF5"/>
    <w:rsid w:val="00276E38"/>
    <w:rsid w:val="00277D4D"/>
    <w:rsid w:val="00277D90"/>
    <w:rsid w:val="0028249D"/>
    <w:rsid w:val="00282B6F"/>
    <w:rsid w:val="00282D39"/>
    <w:rsid w:val="00282FDA"/>
    <w:rsid w:val="0028324D"/>
    <w:rsid w:val="00284666"/>
    <w:rsid w:val="0028585D"/>
    <w:rsid w:val="00285924"/>
    <w:rsid w:val="00285957"/>
    <w:rsid w:val="00285F48"/>
    <w:rsid w:val="002866BB"/>
    <w:rsid w:val="00286971"/>
    <w:rsid w:val="00286C2E"/>
    <w:rsid w:val="0028763D"/>
    <w:rsid w:val="0028785F"/>
    <w:rsid w:val="0029056B"/>
    <w:rsid w:val="0029084A"/>
    <w:rsid w:val="002909ED"/>
    <w:rsid w:val="00292ECA"/>
    <w:rsid w:val="00293804"/>
    <w:rsid w:val="002946CC"/>
    <w:rsid w:val="00294C5F"/>
    <w:rsid w:val="00295AAE"/>
    <w:rsid w:val="00295E6F"/>
    <w:rsid w:val="00296065"/>
    <w:rsid w:val="002965C2"/>
    <w:rsid w:val="002969CE"/>
    <w:rsid w:val="00297258"/>
    <w:rsid w:val="00297638"/>
    <w:rsid w:val="00297ABB"/>
    <w:rsid w:val="00297CE9"/>
    <w:rsid w:val="002A0921"/>
    <w:rsid w:val="002A0FCE"/>
    <w:rsid w:val="002A15EF"/>
    <w:rsid w:val="002A3827"/>
    <w:rsid w:val="002A39DF"/>
    <w:rsid w:val="002A3B5D"/>
    <w:rsid w:val="002A4243"/>
    <w:rsid w:val="002A6817"/>
    <w:rsid w:val="002A75D0"/>
    <w:rsid w:val="002A75D1"/>
    <w:rsid w:val="002A7AFB"/>
    <w:rsid w:val="002A7E30"/>
    <w:rsid w:val="002A7F82"/>
    <w:rsid w:val="002B0028"/>
    <w:rsid w:val="002B0F8B"/>
    <w:rsid w:val="002B0FB8"/>
    <w:rsid w:val="002B2A44"/>
    <w:rsid w:val="002B2D45"/>
    <w:rsid w:val="002B2F73"/>
    <w:rsid w:val="002B305D"/>
    <w:rsid w:val="002B31C8"/>
    <w:rsid w:val="002B3E13"/>
    <w:rsid w:val="002B49DC"/>
    <w:rsid w:val="002B505D"/>
    <w:rsid w:val="002B6376"/>
    <w:rsid w:val="002B6599"/>
    <w:rsid w:val="002B6A16"/>
    <w:rsid w:val="002B6A57"/>
    <w:rsid w:val="002C0241"/>
    <w:rsid w:val="002C0254"/>
    <w:rsid w:val="002C1801"/>
    <w:rsid w:val="002C2130"/>
    <w:rsid w:val="002C29A6"/>
    <w:rsid w:val="002C30DB"/>
    <w:rsid w:val="002C40FD"/>
    <w:rsid w:val="002C433D"/>
    <w:rsid w:val="002C4519"/>
    <w:rsid w:val="002C47F6"/>
    <w:rsid w:val="002C61B4"/>
    <w:rsid w:val="002C780E"/>
    <w:rsid w:val="002C7908"/>
    <w:rsid w:val="002C7BD0"/>
    <w:rsid w:val="002D0709"/>
    <w:rsid w:val="002D0ECC"/>
    <w:rsid w:val="002D2482"/>
    <w:rsid w:val="002D251C"/>
    <w:rsid w:val="002D3A62"/>
    <w:rsid w:val="002D3CEF"/>
    <w:rsid w:val="002D417A"/>
    <w:rsid w:val="002D44AD"/>
    <w:rsid w:val="002D4BB4"/>
    <w:rsid w:val="002D51AD"/>
    <w:rsid w:val="002D5284"/>
    <w:rsid w:val="002D5857"/>
    <w:rsid w:val="002D5BDF"/>
    <w:rsid w:val="002D6808"/>
    <w:rsid w:val="002D71A8"/>
    <w:rsid w:val="002E0188"/>
    <w:rsid w:val="002E03A6"/>
    <w:rsid w:val="002E08D7"/>
    <w:rsid w:val="002E110A"/>
    <w:rsid w:val="002E1652"/>
    <w:rsid w:val="002E23E4"/>
    <w:rsid w:val="002E2685"/>
    <w:rsid w:val="002E27C2"/>
    <w:rsid w:val="002E2F0D"/>
    <w:rsid w:val="002E3203"/>
    <w:rsid w:val="002E380F"/>
    <w:rsid w:val="002E5D97"/>
    <w:rsid w:val="002E67FC"/>
    <w:rsid w:val="002E72EE"/>
    <w:rsid w:val="002E7550"/>
    <w:rsid w:val="002E76A7"/>
    <w:rsid w:val="002E7727"/>
    <w:rsid w:val="002E7D7D"/>
    <w:rsid w:val="002F045D"/>
    <w:rsid w:val="002F0619"/>
    <w:rsid w:val="002F0B42"/>
    <w:rsid w:val="002F152E"/>
    <w:rsid w:val="002F19FE"/>
    <w:rsid w:val="002F1DDD"/>
    <w:rsid w:val="002F254C"/>
    <w:rsid w:val="002F2E7E"/>
    <w:rsid w:val="002F2EB5"/>
    <w:rsid w:val="002F34D9"/>
    <w:rsid w:val="002F35C4"/>
    <w:rsid w:val="002F46F7"/>
    <w:rsid w:val="002F544B"/>
    <w:rsid w:val="002F59F2"/>
    <w:rsid w:val="002F5AD7"/>
    <w:rsid w:val="002F624D"/>
    <w:rsid w:val="002F62B5"/>
    <w:rsid w:val="002F634D"/>
    <w:rsid w:val="002F65E3"/>
    <w:rsid w:val="002F66EC"/>
    <w:rsid w:val="002F674B"/>
    <w:rsid w:val="002F696F"/>
    <w:rsid w:val="002F6D28"/>
    <w:rsid w:val="002F6F7A"/>
    <w:rsid w:val="002F77CD"/>
    <w:rsid w:val="002F7902"/>
    <w:rsid w:val="0030039E"/>
    <w:rsid w:val="00300434"/>
    <w:rsid w:val="00300967"/>
    <w:rsid w:val="0030180F"/>
    <w:rsid w:val="00301987"/>
    <w:rsid w:val="00302815"/>
    <w:rsid w:val="00303623"/>
    <w:rsid w:val="00303FBC"/>
    <w:rsid w:val="0030475D"/>
    <w:rsid w:val="00304B6C"/>
    <w:rsid w:val="00304B6E"/>
    <w:rsid w:val="00305A0C"/>
    <w:rsid w:val="003060E9"/>
    <w:rsid w:val="003061EA"/>
    <w:rsid w:val="00306D7E"/>
    <w:rsid w:val="0030717D"/>
    <w:rsid w:val="0030762C"/>
    <w:rsid w:val="00307801"/>
    <w:rsid w:val="003079A9"/>
    <w:rsid w:val="00307B1C"/>
    <w:rsid w:val="00307DAE"/>
    <w:rsid w:val="00310246"/>
    <w:rsid w:val="0031108C"/>
    <w:rsid w:val="00311984"/>
    <w:rsid w:val="00312A39"/>
    <w:rsid w:val="0031301D"/>
    <w:rsid w:val="003138F8"/>
    <w:rsid w:val="00314380"/>
    <w:rsid w:val="00314689"/>
    <w:rsid w:val="003146F9"/>
    <w:rsid w:val="003147C2"/>
    <w:rsid w:val="003149E5"/>
    <w:rsid w:val="0031524A"/>
    <w:rsid w:val="00315EA9"/>
    <w:rsid w:val="00316037"/>
    <w:rsid w:val="00316336"/>
    <w:rsid w:val="00316A19"/>
    <w:rsid w:val="00317A55"/>
    <w:rsid w:val="00317A58"/>
    <w:rsid w:val="00317B84"/>
    <w:rsid w:val="00317DC4"/>
    <w:rsid w:val="00317E4A"/>
    <w:rsid w:val="00317E7D"/>
    <w:rsid w:val="003201F4"/>
    <w:rsid w:val="00320B8D"/>
    <w:rsid w:val="00320E09"/>
    <w:rsid w:val="00321001"/>
    <w:rsid w:val="00321180"/>
    <w:rsid w:val="003216A2"/>
    <w:rsid w:val="00321C39"/>
    <w:rsid w:val="00322AA5"/>
    <w:rsid w:val="00322FD1"/>
    <w:rsid w:val="00323E0F"/>
    <w:rsid w:val="00323F39"/>
    <w:rsid w:val="0032484F"/>
    <w:rsid w:val="00324FEF"/>
    <w:rsid w:val="003259E7"/>
    <w:rsid w:val="00325D1A"/>
    <w:rsid w:val="00326035"/>
    <w:rsid w:val="00326E2E"/>
    <w:rsid w:val="00327624"/>
    <w:rsid w:val="0033056C"/>
    <w:rsid w:val="00330E18"/>
    <w:rsid w:val="003323C3"/>
    <w:rsid w:val="00332871"/>
    <w:rsid w:val="00332B00"/>
    <w:rsid w:val="003337C4"/>
    <w:rsid w:val="003339C2"/>
    <w:rsid w:val="00334B6B"/>
    <w:rsid w:val="003351ED"/>
    <w:rsid w:val="00335BD3"/>
    <w:rsid w:val="00335C75"/>
    <w:rsid w:val="00335F94"/>
    <w:rsid w:val="003365F8"/>
    <w:rsid w:val="003366FB"/>
    <w:rsid w:val="00336CE7"/>
    <w:rsid w:val="003371A4"/>
    <w:rsid w:val="0033755B"/>
    <w:rsid w:val="00337679"/>
    <w:rsid w:val="0033788B"/>
    <w:rsid w:val="0034081E"/>
    <w:rsid w:val="00340960"/>
    <w:rsid w:val="0034099F"/>
    <w:rsid w:val="00341B1D"/>
    <w:rsid w:val="00341B2F"/>
    <w:rsid w:val="0034291D"/>
    <w:rsid w:val="003438DF"/>
    <w:rsid w:val="00343967"/>
    <w:rsid w:val="003439A8"/>
    <w:rsid w:val="00343F96"/>
    <w:rsid w:val="00345051"/>
    <w:rsid w:val="003450FE"/>
    <w:rsid w:val="003453A6"/>
    <w:rsid w:val="0034559F"/>
    <w:rsid w:val="00345A18"/>
    <w:rsid w:val="00345BB6"/>
    <w:rsid w:val="0034621C"/>
    <w:rsid w:val="003469FA"/>
    <w:rsid w:val="003473DB"/>
    <w:rsid w:val="00347791"/>
    <w:rsid w:val="00350001"/>
    <w:rsid w:val="0035006B"/>
    <w:rsid w:val="00350181"/>
    <w:rsid w:val="003505E9"/>
    <w:rsid w:val="00350886"/>
    <w:rsid w:val="0035097E"/>
    <w:rsid w:val="00350CC9"/>
    <w:rsid w:val="00351926"/>
    <w:rsid w:val="003521C2"/>
    <w:rsid w:val="00352528"/>
    <w:rsid w:val="00352736"/>
    <w:rsid w:val="00353082"/>
    <w:rsid w:val="00354189"/>
    <w:rsid w:val="003541FB"/>
    <w:rsid w:val="00354694"/>
    <w:rsid w:val="00355680"/>
    <w:rsid w:val="0035671F"/>
    <w:rsid w:val="003568B2"/>
    <w:rsid w:val="003569E0"/>
    <w:rsid w:val="003570A3"/>
    <w:rsid w:val="00357777"/>
    <w:rsid w:val="00357ECD"/>
    <w:rsid w:val="00360CFE"/>
    <w:rsid w:val="0036253F"/>
    <w:rsid w:val="003625BD"/>
    <w:rsid w:val="00362D3B"/>
    <w:rsid w:val="0036334E"/>
    <w:rsid w:val="00363887"/>
    <w:rsid w:val="0036396E"/>
    <w:rsid w:val="00363EAD"/>
    <w:rsid w:val="00364BEA"/>
    <w:rsid w:val="00364CF8"/>
    <w:rsid w:val="003650E7"/>
    <w:rsid w:val="003656B0"/>
    <w:rsid w:val="00365747"/>
    <w:rsid w:val="00366034"/>
    <w:rsid w:val="003675B7"/>
    <w:rsid w:val="003700A6"/>
    <w:rsid w:val="00370B29"/>
    <w:rsid w:val="00370BC5"/>
    <w:rsid w:val="00370BE8"/>
    <w:rsid w:val="003714EE"/>
    <w:rsid w:val="00372464"/>
    <w:rsid w:val="00372B7A"/>
    <w:rsid w:val="00372D63"/>
    <w:rsid w:val="00372E20"/>
    <w:rsid w:val="003732DD"/>
    <w:rsid w:val="003734BF"/>
    <w:rsid w:val="0037391E"/>
    <w:rsid w:val="0037407C"/>
    <w:rsid w:val="0037424D"/>
    <w:rsid w:val="00374595"/>
    <w:rsid w:val="0037637F"/>
    <w:rsid w:val="0037695F"/>
    <w:rsid w:val="00376DB6"/>
    <w:rsid w:val="00377EDC"/>
    <w:rsid w:val="00377F24"/>
    <w:rsid w:val="0038146A"/>
    <w:rsid w:val="00381C62"/>
    <w:rsid w:val="0038237C"/>
    <w:rsid w:val="00382CC2"/>
    <w:rsid w:val="0038392E"/>
    <w:rsid w:val="00383984"/>
    <w:rsid w:val="00383CD8"/>
    <w:rsid w:val="00383E9F"/>
    <w:rsid w:val="0038471F"/>
    <w:rsid w:val="0038548A"/>
    <w:rsid w:val="0038548D"/>
    <w:rsid w:val="00385EB4"/>
    <w:rsid w:val="0038752A"/>
    <w:rsid w:val="00390878"/>
    <w:rsid w:val="00390955"/>
    <w:rsid w:val="003912E9"/>
    <w:rsid w:val="003917DA"/>
    <w:rsid w:val="003919AB"/>
    <w:rsid w:val="003919FB"/>
    <w:rsid w:val="00391B8B"/>
    <w:rsid w:val="00391D71"/>
    <w:rsid w:val="00391E24"/>
    <w:rsid w:val="00392196"/>
    <w:rsid w:val="0039225D"/>
    <w:rsid w:val="00392B31"/>
    <w:rsid w:val="00392CAD"/>
    <w:rsid w:val="00393307"/>
    <w:rsid w:val="00393D09"/>
    <w:rsid w:val="00394511"/>
    <w:rsid w:val="00394841"/>
    <w:rsid w:val="00394977"/>
    <w:rsid w:val="00394B45"/>
    <w:rsid w:val="00395107"/>
    <w:rsid w:val="003961E7"/>
    <w:rsid w:val="003968C9"/>
    <w:rsid w:val="0039758B"/>
    <w:rsid w:val="00397E14"/>
    <w:rsid w:val="003A02A5"/>
    <w:rsid w:val="003A0A15"/>
    <w:rsid w:val="003A0A82"/>
    <w:rsid w:val="003A0B48"/>
    <w:rsid w:val="003A0E7F"/>
    <w:rsid w:val="003A1D76"/>
    <w:rsid w:val="003A216B"/>
    <w:rsid w:val="003A26C6"/>
    <w:rsid w:val="003A29A7"/>
    <w:rsid w:val="003A41D4"/>
    <w:rsid w:val="003A4A09"/>
    <w:rsid w:val="003A4B1F"/>
    <w:rsid w:val="003A5DD7"/>
    <w:rsid w:val="003A6718"/>
    <w:rsid w:val="003A7125"/>
    <w:rsid w:val="003B083E"/>
    <w:rsid w:val="003B0EC2"/>
    <w:rsid w:val="003B1358"/>
    <w:rsid w:val="003B1D29"/>
    <w:rsid w:val="003B3AFB"/>
    <w:rsid w:val="003B46D6"/>
    <w:rsid w:val="003B6194"/>
    <w:rsid w:val="003B6527"/>
    <w:rsid w:val="003B659A"/>
    <w:rsid w:val="003B6975"/>
    <w:rsid w:val="003B6B0C"/>
    <w:rsid w:val="003B6F1E"/>
    <w:rsid w:val="003B73A1"/>
    <w:rsid w:val="003C0078"/>
    <w:rsid w:val="003C0948"/>
    <w:rsid w:val="003C1353"/>
    <w:rsid w:val="003C1603"/>
    <w:rsid w:val="003C16DA"/>
    <w:rsid w:val="003C1FA1"/>
    <w:rsid w:val="003C2F3D"/>
    <w:rsid w:val="003C3013"/>
    <w:rsid w:val="003C34FA"/>
    <w:rsid w:val="003C351B"/>
    <w:rsid w:val="003C3993"/>
    <w:rsid w:val="003C3C04"/>
    <w:rsid w:val="003C3F80"/>
    <w:rsid w:val="003C4EDF"/>
    <w:rsid w:val="003C5F3F"/>
    <w:rsid w:val="003C696B"/>
    <w:rsid w:val="003C6BD4"/>
    <w:rsid w:val="003C6D76"/>
    <w:rsid w:val="003D0C04"/>
    <w:rsid w:val="003D0C82"/>
    <w:rsid w:val="003D1928"/>
    <w:rsid w:val="003D29A1"/>
    <w:rsid w:val="003D315E"/>
    <w:rsid w:val="003D3793"/>
    <w:rsid w:val="003D3C97"/>
    <w:rsid w:val="003D4475"/>
    <w:rsid w:val="003D4489"/>
    <w:rsid w:val="003D54C2"/>
    <w:rsid w:val="003D5CF1"/>
    <w:rsid w:val="003D6733"/>
    <w:rsid w:val="003D69E9"/>
    <w:rsid w:val="003D6D59"/>
    <w:rsid w:val="003D79F2"/>
    <w:rsid w:val="003D7C7D"/>
    <w:rsid w:val="003D7EB7"/>
    <w:rsid w:val="003E036A"/>
    <w:rsid w:val="003E1251"/>
    <w:rsid w:val="003E1B55"/>
    <w:rsid w:val="003E2CD8"/>
    <w:rsid w:val="003E357B"/>
    <w:rsid w:val="003E3920"/>
    <w:rsid w:val="003E3DA4"/>
    <w:rsid w:val="003E5664"/>
    <w:rsid w:val="003E6056"/>
    <w:rsid w:val="003E69EB"/>
    <w:rsid w:val="003E6AE7"/>
    <w:rsid w:val="003E6C83"/>
    <w:rsid w:val="003E73A7"/>
    <w:rsid w:val="003F047B"/>
    <w:rsid w:val="003F08F4"/>
    <w:rsid w:val="003F1292"/>
    <w:rsid w:val="003F142F"/>
    <w:rsid w:val="003F1C45"/>
    <w:rsid w:val="003F1FDA"/>
    <w:rsid w:val="003F21A3"/>
    <w:rsid w:val="003F2A96"/>
    <w:rsid w:val="003F2D31"/>
    <w:rsid w:val="003F3036"/>
    <w:rsid w:val="003F32A7"/>
    <w:rsid w:val="003F35A5"/>
    <w:rsid w:val="003F4CF6"/>
    <w:rsid w:val="003F5903"/>
    <w:rsid w:val="003F5B80"/>
    <w:rsid w:val="003F63BD"/>
    <w:rsid w:val="004002BC"/>
    <w:rsid w:val="00400B6B"/>
    <w:rsid w:val="00400FB3"/>
    <w:rsid w:val="0040197D"/>
    <w:rsid w:val="00401BFB"/>
    <w:rsid w:val="00401D63"/>
    <w:rsid w:val="00403E36"/>
    <w:rsid w:val="00404B3B"/>
    <w:rsid w:val="00404D49"/>
    <w:rsid w:val="00404E4D"/>
    <w:rsid w:val="004053D4"/>
    <w:rsid w:val="00405682"/>
    <w:rsid w:val="00405CC8"/>
    <w:rsid w:val="0040744F"/>
    <w:rsid w:val="00410346"/>
    <w:rsid w:val="004109B1"/>
    <w:rsid w:val="0041210F"/>
    <w:rsid w:val="0041288B"/>
    <w:rsid w:val="00413500"/>
    <w:rsid w:val="0041374E"/>
    <w:rsid w:val="004137AB"/>
    <w:rsid w:val="00413C3F"/>
    <w:rsid w:val="00414237"/>
    <w:rsid w:val="00415177"/>
    <w:rsid w:val="00416105"/>
    <w:rsid w:val="00416750"/>
    <w:rsid w:val="00416944"/>
    <w:rsid w:val="00416F31"/>
    <w:rsid w:val="00417120"/>
    <w:rsid w:val="00417485"/>
    <w:rsid w:val="00420555"/>
    <w:rsid w:val="004206CF"/>
    <w:rsid w:val="0042081C"/>
    <w:rsid w:val="00422109"/>
    <w:rsid w:val="00422769"/>
    <w:rsid w:val="004229EB"/>
    <w:rsid w:val="00422FE1"/>
    <w:rsid w:val="004244D7"/>
    <w:rsid w:val="004247AC"/>
    <w:rsid w:val="00424ED6"/>
    <w:rsid w:val="00425290"/>
    <w:rsid w:val="004253AF"/>
    <w:rsid w:val="00425948"/>
    <w:rsid w:val="00426205"/>
    <w:rsid w:val="00426599"/>
    <w:rsid w:val="00426B59"/>
    <w:rsid w:val="00426C67"/>
    <w:rsid w:val="00427B23"/>
    <w:rsid w:val="00427D4B"/>
    <w:rsid w:val="00430DB4"/>
    <w:rsid w:val="00431EBC"/>
    <w:rsid w:val="00432298"/>
    <w:rsid w:val="0043352C"/>
    <w:rsid w:val="00434BE1"/>
    <w:rsid w:val="00434BE6"/>
    <w:rsid w:val="004351A9"/>
    <w:rsid w:val="00435520"/>
    <w:rsid w:val="00435F80"/>
    <w:rsid w:val="004360E3"/>
    <w:rsid w:val="00436ADE"/>
    <w:rsid w:val="00436CD4"/>
    <w:rsid w:val="00437867"/>
    <w:rsid w:val="00437AB5"/>
    <w:rsid w:val="00437AF5"/>
    <w:rsid w:val="00437E61"/>
    <w:rsid w:val="00437FDA"/>
    <w:rsid w:val="0044094C"/>
    <w:rsid w:val="00440FF5"/>
    <w:rsid w:val="00441B76"/>
    <w:rsid w:val="00441F66"/>
    <w:rsid w:val="00442D34"/>
    <w:rsid w:val="0044373E"/>
    <w:rsid w:val="00443AA4"/>
    <w:rsid w:val="00443ABB"/>
    <w:rsid w:val="00443C80"/>
    <w:rsid w:val="004450F3"/>
    <w:rsid w:val="004475F0"/>
    <w:rsid w:val="00447DE0"/>
    <w:rsid w:val="0045010F"/>
    <w:rsid w:val="00450196"/>
    <w:rsid w:val="00450BEE"/>
    <w:rsid w:val="00451225"/>
    <w:rsid w:val="004512D4"/>
    <w:rsid w:val="00451506"/>
    <w:rsid w:val="00451A67"/>
    <w:rsid w:val="00452ED7"/>
    <w:rsid w:val="0045356F"/>
    <w:rsid w:val="00453794"/>
    <w:rsid w:val="00453D23"/>
    <w:rsid w:val="00453F6C"/>
    <w:rsid w:val="0045486C"/>
    <w:rsid w:val="00454FE5"/>
    <w:rsid w:val="004554E3"/>
    <w:rsid w:val="00455E44"/>
    <w:rsid w:val="004560D3"/>
    <w:rsid w:val="00456336"/>
    <w:rsid w:val="0045657A"/>
    <w:rsid w:val="004568F0"/>
    <w:rsid w:val="00457422"/>
    <w:rsid w:val="00457811"/>
    <w:rsid w:val="00457B29"/>
    <w:rsid w:val="00457D97"/>
    <w:rsid w:val="004607BD"/>
    <w:rsid w:val="004621F1"/>
    <w:rsid w:val="004630F3"/>
    <w:rsid w:val="00463DFF"/>
    <w:rsid w:val="004650C5"/>
    <w:rsid w:val="0046569C"/>
    <w:rsid w:val="00465DB5"/>
    <w:rsid w:val="00467A8D"/>
    <w:rsid w:val="00470265"/>
    <w:rsid w:val="00470F77"/>
    <w:rsid w:val="00471175"/>
    <w:rsid w:val="00472F7F"/>
    <w:rsid w:val="0047310F"/>
    <w:rsid w:val="00474095"/>
    <w:rsid w:val="004742AB"/>
    <w:rsid w:val="004744BE"/>
    <w:rsid w:val="00474AD4"/>
    <w:rsid w:val="004755A3"/>
    <w:rsid w:val="00475665"/>
    <w:rsid w:val="00475E18"/>
    <w:rsid w:val="0047613B"/>
    <w:rsid w:val="0047623B"/>
    <w:rsid w:val="004763A2"/>
    <w:rsid w:val="00476D97"/>
    <w:rsid w:val="00477317"/>
    <w:rsid w:val="004774C7"/>
    <w:rsid w:val="00477672"/>
    <w:rsid w:val="00480238"/>
    <w:rsid w:val="00480419"/>
    <w:rsid w:val="00480D44"/>
    <w:rsid w:val="00481A7C"/>
    <w:rsid w:val="00481D5C"/>
    <w:rsid w:val="00482A14"/>
    <w:rsid w:val="00482A1F"/>
    <w:rsid w:val="0048340B"/>
    <w:rsid w:val="00483C35"/>
    <w:rsid w:val="0048454C"/>
    <w:rsid w:val="00484608"/>
    <w:rsid w:val="00484DFB"/>
    <w:rsid w:val="00486072"/>
    <w:rsid w:val="00486239"/>
    <w:rsid w:val="004864C6"/>
    <w:rsid w:val="00487C1A"/>
    <w:rsid w:val="00490A03"/>
    <w:rsid w:val="00490ADB"/>
    <w:rsid w:val="004916DF"/>
    <w:rsid w:val="004917A6"/>
    <w:rsid w:val="0049187F"/>
    <w:rsid w:val="004921E5"/>
    <w:rsid w:val="00492416"/>
    <w:rsid w:val="00492692"/>
    <w:rsid w:val="00492705"/>
    <w:rsid w:val="00492EFA"/>
    <w:rsid w:val="0049438B"/>
    <w:rsid w:val="00494A60"/>
    <w:rsid w:val="00494EA9"/>
    <w:rsid w:val="00496DB5"/>
    <w:rsid w:val="00496E02"/>
    <w:rsid w:val="0049724C"/>
    <w:rsid w:val="004A0110"/>
    <w:rsid w:val="004A0334"/>
    <w:rsid w:val="004A1BB3"/>
    <w:rsid w:val="004A1E0A"/>
    <w:rsid w:val="004A210D"/>
    <w:rsid w:val="004A256F"/>
    <w:rsid w:val="004A2583"/>
    <w:rsid w:val="004A2754"/>
    <w:rsid w:val="004A2F3F"/>
    <w:rsid w:val="004A42FF"/>
    <w:rsid w:val="004A4B9C"/>
    <w:rsid w:val="004A5019"/>
    <w:rsid w:val="004A5260"/>
    <w:rsid w:val="004A6E5D"/>
    <w:rsid w:val="004A7398"/>
    <w:rsid w:val="004A7E02"/>
    <w:rsid w:val="004B0F81"/>
    <w:rsid w:val="004B125C"/>
    <w:rsid w:val="004B1299"/>
    <w:rsid w:val="004B1843"/>
    <w:rsid w:val="004B200C"/>
    <w:rsid w:val="004B2346"/>
    <w:rsid w:val="004B290A"/>
    <w:rsid w:val="004B38CC"/>
    <w:rsid w:val="004B42AD"/>
    <w:rsid w:val="004B4496"/>
    <w:rsid w:val="004B5B40"/>
    <w:rsid w:val="004B6554"/>
    <w:rsid w:val="004B6A75"/>
    <w:rsid w:val="004B6FB3"/>
    <w:rsid w:val="004B71CE"/>
    <w:rsid w:val="004B7C9A"/>
    <w:rsid w:val="004C04EC"/>
    <w:rsid w:val="004C0904"/>
    <w:rsid w:val="004C0EF1"/>
    <w:rsid w:val="004C0F61"/>
    <w:rsid w:val="004C1079"/>
    <w:rsid w:val="004C10ED"/>
    <w:rsid w:val="004C1FD6"/>
    <w:rsid w:val="004C2442"/>
    <w:rsid w:val="004C2DE0"/>
    <w:rsid w:val="004C37E2"/>
    <w:rsid w:val="004C47E6"/>
    <w:rsid w:val="004C489F"/>
    <w:rsid w:val="004C4FD0"/>
    <w:rsid w:val="004C61A1"/>
    <w:rsid w:val="004C664E"/>
    <w:rsid w:val="004C68DA"/>
    <w:rsid w:val="004C6DA0"/>
    <w:rsid w:val="004C6ED0"/>
    <w:rsid w:val="004C739D"/>
    <w:rsid w:val="004C7AB8"/>
    <w:rsid w:val="004D0033"/>
    <w:rsid w:val="004D0497"/>
    <w:rsid w:val="004D086C"/>
    <w:rsid w:val="004D11AF"/>
    <w:rsid w:val="004D251C"/>
    <w:rsid w:val="004D2566"/>
    <w:rsid w:val="004D2E91"/>
    <w:rsid w:val="004D2EC9"/>
    <w:rsid w:val="004D3E96"/>
    <w:rsid w:val="004D462C"/>
    <w:rsid w:val="004D4EEB"/>
    <w:rsid w:val="004D578E"/>
    <w:rsid w:val="004D7D79"/>
    <w:rsid w:val="004E00B2"/>
    <w:rsid w:val="004E14E4"/>
    <w:rsid w:val="004E1746"/>
    <w:rsid w:val="004E1CBD"/>
    <w:rsid w:val="004E2895"/>
    <w:rsid w:val="004E304D"/>
    <w:rsid w:val="004E39C0"/>
    <w:rsid w:val="004E40A2"/>
    <w:rsid w:val="004E587D"/>
    <w:rsid w:val="004E5882"/>
    <w:rsid w:val="004E5AE1"/>
    <w:rsid w:val="004E6059"/>
    <w:rsid w:val="004E62F8"/>
    <w:rsid w:val="004E64FA"/>
    <w:rsid w:val="004E697D"/>
    <w:rsid w:val="004E6B4B"/>
    <w:rsid w:val="004E7162"/>
    <w:rsid w:val="004E72C5"/>
    <w:rsid w:val="004E7490"/>
    <w:rsid w:val="004E7701"/>
    <w:rsid w:val="004E77BD"/>
    <w:rsid w:val="004E785A"/>
    <w:rsid w:val="004E79BD"/>
    <w:rsid w:val="004F0D18"/>
    <w:rsid w:val="004F1268"/>
    <w:rsid w:val="004F18D8"/>
    <w:rsid w:val="004F218E"/>
    <w:rsid w:val="004F22AB"/>
    <w:rsid w:val="004F23A4"/>
    <w:rsid w:val="004F292F"/>
    <w:rsid w:val="004F2B85"/>
    <w:rsid w:val="004F3717"/>
    <w:rsid w:val="004F5181"/>
    <w:rsid w:val="004F5BC1"/>
    <w:rsid w:val="0050059C"/>
    <w:rsid w:val="00500830"/>
    <w:rsid w:val="00500C28"/>
    <w:rsid w:val="005018C3"/>
    <w:rsid w:val="00501E3D"/>
    <w:rsid w:val="00501FE1"/>
    <w:rsid w:val="00502D25"/>
    <w:rsid w:val="00502D55"/>
    <w:rsid w:val="005034D3"/>
    <w:rsid w:val="00503BF7"/>
    <w:rsid w:val="005041A3"/>
    <w:rsid w:val="005042DF"/>
    <w:rsid w:val="00504526"/>
    <w:rsid w:val="00505609"/>
    <w:rsid w:val="005069D3"/>
    <w:rsid w:val="00506AD6"/>
    <w:rsid w:val="00507406"/>
    <w:rsid w:val="00507953"/>
    <w:rsid w:val="00507DA2"/>
    <w:rsid w:val="00510C39"/>
    <w:rsid w:val="005112F2"/>
    <w:rsid w:val="00511CBB"/>
    <w:rsid w:val="00511DAF"/>
    <w:rsid w:val="00512F56"/>
    <w:rsid w:val="00513B8C"/>
    <w:rsid w:val="00513CE5"/>
    <w:rsid w:val="00514BA1"/>
    <w:rsid w:val="00514CAA"/>
    <w:rsid w:val="00516BA1"/>
    <w:rsid w:val="00516BD3"/>
    <w:rsid w:val="0051756A"/>
    <w:rsid w:val="00517867"/>
    <w:rsid w:val="00520335"/>
    <w:rsid w:val="00520BB6"/>
    <w:rsid w:val="0052167C"/>
    <w:rsid w:val="005234B9"/>
    <w:rsid w:val="00523ACA"/>
    <w:rsid w:val="005248E0"/>
    <w:rsid w:val="005260F9"/>
    <w:rsid w:val="00526C4B"/>
    <w:rsid w:val="00527ED8"/>
    <w:rsid w:val="00530244"/>
    <w:rsid w:val="00530A0F"/>
    <w:rsid w:val="00531AF0"/>
    <w:rsid w:val="00532064"/>
    <w:rsid w:val="00532844"/>
    <w:rsid w:val="00533CD0"/>
    <w:rsid w:val="0053537F"/>
    <w:rsid w:val="00535E01"/>
    <w:rsid w:val="00536435"/>
    <w:rsid w:val="00537737"/>
    <w:rsid w:val="00537AC2"/>
    <w:rsid w:val="00537DEE"/>
    <w:rsid w:val="005401AA"/>
    <w:rsid w:val="00540260"/>
    <w:rsid w:val="005403BE"/>
    <w:rsid w:val="00540823"/>
    <w:rsid w:val="00540C1A"/>
    <w:rsid w:val="00541C7E"/>
    <w:rsid w:val="00541E23"/>
    <w:rsid w:val="00542732"/>
    <w:rsid w:val="00542A2D"/>
    <w:rsid w:val="0054309B"/>
    <w:rsid w:val="00543710"/>
    <w:rsid w:val="00543ED9"/>
    <w:rsid w:val="00544210"/>
    <w:rsid w:val="005442B2"/>
    <w:rsid w:val="00544D28"/>
    <w:rsid w:val="00545383"/>
    <w:rsid w:val="005456B4"/>
    <w:rsid w:val="00546CA2"/>
    <w:rsid w:val="00546CD1"/>
    <w:rsid w:val="00546E7A"/>
    <w:rsid w:val="00547269"/>
    <w:rsid w:val="00551038"/>
    <w:rsid w:val="005512BF"/>
    <w:rsid w:val="00551C7C"/>
    <w:rsid w:val="00551DE5"/>
    <w:rsid w:val="0055212B"/>
    <w:rsid w:val="0055291F"/>
    <w:rsid w:val="00552B29"/>
    <w:rsid w:val="0055359D"/>
    <w:rsid w:val="00553E33"/>
    <w:rsid w:val="00553F7C"/>
    <w:rsid w:val="0055427C"/>
    <w:rsid w:val="00554C20"/>
    <w:rsid w:val="005551E0"/>
    <w:rsid w:val="00555B70"/>
    <w:rsid w:val="00555FD7"/>
    <w:rsid w:val="0055673F"/>
    <w:rsid w:val="00556A3F"/>
    <w:rsid w:val="0055727B"/>
    <w:rsid w:val="005601DC"/>
    <w:rsid w:val="005604EF"/>
    <w:rsid w:val="0056087E"/>
    <w:rsid w:val="005610CD"/>
    <w:rsid w:val="0056131F"/>
    <w:rsid w:val="005614CC"/>
    <w:rsid w:val="00561CBC"/>
    <w:rsid w:val="00561E57"/>
    <w:rsid w:val="00562186"/>
    <w:rsid w:val="00563720"/>
    <w:rsid w:val="00564052"/>
    <w:rsid w:val="0056425B"/>
    <w:rsid w:val="00564680"/>
    <w:rsid w:val="00564DBA"/>
    <w:rsid w:val="00565343"/>
    <w:rsid w:val="0056581F"/>
    <w:rsid w:val="00565AB0"/>
    <w:rsid w:val="00565AE1"/>
    <w:rsid w:val="005667E9"/>
    <w:rsid w:val="005669F7"/>
    <w:rsid w:val="00566EF5"/>
    <w:rsid w:val="00566FD6"/>
    <w:rsid w:val="0056741D"/>
    <w:rsid w:val="0056758D"/>
    <w:rsid w:val="00567694"/>
    <w:rsid w:val="00570166"/>
    <w:rsid w:val="00570400"/>
    <w:rsid w:val="00570E70"/>
    <w:rsid w:val="00570E9F"/>
    <w:rsid w:val="00570F12"/>
    <w:rsid w:val="00571053"/>
    <w:rsid w:val="00571C78"/>
    <w:rsid w:val="00571EDC"/>
    <w:rsid w:val="00572B42"/>
    <w:rsid w:val="00572BEE"/>
    <w:rsid w:val="00573E1B"/>
    <w:rsid w:val="00574EB1"/>
    <w:rsid w:val="00575751"/>
    <w:rsid w:val="00575EF4"/>
    <w:rsid w:val="00577A1A"/>
    <w:rsid w:val="00577A9D"/>
    <w:rsid w:val="00580438"/>
    <w:rsid w:val="00580442"/>
    <w:rsid w:val="005809E6"/>
    <w:rsid w:val="00580CA0"/>
    <w:rsid w:val="00581331"/>
    <w:rsid w:val="005816E9"/>
    <w:rsid w:val="005823F8"/>
    <w:rsid w:val="00582D62"/>
    <w:rsid w:val="00583D7E"/>
    <w:rsid w:val="00585076"/>
    <w:rsid w:val="005856F6"/>
    <w:rsid w:val="00585A8F"/>
    <w:rsid w:val="00586810"/>
    <w:rsid w:val="005871AB"/>
    <w:rsid w:val="00587792"/>
    <w:rsid w:val="005910CC"/>
    <w:rsid w:val="00591296"/>
    <w:rsid w:val="005914AF"/>
    <w:rsid w:val="00592352"/>
    <w:rsid w:val="00593184"/>
    <w:rsid w:val="005938BA"/>
    <w:rsid w:val="00593B10"/>
    <w:rsid w:val="00593B77"/>
    <w:rsid w:val="00594308"/>
    <w:rsid w:val="005949BA"/>
    <w:rsid w:val="00594AC3"/>
    <w:rsid w:val="005954C8"/>
    <w:rsid w:val="00595607"/>
    <w:rsid w:val="0059578C"/>
    <w:rsid w:val="00596958"/>
    <w:rsid w:val="00596A71"/>
    <w:rsid w:val="0059747D"/>
    <w:rsid w:val="005974DD"/>
    <w:rsid w:val="005975B8"/>
    <w:rsid w:val="005A0E73"/>
    <w:rsid w:val="005A102D"/>
    <w:rsid w:val="005A16EE"/>
    <w:rsid w:val="005A1769"/>
    <w:rsid w:val="005A2DB5"/>
    <w:rsid w:val="005A3F64"/>
    <w:rsid w:val="005A46DB"/>
    <w:rsid w:val="005A5EF5"/>
    <w:rsid w:val="005A67DE"/>
    <w:rsid w:val="005A73A8"/>
    <w:rsid w:val="005B0082"/>
    <w:rsid w:val="005B0781"/>
    <w:rsid w:val="005B0824"/>
    <w:rsid w:val="005B0B89"/>
    <w:rsid w:val="005B1206"/>
    <w:rsid w:val="005B1345"/>
    <w:rsid w:val="005B1B92"/>
    <w:rsid w:val="005B20D3"/>
    <w:rsid w:val="005B2338"/>
    <w:rsid w:val="005B2830"/>
    <w:rsid w:val="005B2E42"/>
    <w:rsid w:val="005B2EA1"/>
    <w:rsid w:val="005B2F48"/>
    <w:rsid w:val="005B3119"/>
    <w:rsid w:val="005B48E1"/>
    <w:rsid w:val="005B6271"/>
    <w:rsid w:val="005B6364"/>
    <w:rsid w:val="005B6EAB"/>
    <w:rsid w:val="005B7035"/>
    <w:rsid w:val="005B7EB9"/>
    <w:rsid w:val="005C0462"/>
    <w:rsid w:val="005C0CC4"/>
    <w:rsid w:val="005C0D4E"/>
    <w:rsid w:val="005C2273"/>
    <w:rsid w:val="005C263C"/>
    <w:rsid w:val="005C4000"/>
    <w:rsid w:val="005C44C4"/>
    <w:rsid w:val="005C45FC"/>
    <w:rsid w:val="005C4A45"/>
    <w:rsid w:val="005C5AC9"/>
    <w:rsid w:val="005C5C12"/>
    <w:rsid w:val="005C6B6E"/>
    <w:rsid w:val="005D0AD9"/>
    <w:rsid w:val="005D13F1"/>
    <w:rsid w:val="005D194E"/>
    <w:rsid w:val="005D262E"/>
    <w:rsid w:val="005D2E9C"/>
    <w:rsid w:val="005D3B71"/>
    <w:rsid w:val="005D58CF"/>
    <w:rsid w:val="005D6B90"/>
    <w:rsid w:val="005D701E"/>
    <w:rsid w:val="005D797C"/>
    <w:rsid w:val="005D7BC1"/>
    <w:rsid w:val="005D7F72"/>
    <w:rsid w:val="005E0EC5"/>
    <w:rsid w:val="005E225F"/>
    <w:rsid w:val="005E380B"/>
    <w:rsid w:val="005E3B72"/>
    <w:rsid w:val="005E41C8"/>
    <w:rsid w:val="005E4D60"/>
    <w:rsid w:val="005E59E2"/>
    <w:rsid w:val="005E669F"/>
    <w:rsid w:val="005F0074"/>
    <w:rsid w:val="005F0426"/>
    <w:rsid w:val="005F06E8"/>
    <w:rsid w:val="005F0819"/>
    <w:rsid w:val="005F39C2"/>
    <w:rsid w:val="005F4067"/>
    <w:rsid w:val="005F47F1"/>
    <w:rsid w:val="005F5DDC"/>
    <w:rsid w:val="005F6E26"/>
    <w:rsid w:val="005F7FA9"/>
    <w:rsid w:val="0060011E"/>
    <w:rsid w:val="006001E5"/>
    <w:rsid w:val="00600206"/>
    <w:rsid w:val="00600255"/>
    <w:rsid w:val="006006DC"/>
    <w:rsid w:val="006006F7"/>
    <w:rsid w:val="006017E8"/>
    <w:rsid w:val="006017EA"/>
    <w:rsid w:val="006024BE"/>
    <w:rsid w:val="00603625"/>
    <w:rsid w:val="00603DCA"/>
    <w:rsid w:val="00604A36"/>
    <w:rsid w:val="00604DA9"/>
    <w:rsid w:val="00605A86"/>
    <w:rsid w:val="00605B47"/>
    <w:rsid w:val="00605B9B"/>
    <w:rsid w:val="006062E5"/>
    <w:rsid w:val="006068C5"/>
    <w:rsid w:val="0060774D"/>
    <w:rsid w:val="006077DE"/>
    <w:rsid w:val="00607A79"/>
    <w:rsid w:val="00607ED9"/>
    <w:rsid w:val="006104DF"/>
    <w:rsid w:val="00610CD7"/>
    <w:rsid w:val="00611097"/>
    <w:rsid w:val="00611C15"/>
    <w:rsid w:val="00611C93"/>
    <w:rsid w:val="006120D6"/>
    <w:rsid w:val="00612D19"/>
    <w:rsid w:val="00612F4B"/>
    <w:rsid w:val="0061343E"/>
    <w:rsid w:val="006138F7"/>
    <w:rsid w:val="00614046"/>
    <w:rsid w:val="006144E9"/>
    <w:rsid w:val="006153AD"/>
    <w:rsid w:val="00615696"/>
    <w:rsid w:val="0061581B"/>
    <w:rsid w:val="0061710C"/>
    <w:rsid w:val="00617369"/>
    <w:rsid w:val="00617665"/>
    <w:rsid w:val="006179DE"/>
    <w:rsid w:val="00620BFC"/>
    <w:rsid w:val="00620C76"/>
    <w:rsid w:val="006219F6"/>
    <w:rsid w:val="00621D66"/>
    <w:rsid w:val="00622785"/>
    <w:rsid w:val="00622839"/>
    <w:rsid w:val="00622A0E"/>
    <w:rsid w:val="00622D46"/>
    <w:rsid w:val="00624A47"/>
    <w:rsid w:val="00624A8C"/>
    <w:rsid w:val="00624DC1"/>
    <w:rsid w:val="006251EB"/>
    <w:rsid w:val="00625566"/>
    <w:rsid w:val="006259E4"/>
    <w:rsid w:val="00625DD3"/>
    <w:rsid w:val="006270E8"/>
    <w:rsid w:val="00627AF8"/>
    <w:rsid w:val="00630307"/>
    <w:rsid w:val="00630D5A"/>
    <w:rsid w:val="006318C6"/>
    <w:rsid w:val="00631D12"/>
    <w:rsid w:val="00633660"/>
    <w:rsid w:val="00634138"/>
    <w:rsid w:val="0063497D"/>
    <w:rsid w:val="00634C61"/>
    <w:rsid w:val="00635327"/>
    <w:rsid w:val="00636056"/>
    <w:rsid w:val="0063696C"/>
    <w:rsid w:val="00636F5A"/>
    <w:rsid w:val="00636FFD"/>
    <w:rsid w:val="0063703B"/>
    <w:rsid w:val="0063714C"/>
    <w:rsid w:val="006375A1"/>
    <w:rsid w:val="00640C6D"/>
    <w:rsid w:val="00641C5D"/>
    <w:rsid w:val="00641DA0"/>
    <w:rsid w:val="006420FE"/>
    <w:rsid w:val="00642D5C"/>
    <w:rsid w:val="006435C5"/>
    <w:rsid w:val="00643603"/>
    <w:rsid w:val="00643FA5"/>
    <w:rsid w:val="0064572A"/>
    <w:rsid w:val="00645781"/>
    <w:rsid w:val="006459EA"/>
    <w:rsid w:val="00646136"/>
    <w:rsid w:val="00647471"/>
    <w:rsid w:val="00647B22"/>
    <w:rsid w:val="00647FC1"/>
    <w:rsid w:val="0065040D"/>
    <w:rsid w:val="006507E3"/>
    <w:rsid w:val="006515F0"/>
    <w:rsid w:val="00651B36"/>
    <w:rsid w:val="0065292E"/>
    <w:rsid w:val="00652C43"/>
    <w:rsid w:val="006531C2"/>
    <w:rsid w:val="00653381"/>
    <w:rsid w:val="00653E85"/>
    <w:rsid w:val="00653F4B"/>
    <w:rsid w:val="006541FC"/>
    <w:rsid w:val="0065588B"/>
    <w:rsid w:val="00655EFE"/>
    <w:rsid w:val="00656115"/>
    <w:rsid w:val="006563AD"/>
    <w:rsid w:val="0065719E"/>
    <w:rsid w:val="0065747A"/>
    <w:rsid w:val="00657D44"/>
    <w:rsid w:val="00657DF9"/>
    <w:rsid w:val="00660024"/>
    <w:rsid w:val="0066023F"/>
    <w:rsid w:val="006603B3"/>
    <w:rsid w:val="00661047"/>
    <w:rsid w:val="006612EE"/>
    <w:rsid w:val="0066130E"/>
    <w:rsid w:val="00663A2E"/>
    <w:rsid w:val="00664DB0"/>
    <w:rsid w:val="00665042"/>
    <w:rsid w:val="00665673"/>
    <w:rsid w:val="00666D42"/>
    <w:rsid w:val="0067046D"/>
    <w:rsid w:val="00670937"/>
    <w:rsid w:val="00670FE4"/>
    <w:rsid w:val="0067291E"/>
    <w:rsid w:val="00673173"/>
    <w:rsid w:val="00673A8B"/>
    <w:rsid w:val="00673B61"/>
    <w:rsid w:val="006745FA"/>
    <w:rsid w:val="00674FE8"/>
    <w:rsid w:val="006756AF"/>
    <w:rsid w:val="00675DBC"/>
    <w:rsid w:val="006768E6"/>
    <w:rsid w:val="00676FA9"/>
    <w:rsid w:val="006771FE"/>
    <w:rsid w:val="00677D09"/>
    <w:rsid w:val="00680239"/>
    <w:rsid w:val="006806BA"/>
    <w:rsid w:val="00681696"/>
    <w:rsid w:val="00681B8E"/>
    <w:rsid w:val="00681EC7"/>
    <w:rsid w:val="00682560"/>
    <w:rsid w:val="00682CD2"/>
    <w:rsid w:val="0068334E"/>
    <w:rsid w:val="00683443"/>
    <w:rsid w:val="00683567"/>
    <w:rsid w:val="00683603"/>
    <w:rsid w:val="0068368F"/>
    <w:rsid w:val="00683F44"/>
    <w:rsid w:val="00684DAF"/>
    <w:rsid w:val="006850E4"/>
    <w:rsid w:val="006852B2"/>
    <w:rsid w:val="0068582A"/>
    <w:rsid w:val="006859E7"/>
    <w:rsid w:val="0068674C"/>
    <w:rsid w:val="00686960"/>
    <w:rsid w:val="00687376"/>
    <w:rsid w:val="00687CE7"/>
    <w:rsid w:val="00690193"/>
    <w:rsid w:val="00690E14"/>
    <w:rsid w:val="006910C4"/>
    <w:rsid w:val="006915C4"/>
    <w:rsid w:val="00691DFF"/>
    <w:rsid w:val="0069209D"/>
    <w:rsid w:val="006925B3"/>
    <w:rsid w:val="0069270D"/>
    <w:rsid w:val="00693543"/>
    <w:rsid w:val="00693693"/>
    <w:rsid w:val="00693919"/>
    <w:rsid w:val="006976B2"/>
    <w:rsid w:val="006A01E4"/>
    <w:rsid w:val="006A027D"/>
    <w:rsid w:val="006A1023"/>
    <w:rsid w:val="006A1DAE"/>
    <w:rsid w:val="006A210E"/>
    <w:rsid w:val="006A2224"/>
    <w:rsid w:val="006A2EB4"/>
    <w:rsid w:val="006A3162"/>
    <w:rsid w:val="006A4096"/>
    <w:rsid w:val="006A40A3"/>
    <w:rsid w:val="006A457C"/>
    <w:rsid w:val="006A4623"/>
    <w:rsid w:val="006A4A04"/>
    <w:rsid w:val="006A51C1"/>
    <w:rsid w:val="006A600E"/>
    <w:rsid w:val="006A6BC4"/>
    <w:rsid w:val="006A7A17"/>
    <w:rsid w:val="006A7B63"/>
    <w:rsid w:val="006B078F"/>
    <w:rsid w:val="006B0D8A"/>
    <w:rsid w:val="006B1E5E"/>
    <w:rsid w:val="006B2F91"/>
    <w:rsid w:val="006B35B9"/>
    <w:rsid w:val="006B3A19"/>
    <w:rsid w:val="006B3AF4"/>
    <w:rsid w:val="006B3E02"/>
    <w:rsid w:val="006B3EC3"/>
    <w:rsid w:val="006B3EDA"/>
    <w:rsid w:val="006B3FAA"/>
    <w:rsid w:val="006B4537"/>
    <w:rsid w:val="006B47CD"/>
    <w:rsid w:val="006B5594"/>
    <w:rsid w:val="006B55BA"/>
    <w:rsid w:val="006B5B36"/>
    <w:rsid w:val="006B5D5C"/>
    <w:rsid w:val="006B6612"/>
    <w:rsid w:val="006B6F24"/>
    <w:rsid w:val="006B7368"/>
    <w:rsid w:val="006B7759"/>
    <w:rsid w:val="006B7C49"/>
    <w:rsid w:val="006C023E"/>
    <w:rsid w:val="006C02D7"/>
    <w:rsid w:val="006C0CB2"/>
    <w:rsid w:val="006C1BC2"/>
    <w:rsid w:val="006C216E"/>
    <w:rsid w:val="006C40DA"/>
    <w:rsid w:val="006C42BD"/>
    <w:rsid w:val="006C4353"/>
    <w:rsid w:val="006C4BCB"/>
    <w:rsid w:val="006C4DE4"/>
    <w:rsid w:val="006C568F"/>
    <w:rsid w:val="006C58F2"/>
    <w:rsid w:val="006C5C1B"/>
    <w:rsid w:val="006C5D7D"/>
    <w:rsid w:val="006C663C"/>
    <w:rsid w:val="006C6E12"/>
    <w:rsid w:val="006C7476"/>
    <w:rsid w:val="006C7F55"/>
    <w:rsid w:val="006D0304"/>
    <w:rsid w:val="006D0BE9"/>
    <w:rsid w:val="006D1623"/>
    <w:rsid w:val="006D29AD"/>
    <w:rsid w:val="006D2CB6"/>
    <w:rsid w:val="006D392A"/>
    <w:rsid w:val="006D3CCC"/>
    <w:rsid w:val="006D3D54"/>
    <w:rsid w:val="006D46DA"/>
    <w:rsid w:val="006D50BA"/>
    <w:rsid w:val="006D5384"/>
    <w:rsid w:val="006D56CB"/>
    <w:rsid w:val="006D6747"/>
    <w:rsid w:val="006D6A9D"/>
    <w:rsid w:val="006D6F2B"/>
    <w:rsid w:val="006D708D"/>
    <w:rsid w:val="006D7706"/>
    <w:rsid w:val="006D787F"/>
    <w:rsid w:val="006E25BC"/>
    <w:rsid w:val="006E4E2F"/>
    <w:rsid w:val="006E5A34"/>
    <w:rsid w:val="006E601C"/>
    <w:rsid w:val="006E602F"/>
    <w:rsid w:val="006E62A9"/>
    <w:rsid w:val="006E67CC"/>
    <w:rsid w:val="006E6A6F"/>
    <w:rsid w:val="006E7513"/>
    <w:rsid w:val="006E7B19"/>
    <w:rsid w:val="006E7CDB"/>
    <w:rsid w:val="006F0B6C"/>
    <w:rsid w:val="006F1B4E"/>
    <w:rsid w:val="006F1F70"/>
    <w:rsid w:val="006F286B"/>
    <w:rsid w:val="006F3444"/>
    <w:rsid w:val="006F3C85"/>
    <w:rsid w:val="006F418C"/>
    <w:rsid w:val="006F42BF"/>
    <w:rsid w:val="006F4FFF"/>
    <w:rsid w:val="006F5468"/>
    <w:rsid w:val="006F7479"/>
    <w:rsid w:val="00700BD2"/>
    <w:rsid w:val="007010F6"/>
    <w:rsid w:val="007019F2"/>
    <w:rsid w:val="00701FEF"/>
    <w:rsid w:val="007020D7"/>
    <w:rsid w:val="007023B9"/>
    <w:rsid w:val="00702F31"/>
    <w:rsid w:val="007033F7"/>
    <w:rsid w:val="00703DDC"/>
    <w:rsid w:val="007041A4"/>
    <w:rsid w:val="0070459A"/>
    <w:rsid w:val="00704A3F"/>
    <w:rsid w:val="00704B83"/>
    <w:rsid w:val="007050CC"/>
    <w:rsid w:val="00705948"/>
    <w:rsid w:val="00705B89"/>
    <w:rsid w:val="00705CE0"/>
    <w:rsid w:val="007065AA"/>
    <w:rsid w:val="007068B4"/>
    <w:rsid w:val="00706BBA"/>
    <w:rsid w:val="00706DC9"/>
    <w:rsid w:val="0070716F"/>
    <w:rsid w:val="00707491"/>
    <w:rsid w:val="00707D4E"/>
    <w:rsid w:val="00707F55"/>
    <w:rsid w:val="0071008D"/>
    <w:rsid w:val="0071027D"/>
    <w:rsid w:val="00711109"/>
    <w:rsid w:val="00711B99"/>
    <w:rsid w:val="0071248F"/>
    <w:rsid w:val="0071277F"/>
    <w:rsid w:val="00712927"/>
    <w:rsid w:val="00712EB6"/>
    <w:rsid w:val="00713748"/>
    <w:rsid w:val="00713CA2"/>
    <w:rsid w:val="007146D7"/>
    <w:rsid w:val="007151BE"/>
    <w:rsid w:val="00715ECD"/>
    <w:rsid w:val="007163D0"/>
    <w:rsid w:val="00717762"/>
    <w:rsid w:val="007207ED"/>
    <w:rsid w:val="00720801"/>
    <w:rsid w:val="00721486"/>
    <w:rsid w:val="00721639"/>
    <w:rsid w:val="00721896"/>
    <w:rsid w:val="0072194E"/>
    <w:rsid w:val="00721F1A"/>
    <w:rsid w:val="00723358"/>
    <w:rsid w:val="00723804"/>
    <w:rsid w:val="007241B1"/>
    <w:rsid w:val="007246D4"/>
    <w:rsid w:val="007246E0"/>
    <w:rsid w:val="00724FCC"/>
    <w:rsid w:val="00726E12"/>
    <w:rsid w:val="00727B54"/>
    <w:rsid w:val="00727E07"/>
    <w:rsid w:val="00730F17"/>
    <w:rsid w:val="00731AB6"/>
    <w:rsid w:val="0073283A"/>
    <w:rsid w:val="00733777"/>
    <w:rsid w:val="00733E01"/>
    <w:rsid w:val="007349F2"/>
    <w:rsid w:val="00734F25"/>
    <w:rsid w:val="00735FBE"/>
    <w:rsid w:val="007360C5"/>
    <w:rsid w:val="0073660E"/>
    <w:rsid w:val="0073688C"/>
    <w:rsid w:val="00736B79"/>
    <w:rsid w:val="00736FEC"/>
    <w:rsid w:val="007373D0"/>
    <w:rsid w:val="0073780F"/>
    <w:rsid w:val="00740506"/>
    <w:rsid w:val="00740595"/>
    <w:rsid w:val="00740857"/>
    <w:rsid w:val="00740969"/>
    <w:rsid w:val="00743720"/>
    <w:rsid w:val="00743C5D"/>
    <w:rsid w:val="0074402C"/>
    <w:rsid w:val="00744375"/>
    <w:rsid w:val="0074495C"/>
    <w:rsid w:val="00744C12"/>
    <w:rsid w:val="00745205"/>
    <w:rsid w:val="0074595C"/>
    <w:rsid w:val="007462A6"/>
    <w:rsid w:val="0074642F"/>
    <w:rsid w:val="007469E0"/>
    <w:rsid w:val="00747A2D"/>
    <w:rsid w:val="00747BEA"/>
    <w:rsid w:val="00750478"/>
    <w:rsid w:val="007507CC"/>
    <w:rsid w:val="007507D9"/>
    <w:rsid w:val="0075121A"/>
    <w:rsid w:val="007518EC"/>
    <w:rsid w:val="00751C9F"/>
    <w:rsid w:val="00751DF4"/>
    <w:rsid w:val="00751E45"/>
    <w:rsid w:val="00752507"/>
    <w:rsid w:val="007532BA"/>
    <w:rsid w:val="00753F88"/>
    <w:rsid w:val="0075446F"/>
    <w:rsid w:val="0075492B"/>
    <w:rsid w:val="00754DCD"/>
    <w:rsid w:val="00754E90"/>
    <w:rsid w:val="007551B8"/>
    <w:rsid w:val="00755EAE"/>
    <w:rsid w:val="0075656C"/>
    <w:rsid w:val="00756994"/>
    <w:rsid w:val="007574DC"/>
    <w:rsid w:val="007602DA"/>
    <w:rsid w:val="0076063D"/>
    <w:rsid w:val="00760BD1"/>
    <w:rsid w:val="00761752"/>
    <w:rsid w:val="00761869"/>
    <w:rsid w:val="0076292C"/>
    <w:rsid w:val="00762B04"/>
    <w:rsid w:val="00765404"/>
    <w:rsid w:val="007659B3"/>
    <w:rsid w:val="00765A3E"/>
    <w:rsid w:val="00766306"/>
    <w:rsid w:val="00766628"/>
    <w:rsid w:val="00766BCB"/>
    <w:rsid w:val="00770537"/>
    <w:rsid w:val="00770FE7"/>
    <w:rsid w:val="0077166A"/>
    <w:rsid w:val="00772233"/>
    <w:rsid w:val="0077261C"/>
    <w:rsid w:val="00773A75"/>
    <w:rsid w:val="0077442B"/>
    <w:rsid w:val="00774623"/>
    <w:rsid w:val="007750D4"/>
    <w:rsid w:val="0077540F"/>
    <w:rsid w:val="00775E31"/>
    <w:rsid w:val="007760F8"/>
    <w:rsid w:val="007763A0"/>
    <w:rsid w:val="00776A7B"/>
    <w:rsid w:val="00777507"/>
    <w:rsid w:val="0077776E"/>
    <w:rsid w:val="007777AE"/>
    <w:rsid w:val="007778F8"/>
    <w:rsid w:val="0078015E"/>
    <w:rsid w:val="00780C18"/>
    <w:rsid w:val="00780E6D"/>
    <w:rsid w:val="0078226F"/>
    <w:rsid w:val="007822CA"/>
    <w:rsid w:val="00782300"/>
    <w:rsid w:val="00782962"/>
    <w:rsid w:val="007831FF"/>
    <w:rsid w:val="0078463B"/>
    <w:rsid w:val="007849EC"/>
    <w:rsid w:val="0078503F"/>
    <w:rsid w:val="00786181"/>
    <w:rsid w:val="007861AF"/>
    <w:rsid w:val="00786627"/>
    <w:rsid w:val="0079063D"/>
    <w:rsid w:val="00791EE5"/>
    <w:rsid w:val="00792008"/>
    <w:rsid w:val="00792258"/>
    <w:rsid w:val="00792F61"/>
    <w:rsid w:val="00793B2B"/>
    <w:rsid w:val="00793BBB"/>
    <w:rsid w:val="007948DB"/>
    <w:rsid w:val="00795F0C"/>
    <w:rsid w:val="007963E8"/>
    <w:rsid w:val="00797028"/>
    <w:rsid w:val="007976CA"/>
    <w:rsid w:val="00797780"/>
    <w:rsid w:val="00797E53"/>
    <w:rsid w:val="007A0982"/>
    <w:rsid w:val="007A100B"/>
    <w:rsid w:val="007A15DA"/>
    <w:rsid w:val="007A1621"/>
    <w:rsid w:val="007A1E48"/>
    <w:rsid w:val="007A22E1"/>
    <w:rsid w:val="007A3710"/>
    <w:rsid w:val="007A4C64"/>
    <w:rsid w:val="007A52EC"/>
    <w:rsid w:val="007A52F7"/>
    <w:rsid w:val="007A5344"/>
    <w:rsid w:val="007A5D04"/>
    <w:rsid w:val="007A77E9"/>
    <w:rsid w:val="007A7B36"/>
    <w:rsid w:val="007B00CD"/>
    <w:rsid w:val="007B1088"/>
    <w:rsid w:val="007B2154"/>
    <w:rsid w:val="007B298E"/>
    <w:rsid w:val="007B2DDB"/>
    <w:rsid w:val="007B31D9"/>
    <w:rsid w:val="007B3BBA"/>
    <w:rsid w:val="007B41BE"/>
    <w:rsid w:val="007B4419"/>
    <w:rsid w:val="007B4A88"/>
    <w:rsid w:val="007B4FAA"/>
    <w:rsid w:val="007B6957"/>
    <w:rsid w:val="007B75AF"/>
    <w:rsid w:val="007B7D86"/>
    <w:rsid w:val="007C03C6"/>
    <w:rsid w:val="007C0DC6"/>
    <w:rsid w:val="007C172A"/>
    <w:rsid w:val="007C19DC"/>
    <w:rsid w:val="007C1E65"/>
    <w:rsid w:val="007C20BC"/>
    <w:rsid w:val="007C20F6"/>
    <w:rsid w:val="007C2236"/>
    <w:rsid w:val="007C2621"/>
    <w:rsid w:val="007C2C5A"/>
    <w:rsid w:val="007C3187"/>
    <w:rsid w:val="007C4048"/>
    <w:rsid w:val="007C607F"/>
    <w:rsid w:val="007C610D"/>
    <w:rsid w:val="007C6CF2"/>
    <w:rsid w:val="007C76CA"/>
    <w:rsid w:val="007C784A"/>
    <w:rsid w:val="007C7925"/>
    <w:rsid w:val="007D054D"/>
    <w:rsid w:val="007D0B03"/>
    <w:rsid w:val="007D10C7"/>
    <w:rsid w:val="007D214D"/>
    <w:rsid w:val="007D21C2"/>
    <w:rsid w:val="007D2271"/>
    <w:rsid w:val="007D3623"/>
    <w:rsid w:val="007D3EB7"/>
    <w:rsid w:val="007D4450"/>
    <w:rsid w:val="007D4BFA"/>
    <w:rsid w:val="007D529A"/>
    <w:rsid w:val="007D5467"/>
    <w:rsid w:val="007D6518"/>
    <w:rsid w:val="007D6534"/>
    <w:rsid w:val="007E0364"/>
    <w:rsid w:val="007E07F0"/>
    <w:rsid w:val="007E08BF"/>
    <w:rsid w:val="007E0D60"/>
    <w:rsid w:val="007E17DC"/>
    <w:rsid w:val="007E29F0"/>
    <w:rsid w:val="007E2D57"/>
    <w:rsid w:val="007E322B"/>
    <w:rsid w:val="007E3772"/>
    <w:rsid w:val="007E659F"/>
    <w:rsid w:val="007E6790"/>
    <w:rsid w:val="007E7151"/>
    <w:rsid w:val="007F0E20"/>
    <w:rsid w:val="007F1159"/>
    <w:rsid w:val="007F1363"/>
    <w:rsid w:val="007F3451"/>
    <w:rsid w:val="007F3575"/>
    <w:rsid w:val="007F3832"/>
    <w:rsid w:val="007F3BA8"/>
    <w:rsid w:val="007F3E52"/>
    <w:rsid w:val="007F4A3F"/>
    <w:rsid w:val="007F4F05"/>
    <w:rsid w:val="007F53BA"/>
    <w:rsid w:val="007F5840"/>
    <w:rsid w:val="007F5AA6"/>
    <w:rsid w:val="007F5BDF"/>
    <w:rsid w:val="007F5E60"/>
    <w:rsid w:val="007F5EB0"/>
    <w:rsid w:val="007F6C1C"/>
    <w:rsid w:val="007F6ED4"/>
    <w:rsid w:val="007F6FD2"/>
    <w:rsid w:val="007F752E"/>
    <w:rsid w:val="007F7F3B"/>
    <w:rsid w:val="00800006"/>
    <w:rsid w:val="00800D8E"/>
    <w:rsid w:val="008010EA"/>
    <w:rsid w:val="00801211"/>
    <w:rsid w:val="008013A9"/>
    <w:rsid w:val="0080312C"/>
    <w:rsid w:val="008032BC"/>
    <w:rsid w:val="00804386"/>
    <w:rsid w:val="00805180"/>
    <w:rsid w:val="00805FD3"/>
    <w:rsid w:val="008061DD"/>
    <w:rsid w:val="0080624F"/>
    <w:rsid w:val="008063E3"/>
    <w:rsid w:val="0080671F"/>
    <w:rsid w:val="008067E5"/>
    <w:rsid w:val="00806DE0"/>
    <w:rsid w:val="0080717B"/>
    <w:rsid w:val="00807369"/>
    <w:rsid w:val="00807FC6"/>
    <w:rsid w:val="00810061"/>
    <w:rsid w:val="00810108"/>
    <w:rsid w:val="008112BB"/>
    <w:rsid w:val="008117D1"/>
    <w:rsid w:val="00812338"/>
    <w:rsid w:val="0081246F"/>
    <w:rsid w:val="00812484"/>
    <w:rsid w:val="008125EC"/>
    <w:rsid w:val="008126BD"/>
    <w:rsid w:val="00812713"/>
    <w:rsid w:val="00813B72"/>
    <w:rsid w:val="00813CCA"/>
    <w:rsid w:val="00813D05"/>
    <w:rsid w:val="00813F7F"/>
    <w:rsid w:val="008156D6"/>
    <w:rsid w:val="008203C2"/>
    <w:rsid w:val="008206E1"/>
    <w:rsid w:val="00820EBF"/>
    <w:rsid w:val="00820ED0"/>
    <w:rsid w:val="00821067"/>
    <w:rsid w:val="0082136E"/>
    <w:rsid w:val="0082224B"/>
    <w:rsid w:val="0082311F"/>
    <w:rsid w:val="008237D9"/>
    <w:rsid w:val="008245DC"/>
    <w:rsid w:val="008254B6"/>
    <w:rsid w:val="00825C1C"/>
    <w:rsid w:val="008261F2"/>
    <w:rsid w:val="008267AC"/>
    <w:rsid w:val="008276A3"/>
    <w:rsid w:val="0082785C"/>
    <w:rsid w:val="008306CF"/>
    <w:rsid w:val="008309A4"/>
    <w:rsid w:val="0083315B"/>
    <w:rsid w:val="00833624"/>
    <w:rsid w:val="00834352"/>
    <w:rsid w:val="008351E8"/>
    <w:rsid w:val="0083545F"/>
    <w:rsid w:val="008355C7"/>
    <w:rsid w:val="008360F1"/>
    <w:rsid w:val="0083660E"/>
    <w:rsid w:val="008375CB"/>
    <w:rsid w:val="0084115E"/>
    <w:rsid w:val="0084140B"/>
    <w:rsid w:val="00841985"/>
    <w:rsid w:val="00843837"/>
    <w:rsid w:val="00844E5D"/>
    <w:rsid w:val="00845104"/>
    <w:rsid w:val="008454F9"/>
    <w:rsid w:val="00845FEC"/>
    <w:rsid w:val="0084632D"/>
    <w:rsid w:val="00846928"/>
    <w:rsid w:val="00846BE2"/>
    <w:rsid w:val="00847075"/>
    <w:rsid w:val="00850424"/>
    <w:rsid w:val="00850C95"/>
    <w:rsid w:val="00850CC5"/>
    <w:rsid w:val="00851067"/>
    <w:rsid w:val="00851A55"/>
    <w:rsid w:val="00851A6E"/>
    <w:rsid w:val="00852525"/>
    <w:rsid w:val="00852DB7"/>
    <w:rsid w:val="00852F06"/>
    <w:rsid w:val="0085366B"/>
    <w:rsid w:val="008542ED"/>
    <w:rsid w:val="008547B0"/>
    <w:rsid w:val="0085493E"/>
    <w:rsid w:val="00855113"/>
    <w:rsid w:val="008562C2"/>
    <w:rsid w:val="008564F3"/>
    <w:rsid w:val="00856A64"/>
    <w:rsid w:val="00857480"/>
    <w:rsid w:val="00857757"/>
    <w:rsid w:val="00860430"/>
    <w:rsid w:val="00861020"/>
    <w:rsid w:val="0086293B"/>
    <w:rsid w:val="00862BC6"/>
    <w:rsid w:val="0086339F"/>
    <w:rsid w:val="008637DD"/>
    <w:rsid w:val="0086478D"/>
    <w:rsid w:val="00864E38"/>
    <w:rsid w:val="0086595C"/>
    <w:rsid w:val="008659AB"/>
    <w:rsid w:val="00865D47"/>
    <w:rsid w:val="008661E8"/>
    <w:rsid w:val="00866233"/>
    <w:rsid w:val="0087127A"/>
    <w:rsid w:val="00871C23"/>
    <w:rsid w:val="008721D6"/>
    <w:rsid w:val="0087221C"/>
    <w:rsid w:val="0087241B"/>
    <w:rsid w:val="008726D6"/>
    <w:rsid w:val="00872BDF"/>
    <w:rsid w:val="00873B4C"/>
    <w:rsid w:val="00873F7A"/>
    <w:rsid w:val="00873FC9"/>
    <w:rsid w:val="00874210"/>
    <w:rsid w:val="008752A1"/>
    <w:rsid w:val="00875889"/>
    <w:rsid w:val="00875EE8"/>
    <w:rsid w:val="00876012"/>
    <w:rsid w:val="0087759D"/>
    <w:rsid w:val="00877628"/>
    <w:rsid w:val="00877D53"/>
    <w:rsid w:val="00877D6E"/>
    <w:rsid w:val="00880C1D"/>
    <w:rsid w:val="00880F0F"/>
    <w:rsid w:val="00881E99"/>
    <w:rsid w:val="0088387E"/>
    <w:rsid w:val="00885182"/>
    <w:rsid w:val="00887660"/>
    <w:rsid w:val="00887A55"/>
    <w:rsid w:val="00887B53"/>
    <w:rsid w:val="00890098"/>
    <w:rsid w:val="00890D5F"/>
    <w:rsid w:val="0089147F"/>
    <w:rsid w:val="00891A3A"/>
    <w:rsid w:val="0089218C"/>
    <w:rsid w:val="008926C1"/>
    <w:rsid w:val="0089275F"/>
    <w:rsid w:val="00892C70"/>
    <w:rsid w:val="0089346A"/>
    <w:rsid w:val="00893D68"/>
    <w:rsid w:val="00894B20"/>
    <w:rsid w:val="0089502A"/>
    <w:rsid w:val="008958C7"/>
    <w:rsid w:val="0089659D"/>
    <w:rsid w:val="00896981"/>
    <w:rsid w:val="00897A88"/>
    <w:rsid w:val="00897EA8"/>
    <w:rsid w:val="008A0309"/>
    <w:rsid w:val="008A0C4C"/>
    <w:rsid w:val="008A2020"/>
    <w:rsid w:val="008A29EB"/>
    <w:rsid w:val="008A2B48"/>
    <w:rsid w:val="008A3282"/>
    <w:rsid w:val="008A37C3"/>
    <w:rsid w:val="008A5C66"/>
    <w:rsid w:val="008A7DF9"/>
    <w:rsid w:val="008B0080"/>
    <w:rsid w:val="008B078C"/>
    <w:rsid w:val="008B0FC8"/>
    <w:rsid w:val="008B128A"/>
    <w:rsid w:val="008B26BD"/>
    <w:rsid w:val="008B2745"/>
    <w:rsid w:val="008B2AAD"/>
    <w:rsid w:val="008B2BFC"/>
    <w:rsid w:val="008B38EE"/>
    <w:rsid w:val="008B3BD4"/>
    <w:rsid w:val="008B3DFE"/>
    <w:rsid w:val="008B4F5F"/>
    <w:rsid w:val="008B60F6"/>
    <w:rsid w:val="008B634A"/>
    <w:rsid w:val="008B763F"/>
    <w:rsid w:val="008B76E4"/>
    <w:rsid w:val="008C09B0"/>
    <w:rsid w:val="008C171B"/>
    <w:rsid w:val="008C26E1"/>
    <w:rsid w:val="008C2966"/>
    <w:rsid w:val="008C3719"/>
    <w:rsid w:val="008C3A9B"/>
    <w:rsid w:val="008C3DE0"/>
    <w:rsid w:val="008C3EAF"/>
    <w:rsid w:val="008C42A0"/>
    <w:rsid w:val="008C4B85"/>
    <w:rsid w:val="008C5173"/>
    <w:rsid w:val="008C5B69"/>
    <w:rsid w:val="008C5B72"/>
    <w:rsid w:val="008C6E14"/>
    <w:rsid w:val="008C7935"/>
    <w:rsid w:val="008D022E"/>
    <w:rsid w:val="008D05DF"/>
    <w:rsid w:val="008D1361"/>
    <w:rsid w:val="008D2352"/>
    <w:rsid w:val="008D24D0"/>
    <w:rsid w:val="008D2519"/>
    <w:rsid w:val="008D25F3"/>
    <w:rsid w:val="008D2B7E"/>
    <w:rsid w:val="008D335B"/>
    <w:rsid w:val="008D3717"/>
    <w:rsid w:val="008D3E2D"/>
    <w:rsid w:val="008D3E66"/>
    <w:rsid w:val="008D4262"/>
    <w:rsid w:val="008D476A"/>
    <w:rsid w:val="008D61C9"/>
    <w:rsid w:val="008D6F29"/>
    <w:rsid w:val="008E314B"/>
    <w:rsid w:val="008E4091"/>
    <w:rsid w:val="008E40E3"/>
    <w:rsid w:val="008E46B2"/>
    <w:rsid w:val="008E4E69"/>
    <w:rsid w:val="008E54AC"/>
    <w:rsid w:val="008E5C68"/>
    <w:rsid w:val="008E61C0"/>
    <w:rsid w:val="008E6DE5"/>
    <w:rsid w:val="008F13A3"/>
    <w:rsid w:val="008F188A"/>
    <w:rsid w:val="008F1926"/>
    <w:rsid w:val="008F1A9E"/>
    <w:rsid w:val="008F1BE7"/>
    <w:rsid w:val="008F1E05"/>
    <w:rsid w:val="008F2212"/>
    <w:rsid w:val="008F2919"/>
    <w:rsid w:val="008F2CD8"/>
    <w:rsid w:val="008F2DBA"/>
    <w:rsid w:val="008F2DF3"/>
    <w:rsid w:val="008F3C94"/>
    <w:rsid w:val="008F45D2"/>
    <w:rsid w:val="008F45DA"/>
    <w:rsid w:val="008F4822"/>
    <w:rsid w:val="008F586A"/>
    <w:rsid w:val="008F60E1"/>
    <w:rsid w:val="008F672B"/>
    <w:rsid w:val="008F673D"/>
    <w:rsid w:val="008F7527"/>
    <w:rsid w:val="008F7742"/>
    <w:rsid w:val="008F7AA4"/>
    <w:rsid w:val="00900193"/>
    <w:rsid w:val="00900A8C"/>
    <w:rsid w:val="0090163E"/>
    <w:rsid w:val="00901C98"/>
    <w:rsid w:val="00902128"/>
    <w:rsid w:val="009028D5"/>
    <w:rsid w:val="00902E4D"/>
    <w:rsid w:val="00903937"/>
    <w:rsid w:val="00903AB3"/>
    <w:rsid w:val="00904D0C"/>
    <w:rsid w:val="00905F81"/>
    <w:rsid w:val="00906EFE"/>
    <w:rsid w:val="00907043"/>
    <w:rsid w:val="009072A8"/>
    <w:rsid w:val="009077DA"/>
    <w:rsid w:val="009079C9"/>
    <w:rsid w:val="00907EE4"/>
    <w:rsid w:val="00910680"/>
    <w:rsid w:val="00910AD5"/>
    <w:rsid w:val="009125C5"/>
    <w:rsid w:val="00912ADA"/>
    <w:rsid w:val="00914279"/>
    <w:rsid w:val="009144CF"/>
    <w:rsid w:val="009144D6"/>
    <w:rsid w:val="00915E4E"/>
    <w:rsid w:val="00916E62"/>
    <w:rsid w:val="00916E85"/>
    <w:rsid w:val="00920833"/>
    <w:rsid w:val="00920A03"/>
    <w:rsid w:val="00920DDF"/>
    <w:rsid w:val="00920EA5"/>
    <w:rsid w:val="00922649"/>
    <w:rsid w:val="00922D78"/>
    <w:rsid w:val="00923173"/>
    <w:rsid w:val="0092395D"/>
    <w:rsid w:val="009241A7"/>
    <w:rsid w:val="00924C00"/>
    <w:rsid w:val="00925AD6"/>
    <w:rsid w:val="00925CD9"/>
    <w:rsid w:val="0092623C"/>
    <w:rsid w:val="0092634D"/>
    <w:rsid w:val="00926F0A"/>
    <w:rsid w:val="00927225"/>
    <w:rsid w:val="00927D0C"/>
    <w:rsid w:val="00927D29"/>
    <w:rsid w:val="009300DE"/>
    <w:rsid w:val="00930DE5"/>
    <w:rsid w:val="0093320E"/>
    <w:rsid w:val="00933468"/>
    <w:rsid w:val="00933626"/>
    <w:rsid w:val="00933666"/>
    <w:rsid w:val="009338DF"/>
    <w:rsid w:val="00933A59"/>
    <w:rsid w:val="00933B63"/>
    <w:rsid w:val="00940C8A"/>
    <w:rsid w:val="009420AB"/>
    <w:rsid w:val="0094228A"/>
    <w:rsid w:val="009425DD"/>
    <w:rsid w:val="00942C49"/>
    <w:rsid w:val="00942E83"/>
    <w:rsid w:val="00944197"/>
    <w:rsid w:val="00944967"/>
    <w:rsid w:val="00945339"/>
    <w:rsid w:val="009459A4"/>
    <w:rsid w:val="00946081"/>
    <w:rsid w:val="009464C8"/>
    <w:rsid w:val="00946A8A"/>
    <w:rsid w:val="00947F4C"/>
    <w:rsid w:val="009510F5"/>
    <w:rsid w:val="00951289"/>
    <w:rsid w:val="009513A1"/>
    <w:rsid w:val="009515B4"/>
    <w:rsid w:val="00951E7C"/>
    <w:rsid w:val="00952115"/>
    <w:rsid w:val="0095275C"/>
    <w:rsid w:val="009533D0"/>
    <w:rsid w:val="0095371D"/>
    <w:rsid w:val="00953A65"/>
    <w:rsid w:val="0095551E"/>
    <w:rsid w:val="00955527"/>
    <w:rsid w:val="009555BF"/>
    <w:rsid w:val="009556D9"/>
    <w:rsid w:val="00957204"/>
    <w:rsid w:val="00957C85"/>
    <w:rsid w:val="00957EE8"/>
    <w:rsid w:val="0096005C"/>
    <w:rsid w:val="0096094E"/>
    <w:rsid w:val="00961875"/>
    <w:rsid w:val="009623B3"/>
    <w:rsid w:val="00963249"/>
    <w:rsid w:val="0096348F"/>
    <w:rsid w:val="00964AFE"/>
    <w:rsid w:val="00964B22"/>
    <w:rsid w:val="00964E3E"/>
    <w:rsid w:val="00965026"/>
    <w:rsid w:val="0096624C"/>
    <w:rsid w:val="0096678A"/>
    <w:rsid w:val="00966796"/>
    <w:rsid w:val="00966AB3"/>
    <w:rsid w:val="00966BBB"/>
    <w:rsid w:val="00966D22"/>
    <w:rsid w:val="00966FD1"/>
    <w:rsid w:val="00971AC2"/>
    <w:rsid w:val="00973301"/>
    <w:rsid w:val="00975695"/>
    <w:rsid w:val="00975AEE"/>
    <w:rsid w:val="00976754"/>
    <w:rsid w:val="009769A2"/>
    <w:rsid w:val="00976CB4"/>
    <w:rsid w:val="0097771E"/>
    <w:rsid w:val="00980591"/>
    <w:rsid w:val="00981049"/>
    <w:rsid w:val="00981413"/>
    <w:rsid w:val="00981CBA"/>
    <w:rsid w:val="00982394"/>
    <w:rsid w:val="0098303D"/>
    <w:rsid w:val="00983882"/>
    <w:rsid w:val="0098391C"/>
    <w:rsid w:val="00983F3A"/>
    <w:rsid w:val="009858E4"/>
    <w:rsid w:val="00985B0C"/>
    <w:rsid w:val="00986CEA"/>
    <w:rsid w:val="00987A7E"/>
    <w:rsid w:val="00987A8A"/>
    <w:rsid w:val="0099034F"/>
    <w:rsid w:val="00990BE3"/>
    <w:rsid w:val="0099127C"/>
    <w:rsid w:val="009916B0"/>
    <w:rsid w:val="00991BA8"/>
    <w:rsid w:val="009925A3"/>
    <w:rsid w:val="009929FB"/>
    <w:rsid w:val="009936E7"/>
    <w:rsid w:val="00993A75"/>
    <w:rsid w:val="00993FE3"/>
    <w:rsid w:val="009942EF"/>
    <w:rsid w:val="009953F3"/>
    <w:rsid w:val="00995523"/>
    <w:rsid w:val="009958C0"/>
    <w:rsid w:val="00995EB2"/>
    <w:rsid w:val="00997627"/>
    <w:rsid w:val="00997AD8"/>
    <w:rsid w:val="009A1395"/>
    <w:rsid w:val="009A161D"/>
    <w:rsid w:val="009A1695"/>
    <w:rsid w:val="009A1ACA"/>
    <w:rsid w:val="009A1F6E"/>
    <w:rsid w:val="009A237B"/>
    <w:rsid w:val="009A2569"/>
    <w:rsid w:val="009A26A6"/>
    <w:rsid w:val="009A2C72"/>
    <w:rsid w:val="009A3328"/>
    <w:rsid w:val="009A4247"/>
    <w:rsid w:val="009A4ADD"/>
    <w:rsid w:val="009A58F2"/>
    <w:rsid w:val="009A5FD8"/>
    <w:rsid w:val="009A6CA8"/>
    <w:rsid w:val="009A7072"/>
    <w:rsid w:val="009A788C"/>
    <w:rsid w:val="009A7913"/>
    <w:rsid w:val="009B0DEF"/>
    <w:rsid w:val="009B0FCC"/>
    <w:rsid w:val="009B1C38"/>
    <w:rsid w:val="009B214B"/>
    <w:rsid w:val="009B2202"/>
    <w:rsid w:val="009B305B"/>
    <w:rsid w:val="009B3263"/>
    <w:rsid w:val="009B33EA"/>
    <w:rsid w:val="009B3C49"/>
    <w:rsid w:val="009B50F4"/>
    <w:rsid w:val="009B5EEB"/>
    <w:rsid w:val="009B6165"/>
    <w:rsid w:val="009B65B9"/>
    <w:rsid w:val="009C0504"/>
    <w:rsid w:val="009C13FB"/>
    <w:rsid w:val="009C1CAF"/>
    <w:rsid w:val="009C244F"/>
    <w:rsid w:val="009C2547"/>
    <w:rsid w:val="009C2D19"/>
    <w:rsid w:val="009C4B6E"/>
    <w:rsid w:val="009C4C0C"/>
    <w:rsid w:val="009C5537"/>
    <w:rsid w:val="009C6023"/>
    <w:rsid w:val="009C7EE4"/>
    <w:rsid w:val="009D06BA"/>
    <w:rsid w:val="009D0C7F"/>
    <w:rsid w:val="009D0E3C"/>
    <w:rsid w:val="009D1FD2"/>
    <w:rsid w:val="009D2002"/>
    <w:rsid w:val="009D22F9"/>
    <w:rsid w:val="009D2888"/>
    <w:rsid w:val="009D294F"/>
    <w:rsid w:val="009D35DB"/>
    <w:rsid w:val="009D400A"/>
    <w:rsid w:val="009D46A7"/>
    <w:rsid w:val="009D475C"/>
    <w:rsid w:val="009D52CE"/>
    <w:rsid w:val="009D5665"/>
    <w:rsid w:val="009D58E8"/>
    <w:rsid w:val="009D5CB0"/>
    <w:rsid w:val="009D5F5C"/>
    <w:rsid w:val="009D625F"/>
    <w:rsid w:val="009D6C1A"/>
    <w:rsid w:val="009D789F"/>
    <w:rsid w:val="009E02CB"/>
    <w:rsid w:val="009E0827"/>
    <w:rsid w:val="009E0A65"/>
    <w:rsid w:val="009E0CE7"/>
    <w:rsid w:val="009E12DC"/>
    <w:rsid w:val="009E13F7"/>
    <w:rsid w:val="009E1630"/>
    <w:rsid w:val="009E23E9"/>
    <w:rsid w:val="009E2820"/>
    <w:rsid w:val="009E2C71"/>
    <w:rsid w:val="009E36DF"/>
    <w:rsid w:val="009E3944"/>
    <w:rsid w:val="009E436E"/>
    <w:rsid w:val="009E43E0"/>
    <w:rsid w:val="009E474A"/>
    <w:rsid w:val="009E49CF"/>
    <w:rsid w:val="009E5404"/>
    <w:rsid w:val="009E61E2"/>
    <w:rsid w:val="009E6491"/>
    <w:rsid w:val="009E6922"/>
    <w:rsid w:val="009E72AA"/>
    <w:rsid w:val="009E77A6"/>
    <w:rsid w:val="009E7A7E"/>
    <w:rsid w:val="009F0F3A"/>
    <w:rsid w:val="009F13A1"/>
    <w:rsid w:val="009F31DE"/>
    <w:rsid w:val="009F442E"/>
    <w:rsid w:val="009F4F6F"/>
    <w:rsid w:val="009F5AE8"/>
    <w:rsid w:val="009F5CCB"/>
    <w:rsid w:val="009F6B0C"/>
    <w:rsid w:val="009F7667"/>
    <w:rsid w:val="009F7732"/>
    <w:rsid w:val="009F7AAF"/>
    <w:rsid w:val="00A014D8"/>
    <w:rsid w:val="00A019DB"/>
    <w:rsid w:val="00A02E0B"/>
    <w:rsid w:val="00A03247"/>
    <w:rsid w:val="00A04465"/>
    <w:rsid w:val="00A04DA0"/>
    <w:rsid w:val="00A0523B"/>
    <w:rsid w:val="00A05269"/>
    <w:rsid w:val="00A05986"/>
    <w:rsid w:val="00A05C10"/>
    <w:rsid w:val="00A06D73"/>
    <w:rsid w:val="00A070E7"/>
    <w:rsid w:val="00A1035E"/>
    <w:rsid w:val="00A105C8"/>
    <w:rsid w:val="00A10AAB"/>
    <w:rsid w:val="00A10F3B"/>
    <w:rsid w:val="00A10FDF"/>
    <w:rsid w:val="00A10FF7"/>
    <w:rsid w:val="00A11C22"/>
    <w:rsid w:val="00A11D27"/>
    <w:rsid w:val="00A1269F"/>
    <w:rsid w:val="00A1319D"/>
    <w:rsid w:val="00A13424"/>
    <w:rsid w:val="00A1398A"/>
    <w:rsid w:val="00A13CB7"/>
    <w:rsid w:val="00A13F03"/>
    <w:rsid w:val="00A14372"/>
    <w:rsid w:val="00A14E9F"/>
    <w:rsid w:val="00A153BD"/>
    <w:rsid w:val="00A15AAA"/>
    <w:rsid w:val="00A16559"/>
    <w:rsid w:val="00A16EB3"/>
    <w:rsid w:val="00A17596"/>
    <w:rsid w:val="00A1782C"/>
    <w:rsid w:val="00A2029E"/>
    <w:rsid w:val="00A20663"/>
    <w:rsid w:val="00A20D28"/>
    <w:rsid w:val="00A213D1"/>
    <w:rsid w:val="00A23046"/>
    <w:rsid w:val="00A235E0"/>
    <w:rsid w:val="00A23FA2"/>
    <w:rsid w:val="00A24609"/>
    <w:rsid w:val="00A24695"/>
    <w:rsid w:val="00A246BF"/>
    <w:rsid w:val="00A24F60"/>
    <w:rsid w:val="00A254DB"/>
    <w:rsid w:val="00A26AC3"/>
    <w:rsid w:val="00A27203"/>
    <w:rsid w:val="00A27BDC"/>
    <w:rsid w:val="00A303A8"/>
    <w:rsid w:val="00A307A6"/>
    <w:rsid w:val="00A30F54"/>
    <w:rsid w:val="00A3130E"/>
    <w:rsid w:val="00A31980"/>
    <w:rsid w:val="00A32B9B"/>
    <w:rsid w:val="00A330A6"/>
    <w:rsid w:val="00A339FF"/>
    <w:rsid w:val="00A33E25"/>
    <w:rsid w:val="00A33E36"/>
    <w:rsid w:val="00A34600"/>
    <w:rsid w:val="00A349DE"/>
    <w:rsid w:val="00A34CBE"/>
    <w:rsid w:val="00A34DE6"/>
    <w:rsid w:val="00A357CC"/>
    <w:rsid w:val="00A35A27"/>
    <w:rsid w:val="00A35D75"/>
    <w:rsid w:val="00A36670"/>
    <w:rsid w:val="00A36DB2"/>
    <w:rsid w:val="00A37895"/>
    <w:rsid w:val="00A4000B"/>
    <w:rsid w:val="00A40C94"/>
    <w:rsid w:val="00A40DAD"/>
    <w:rsid w:val="00A40FB7"/>
    <w:rsid w:val="00A42182"/>
    <w:rsid w:val="00A4244E"/>
    <w:rsid w:val="00A430A8"/>
    <w:rsid w:val="00A432D9"/>
    <w:rsid w:val="00A43A9A"/>
    <w:rsid w:val="00A44309"/>
    <w:rsid w:val="00A447FB"/>
    <w:rsid w:val="00A449FF"/>
    <w:rsid w:val="00A4568F"/>
    <w:rsid w:val="00A4639C"/>
    <w:rsid w:val="00A465E0"/>
    <w:rsid w:val="00A47623"/>
    <w:rsid w:val="00A47985"/>
    <w:rsid w:val="00A47A07"/>
    <w:rsid w:val="00A47E65"/>
    <w:rsid w:val="00A47F46"/>
    <w:rsid w:val="00A51CC2"/>
    <w:rsid w:val="00A51F5F"/>
    <w:rsid w:val="00A52335"/>
    <w:rsid w:val="00A528C0"/>
    <w:rsid w:val="00A52CBC"/>
    <w:rsid w:val="00A52FAF"/>
    <w:rsid w:val="00A535C1"/>
    <w:rsid w:val="00A53D54"/>
    <w:rsid w:val="00A5421D"/>
    <w:rsid w:val="00A544D5"/>
    <w:rsid w:val="00A54E9E"/>
    <w:rsid w:val="00A55234"/>
    <w:rsid w:val="00A555ED"/>
    <w:rsid w:val="00A55C01"/>
    <w:rsid w:val="00A562A0"/>
    <w:rsid w:val="00A56C81"/>
    <w:rsid w:val="00A56E46"/>
    <w:rsid w:val="00A622FF"/>
    <w:rsid w:val="00A62D6C"/>
    <w:rsid w:val="00A63E50"/>
    <w:rsid w:val="00A64395"/>
    <w:rsid w:val="00A646A7"/>
    <w:rsid w:val="00A64C8D"/>
    <w:rsid w:val="00A65C53"/>
    <w:rsid w:val="00A66349"/>
    <w:rsid w:val="00A7051D"/>
    <w:rsid w:val="00A70804"/>
    <w:rsid w:val="00A7126E"/>
    <w:rsid w:val="00A717D0"/>
    <w:rsid w:val="00A721F5"/>
    <w:rsid w:val="00A7233D"/>
    <w:rsid w:val="00A736BC"/>
    <w:rsid w:val="00A745A2"/>
    <w:rsid w:val="00A762EF"/>
    <w:rsid w:val="00A765A3"/>
    <w:rsid w:val="00A76FAA"/>
    <w:rsid w:val="00A77081"/>
    <w:rsid w:val="00A8093F"/>
    <w:rsid w:val="00A819B9"/>
    <w:rsid w:val="00A81E6F"/>
    <w:rsid w:val="00A81FCB"/>
    <w:rsid w:val="00A82CDF"/>
    <w:rsid w:val="00A836A4"/>
    <w:rsid w:val="00A83C7C"/>
    <w:rsid w:val="00A83E07"/>
    <w:rsid w:val="00A842AB"/>
    <w:rsid w:val="00A845C0"/>
    <w:rsid w:val="00A84963"/>
    <w:rsid w:val="00A84C57"/>
    <w:rsid w:val="00A850A3"/>
    <w:rsid w:val="00A86D38"/>
    <w:rsid w:val="00A8744E"/>
    <w:rsid w:val="00A91794"/>
    <w:rsid w:val="00A91FC0"/>
    <w:rsid w:val="00A9225C"/>
    <w:rsid w:val="00A92979"/>
    <w:rsid w:val="00A93524"/>
    <w:rsid w:val="00A938BE"/>
    <w:rsid w:val="00A939FF"/>
    <w:rsid w:val="00A93EE0"/>
    <w:rsid w:val="00A9410E"/>
    <w:rsid w:val="00A94CB8"/>
    <w:rsid w:val="00A95042"/>
    <w:rsid w:val="00A95140"/>
    <w:rsid w:val="00A95553"/>
    <w:rsid w:val="00A95E10"/>
    <w:rsid w:val="00A97713"/>
    <w:rsid w:val="00A97A1F"/>
    <w:rsid w:val="00A97A2E"/>
    <w:rsid w:val="00A97E24"/>
    <w:rsid w:val="00AA011E"/>
    <w:rsid w:val="00AA0A51"/>
    <w:rsid w:val="00AA1057"/>
    <w:rsid w:val="00AA1831"/>
    <w:rsid w:val="00AA29C0"/>
    <w:rsid w:val="00AA2C7D"/>
    <w:rsid w:val="00AA43C5"/>
    <w:rsid w:val="00AA4F2C"/>
    <w:rsid w:val="00AA50C0"/>
    <w:rsid w:val="00AA5C72"/>
    <w:rsid w:val="00AA6A5F"/>
    <w:rsid w:val="00AA6FBD"/>
    <w:rsid w:val="00AA73BB"/>
    <w:rsid w:val="00AA7B3A"/>
    <w:rsid w:val="00AA7D53"/>
    <w:rsid w:val="00AB10B4"/>
    <w:rsid w:val="00AB2097"/>
    <w:rsid w:val="00AB2AA0"/>
    <w:rsid w:val="00AB3329"/>
    <w:rsid w:val="00AB4BBF"/>
    <w:rsid w:val="00AB54E8"/>
    <w:rsid w:val="00AB62FC"/>
    <w:rsid w:val="00AB76C8"/>
    <w:rsid w:val="00AB7921"/>
    <w:rsid w:val="00AC0C9A"/>
    <w:rsid w:val="00AC1077"/>
    <w:rsid w:val="00AC11E5"/>
    <w:rsid w:val="00AC145D"/>
    <w:rsid w:val="00AC1618"/>
    <w:rsid w:val="00AC1A0A"/>
    <w:rsid w:val="00AC1D21"/>
    <w:rsid w:val="00AC26C3"/>
    <w:rsid w:val="00AC336F"/>
    <w:rsid w:val="00AC4270"/>
    <w:rsid w:val="00AC432F"/>
    <w:rsid w:val="00AC540E"/>
    <w:rsid w:val="00AC5476"/>
    <w:rsid w:val="00AC54C5"/>
    <w:rsid w:val="00AC5DF9"/>
    <w:rsid w:val="00AC608B"/>
    <w:rsid w:val="00AC6622"/>
    <w:rsid w:val="00AC6A65"/>
    <w:rsid w:val="00AC7415"/>
    <w:rsid w:val="00AC794D"/>
    <w:rsid w:val="00AC7B5C"/>
    <w:rsid w:val="00AD0254"/>
    <w:rsid w:val="00AD04B4"/>
    <w:rsid w:val="00AD054D"/>
    <w:rsid w:val="00AD08AC"/>
    <w:rsid w:val="00AD18C9"/>
    <w:rsid w:val="00AD1930"/>
    <w:rsid w:val="00AD24A6"/>
    <w:rsid w:val="00AD2CCE"/>
    <w:rsid w:val="00AD3905"/>
    <w:rsid w:val="00AD4A1B"/>
    <w:rsid w:val="00AD4F26"/>
    <w:rsid w:val="00AD5093"/>
    <w:rsid w:val="00AD5561"/>
    <w:rsid w:val="00AD6228"/>
    <w:rsid w:val="00AE0968"/>
    <w:rsid w:val="00AE0BEC"/>
    <w:rsid w:val="00AE12AA"/>
    <w:rsid w:val="00AE1FB7"/>
    <w:rsid w:val="00AE25D2"/>
    <w:rsid w:val="00AE27A7"/>
    <w:rsid w:val="00AE2B48"/>
    <w:rsid w:val="00AE2C92"/>
    <w:rsid w:val="00AE3670"/>
    <w:rsid w:val="00AE3BAF"/>
    <w:rsid w:val="00AE4110"/>
    <w:rsid w:val="00AE4586"/>
    <w:rsid w:val="00AE49B7"/>
    <w:rsid w:val="00AE5331"/>
    <w:rsid w:val="00AE551E"/>
    <w:rsid w:val="00AE57A6"/>
    <w:rsid w:val="00AE6302"/>
    <w:rsid w:val="00AE7E7B"/>
    <w:rsid w:val="00AF08C5"/>
    <w:rsid w:val="00AF0D28"/>
    <w:rsid w:val="00AF1323"/>
    <w:rsid w:val="00AF1535"/>
    <w:rsid w:val="00AF25CF"/>
    <w:rsid w:val="00AF2769"/>
    <w:rsid w:val="00AF2FC3"/>
    <w:rsid w:val="00AF3212"/>
    <w:rsid w:val="00AF3627"/>
    <w:rsid w:val="00AF44D6"/>
    <w:rsid w:val="00AF4A2A"/>
    <w:rsid w:val="00AF4EA0"/>
    <w:rsid w:val="00AF5111"/>
    <w:rsid w:val="00AF5189"/>
    <w:rsid w:val="00AF60C7"/>
    <w:rsid w:val="00AF6509"/>
    <w:rsid w:val="00AF667E"/>
    <w:rsid w:val="00AF6E45"/>
    <w:rsid w:val="00AF73A4"/>
    <w:rsid w:val="00AF7750"/>
    <w:rsid w:val="00AF7AE3"/>
    <w:rsid w:val="00AF7EE4"/>
    <w:rsid w:val="00B0036E"/>
    <w:rsid w:val="00B00504"/>
    <w:rsid w:val="00B00590"/>
    <w:rsid w:val="00B0078B"/>
    <w:rsid w:val="00B015BB"/>
    <w:rsid w:val="00B03026"/>
    <w:rsid w:val="00B0335E"/>
    <w:rsid w:val="00B038C2"/>
    <w:rsid w:val="00B04DC5"/>
    <w:rsid w:val="00B05C7D"/>
    <w:rsid w:val="00B06D85"/>
    <w:rsid w:val="00B07508"/>
    <w:rsid w:val="00B0761B"/>
    <w:rsid w:val="00B10052"/>
    <w:rsid w:val="00B10336"/>
    <w:rsid w:val="00B117AB"/>
    <w:rsid w:val="00B11815"/>
    <w:rsid w:val="00B1286E"/>
    <w:rsid w:val="00B13823"/>
    <w:rsid w:val="00B13CA8"/>
    <w:rsid w:val="00B142F1"/>
    <w:rsid w:val="00B1439D"/>
    <w:rsid w:val="00B14877"/>
    <w:rsid w:val="00B15AFE"/>
    <w:rsid w:val="00B15E08"/>
    <w:rsid w:val="00B20894"/>
    <w:rsid w:val="00B20BD5"/>
    <w:rsid w:val="00B21556"/>
    <w:rsid w:val="00B219F9"/>
    <w:rsid w:val="00B2202D"/>
    <w:rsid w:val="00B22394"/>
    <w:rsid w:val="00B2245A"/>
    <w:rsid w:val="00B23F88"/>
    <w:rsid w:val="00B24BD5"/>
    <w:rsid w:val="00B25074"/>
    <w:rsid w:val="00B25808"/>
    <w:rsid w:val="00B25B8F"/>
    <w:rsid w:val="00B25C97"/>
    <w:rsid w:val="00B26630"/>
    <w:rsid w:val="00B266CD"/>
    <w:rsid w:val="00B26BF4"/>
    <w:rsid w:val="00B27401"/>
    <w:rsid w:val="00B27D67"/>
    <w:rsid w:val="00B308CF"/>
    <w:rsid w:val="00B30F6F"/>
    <w:rsid w:val="00B30FB4"/>
    <w:rsid w:val="00B31CC7"/>
    <w:rsid w:val="00B326A4"/>
    <w:rsid w:val="00B32843"/>
    <w:rsid w:val="00B32AA6"/>
    <w:rsid w:val="00B32D62"/>
    <w:rsid w:val="00B3311D"/>
    <w:rsid w:val="00B33639"/>
    <w:rsid w:val="00B339E3"/>
    <w:rsid w:val="00B34517"/>
    <w:rsid w:val="00B35B0F"/>
    <w:rsid w:val="00B37795"/>
    <w:rsid w:val="00B3794B"/>
    <w:rsid w:val="00B37CE4"/>
    <w:rsid w:val="00B4058D"/>
    <w:rsid w:val="00B408FE"/>
    <w:rsid w:val="00B41206"/>
    <w:rsid w:val="00B4143A"/>
    <w:rsid w:val="00B418F2"/>
    <w:rsid w:val="00B41CD2"/>
    <w:rsid w:val="00B423A0"/>
    <w:rsid w:val="00B42663"/>
    <w:rsid w:val="00B42B31"/>
    <w:rsid w:val="00B42BB9"/>
    <w:rsid w:val="00B432A3"/>
    <w:rsid w:val="00B43EE4"/>
    <w:rsid w:val="00B4468B"/>
    <w:rsid w:val="00B45488"/>
    <w:rsid w:val="00B4596F"/>
    <w:rsid w:val="00B45BAC"/>
    <w:rsid w:val="00B463B0"/>
    <w:rsid w:val="00B463FB"/>
    <w:rsid w:val="00B476FA"/>
    <w:rsid w:val="00B47743"/>
    <w:rsid w:val="00B47E24"/>
    <w:rsid w:val="00B500F2"/>
    <w:rsid w:val="00B50477"/>
    <w:rsid w:val="00B50D0F"/>
    <w:rsid w:val="00B51264"/>
    <w:rsid w:val="00B51352"/>
    <w:rsid w:val="00B514D6"/>
    <w:rsid w:val="00B5161D"/>
    <w:rsid w:val="00B51846"/>
    <w:rsid w:val="00B52459"/>
    <w:rsid w:val="00B52A83"/>
    <w:rsid w:val="00B52E06"/>
    <w:rsid w:val="00B52FCA"/>
    <w:rsid w:val="00B53FDA"/>
    <w:rsid w:val="00B54202"/>
    <w:rsid w:val="00B544D1"/>
    <w:rsid w:val="00B54ADF"/>
    <w:rsid w:val="00B55CBF"/>
    <w:rsid w:val="00B56A3B"/>
    <w:rsid w:val="00B57DF2"/>
    <w:rsid w:val="00B57FD5"/>
    <w:rsid w:val="00B6058C"/>
    <w:rsid w:val="00B60B05"/>
    <w:rsid w:val="00B60CB3"/>
    <w:rsid w:val="00B62B38"/>
    <w:rsid w:val="00B63A33"/>
    <w:rsid w:val="00B649B8"/>
    <w:rsid w:val="00B652B5"/>
    <w:rsid w:val="00B656A1"/>
    <w:rsid w:val="00B659AB"/>
    <w:rsid w:val="00B66AAE"/>
    <w:rsid w:val="00B66EDA"/>
    <w:rsid w:val="00B6704C"/>
    <w:rsid w:val="00B67164"/>
    <w:rsid w:val="00B6761C"/>
    <w:rsid w:val="00B7011F"/>
    <w:rsid w:val="00B70832"/>
    <w:rsid w:val="00B70E05"/>
    <w:rsid w:val="00B71398"/>
    <w:rsid w:val="00B71827"/>
    <w:rsid w:val="00B7238D"/>
    <w:rsid w:val="00B73250"/>
    <w:rsid w:val="00B73723"/>
    <w:rsid w:val="00B73A46"/>
    <w:rsid w:val="00B73E8C"/>
    <w:rsid w:val="00B746E8"/>
    <w:rsid w:val="00B7476C"/>
    <w:rsid w:val="00B74926"/>
    <w:rsid w:val="00B74A73"/>
    <w:rsid w:val="00B751AC"/>
    <w:rsid w:val="00B75321"/>
    <w:rsid w:val="00B75741"/>
    <w:rsid w:val="00B75D8E"/>
    <w:rsid w:val="00B75F9B"/>
    <w:rsid w:val="00B773E4"/>
    <w:rsid w:val="00B7746D"/>
    <w:rsid w:val="00B77B14"/>
    <w:rsid w:val="00B77B34"/>
    <w:rsid w:val="00B8033F"/>
    <w:rsid w:val="00B80485"/>
    <w:rsid w:val="00B811F0"/>
    <w:rsid w:val="00B81933"/>
    <w:rsid w:val="00B81B08"/>
    <w:rsid w:val="00B82211"/>
    <w:rsid w:val="00B82218"/>
    <w:rsid w:val="00B8222D"/>
    <w:rsid w:val="00B82B8A"/>
    <w:rsid w:val="00B83E6F"/>
    <w:rsid w:val="00B8478D"/>
    <w:rsid w:val="00B849A5"/>
    <w:rsid w:val="00B84AA7"/>
    <w:rsid w:val="00B84F76"/>
    <w:rsid w:val="00B8551D"/>
    <w:rsid w:val="00B85A83"/>
    <w:rsid w:val="00B86E6F"/>
    <w:rsid w:val="00B9015A"/>
    <w:rsid w:val="00B90D82"/>
    <w:rsid w:val="00B92328"/>
    <w:rsid w:val="00B92ADA"/>
    <w:rsid w:val="00B92BAD"/>
    <w:rsid w:val="00B92F82"/>
    <w:rsid w:val="00B93106"/>
    <w:rsid w:val="00B93627"/>
    <w:rsid w:val="00B941C0"/>
    <w:rsid w:val="00B9470C"/>
    <w:rsid w:val="00B94E35"/>
    <w:rsid w:val="00B94F54"/>
    <w:rsid w:val="00B960CF"/>
    <w:rsid w:val="00B96518"/>
    <w:rsid w:val="00B966F0"/>
    <w:rsid w:val="00B9687C"/>
    <w:rsid w:val="00B9700E"/>
    <w:rsid w:val="00B9735C"/>
    <w:rsid w:val="00BA13D4"/>
    <w:rsid w:val="00BA1777"/>
    <w:rsid w:val="00BA1900"/>
    <w:rsid w:val="00BA297D"/>
    <w:rsid w:val="00BA3270"/>
    <w:rsid w:val="00BA3457"/>
    <w:rsid w:val="00BA352D"/>
    <w:rsid w:val="00BA35F3"/>
    <w:rsid w:val="00BA3612"/>
    <w:rsid w:val="00BA3DDB"/>
    <w:rsid w:val="00BA4534"/>
    <w:rsid w:val="00BA4DD4"/>
    <w:rsid w:val="00BA6741"/>
    <w:rsid w:val="00BA7645"/>
    <w:rsid w:val="00BA77E8"/>
    <w:rsid w:val="00BB06C2"/>
    <w:rsid w:val="00BB1CFA"/>
    <w:rsid w:val="00BB3234"/>
    <w:rsid w:val="00BB334D"/>
    <w:rsid w:val="00BB3596"/>
    <w:rsid w:val="00BB3A01"/>
    <w:rsid w:val="00BB4392"/>
    <w:rsid w:val="00BB43FE"/>
    <w:rsid w:val="00BB450C"/>
    <w:rsid w:val="00BB45C2"/>
    <w:rsid w:val="00BB51F3"/>
    <w:rsid w:val="00BB5A68"/>
    <w:rsid w:val="00BB5A6B"/>
    <w:rsid w:val="00BB5A8E"/>
    <w:rsid w:val="00BB6E21"/>
    <w:rsid w:val="00BB79EB"/>
    <w:rsid w:val="00BC03BA"/>
    <w:rsid w:val="00BC053F"/>
    <w:rsid w:val="00BC109C"/>
    <w:rsid w:val="00BC116F"/>
    <w:rsid w:val="00BC1EC3"/>
    <w:rsid w:val="00BC24D9"/>
    <w:rsid w:val="00BC2E2B"/>
    <w:rsid w:val="00BC448E"/>
    <w:rsid w:val="00BC50E4"/>
    <w:rsid w:val="00BC5ABB"/>
    <w:rsid w:val="00BC6007"/>
    <w:rsid w:val="00BC699E"/>
    <w:rsid w:val="00BC6C6B"/>
    <w:rsid w:val="00BC6FFD"/>
    <w:rsid w:val="00BD0026"/>
    <w:rsid w:val="00BD0F34"/>
    <w:rsid w:val="00BD1F92"/>
    <w:rsid w:val="00BD2863"/>
    <w:rsid w:val="00BD3426"/>
    <w:rsid w:val="00BD39A2"/>
    <w:rsid w:val="00BD40B2"/>
    <w:rsid w:val="00BD4733"/>
    <w:rsid w:val="00BD4999"/>
    <w:rsid w:val="00BD4AC6"/>
    <w:rsid w:val="00BD4DE2"/>
    <w:rsid w:val="00BD5BE2"/>
    <w:rsid w:val="00BD5C57"/>
    <w:rsid w:val="00BD5E89"/>
    <w:rsid w:val="00BD60D1"/>
    <w:rsid w:val="00BD64C0"/>
    <w:rsid w:val="00BD6A8A"/>
    <w:rsid w:val="00BD76E8"/>
    <w:rsid w:val="00BD7866"/>
    <w:rsid w:val="00BE0868"/>
    <w:rsid w:val="00BE095B"/>
    <w:rsid w:val="00BE0B3D"/>
    <w:rsid w:val="00BE1554"/>
    <w:rsid w:val="00BE31D7"/>
    <w:rsid w:val="00BE414F"/>
    <w:rsid w:val="00BE42BB"/>
    <w:rsid w:val="00BE4A39"/>
    <w:rsid w:val="00BE4A3C"/>
    <w:rsid w:val="00BE54E7"/>
    <w:rsid w:val="00BE5C54"/>
    <w:rsid w:val="00BE5E23"/>
    <w:rsid w:val="00BE60F7"/>
    <w:rsid w:val="00BE7037"/>
    <w:rsid w:val="00BE7106"/>
    <w:rsid w:val="00BE784D"/>
    <w:rsid w:val="00BF076A"/>
    <w:rsid w:val="00BF08EC"/>
    <w:rsid w:val="00BF0D0A"/>
    <w:rsid w:val="00BF113A"/>
    <w:rsid w:val="00BF11AF"/>
    <w:rsid w:val="00BF18B9"/>
    <w:rsid w:val="00BF1D15"/>
    <w:rsid w:val="00BF1E89"/>
    <w:rsid w:val="00BF2848"/>
    <w:rsid w:val="00BF2D5F"/>
    <w:rsid w:val="00BF449D"/>
    <w:rsid w:val="00BF468F"/>
    <w:rsid w:val="00BF4833"/>
    <w:rsid w:val="00BF52B1"/>
    <w:rsid w:val="00BF550E"/>
    <w:rsid w:val="00BF5B36"/>
    <w:rsid w:val="00BF5F45"/>
    <w:rsid w:val="00BF6191"/>
    <w:rsid w:val="00BF68BE"/>
    <w:rsid w:val="00BF68F2"/>
    <w:rsid w:val="00BF6AD1"/>
    <w:rsid w:val="00BF7B95"/>
    <w:rsid w:val="00C00853"/>
    <w:rsid w:val="00C0125A"/>
    <w:rsid w:val="00C013E8"/>
    <w:rsid w:val="00C02089"/>
    <w:rsid w:val="00C02B6B"/>
    <w:rsid w:val="00C03014"/>
    <w:rsid w:val="00C039EE"/>
    <w:rsid w:val="00C045E0"/>
    <w:rsid w:val="00C04CA6"/>
    <w:rsid w:val="00C05483"/>
    <w:rsid w:val="00C057E2"/>
    <w:rsid w:val="00C05FD0"/>
    <w:rsid w:val="00C06225"/>
    <w:rsid w:val="00C1004D"/>
    <w:rsid w:val="00C112CF"/>
    <w:rsid w:val="00C117DF"/>
    <w:rsid w:val="00C118C6"/>
    <w:rsid w:val="00C11990"/>
    <w:rsid w:val="00C11CEC"/>
    <w:rsid w:val="00C12897"/>
    <w:rsid w:val="00C12C0C"/>
    <w:rsid w:val="00C13303"/>
    <w:rsid w:val="00C13B23"/>
    <w:rsid w:val="00C149BC"/>
    <w:rsid w:val="00C14E5D"/>
    <w:rsid w:val="00C1548E"/>
    <w:rsid w:val="00C1577A"/>
    <w:rsid w:val="00C15E0A"/>
    <w:rsid w:val="00C17102"/>
    <w:rsid w:val="00C17130"/>
    <w:rsid w:val="00C175BA"/>
    <w:rsid w:val="00C176F8"/>
    <w:rsid w:val="00C17A3C"/>
    <w:rsid w:val="00C20DA3"/>
    <w:rsid w:val="00C219E3"/>
    <w:rsid w:val="00C21C86"/>
    <w:rsid w:val="00C22F0C"/>
    <w:rsid w:val="00C23247"/>
    <w:rsid w:val="00C23A64"/>
    <w:rsid w:val="00C24F6D"/>
    <w:rsid w:val="00C251B0"/>
    <w:rsid w:val="00C256A6"/>
    <w:rsid w:val="00C25BB6"/>
    <w:rsid w:val="00C25E6A"/>
    <w:rsid w:val="00C26221"/>
    <w:rsid w:val="00C26428"/>
    <w:rsid w:val="00C2649F"/>
    <w:rsid w:val="00C26997"/>
    <w:rsid w:val="00C2745F"/>
    <w:rsid w:val="00C27912"/>
    <w:rsid w:val="00C305E3"/>
    <w:rsid w:val="00C307E3"/>
    <w:rsid w:val="00C30A2E"/>
    <w:rsid w:val="00C31B46"/>
    <w:rsid w:val="00C31D9B"/>
    <w:rsid w:val="00C3273E"/>
    <w:rsid w:val="00C32BD3"/>
    <w:rsid w:val="00C33846"/>
    <w:rsid w:val="00C33D5E"/>
    <w:rsid w:val="00C34AE9"/>
    <w:rsid w:val="00C34E3A"/>
    <w:rsid w:val="00C363F8"/>
    <w:rsid w:val="00C36604"/>
    <w:rsid w:val="00C3739B"/>
    <w:rsid w:val="00C37B82"/>
    <w:rsid w:val="00C37E15"/>
    <w:rsid w:val="00C40863"/>
    <w:rsid w:val="00C419CF"/>
    <w:rsid w:val="00C41C66"/>
    <w:rsid w:val="00C423AF"/>
    <w:rsid w:val="00C42531"/>
    <w:rsid w:val="00C43731"/>
    <w:rsid w:val="00C43EFD"/>
    <w:rsid w:val="00C4486E"/>
    <w:rsid w:val="00C44912"/>
    <w:rsid w:val="00C45372"/>
    <w:rsid w:val="00C456E6"/>
    <w:rsid w:val="00C45931"/>
    <w:rsid w:val="00C45C58"/>
    <w:rsid w:val="00C45F2A"/>
    <w:rsid w:val="00C47D60"/>
    <w:rsid w:val="00C5019B"/>
    <w:rsid w:val="00C519A6"/>
    <w:rsid w:val="00C51BC7"/>
    <w:rsid w:val="00C5341E"/>
    <w:rsid w:val="00C54C16"/>
    <w:rsid w:val="00C55FDB"/>
    <w:rsid w:val="00C564CB"/>
    <w:rsid w:val="00C579AE"/>
    <w:rsid w:val="00C57CF4"/>
    <w:rsid w:val="00C6102C"/>
    <w:rsid w:val="00C61200"/>
    <w:rsid w:val="00C62319"/>
    <w:rsid w:val="00C62816"/>
    <w:rsid w:val="00C62DED"/>
    <w:rsid w:val="00C62E62"/>
    <w:rsid w:val="00C6363E"/>
    <w:rsid w:val="00C6392B"/>
    <w:rsid w:val="00C63A4B"/>
    <w:rsid w:val="00C64A69"/>
    <w:rsid w:val="00C64ABB"/>
    <w:rsid w:val="00C6514F"/>
    <w:rsid w:val="00C65314"/>
    <w:rsid w:val="00C662BF"/>
    <w:rsid w:val="00C664B1"/>
    <w:rsid w:val="00C673DA"/>
    <w:rsid w:val="00C67796"/>
    <w:rsid w:val="00C67823"/>
    <w:rsid w:val="00C703DE"/>
    <w:rsid w:val="00C70A11"/>
    <w:rsid w:val="00C70A24"/>
    <w:rsid w:val="00C7124D"/>
    <w:rsid w:val="00C71544"/>
    <w:rsid w:val="00C71FB3"/>
    <w:rsid w:val="00C72765"/>
    <w:rsid w:val="00C73189"/>
    <w:rsid w:val="00C7412A"/>
    <w:rsid w:val="00C74221"/>
    <w:rsid w:val="00C74DC4"/>
    <w:rsid w:val="00C762D3"/>
    <w:rsid w:val="00C80E12"/>
    <w:rsid w:val="00C80E64"/>
    <w:rsid w:val="00C80EA3"/>
    <w:rsid w:val="00C80FFD"/>
    <w:rsid w:val="00C81C3E"/>
    <w:rsid w:val="00C81C67"/>
    <w:rsid w:val="00C81EBA"/>
    <w:rsid w:val="00C82501"/>
    <w:rsid w:val="00C82CFF"/>
    <w:rsid w:val="00C83637"/>
    <w:rsid w:val="00C839CD"/>
    <w:rsid w:val="00C84AF7"/>
    <w:rsid w:val="00C85403"/>
    <w:rsid w:val="00C8622D"/>
    <w:rsid w:val="00C8686D"/>
    <w:rsid w:val="00C872DC"/>
    <w:rsid w:val="00C872E3"/>
    <w:rsid w:val="00C90066"/>
    <w:rsid w:val="00C900C9"/>
    <w:rsid w:val="00C9089B"/>
    <w:rsid w:val="00C90D90"/>
    <w:rsid w:val="00C91C93"/>
    <w:rsid w:val="00C920B1"/>
    <w:rsid w:val="00C927AA"/>
    <w:rsid w:val="00C92EDA"/>
    <w:rsid w:val="00C92F87"/>
    <w:rsid w:val="00C946E9"/>
    <w:rsid w:val="00C94A1A"/>
    <w:rsid w:val="00C95072"/>
    <w:rsid w:val="00C952F1"/>
    <w:rsid w:val="00C9541A"/>
    <w:rsid w:val="00C96BCB"/>
    <w:rsid w:val="00C96CC4"/>
    <w:rsid w:val="00C96EAA"/>
    <w:rsid w:val="00CA1624"/>
    <w:rsid w:val="00CA17F2"/>
    <w:rsid w:val="00CA2C57"/>
    <w:rsid w:val="00CA3DFA"/>
    <w:rsid w:val="00CA4045"/>
    <w:rsid w:val="00CA44D1"/>
    <w:rsid w:val="00CA4511"/>
    <w:rsid w:val="00CA5C37"/>
    <w:rsid w:val="00CA6100"/>
    <w:rsid w:val="00CA6101"/>
    <w:rsid w:val="00CA6194"/>
    <w:rsid w:val="00CA6CD0"/>
    <w:rsid w:val="00CA75B1"/>
    <w:rsid w:val="00CA783E"/>
    <w:rsid w:val="00CA7A3F"/>
    <w:rsid w:val="00CA7B2E"/>
    <w:rsid w:val="00CB0FAF"/>
    <w:rsid w:val="00CB15B3"/>
    <w:rsid w:val="00CB1BF9"/>
    <w:rsid w:val="00CB200F"/>
    <w:rsid w:val="00CB2A1F"/>
    <w:rsid w:val="00CB2C5F"/>
    <w:rsid w:val="00CB2C9F"/>
    <w:rsid w:val="00CB2F4A"/>
    <w:rsid w:val="00CB3178"/>
    <w:rsid w:val="00CB3C3F"/>
    <w:rsid w:val="00CB4687"/>
    <w:rsid w:val="00CB4758"/>
    <w:rsid w:val="00CB4FAE"/>
    <w:rsid w:val="00CB667F"/>
    <w:rsid w:val="00CB727B"/>
    <w:rsid w:val="00CB7C52"/>
    <w:rsid w:val="00CC046D"/>
    <w:rsid w:val="00CC1FA2"/>
    <w:rsid w:val="00CC23D7"/>
    <w:rsid w:val="00CC4730"/>
    <w:rsid w:val="00CC4847"/>
    <w:rsid w:val="00CC61C2"/>
    <w:rsid w:val="00CC695E"/>
    <w:rsid w:val="00CC6AC9"/>
    <w:rsid w:val="00CC72F1"/>
    <w:rsid w:val="00CC75EA"/>
    <w:rsid w:val="00CC7839"/>
    <w:rsid w:val="00CC7954"/>
    <w:rsid w:val="00CC7FD3"/>
    <w:rsid w:val="00CD0449"/>
    <w:rsid w:val="00CD0604"/>
    <w:rsid w:val="00CD0E88"/>
    <w:rsid w:val="00CD1F59"/>
    <w:rsid w:val="00CD2022"/>
    <w:rsid w:val="00CD2442"/>
    <w:rsid w:val="00CD26B7"/>
    <w:rsid w:val="00CD2A93"/>
    <w:rsid w:val="00CD2FA1"/>
    <w:rsid w:val="00CD38C9"/>
    <w:rsid w:val="00CD3D15"/>
    <w:rsid w:val="00CD4191"/>
    <w:rsid w:val="00CD4470"/>
    <w:rsid w:val="00CD46A0"/>
    <w:rsid w:val="00CD50FE"/>
    <w:rsid w:val="00CD5A67"/>
    <w:rsid w:val="00CD5AAB"/>
    <w:rsid w:val="00CD61DE"/>
    <w:rsid w:val="00CD6829"/>
    <w:rsid w:val="00CD6992"/>
    <w:rsid w:val="00CD6BDF"/>
    <w:rsid w:val="00CD706B"/>
    <w:rsid w:val="00CD7345"/>
    <w:rsid w:val="00CE086E"/>
    <w:rsid w:val="00CE0B49"/>
    <w:rsid w:val="00CE0B6D"/>
    <w:rsid w:val="00CE19F0"/>
    <w:rsid w:val="00CE2090"/>
    <w:rsid w:val="00CE2D35"/>
    <w:rsid w:val="00CE3454"/>
    <w:rsid w:val="00CE3706"/>
    <w:rsid w:val="00CE467D"/>
    <w:rsid w:val="00CE56AB"/>
    <w:rsid w:val="00CE584F"/>
    <w:rsid w:val="00CE6008"/>
    <w:rsid w:val="00CE61EC"/>
    <w:rsid w:val="00CE62A4"/>
    <w:rsid w:val="00CE6C33"/>
    <w:rsid w:val="00CE6D05"/>
    <w:rsid w:val="00CE70E1"/>
    <w:rsid w:val="00CE712F"/>
    <w:rsid w:val="00CF004B"/>
    <w:rsid w:val="00CF032E"/>
    <w:rsid w:val="00CF06DA"/>
    <w:rsid w:val="00CF1C17"/>
    <w:rsid w:val="00CF226E"/>
    <w:rsid w:val="00CF283A"/>
    <w:rsid w:val="00CF2917"/>
    <w:rsid w:val="00CF2D75"/>
    <w:rsid w:val="00CF381C"/>
    <w:rsid w:val="00CF3A0E"/>
    <w:rsid w:val="00CF46CC"/>
    <w:rsid w:val="00CF4B3C"/>
    <w:rsid w:val="00CF5F4E"/>
    <w:rsid w:val="00CF5F9C"/>
    <w:rsid w:val="00CF754B"/>
    <w:rsid w:val="00CF7819"/>
    <w:rsid w:val="00CF784A"/>
    <w:rsid w:val="00CF7C0C"/>
    <w:rsid w:val="00D00648"/>
    <w:rsid w:val="00D0081E"/>
    <w:rsid w:val="00D00A54"/>
    <w:rsid w:val="00D01350"/>
    <w:rsid w:val="00D015F1"/>
    <w:rsid w:val="00D01732"/>
    <w:rsid w:val="00D01C50"/>
    <w:rsid w:val="00D026FE"/>
    <w:rsid w:val="00D03416"/>
    <w:rsid w:val="00D03DBC"/>
    <w:rsid w:val="00D0491B"/>
    <w:rsid w:val="00D04A59"/>
    <w:rsid w:val="00D06B0F"/>
    <w:rsid w:val="00D06F1A"/>
    <w:rsid w:val="00D07465"/>
    <w:rsid w:val="00D077D4"/>
    <w:rsid w:val="00D07F26"/>
    <w:rsid w:val="00D10A2A"/>
    <w:rsid w:val="00D10F9C"/>
    <w:rsid w:val="00D11293"/>
    <w:rsid w:val="00D11430"/>
    <w:rsid w:val="00D1155C"/>
    <w:rsid w:val="00D1167E"/>
    <w:rsid w:val="00D11816"/>
    <w:rsid w:val="00D12679"/>
    <w:rsid w:val="00D12F48"/>
    <w:rsid w:val="00D13297"/>
    <w:rsid w:val="00D14578"/>
    <w:rsid w:val="00D1486A"/>
    <w:rsid w:val="00D14BF5"/>
    <w:rsid w:val="00D155BC"/>
    <w:rsid w:val="00D158E7"/>
    <w:rsid w:val="00D15A9D"/>
    <w:rsid w:val="00D15EA1"/>
    <w:rsid w:val="00D16A58"/>
    <w:rsid w:val="00D170A2"/>
    <w:rsid w:val="00D17F90"/>
    <w:rsid w:val="00D212AA"/>
    <w:rsid w:val="00D214E1"/>
    <w:rsid w:val="00D223BE"/>
    <w:rsid w:val="00D2248E"/>
    <w:rsid w:val="00D229AA"/>
    <w:rsid w:val="00D22DEE"/>
    <w:rsid w:val="00D23791"/>
    <w:rsid w:val="00D23D4A"/>
    <w:rsid w:val="00D23F87"/>
    <w:rsid w:val="00D24D23"/>
    <w:rsid w:val="00D2630A"/>
    <w:rsid w:val="00D26331"/>
    <w:rsid w:val="00D2667F"/>
    <w:rsid w:val="00D26C22"/>
    <w:rsid w:val="00D26F16"/>
    <w:rsid w:val="00D27CE6"/>
    <w:rsid w:val="00D30348"/>
    <w:rsid w:val="00D303CC"/>
    <w:rsid w:val="00D307E3"/>
    <w:rsid w:val="00D31329"/>
    <w:rsid w:val="00D31AAA"/>
    <w:rsid w:val="00D31EAE"/>
    <w:rsid w:val="00D320EC"/>
    <w:rsid w:val="00D32568"/>
    <w:rsid w:val="00D32B8A"/>
    <w:rsid w:val="00D32DD2"/>
    <w:rsid w:val="00D33B7B"/>
    <w:rsid w:val="00D341BE"/>
    <w:rsid w:val="00D357FE"/>
    <w:rsid w:val="00D363A2"/>
    <w:rsid w:val="00D36553"/>
    <w:rsid w:val="00D372E5"/>
    <w:rsid w:val="00D374B7"/>
    <w:rsid w:val="00D37B61"/>
    <w:rsid w:val="00D37DD7"/>
    <w:rsid w:val="00D4086E"/>
    <w:rsid w:val="00D40CE0"/>
    <w:rsid w:val="00D41FF9"/>
    <w:rsid w:val="00D422DF"/>
    <w:rsid w:val="00D42C43"/>
    <w:rsid w:val="00D43358"/>
    <w:rsid w:val="00D43B78"/>
    <w:rsid w:val="00D4460D"/>
    <w:rsid w:val="00D4486E"/>
    <w:rsid w:val="00D45254"/>
    <w:rsid w:val="00D4567A"/>
    <w:rsid w:val="00D461D2"/>
    <w:rsid w:val="00D46875"/>
    <w:rsid w:val="00D46EA4"/>
    <w:rsid w:val="00D476DE"/>
    <w:rsid w:val="00D476F6"/>
    <w:rsid w:val="00D47C73"/>
    <w:rsid w:val="00D51E42"/>
    <w:rsid w:val="00D5245B"/>
    <w:rsid w:val="00D53030"/>
    <w:rsid w:val="00D547EB"/>
    <w:rsid w:val="00D54B22"/>
    <w:rsid w:val="00D5505F"/>
    <w:rsid w:val="00D56D02"/>
    <w:rsid w:val="00D57674"/>
    <w:rsid w:val="00D57BAA"/>
    <w:rsid w:val="00D600C5"/>
    <w:rsid w:val="00D604A0"/>
    <w:rsid w:val="00D607A9"/>
    <w:rsid w:val="00D60E5F"/>
    <w:rsid w:val="00D617EC"/>
    <w:rsid w:val="00D61805"/>
    <w:rsid w:val="00D61DC4"/>
    <w:rsid w:val="00D61E0C"/>
    <w:rsid w:val="00D624A5"/>
    <w:rsid w:val="00D62E0E"/>
    <w:rsid w:val="00D6358B"/>
    <w:rsid w:val="00D66DC0"/>
    <w:rsid w:val="00D67163"/>
    <w:rsid w:val="00D67CA2"/>
    <w:rsid w:val="00D7009F"/>
    <w:rsid w:val="00D702EA"/>
    <w:rsid w:val="00D70888"/>
    <w:rsid w:val="00D7102F"/>
    <w:rsid w:val="00D7104D"/>
    <w:rsid w:val="00D7132F"/>
    <w:rsid w:val="00D72A6F"/>
    <w:rsid w:val="00D72BEE"/>
    <w:rsid w:val="00D73F02"/>
    <w:rsid w:val="00D74BCC"/>
    <w:rsid w:val="00D74C62"/>
    <w:rsid w:val="00D75EEA"/>
    <w:rsid w:val="00D75F5B"/>
    <w:rsid w:val="00D75F72"/>
    <w:rsid w:val="00D75F7C"/>
    <w:rsid w:val="00D762B0"/>
    <w:rsid w:val="00D76C93"/>
    <w:rsid w:val="00D77285"/>
    <w:rsid w:val="00D802DE"/>
    <w:rsid w:val="00D81D72"/>
    <w:rsid w:val="00D820E3"/>
    <w:rsid w:val="00D829C4"/>
    <w:rsid w:val="00D83601"/>
    <w:rsid w:val="00D836AB"/>
    <w:rsid w:val="00D83C75"/>
    <w:rsid w:val="00D841A3"/>
    <w:rsid w:val="00D841B1"/>
    <w:rsid w:val="00D84A46"/>
    <w:rsid w:val="00D84BC0"/>
    <w:rsid w:val="00D84DF1"/>
    <w:rsid w:val="00D8578E"/>
    <w:rsid w:val="00D859E0"/>
    <w:rsid w:val="00D85B04"/>
    <w:rsid w:val="00D862B4"/>
    <w:rsid w:val="00D86528"/>
    <w:rsid w:val="00D86AAC"/>
    <w:rsid w:val="00D87100"/>
    <w:rsid w:val="00D8793A"/>
    <w:rsid w:val="00D87B9F"/>
    <w:rsid w:val="00D87ECA"/>
    <w:rsid w:val="00D90322"/>
    <w:rsid w:val="00D90C10"/>
    <w:rsid w:val="00D911F9"/>
    <w:rsid w:val="00D920D0"/>
    <w:rsid w:val="00D926DA"/>
    <w:rsid w:val="00D9288A"/>
    <w:rsid w:val="00D92DFD"/>
    <w:rsid w:val="00D935BD"/>
    <w:rsid w:val="00D93FCD"/>
    <w:rsid w:val="00D95024"/>
    <w:rsid w:val="00D950C8"/>
    <w:rsid w:val="00D95707"/>
    <w:rsid w:val="00D95F2D"/>
    <w:rsid w:val="00D96735"/>
    <w:rsid w:val="00D96753"/>
    <w:rsid w:val="00D96BFF"/>
    <w:rsid w:val="00D97600"/>
    <w:rsid w:val="00D97B71"/>
    <w:rsid w:val="00D97C8B"/>
    <w:rsid w:val="00D97EA4"/>
    <w:rsid w:val="00DA021C"/>
    <w:rsid w:val="00DA036E"/>
    <w:rsid w:val="00DA042D"/>
    <w:rsid w:val="00DA0CC1"/>
    <w:rsid w:val="00DA122F"/>
    <w:rsid w:val="00DA1A42"/>
    <w:rsid w:val="00DA1ADA"/>
    <w:rsid w:val="00DA3129"/>
    <w:rsid w:val="00DA3624"/>
    <w:rsid w:val="00DA384D"/>
    <w:rsid w:val="00DA4671"/>
    <w:rsid w:val="00DA4899"/>
    <w:rsid w:val="00DA4E8A"/>
    <w:rsid w:val="00DA4FF4"/>
    <w:rsid w:val="00DA66AD"/>
    <w:rsid w:val="00DA7EF7"/>
    <w:rsid w:val="00DB0E09"/>
    <w:rsid w:val="00DB0F24"/>
    <w:rsid w:val="00DB0F3E"/>
    <w:rsid w:val="00DB12BB"/>
    <w:rsid w:val="00DB1CB7"/>
    <w:rsid w:val="00DB21AE"/>
    <w:rsid w:val="00DB24EB"/>
    <w:rsid w:val="00DB305B"/>
    <w:rsid w:val="00DB45EB"/>
    <w:rsid w:val="00DB4CFD"/>
    <w:rsid w:val="00DB624D"/>
    <w:rsid w:val="00DB6600"/>
    <w:rsid w:val="00DB6FD9"/>
    <w:rsid w:val="00DB723A"/>
    <w:rsid w:val="00DC0038"/>
    <w:rsid w:val="00DC0350"/>
    <w:rsid w:val="00DC0AF1"/>
    <w:rsid w:val="00DC1297"/>
    <w:rsid w:val="00DC12B5"/>
    <w:rsid w:val="00DC223C"/>
    <w:rsid w:val="00DC224C"/>
    <w:rsid w:val="00DC378C"/>
    <w:rsid w:val="00DC401D"/>
    <w:rsid w:val="00DC4CE3"/>
    <w:rsid w:val="00DC4D85"/>
    <w:rsid w:val="00DC5411"/>
    <w:rsid w:val="00DC5703"/>
    <w:rsid w:val="00DC5C62"/>
    <w:rsid w:val="00DC5F2A"/>
    <w:rsid w:val="00DC7767"/>
    <w:rsid w:val="00DD0452"/>
    <w:rsid w:val="00DD0B32"/>
    <w:rsid w:val="00DD1302"/>
    <w:rsid w:val="00DD1AB8"/>
    <w:rsid w:val="00DD3550"/>
    <w:rsid w:val="00DD41C7"/>
    <w:rsid w:val="00DD440C"/>
    <w:rsid w:val="00DD53F9"/>
    <w:rsid w:val="00DD5C32"/>
    <w:rsid w:val="00DD5DF2"/>
    <w:rsid w:val="00DD640C"/>
    <w:rsid w:val="00DD6FD3"/>
    <w:rsid w:val="00DE00D7"/>
    <w:rsid w:val="00DE0D86"/>
    <w:rsid w:val="00DE13AF"/>
    <w:rsid w:val="00DE1F36"/>
    <w:rsid w:val="00DE2757"/>
    <w:rsid w:val="00DE2E7F"/>
    <w:rsid w:val="00DE3600"/>
    <w:rsid w:val="00DE3C55"/>
    <w:rsid w:val="00DE45F5"/>
    <w:rsid w:val="00DE4619"/>
    <w:rsid w:val="00DE4822"/>
    <w:rsid w:val="00DE4CF0"/>
    <w:rsid w:val="00DE5553"/>
    <w:rsid w:val="00DE5C69"/>
    <w:rsid w:val="00DE5E09"/>
    <w:rsid w:val="00DE76BF"/>
    <w:rsid w:val="00DF04B3"/>
    <w:rsid w:val="00DF04B5"/>
    <w:rsid w:val="00DF0ADB"/>
    <w:rsid w:val="00DF0AFE"/>
    <w:rsid w:val="00DF18E1"/>
    <w:rsid w:val="00DF223A"/>
    <w:rsid w:val="00DF29E5"/>
    <w:rsid w:val="00DF2B3B"/>
    <w:rsid w:val="00DF2E48"/>
    <w:rsid w:val="00DF3681"/>
    <w:rsid w:val="00DF3D05"/>
    <w:rsid w:val="00DF4314"/>
    <w:rsid w:val="00DF4386"/>
    <w:rsid w:val="00DF4AC5"/>
    <w:rsid w:val="00DF4D26"/>
    <w:rsid w:val="00DF4DFE"/>
    <w:rsid w:val="00DF5A3C"/>
    <w:rsid w:val="00DF648A"/>
    <w:rsid w:val="00DF6E40"/>
    <w:rsid w:val="00E01593"/>
    <w:rsid w:val="00E019E4"/>
    <w:rsid w:val="00E01F09"/>
    <w:rsid w:val="00E0203F"/>
    <w:rsid w:val="00E028FC"/>
    <w:rsid w:val="00E03623"/>
    <w:rsid w:val="00E03BF5"/>
    <w:rsid w:val="00E03FB1"/>
    <w:rsid w:val="00E05A10"/>
    <w:rsid w:val="00E06BDC"/>
    <w:rsid w:val="00E06C5D"/>
    <w:rsid w:val="00E10C68"/>
    <w:rsid w:val="00E10DEC"/>
    <w:rsid w:val="00E11A10"/>
    <w:rsid w:val="00E11C15"/>
    <w:rsid w:val="00E11D0C"/>
    <w:rsid w:val="00E13165"/>
    <w:rsid w:val="00E14BFF"/>
    <w:rsid w:val="00E14EA0"/>
    <w:rsid w:val="00E15906"/>
    <w:rsid w:val="00E16044"/>
    <w:rsid w:val="00E17048"/>
    <w:rsid w:val="00E171B6"/>
    <w:rsid w:val="00E22307"/>
    <w:rsid w:val="00E2250F"/>
    <w:rsid w:val="00E22CC6"/>
    <w:rsid w:val="00E22F66"/>
    <w:rsid w:val="00E2310F"/>
    <w:rsid w:val="00E23246"/>
    <w:rsid w:val="00E239DB"/>
    <w:rsid w:val="00E23E2A"/>
    <w:rsid w:val="00E23E42"/>
    <w:rsid w:val="00E2476D"/>
    <w:rsid w:val="00E24EC9"/>
    <w:rsid w:val="00E25165"/>
    <w:rsid w:val="00E25468"/>
    <w:rsid w:val="00E2738A"/>
    <w:rsid w:val="00E27727"/>
    <w:rsid w:val="00E27731"/>
    <w:rsid w:val="00E278A3"/>
    <w:rsid w:val="00E27B28"/>
    <w:rsid w:val="00E305CD"/>
    <w:rsid w:val="00E30814"/>
    <w:rsid w:val="00E30ACC"/>
    <w:rsid w:val="00E30E51"/>
    <w:rsid w:val="00E3175F"/>
    <w:rsid w:val="00E31902"/>
    <w:rsid w:val="00E31FDB"/>
    <w:rsid w:val="00E32598"/>
    <w:rsid w:val="00E329B4"/>
    <w:rsid w:val="00E32DCA"/>
    <w:rsid w:val="00E33058"/>
    <w:rsid w:val="00E3372C"/>
    <w:rsid w:val="00E33C6C"/>
    <w:rsid w:val="00E34483"/>
    <w:rsid w:val="00E34F8E"/>
    <w:rsid w:val="00E35393"/>
    <w:rsid w:val="00E35684"/>
    <w:rsid w:val="00E36930"/>
    <w:rsid w:val="00E3724C"/>
    <w:rsid w:val="00E372F6"/>
    <w:rsid w:val="00E37331"/>
    <w:rsid w:val="00E379AA"/>
    <w:rsid w:val="00E40947"/>
    <w:rsid w:val="00E41096"/>
    <w:rsid w:val="00E41221"/>
    <w:rsid w:val="00E41D8E"/>
    <w:rsid w:val="00E41F66"/>
    <w:rsid w:val="00E42268"/>
    <w:rsid w:val="00E43280"/>
    <w:rsid w:val="00E43970"/>
    <w:rsid w:val="00E43C41"/>
    <w:rsid w:val="00E441D0"/>
    <w:rsid w:val="00E4445D"/>
    <w:rsid w:val="00E4467F"/>
    <w:rsid w:val="00E44BC1"/>
    <w:rsid w:val="00E45783"/>
    <w:rsid w:val="00E45A44"/>
    <w:rsid w:val="00E45CCB"/>
    <w:rsid w:val="00E45DC7"/>
    <w:rsid w:val="00E46AD5"/>
    <w:rsid w:val="00E47716"/>
    <w:rsid w:val="00E47DC4"/>
    <w:rsid w:val="00E50B41"/>
    <w:rsid w:val="00E50F88"/>
    <w:rsid w:val="00E5130A"/>
    <w:rsid w:val="00E516BF"/>
    <w:rsid w:val="00E51A26"/>
    <w:rsid w:val="00E51F8D"/>
    <w:rsid w:val="00E52226"/>
    <w:rsid w:val="00E534B6"/>
    <w:rsid w:val="00E54272"/>
    <w:rsid w:val="00E54339"/>
    <w:rsid w:val="00E54F5F"/>
    <w:rsid w:val="00E5511A"/>
    <w:rsid w:val="00E55F9F"/>
    <w:rsid w:val="00E5649A"/>
    <w:rsid w:val="00E56BFF"/>
    <w:rsid w:val="00E56F80"/>
    <w:rsid w:val="00E57A51"/>
    <w:rsid w:val="00E57F1A"/>
    <w:rsid w:val="00E606A3"/>
    <w:rsid w:val="00E60A21"/>
    <w:rsid w:val="00E61B50"/>
    <w:rsid w:val="00E6316F"/>
    <w:rsid w:val="00E633E5"/>
    <w:rsid w:val="00E63F78"/>
    <w:rsid w:val="00E64103"/>
    <w:rsid w:val="00E64833"/>
    <w:rsid w:val="00E65791"/>
    <w:rsid w:val="00E65924"/>
    <w:rsid w:val="00E66304"/>
    <w:rsid w:val="00E665F3"/>
    <w:rsid w:val="00E67BCF"/>
    <w:rsid w:val="00E67FA5"/>
    <w:rsid w:val="00E70257"/>
    <w:rsid w:val="00E707BE"/>
    <w:rsid w:val="00E7088D"/>
    <w:rsid w:val="00E70F17"/>
    <w:rsid w:val="00E7158B"/>
    <w:rsid w:val="00E71F94"/>
    <w:rsid w:val="00E72B2B"/>
    <w:rsid w:val="00E72EA5"/>
    <w:rsid w:val="00E7310F"/>
    <w:rsid w:val="00E734F0"/>
    <w:rsid w:val="00E73CF2"/>
    <w:rsid w:val="00E74129"/>
    <w:rsid w:val="00E7495D"/>
    <w:rsid w:val="00E749AF"/>
    <w:rsid w:val="00E74C22"/>
    <w:rsid w:val="00E74C34"/>
    <w:rsid w:val="00E756E5"/>
    <w:rsid w:val="00E759B9"/>
    <w:rsid w:val="00E7671F"/>
    <w:rsid w:val="00E768F7"/>
    <w:rsid w:val="00E768F9"/>
    <w:rsid w:val="00E76EF1"/>
    <w:rsid w:val="00E7759A"/>
    <w:rsid w:val="00E77623"/>
    <w:rsid w:val="00E7765B"/>
    <w:rsid w:val="00E77817"/>
    <w:rsid w:val="00E77FF6"/>
    <w:rsid w:val="00E812F1"/>
    <w:rsid w:val="00E81EF3"/>
    <w:rsid w:val="00E839CD"/>
    <w:rsid w:val="00E83B66"/>
    <w:rsid w:val="00E84751"/>
    <w:rsid w:val="00E84D82"/>
    <w:rsid w:val="00E84F3A"/>
    <w:rsid w:val="00E86152"/>
    <w:rsid w:val="00E87EDC"/>
    <w:rsid w:val="00E90240"/>
    <w:rsid w:val="00E90AF4"/>
    <w:rsid w:val="00E915AD"/>
    <w:rsid w:val="00E917F7"/>
    <w:rsid w:val="00E91A88"/>
    <w:rsid w:val="00E91F28"/>
    <w:rsid w:val="00E92F1A"/>
    <w:rsid w:val="00E94116"/>
    <w:rsid w:val="00E95D97"/>
    <w:rsid w:val="00E96375"/>
    <w:rsid w:val="00E96F39"/>
    <w:rsid w:val="00EA0285"/>
    <w:rsid w:val="00EA0731"/>
    <w:rsid w:val="00EA0F34"/>
    <w:rsid w:val="00EA13B1"/>
    <w:rsid w:val="00EA2DB0"/>
    <w:rsid w:val="00EA2DE4"/>
    <w:rsid w:val="00EA38F3"/>
    <w:rsid w:val="00EA3FD9"/>
    <w:rsid w:val="00EA4A60"/>
    <w:rsid w:val="00EA5196"/>
    <w:rsid w:val="00EA5C78"/>
    <w:rsid w:val="00EA6730"/>
    <w:rsid w:val="00EA6BCC"/>
    <w:rsid w:val="00EA7C23"/>
    <w:rsid w:val="00EA7FD1"/>
    <w:rsid w:val="00EB0243"/>
    <w:rsid w:val="00EB072C"/>
    <w:rsid w:val="00EB0A87"/>
    <w:rsid w:val="00EB1969"/>
    <w:rsid w:val="00EB262B"/>
    <w:rsid w:val="00EB269D"/>
    <w:rsid w:val="00EB2A32"/>
    <w:rsid w:val="00EB311F"/>
    <w:rsid w:val="00EB3BAE"/>
    <w:rsid w:val="00EB5334"/>
    <w:rsid w:val="00EB6568"/>
    <w:rsid w:val="00EB6B0F"/>
    <w:rsid w:val="00EB6B47"/>
    <w:rsid w:val="00EB6EB4"/>
    <w:rsid w:val="00EB712A"/>
    <w:rsid w:val="00EB76AF"/>
    <w:rsid w:val="00EB7E10"/>
    <w:rsid w:val="00EC0003"/>
    <w:rsid w:val="00EC025B"/>
    <w:rsid w:val="00EC0C62"/>
    <w:rsid w:val="00EC172A"/>
    <w:rsid w:val="00EC1903"/>
    <w:rsid w:val="00EC1C57"/>
    <w:rsid w:val="00EC1F2C"/>
    <w:rsid w:val="00EC21C4"/>
    <w:rsid w:val="00EC2525"/>
    <w:rsid w:val="00EC26F7"/>
    <w:rsid w:val="00EC2809"/>
    <w:rsid w:val="00EC2903"/>
    <w:rsid w:val="00EC3A3D"/>
    <w:rsid w:val="00EC3AED"/>
    <w:rsid w:val="00EC3EAC"/>
    <w:rsid w:val="00EC4498"/>
    <w:rsid w:val="00EC490F"/>
    <w:rsid w:val="00EC65CD"/>
    <w:rsid w:val="00EC6FB4"/>
    <w:rsid w:val="00EC776C"/>
    <w:rsid w:val="00EC7950"/>
    <w:rsid w:val="00ED0690"/>
    <w:rsid w:val="00ED0814"/>
    <w:rsid w:val="00ED0B91"/>
    <w:rsid w:val="00ED0D67"/>
    <w:rsid w:val="00ED2E3D"/>
    <w:rsid w:val="00ED2F52"/>
    <w:rsid w:val="00ED38B6"/>
    <w:rsid w:val="00ED4297"/>
    <w:rsid w:val="00ED5FF5"/>
    <w:rsid w:val="00ED62CF"/>
    <w:rsid w:val="00ED64C7"/>
    <w:rsid w:val="00ED692D"/>
    <w:rsid w:val="00ED70A2"/>
    <w:rsid w:val="00EE02B6"/>
    <w:rsid w:val="00EE0641"/>
    <w:rsid w:val="00EE07BB"/>
    <w:rsid w:val="00EE0B4E"/>
    <w:rsid w:val="00EE0B5E"/>
    <w:rsid w:val="00EE0F50"/>
    <w:rsid w:val="00EE1628"/>
    <w:rsid w:val="00EE19DA"/>
    <w:rsid w:val="00EE21C6"/>
    <w:rsid w:val="00EE2C9F"/>
    <w:rsid w:val="00EE2D8F"/>
    <w:rsid w:val="00EE2EA8"/>
    <w:rsid w:val="00EE323A"/>
    <w:rsid w:val="00EE3293"/>
    <w:rsid w:val="00EE4012"/>
    <w:rsid w:val="00EE4C0F"/>
    <w:rsid w:val="00EE5134"/>
    <w:rsid w:val="00EE51E6"/>
    <w:rsid w:val="00EE6CC0"/>
    <w:rsid w:val="00EE7428"/>
    <w:rsid w:val="00EE7E9D"/>
    <w:rsid w:val="00EF02AA"/>
    <w:rsid w:val="00EF06ED"/>
    <w:rsid w:val="00EF08DE"/>
    <w:rsid w:val="00EF0E77"/>
    <w:rsid w:val="00EF13E8"/>
    <w:rsid w:val="00EF15FC"/>
    <w:rsid w:val="00EF1C1A"/>
    <w:rsid w:val="00EF1D4F"/>
    <w:rsid w:val="00EF1F51"/>
    <w:rsid w:val="00EF3436"/>
    <w:rsid w:val="00EF35D1"/>
    <w:rsid w:val="00EF4950"/>
    <w:rsid w:val="00EF5C94"/>
    <w:rsid w:val="00EF6C7D"/>
    <w:rsid w:val="00EF79DF"/>
    <w:rsid w:val="00EF7C79"/>
    <w:rsid w:val="00F00001"/>
    <w:rsid w:val="00F00638"/>
    <w:rsid w:val="00F01152"/>
    <w:rsid w:val="00F01CA9"/>
    <w:rsid w:val="00F0263C"/>
    <w:rsid w:val="00F026EF"/>
    <w:rsid w:val="00F02808"/>
    <w:rsid w:val="00F02D9D"/>
    <w:rsid w:val="00F034FC"/>
    <w:rsid w:val="00F03735"/>
    <w:rsid w:val="00F0522C"/>
    <w:rsid w:val="00F06232"/>
    <w:rsid w:val="00F06B5D"/>
    <w:rsid w:val="00F0736C"/>
    <w:rsid w:val="00F113BF"/>
    <w:rsid w:val="00F120AC"/>
    <w:rsid w:val="00F12960"/>
    <w:rsid w:val="00F13417"/>
    <w:rsid w:val="00F13B50"/>
    <w:rsid w:val="00F14707"/>
    <w:rsid w:val="00F14F63"/>
    <w:rsid w:val="00F14FF7"/>
    <w:rsid w:val="00F16D77"/>
    <w:rsid w:val="00F2034F"/>
    <w:rsid w:val="00F208BB"/>
    <w:rsid w:val="00F20D95"/>
    <w:rsid w:val="00F21D73"/>
    <w:rsid w:val="00F25904"/>
    <w:rsid w:val="00F25FD4"/>
    <w:rsid w:val="00F26B60"/>
    <w:rsid w:val="00F27797"/>
    <w:rsid w:val="00F27B30"/>
    <w:rsid w:val="00F27C19"/>
    <w:rsid w:val="00F27E1A"/>
    <w:rsid w:val="00F3007E"/>
    <w:rsid w:val="00F300C2"/>
    <w:rsid w:val="00F30A7E"/>
    <w:rsid w:val="00F3137A"/>
    <w:rsid w:val="00F3147C"/>
    <w:rsid w:val="00F31DB4"/>
    <w:rsid w:val="00F31F10"/>
    <w:rsid w:val="00F32D2F"/>
    <w:rsid w:val="00F34E83"/>
    <w:rsid w:val="00F37066"/>
    <w:rsid w:val="00F3791C"/>
    <w:rsid w:val="00F40CE9"/>
    <w:rsid w:val="00F40E4A"/>
    <w:rsid w:val="00F4132E"/>
    <w:rsid w:val="00F41CF9"/>
    <w:rsid w:val="00F41D68"/>
    <w:rsid w:val="00F41EF5"/>
    <w:rsid w:val="00F42808"/>
    <w:rsid w:val="00F42EB0"/>
    <w:rsid w:val="00F42FE0"/>
    <w:rsid w:val="00F4305C"/>
    <w:rsid w:val="00F4333C"/>
    <w:rsid w:val="00F43E5D"/>
    <w:rsid w:val="00F43EEF"/>
    <w:rsid w:val="00F444F2"/>
    <w:rsid w:val="00F45479"/>
    <w:rsid w:val="00F454BF"/>
    <w:rsid w:val="00F45D2E"/>
    <w:rsid w:val="00F5056A"/>
    <w:rsid w:val="00F507CE"/>
    <w:rsid w:val="00F510D9"/>
    <w:rsid w:val="00F512D9"/>
    <w:rsid w:val="00F51BB1"/>
    <w:rsid w:val="00F53BCD"/>
    <w:rsid w:val="00F53FC4"/>
    <w:rsid w:val="00F544B2"/>
    <w:rsid w:val="00F54A95"/>
    <w:rsid w:val="00F550EB"/>
    <w:rsid w:val="00F562E9"/>
    <w:rsid w:val="00F56692"/>
    <w:rsid w:val="00F56DFA"/>
    <w:rsid w:val="00F605DF"/>
    <w:rsid w:val="00F60F91"/>
    <w:rsid w:val="00F64674"/>
    <w:rsid w:val="00F647BF"/>
    <w:rsid w:val="00F64E6E"/>
    <w:rsid w:val="00F651DA"/>
    <w:rsid w:val="00F652FF"/>
    <w:rsid w:val="00F65BD1"/>
    <w:rsid w:val="00F66055"/>
    <w:rsid w:val="00F667DB"/>
    <w:rsid w:val="00F667F1"/>
    <w:rsid w:val="00F668C0"/>
    <w:rsid w:val="00F67037"/>
    <w:rsid w:val="00F708B3"/>
    <w:rsid w:val="00F70D33"/>
    <w:rsid w:val="00F70DC4"/>
    <w:rsid w:val="00F7114F"/>
    <w:rsid w:val="00F7116E"/>
    <w:rsid w:val="00F71404"/>
    <w:rsid w:val="00F714CB"/>
    <w:rsid w:val="00F71898"/>
    <w:rsid w:val="00F71972"/>
    <w:rsid w:val="00F71A82"/>
    <w:rsid w:val="00F71AC8"/>
    <w:rsid w:val="00F71B5A"/>
    <w:rsid w:val="00F72C94"/>
    <w:rsid w:val="00F732F9"/>
    <w:rsid w:val="00F73678"/>
    <w:rsid w:val="00F740B4"/>
    <w:rsid w:val="00F745C2"/>
    <w:rsid w:val="00F74FEC"/>
    <w:rsid w:val="00F75FB3"/>
    <w:rsid w:val="00F7603A"/>
    <w:rsid w:val="00F761E3"/>
    <w:rsid w:val="00F76E4F"/>
    <w:rsid w:val="00F76FF1"/>
    <w:rsid w:val="00F7780E"/>
    <w:rsid w:val="00F77E63"/>
    <w:rsid w:val="00F8003D"/>
    <w:rsid w:val="00F81293"/>
    <w:rsid w:val="00F81652"/>
    <w:rsid w:val="00F81DFB"/>
    <w:rsid w:val="00F82AA9"/>
    <w:rsid w:val="00F82FC0"/>
    <w:rsid w:val="00F8327B"/>
    <w:rsid w:val="00F83C03"/>
    <w:rsid w:val="00F83F0D"/>
    <w:rsid w:val="00F846E9"/>
    <w:rsid w:val="00F84F62"/>
    <w:rsid w:val="00F85173"/>
    <w:rsid w:val="00F85855"/>
    <w:rsid w:val="00F85C59"/>
    <w:rsid w:val="00F866A9"/>
    <w:rsid w:val="00F86874"/>
    <w:rsid w:val="00F9191C"/>
    <w:rsid w:val="00F91BCF"/>
    <w:rsid w:val="00F924D3"/>
    <w:rsid w:val="00F93810"/>
    <w:rsid w:val="00F94B40"/>
    <w:rsid w:val="00F94EE6"/>
    <w:rsid w:val="00F954B0"/>
    <w:rsid w:val="00F955B6"/>
    <w:rsid w:val="00F955E0"/>
    <w:rsid w:val="00F95D30"/>
    <w:rsid w:val="00F966E6"/>
    <w:rsid w:val="00F970FE"/>
    <w:rsid w:val="00F97EFD"/>
    <w:rsid w:val="00FA05C4"/>
    <w:rsid w:val="00FA192A"/>
    <w:rsid w:val="00FA261D"/>
    <w:rsid w:val="00FA294D"/>
    <w:rsid w:val="00FA2BA0"/>
    <w:rsid w:val="00FA3492"/>
    <w:rsid w:val="00FA425B"/>
    <w:rsid w:val="00FA427E"/>
    <w:rsid w:val="00FA4721"/>
    <w:rsid w:val="00FA5E9E"/>
    <w:rsid w:val="00FA720D"/>
    <w:rsid w:val="00FA73ED"/>
    <w:rsid w:val="00FA7716"/>
    <w:rsid w:val="00FA7848"/>
    <w:rsid w:val="00FB0A8B"/>
    <w:rsid w:val="00FB0AF4"/>
    <w:rsid w:val="00FB0E81"/>
    <w:rsid w:val="00FB14BF"/>
    <w:rsid w:val="00FB18F5"/>
    <w:rsid w:val="00FB2409"/>
    <w:rsid w:val="00FB25A1"/>
    <w:rsid w:val="00FB28C5"/>
    <w:rsid w:val="00FB3371"/>
    <w:rsid w:val="00FB3C9E"/>
    <w:rsid w:val="00FB41DC"/>
    <w:rsid w:val="00FB44E8"/>
    <w:rsid w:val="00FB528B"/>
    <w:rsid w:val="00FB566D"/>
    <w:rsid w:val="00FB5D03"/>
    <w:rsid w:val="00FB6F1D"/>
    <w:rsid w:val="00FB71A4"/>
    <w:rsid w:val="00FB7D4C"/>
    <w:rsid w:val="00FB7FCF"/>
    <w:rsid w:val="00FC09BF"/>
    <w:rsid w:val="00FC1291"/>
    <w:rsid w:val="00FC1AF8"/>
    <w:rsid w:val="00FC24FE"/>
    <w:rsid w:val="00FC2643"/>
    <w:rsid w:val="00FC327A"/>
    <w:rsid w:val="00FC3903"/>
    <w:rsid w:val="00FC3D52"/>
    <w:rsid w:val="00FC462B"/>
    <w:rsid w:val="00FC528B"/>
    <w:rsid w:val="00FC5504"/>
    <w:rsid w:val="00FC5A2F"/>
    <w:rsid w:val="00FC639A"/>
    <w:rsid w:val="00FC660C"/>
    <w:rsid w:val="00FC6666"/>
    <w:rsid w:val="00FC694B"/>
    <w:rsid w:val="00FC7490"/>
    <w:rsid w:val="00FC77E7"/>
    <w:rsid w:val="00FC7E04"/>
    <w:rsid w:val="00FD0178"/>
    <w:rsid w:val="00FD11EA"/>
    <w:rsid w:val="00FD1AE6"/>
    <w:rsid w:val="00FD2605"/>
    <w:rsid w:val="00FD2858"/>
    <w:rsid w:val="00FD31E2"/>
    <w:rsid w:val="00FD3A1A"/>
    <w:rsid w:val="00FD4442"/>
    <w:rsid w:val="00FD49F9"/>
    <w:rsid w:val="00FD4E7C"/>
    <w:rsid w:val="00FD54B8"/>
    <w:rsid w:val="00FD54EB"/>
    <w:rsid w:val="00FD5FE3"/>
    <w:rsid w:val="00FD625B"/>
    <w:rsid w:val="00FD6497"/>
    <w:rsid w:val="00FD7C9F"/>
    <w:rsid w:val="00FD7F1C"/>
    <w:rsid w:val="00FE1FB1"/>
    <w:rsid w:val="00FE2861"/>
    <w:rsid w:val="00FE4157"/>
    <w:rsid w:val="00FE4E0B"/>
    <w:rsid w:val="00FE5F28"/>
    <w:rsid w:val="00FE6BD7"/>
    <w:rsid w:val="00FE7132"/>
    <w:rsid w:val="00FE76C1"/>
    <w:rsid w:val="00FE7BF4"/>
    <w:rsid w:val="00FE7D8A"/>
    <w:rsid w:val="00FE7E01"/>
    <w:rsid w:val="00FE7F84"/>
    <w:rsid w:val="00FF07C4"/>
    <w:rsid w:val="00FF07F7"/>
    <w:rsid w:val="00FF0ADC"/>
    <w:rsid w:val="00FF18A1"/>
    <w:rsid w:val="00FF1C13"/>
    <w:rsid w:val="00FF1F26"/>
    <w:rsid w:val="00FF200E"/>
    <w:rsid w:val="00FF20C2"/>
    <w:rsid w:val="00FF21B5"/>
    <w:rsid w:val="00FF2420"/>
    <w:rsid w:val="00FF2679"/>
    <w:rsid w:val="00FF28FE"/>
    <w:rsid w:val="00FF3869"/>
    <w:rsid w:val="00FF3925"/>
    <w:rsid w:val="00FF3B7B"/>
    <w:rsid w:val="00FF3E1F"/>
    <w:rsid w:val="00FF44C1"/>
    <w:rsid w:val="00FF480E"/>
    <w:rsid w:val="00FF4BEA"/>
    <w:rsid w:val="00FF4E5A"/>
    <w:rsid w:val="00FF525F"/>
    <w:rsid w:val="00FF5FA3"/>
    <w:rsid w:val="00FF6D58"/>
    <w:rsid w:val="00FF6EBF"/>
    <w:rsid w:val="00FF6F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BEF8BE"/>
  <w15:docId w15:val="{70E2D85F-26B6-4333-9DE9-685473A0C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paragraph" w:styleId="Kop1">
    <w:name w:val="heading 1"/>
    <w:basedOn w:val="Standaard"/>
    <w:next w:val="Standaard"/>
    <w:link w:val="Kop1Char"/>
    <w:uiPriority w:val="9"/>
    <w:qFormat/>
    <w:rsid w:val="0090212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Kop2">
    <w:name w:val="heading 2"/>
    <w:basedOn w:val="Standaard"/>
    <w:next w:val="Standaard"/>
    <w:link w:val="Kop2Char"/>
    <w:uiPriority w:val="9"/>
    <w:semiHidden/>
    <w:unhideWhenUsed/>
    <w:qFormat/>
    <w:rsid w:val="006852B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Kop4">
    <w:name w:val="heading 4"/>
    <w:basedOn w:val="Standaard"/>
    <w:next w:val="Standaard"/>
    <w:link w:val="Kop4Char"/>
    <w:uiPriority w:val="9"/>
    <w:semiHidden/>
    <w:unhideWhenUsed/>
    <w:qFormat/>
    <w:rsid w:val="00FC77E7"/>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F4305C"/>
    <w:rPr>
      <w:color w:val="808080"/>
    </w:rPr>
  </w:style>
  <w:style w:type="paragraph" w:styleId="Revisie">
    <w:name w:val="Revision"/>
    <w:hidden/>
    <w:uiPriority w:val="99"/>
    <w:semiHidden/>
    <w:rsid w:val="00643603"/>
    <w:rPr>
      <w:rFonts w:ascii="Univers" w:hAnsi="Univers"/>
      <w:sz w:val="22"/>
      <w:szCs w:val="24"/>
    </w:rPr>
  </w:style>
  <w:style w:type="paragraph" w:styleId="Lijstalinea">
    <w:name w:val="List Paragraph"/>
    <w:basedOn w:val="Standaard"/>
    <w:uiPriority w:val="34"/>
    <w:qFormat/>
    <w:rsid w:val="007518EC"/>
    <w:pPr>
      <w:ind w:left="720"/>
      <w:contextualSpacing/>
    </w:pPr>
  </w:style>
  <w:style w:type="character" w:styleId="Hyperlink">
    <w:name w:val="Hyperlink"/>
    <w:basedOn w:val="Standaardalinea-lettertype"/>
    <w:uiPriority w:val="99"/>
    <w:unhideWhenUsed/>
    <w:rsid w:val="00255B0F"/>
    <w:rPr>
      <w:color w:val="0000FF" w:themeColor="hyperlink"/>
      <w:u w:val="single"/>
    </w:rPr>
  </w:style>
  <w:style w:type="character" w:customStyle="1" w:styleId="UnresolvedMention">
    <w:name w:val="Unresolved Mention"/>
    <w:basedOn w:val="Standaardalinea-lettertype"/>
    <w:uiPriority w:val="99"/>
    <w:rsid w:val="00255B0F"/>
    <w:rPr>
      <w:color w:val="605E5C"/>
      <w:shd w:val="clear" w:color="auto" w:fill="E1DFDD"/>
    </w:rPr>
  </w:style>
  <w:style w:type="paragraph" w:styleId="Voetnoottekst">
    <w:name w:val="footnote text"/>
    <w:basedOn w:val="Standaard"/>
    <w:link w:val="VoetnoottekstChar"/>
    <w:uiPriority w:val="99"/>
    <w:semiHidden/>
    <w:unhideWhenUsed/>
    <w:rsid w:val="00255B0F"/>
    <w:rPr>
      <w:sz w:val="20"/>
      <w:szCs w:val="20"/>
    </w:rPr>
  </w:style>
  <w:style w:type="character" w:customStyle="1" w:styleId="VoetnoottekstChar">
    <w:name w:val="Voetnoottekst Char"/>
    <w:basedOn w:val="Standaardalinea-lettertype"/>
    <w:link w:val="Voetnoottekst"/>
    <w:uiPriority w:val="99"/>
    <w:semiHidden/>
    <w:rsid w:val="00255B0F"/>
    <w:rPr>
      <w:rFonts w:ascii="Univers" w:hAnsi="Univers"/>
    </w:rPr>
  </w:style>
  <w:style w:type="character" w:styleId="Voetnootmarkering">
    <w:name w:val="footnote reference"/>
    <w:basedOn w:val="Standaardalinea-lettertype"/>
    <w:uiPriority w:val="99"/>
    <w:semiHidden/>
    <w:unhideWhenUsed/>
    <w:rsid w:val="00255B0F"/>
    <w:rPr>
      <w:vertAlign w:val="superscript"/>
    </w:rPr>
  </w:style>
  <w:style w:type="character" w:customStyle="1" w:styleId="Kop1Char">
    <w:name w:val="Kop 1 Char"/>
    <w:basedOn w:val="Standaardalinea-lettertype"/>
    <w:link w:val="Kop1"/>
    <w:uiPriority w:val="9"/>
    <w:rsid w:val="00902128"/>
    <w:rPr>
      <w:rFonts w:asciiTheme="majorHAnsi" w:eastAsiaTheme="majorEastAsia" w:hAnsiTheme="majorHAnsi" w:cstheme="majorBidi"/>
      <w:color w:val="365F91" w:themeColor="accent1" w:themeShade="BF"/>
      <w:sz w:val="32"/>
      <w:szCs w:val="32"/>
    </w:rPr>
  </w:style>
  <w:style w:type="paragraph" w:styleId="Normaalweb">
    <w:name w:val="Normal (Web)"/>
    <w:basedOn w:val="Standaard"/>
    <w:uiPriority w:val="99"/>
    <w:semiHidden/>
    <w:unhideWhenUsed/>
    <w:rsid w:val="00902128"/>
    <w:rPr>
      <w:rFonts w:ascii="Times New Roman" w:hAnsi="Times New Roman"/>
      <w:sz w:val="24"/>
    </w:rPr>
  </w:style>
  <w:style w:type="character" w:styleId="Verwijzingopmerking">
    <w:name w:val="annotation reference"/>
    <w:basedOn w:val="Standaardalinea-lettertype"/>
    <w:uiPriority w:val="99"/>
    <w:semiHidden/>
    <w:unhideWhenUsed/>
    <w:rsid w:val="00902128"/>
    <w:rPr>
      <w:sz w:val="16"/>
      <w:szCs w:val="16"/>
    </w:rPr>
  </w:style>
  <w:style w:type="paragraph" w:styleId="Tekstopmerking">
    <w:name w:val="annotation text"/>
    <w:basedOn w:val="Standaard"/>
    <w:link w:val="TekstopmerkingChar"/>
    <w:uiPriority w:val="99"/>
    <w:unhideWhenUsed/>
    <w:rsid w:val="00902128"/>
    <w:rPr>
      <w:sz w:val="20"/>
      <w:szCs w:val="20"/>
    </w:rPr>
  </w:style>
  <w:style w:type="character" w:customStyle="1" w:styleId="TekstopmerkingChar">
    <w:name w:val="Tekst opmerking Char"/>
    <w:basedOn w:val="Standaardalinea-lettertype"/>
    <w:link w:val="Tekstopmerking"/>
    <w:uiPriority w:val="99"/>
    <w:rsid w:val="00902128"/>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902128"/>
    <w:rPr>
      <w:b/>
      <w:bCs/>
    </w:rPr>
  </w:style>
  <w:style w:type="character" w:customStyle="1" w:styleId="OnderwerpvanopmerkingChar">
    <w:name w:val="Onderwerp van opmerking Char"/>
    <w:basedOn w:val="TekstopmerkingChar"/>
    <w:link w:val="Onderwerpvanopmerking"/>
    <w:uiPriority w:val="99"/>
    <w:semiHidden/>
    <w:rsid w:val="00902128"/>
    <w:rPr>
      <w:rFonts w:ascii="Univers" w:hAnsi="Univers"/>
      <w:b/>
      <w:bCs/>
    </w:rPr>
  </w:style>
  <w:style w:type="character" w:customStyle="1" w:styleId="Kop2Char">
    <w:name w:val="Kop 2 Char"/>
    <w:basedOn w:val="Standaardalinea-lettertype"/>
    <w:link w:val="Kop2"/>
    <w:uiPriority w:val="9"/>
    <w:semiHidden/>
    <w:rsid w:val="006852B2"/>
    <w:rPr>
      <w:rFonts w:asciiTheme="majorHAnsi" w:eastAsiaTheme="majorEastAsia" w:hAnsiTheme="majorHAnsi" w:cstheme="majorBidi"/>
      <w:color w:val="365F91" w:themeColor="accent1" w:themeShade="BF"/>
      <w:sz w:val="26"/>
      <w:szCs w:val="26"/>
    </w:rPr>
  </w:style>
  <w:style w:type="character" w:customStyle="1" w:styleId="Kop4Char">
    <w:name w:val="Kop 4 Char"/>
    <w:basedOn w:val="Standaardalinea-lettertype"/>
    <w:link w:val="Kop4"/>
    <w:uiPriority w:val="9"/>
    <w:semiHidden/>
    <w:rsid w:val="00FC77E7"/>
    <w:rPr>
      <w:rFonts w:asciiTheme="majorHAnsi" w:eastAsiaTheme="majorEastAsia" w:hAnsiTheme="majorHAnsi" w:cstheme="majorBidi"/>
      <w:i/>
      <w:iCs/>
      <w:color w:val="365F91" w:themeColor="accent1" w:themeShade="BF"/>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026652">
      <w:bodyDiv w:val="1"/>
      <w:marLeft w:val="0"/>
      <w:marRight w:val="0"/>
      <w:marTop w:val="0"/>
      <w:marBottom w:val="0"/>
      <w:divBdr>
        <w:top w:val="none" w:sz="0" w:space="0" w:color="auto"/>
        <w:left w:val="none" w:sz="0" w:space="0" w:color="auto"/>
        <w:bottom w:val="none" w:sz="0" w:space="0" w:color="auto"/>
        <w:right w:val="none" w:sz="0" w:space="0" w:color="auto"/>
      </w:divBdr>
      <w:divsChild>
        <w:div w:id="678970840">
          <w:marLeft w:val="0"/>
          <w:marRight w:val="0"/>
          <w:marTop w:val="0"/>
          <w:marBottom w:val="0"/>
          <w:divBdr>
            <w:top w:val="none" w:sz="0" w:space="0" w:color="auto"/>
            <w:left w:val="none" w:sz="0" w:space="0" w:color="auto"/>
            <w:bottom w:val="none" w:sz="0" w:space="0" w:color="auto"/>
            <w:right w:val="none" w:sz="0" w:space="0" w:color="auto"/>
          </w:divBdr>
          <w:divsChild>
            <w:div w:id="159758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226787">
      <w:bodyDiv w:val="1"/>
      <w:marLeft w:val="0"/>
      <w:marRight w:val="0"/>
      <w:marTop w:val="0"/>
      <w:marBottom w:val="0"/>
      <w:divBdr>
        <w:top w:val="none" w:sz="0" w:space="0" w:color="auto"/>
        <w:left w:val="none" w:sz="0" w:space="0" w:color="auto"/>
        <w:bottom w:val="none" w:sz="0" w:space="0" w:color="auto"/>
        <w:right w:val="none" w:sz="0" w:space="0" w:color="auto"/>
      </w:divBdr>
    </w:div>
    <w:div w:id="277638065">
      <w:bodyDiv w:val="1"/>
      <w:marLeft w:val="0"/>
      <w:marRight w:val="0"/>
      <w:marTop w:val="0"/>
      <w:marBottom w:val="0"/>
      <w:divBdr>
        <w:top w:val="none" w:sz="0" w:space="0" w:color="auto"/>
        <w:left w:val="none" w:sz="0" w:space="0" w:color="auto"/>
        <w:bottom w:val="none" w:sz="0" w:space="0" w:color="auto"/>
        <w:right w:val="none" w:sz="0" w:space="0" w:color="auto"/>
      </w:divBdr>
    </w:div>
    <w:div w:id="284240462">
      <w:bodyDiv w:val="1"/>
      <w:marLeft w:val="0"/>
      <w:marRight w:val="0"/>
      <w:marTop w:val="0"/>
      <w:marBottom w:val="0"/>
      <w:divBdr>
        <w:top w:val="none" w:sz="0" w:space="0" w:color="auto"/>
        <w:left w:val="none" w:sz="0" w:space="0" w:color="auto"/>
        <w:bottom w:val="none" w:sz="0" w:space="0" w:color="auto"/>
        <w:right w:val="none" w:sz="0" w:space="0" w:color="auto"/>
      </w:divBdr>
      <w:divsChild>
        <w:div w:id="1852452257">
          <w:marLeft w:val="0"/>
          <w:marRight w:val="0"/>
          <w:marTop w:val="0"/>
          <w:marBottom w:val="0"/>
          <w:divBdr>
            <w:top w:val="none" w:sz="0" w:space="0" w:color="auto"/>
            <w:left w:val="none" w:sz="0" w:space="0" w:color="auto"/>
            <w:bottom w:val="none" w:sz="0" w:space="0" w:color="auto"/>
            <w:right w:val="none" w:sz="0" w:space="0" w:color="auto"/>
          </w:divBdr>
          <w:divsChild>
            <w:div w:id="127601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739607">
      <w:bodyDiv w:val="1"/>
      <w:marLeft w:val="0"/>
      <w:marRight w:val="0"/>
      <w:marTop w:val="0"/>
      <w:marBottom w:val="0"/>
      <w:divBdr>
        <w:top w:val="none" w:sz="0" w:space="0" w:color="auto"/>
        <w:left w:val="none" w:sz="0" w:space="0" w:color="auto"/>
        <w:bottom w:val="none" w:sz="0" w:space="0" w:color="auto"/>
        <w:right w:val="none" w:sz="0" w:space="0" w:color="auto"/>
      </w:divBdr>
    </w:div>
    <w:div w:id="566495460">
      <w:bodyDiv w:val="1"/>
      <w:marLeft w:val="0"/>
      <w:marRight w:val="0"/>
      <w:marTop w:val="0"/>
      <w:marBottom w:val="0"/>
      <w:divBdr>
        <w:top w:val="none" w:sz="0" w:space="0" w:color="auto"/>
        <w:left w:val="none" w:sz="0" w:space="0" w:color="auto"/>
        <w:bottom w:val="none" w:sz="0" w:space="0" w:color="auto"/>
        <w:right w:val="none" w:sz="0" w:space="0" w:color="auto"/>
      </w:divBdr>
    </w:div>
    <w:div w:id="820273955">
      <w:bodyDiv w:val="1"/>
      <w:marLeft w:val="0"/>
      <w:marRight w:val="0"/>
      <w:marTop w:val="0"/>
      <w:marBottom w:val="0"/>
      <w:divBdr>
        <w:top w:val="none" w:sz="0" w:space="0" w:color="auto"/>
        <w:left w:val="none" w:sz="0" w:space="0" w:color="auto"/>
        <w:bottom w:val="none" w:sz="0" w:space="0" w:color="auto"/>
        <w:right w:val="none" w:sz="0" w:space="0" w:color="auto"/>
      </w:divBdr>
    </w:div>
    <w:div w:id="828253992">
      <w:bodyDiv w:val="1"/>
      <w:marLeft w:val="0"/>
      <w:marRight w:val="0"/>
      <w:marTop w:val="0"/>
      <w:marBottom w:val="0"/>
      <w:divBdr>
        <w:top w:val="none" w:sz="0" w:space="0" w:color="auto"/>
        <w:left w:val="none" w:sz="0" w:space="0" w:color="auto"/>
        <w:bottom w:val="none" w:sz="0" w:space="0" w:color="auto"/>
        <w:right w:val="none" w:sz="0" w:space="0" w:color="auto"/>
      </w:divBdr>
    </w:div>
    <w:div w:id="1025710862">
      <w:bodyDiv w:val="1"/>
      <w:marLeft w:val="0"/>
      <w:marRight w:val="0"/>
      <w:marTop w:val="0"/>
      <w:marBottom w:val="0"/>
      <w:divBdr>
        <w:top w:val="none" w:sz="0" w:space="0" w:color="auto"/>
        <w:left w:val="none" w:sz="0" w:space="0" w:color="auto"/>
        <w:bottom w:val="none" w:sz="0" w:space="0" w:color="auto"/>
        <w:right w:val="none" w:sz="0" w:space="0" w:color="auto"/>
      </w:divBdr>
    </w:div>
    <w:div w:id="1056860531">
      <w:bodyDiv w:val="1"/>
      <w:marLeft w:val="0"/>
      <w:marRight w:val="0"/>
      <w:marTop w:val="0"/>
      <w:marBottom w:val="0"/>
      <w:divBdr>
        <w:top w:val="none" w:sz="0" w:space="0" w:color="auto"/>
        <w:left w:val="none" w:sz="0" w:space="0" w:color="auto"/>
        <w:bottom w:val="none" w:sz="0" w:space="0" w:color="auto"/>
        <w:right w:val="none" w:sz="0" w:space="0" w:color="auto"/>
      </w:divBdr>
    </w:div>
    <w:div w:id="1118184025">
      <w:bodyDiv w:val="1"/>
      <w:marLeft w:val="0"/>
      <w:marRight w:val="0"/>
      <w:marTop w:val="0"/>
      <w:marBottom w:val="0"/>
      <w:divBdr>
        <w:top w:val="none" w:sz="0" w:space="0" w:color="auto"/>
        <w:left w:val="none" w:sz="0" w:space="0" w:color="auto"/>
        <w:bottom w:val="none" w:sz="0" w:space="0" w:color="auto"/>
        <w:right w:val="none" w:sz="0" w:space="0" w:color="auto"/>
      </w:divBdr>
    </w:div>
    <w:div w:id="1261646268">
      <w:bodyDiv w:val="1"/>
      <w:marLeft w:val="0"/>
      <w:marRight w:val="0"/>
      <w:marTop w:val="0"/>
      <w:marBottom w:val="0"/>
      <w:divBdr>
        <w:top w:val="none" w:sz="0" w:space="0" w:color="auto"/>
        <w:left w:val="none" w:sz="0" w:space="0" w:color="auto"/>
        <w:bottom w:val="none" w:sz="0" w:space="0" w:color="auto"/>
        <w:right w:val="none" w:sz="0" w:space="0" w:color="auto"/>
      </w:divBdr>
    </w:div>
    <w:div w:id="1333678866">
      <w:bodyDiv w:val="1"/>
      <w:marLeft w:val="0"/>
      <w:marRight w:val="0"/>
      <w:marTop w:val="0"/>
      <w:marBottom w:val="0"/>
      <w:divBdr>
        <w:top w:val="none" w:sz="0" w:space="0" w:color="auto"/>
        <w:left w:val="none" w:sz="0" w:space="0" w:color="auto"/>
        <w:bottom w:val="none" w:sz="0" w:space="0" w:color="auto"/>
        <w:right w:val="none" w:sz="0" w:space="0" w:color="auto"/>
      </w:divBdr>
    </w:div>
    <w:div w:id="1656377689">
      <w:bodyDiv w:val="1"/>
      <w:marLeft w:val="0"/>
      <w:marRight w:val="0"/>
      <w:marTop w:val="0"/>
      <w:marBottom w:val="0"/>
      <w:divBdr>
        <w:top w:val="none" w:sz="0" w:space="0" w:color="auto"/>
        <w:left w:val="none" w:sz="0" w:space="0" w:color="auto"/>
        <w:bottom w:val="none" w:sz="0" w:space="0" w:color="auto"/>
        <w:right w:val="none" w:sz="0" w:space="0" w:color="auto"/>
      </w:divBdr>
    </w:div>
    <w:div w:id="1909414194">
      <w:bodyDiv w:val="1"/>
      <w:marLeft w:val="0"/>
      <w:marRight w:val="0"/>
      <w:marTop w:val="0"/>
      <w:marBottom w:val="0"/>
      <w:divBdr>
        <w:top w:val="none" w:sz="0" w:space="0" w:color="auto"/>
        <w:left w:val="none" w:sz="0" w:space="0" w:color="auto"/>
        <w:bottom w:val="none" w:sz="0" w:space="0" w:color="auto"/>
        <w:right w:val="none" w:sz="0" w:space="0" w:color="auto"/>
      </w:divBdr>
    </w:div>
    <w:div w:id="2045909758">
      <w:bodyDiv w:val="1"/>
      <w:marLeft w:val="0"/>
      <w:marRight w:val="0"/>
      <w:marTop w:val="0"/>
      <w:marBottom w:val="0"/>
      <w:divBdr>
        <w:top w:val="none" w:sz="0" w:space="0" w:color="auto"/>
        <w:left w:val="none" w:sz="0" w:space="0" w:color="auto"/>
        <w:bottom w:val="none" w:sz="0" w:space="0" w:color="auto"/>
        <w:right w:val="none" w:sz="0" w:space="0" w:color="auto"/>
      </w:divBdr>
    </w:div>
    <w:div w:id="213990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webSettings" Target="webSettings.xm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gemeen"/>
          <w:gallery w:val="placeholder"/>
        </w:category>
        <w:types>
          <w:type w:val="bbPlcHdr"/>
        </w:types>
        <w:behaviors>
          <w:behavior w:val="content"/>
        </w:behaviors>
        <w:guid w:val="{6A5F5F33-3867-4117-AF62-59BE2E4FB824}"/>
      </w:docPartPr>
      <w:docPartBody>
        <w:p w:rsidR="004C1B15" w:rsidRDefault="0095284D">
          <w:r w:rsidRPr="00CC42B5">
            <w:rPr>
              <w:rStyle w:val="Tekstvantijdelijkeaanduiding"/>
            </w:rPr>
            <w:t>Klik of tik om tekst in te voeren.</w:t>
          </w:r>
        </w:p>
      </w:docPartBody>
    </w:docPart>
    <w:docPart>
      <w:docPartPr>
        <w:name w:val="4A93EAA440544247AFDBB6AA7DD18572"/>
        <w:category>
          <w:name w:val="Algemeen"/>
          <w:gallery w:val="placeholder"/>
        </w:category>
        <w:types>
          <w:type w:val="bbPlcHdr"/>
        </w:types>
        <w:behaviors>
          <w:behavior w:val="content"/>
        </w:behaviors>
        <w:guid w:val="{221EDE0B-5B8F-4784-A1D1-C637ED2660C9}"/>
      </w:docPartPr>
      <w:docPartBody>
        <w:p w:rsidR="00AE3036" w:rsidRDefault="0095284D">
          <w:pPr>
            <w:pStyle w:val="4A93EAA440544247AFDBB6AA7DD18572"/>
          </w:pPr>
          <w:r w:rsidRPr="00CC42B5">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altName w:val="Goudy Old Style"/>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84D"/>
    <w:rsid w:val="000D1A85"/>
    <w:rsid w:val="001C5460"/>
    <w:rsid w:val="004C1B15"/>
    <w:rsid w:val="00907703"/>
    <w:rsid w:val="0095284D"/>
    <w:rsid w:val="00A64D5C"/>
    <w:rsid w:val="00AC4F1D"/>
    <w:rsid w:val="00AE3036"/>
    <w:rsid w:val="00E35C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95284D"/>
    <w:rPr>
      <w:color w:val="808080"/>
    </w:rPr>
  </w:style>
  <w:style w:type="paragraph" w:customStyle="1" w:styleId="4A93EAA440544247AFDBB6AA7DD18572">
    <w:name w:val="4A93EAA440544247AFDBB6AA7DD185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15</ap:Pages>
  <ap:Words>5969</ap:Words>
  <ap:Characters>34429</ap:Characters>
  <ap:DocSecurity>0</ap:DocSecurity>
  <ap:Lines>286</ap:Lines>
  <ap:Paragraphs>80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40318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2024-01-25T10:18:00.0000000Z</lastPrinted>
  <dcterms:created xsi:type="dcterms:W3CDTF">2024-01-25T11:56:00.0000000Z</dcterms:created>
  <dcterms:modified xsi:type="dcterms:W3CDTF">2024-01-25T11:56:00.0000000Z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W16.23.00320/II</vt:lpwstr>
  </property>
  <property fmtid="{D5CDD505-2E9C-101B-9397-08002B2CF9AE}" pid="5" name="zaaktype">
    <vt:lpwstr>IW1</vt:lpwstr>
  </property>
  <property fmtid="{D5CDD505-2E9C-101B-9397-08002B2CF9AE}" pid="6" name="ContentTypeId">
    <vt:lpwstr>0x010100FA5A77795FEADA4EA51227303613444600D2C362DF8CBF1D4B8C44985E23C4820A</vt:lpwstr>
  </property>
  <property fmtid="{D5CDD505-2E9C-101B-9397-08002B2CF9AE}" pid="7" name="Bestemming">
    <vt:lpwstr>2;#Corsa|a7721b99-8166-4953-a37e-7c8574fb4b8b</vt:lpwstr>
  </property>
  <property fmtid="{D5CDD505-2E9C-101B-9397-08002B2CF9AE}" pid="8" name="_dlc_DocIdItemGuid">
    <vt:lpwstr>4f448a78-dd50-4569-83d7-8ab88b51b667</vt:lpwstr>
  </property>
  <property fmtid="{D5CDD505-2E9C-101B-9397-08002B2CF9AE}" pid="9" name="RedactioneleBijlage">
    <vt:lpwstr>Nee</vt:lpwstr>
  </property>
  <property fmtid="{D5CDD505-2E9C-101B-9397-08002B2CF9AE}" pid="10" name="dictum">
    <vt:lpwstr>C</vt:lpwstr>
  </property>
  <property fmtid="{D5CDD505-2E9C-101B-9397-08002B2CF9AE}" pid="11" name="onderdeel">
    <vt:lpwstr>Advies</vt:lpwstr>
  </property>
  <property fmtid="{D5CDD505-2E9C-101B-9397-08002B2CF9AE}" pid="12" name="processtap">
    <vt:lpwstr>Advies (ter ondertekening)</vt:lpwstr>
  </property>
</Properties>
</file>