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1459" w:rsidR="00E47717" w:rsidP="00E47717" w:rsidRDefault="00E47717" w14:paraId="5BA1962C" w14:textId="5F3CEB3C">
      <w:pPr>
        <w:spacing w:after="0" w:line="240" w:lineRule="auto"/>
        <w:rPr>
          <w:rFonts w:ascii="Verdana" w:hAnsi="Verdana"/>
          <w:b/>
          <w:bCs/>
          <w:sz w:val="18"/>
          <w:szCs w:val="18"/>
        </w:rPr>
      </w:pPr>
      <w:r w:rsidRPr="00DF1459">
        <w:rPr>
          <w:rFonts w:ascii="Verdana" w:hAnsi="Verdana"/>
          <w:b/>
          <w:bCs/>
          <w:sz w:val="18"/>
          <w:szCs w:val="18"/>
        </w:rPr>
        <w:t>GEANNOTEERDE AGENDA RAAD BUITENLANDSE ZAKEN 22 januari 2024</w:t>
      </w:r>
    </w:p>
    <w:p w:rsidRPr="00DF1459" w:rsidR="00E47717" w:rsidP="00E47717" w:rsidRDefault="00E47717" w14:paraId="03FF6495" w14:textId="77777777">
      <w:pPr>
        <w:spacing w:after="0" w:line="240" w:lineRule="auto"/>
        <w:rPr>
          <w:rFonts w:ascii="Verdana" w:hAnsi="Verdana"/>
          <w:sz w:val="18"/>
          <w:szCs w:val="18"/>
        </w:rPr>
      </w:pPr>
    </w:p>
    <w:p w:rsidRPr="00DF1459" w:rsidR="006B3E95" w:rsidP="00E47717" w:rsidRDefault="00E47717" w14:paraId="2C6A45CA" w14:textId="31BC9062">
      <w:pPr>
        <w:spacing w:after="0" w:line="240" w:lineRule="auto"/>
        <w:rPr>
          <w:rFonts w:ascii="Verdana" w:hAnsi="Verdana"/>
          <w:sz w:val="18"/>
          <w:szCs w:val="18"/>
        </w:rPr>
      </w:pPr>
      <w:bookmarkStart w:name="_Hlk155707535" w:id="0"/>
      <w:r w:rsidRPr="00DF1459">
        <w:rPr>
          <w:rFonts w:ascii="Verdana" w:hAnsi="Verdana"/>
          <w:sz w:val="18"/>
          <w:szCs w:val="18"/>
        </w:rPr>
        <w:t xml:space="preserve">Op maandag 22 januari a.s. vindt de Raad Buitenlandse Zaken (RBZ) plaats in Brussel. Op de agenda staan </w:t>
      </w:r>
      <w:r w:rsidRPr="00DF1459" w:rsidR="009F487F">
        <w:rPr>
          <w:rFonts w:ascii="Verdana" w:hAnsi="Verdana"/>
          <w:sz w:val="18"/>
          <w:szCs w:val="18"/>
        </w:rPr>
        <w:t xml:space="preserve">de Russische agressie tegen Oekraïne en de situatie in het Midden-Oosten. </w:t>
      </w:r>
      <w:r w:rsidRPr="00DF1459" w:rsidR="00D44E92">
        <w:rPr>
          <w:rFonts w:ascii="Verdana" w:hAnsi="Verdana"/>
          <w:sz w:val="18"/>
          <w:szCs w:val="18"/>
        </w:rPr>
        <w:t>Onder</w:t>
      </w:r>
      <w:r w:rsidRPr="00DF1459" w:rsidR="009F487F">
        <w:rPr>
          <w:rFonts w:ascii="Verdana" w:hAnsi="Verdana"/>
          <w:sz w:val="18"/>
          <w:szCs w:val="18"/>
        </w:rPr>
        <w:t xml:space="preserve"> </w:t>
      </w:r>
      <w:proofErr w:type="spellStart"/>
      <w:r w:rsidRPr="00DF1459" w:rsidR="009F487F">
        <w:rPr>
          <w:rFonts w:ascii="Verdana" w:hAnsi="Verdana"/>
          <w:i/>
          <w:iCs/>
          <w:sz w:val="18"/>
          <w:szCs w:val="18"/>
        </w:rPr>
        <w:t>Current</w:t>
      </w:r>
      <w:proofErr w:type="spellEnd"/>
      <w:r w:rsidRPr="00DF1459" w:rsidR="009F487F">
        <w:rPr>
          <w:rFonts w:ascii="Verdana" w:hAnsi="Verdana"/>
          <w:i/>
          <w:iCs/>
          <w:sz w:val="18"/>
          <w:szCs w:val="18"/>
        </w:rPr>
        <w:t xml:space="preserve"> </w:t>
      </w:r>
      <w:proofErr w:type="spellStart"/>
      <w:r w:rsidRPr="00DF1459" w:rsidR="009F487F">
        <w:rPr>
          <w:rFonts w:ascii="Verdana" w:hAnsi="Verdana"/>
          <w:i/>
          <w:iCs/>
          <w:sz w:val="18"/>
          <w:szCs w:val="18"/>
        </w:rPr>
        <w:t>Affairs</w:t>
      </w:r>
      <w:proofErr w:type="spellEnd"/>
      <w:r w:rsidRPr="00DF1459" w:rsidR="009F487F">
        <w:rPr>
          <w:rFonts w:ascii="Verdana" w:hAnsi="Verdana"/>
          <w:sz w:val="18"/>
          <w:szCs w:val="18"/>
        </w:rPr>
        <w:t xml:space="preserve"> </w:t>
      </w:r>
      <w:r w:rsidRPr="00DF1459" w:rsidR="00D44E92">
        <w:rPr>
          <w:rFonts w:ascii="Verdana" w:hAnsi="Verdana"/>
          <w:sz w:val="18"/>
          <w:szCs w:val="18"/>
        </w:rPr>
        <w:t xml:space="preserve">worden </w:t>
      </w:r>
      <w:r w:rsidRPr="00DF1459" w:rsidR="009F487F">
        <w:rPr>
          <w:rFonts w:ascii="Verdana" w:hAnsi="Verdana"/>
          <w:sz w:val="18"/>
          <w:szCs w:val="18"/>
        </w:rPr>
        <w:t>Armenië en Azerbeidzjan besproken</w:t>
      </w:r>
      <w:r w:rsidRPr="00DF1459" w:rsidR="00D22421">
        <w:rPr>
          <w:rFonts w:ascii="Verdana" w:hAnsi="Verdana"/>
          <w:sz w:val="18"/>
          <w:szCs w:val="18"/>
        </w:rPr>
        <w:t xml:space="preserve">. </w:t>
      </w:r>
      <w:r w:rsidRPr="00DF1459">
        <w:rPr>
          <w:rFonts w:ascii="Verdana" w:hAnsi="Verdana"/>
          <w:sz w:val="18"/>
          <w:szCs w:val="18"/>
        </w:rPr>
        <w:t xml:space="preserve">De minister van Buitenlandse Zaken is voornemens aan deze Raad deel te nemen. </w:t>
      </w:r>
      <w:r w:rsidRPr="00DF1459" w:rsidR="004C7D8C">
        <w:rPr>
          <w:rFonts w:ascii="Verdana" w:hAnsi="Verdana"/>
          <w:sz w:val="18"/>
          <w:szCs w:val="18"/>
        </w:rPr>
        <w:t xml:space="preserve">Tevens wordt u in deze brief geïnformeerd over de motie van het lid van Dijk, aangenomen in het Tweeminutendebat terrorisme/extremisme van 21 december </w:t>
      </w:r>
      <w:r w:rsidRPr="00DF1459" w:rsidR="00380F29">
        <w:rPr>
          <w:rFonts w:ascii="Verdana" w:hAnsi="Verdana"/>
          <w:sz w:val="18"/>
          <w:szCs w:val="18"/>
        </w:rPr>
        <w:t>2023</w:t>
      </w:r>
      <w:r w:rsidRPr="00DF1459" w:rsidR="004C7D8C">
        <w:rPr>
          <w:rFonts w:ascii="Verdana" w:hAnsi="Verdana"/>
          <w:sz w:val="18"/>
          <w:szCs w:val="18"/>
        </w:rPr>
        <w:t xml:space="preserve">, aangaande inspanningen in Europees verband voor een visumverbod voor aanhangers en sympathisanten van Hamas. </w:t>
      </w:r>
    </w:p>
    <w:bookmarkEnd w:id="0"/>
    <w:p w:rsidRPr="00DF1459" w:rsidR="00E47717" w:rsidP="00E47717" w:rsidRDefault="00E47717" w14:paraId="4FD832A7" w14:textId="77777777">
      <w:pPr>
        <w:spacing w:after="0" w:line="240" w:lineRule="auto"/>
        <w:rPr>
          <w:rFonts w:ascii="Verdana" w:hAnsi="Verdana"/>
          <w:sz w:val="18"/>
          <w:szCs w:val="18"/>
        </w:rPr>
      </w:pPr>
    </w:p>
    <w:p w:rsidRPr="00DF1459" w:rsidR="00F719CA" w:rsidP="00E47717" w:rsidRDefault="002525D7" w14:paraId="7CCC3685" w14:textId="427CB925">
      <w:pPr>
        <w:spacing w:after="0" w:line="240" w:lineRule="auto"/>
        <w:rPr>
          <w:rFonts w:ascii="Verdana" w:hAnsi="Verdana"/>
          <w:b/>
          <w:sz w:val="18"/>
          <w:szCs w:val="18"/>
        </w:rPr>
      </w:pPr>
      <w:r w:rsidRPr="00DF1459">
        <w:rPr>
          <w:rFonts w:ascii="Verdana" w:hAnsi="Verdana"/>
          <w:b/>
          <w:bCs/>
          <w:sz w:val="18"/>
          <w:szCs w:val="18"/>
        </w:rPr>
        <w:t>Situatie in het Midden-Oosten</w:t>
      </w:r>
    </w:p>
    <w:p w:rsidRPr="00DF1459" w:rsidR="000547A7" w:rsidP="00E47717" w:rsidRDefault="003E7C84" w14:paraId="7787A27B" w14:textId="32E9B65C">
      <w:pPr>
        <w:spacing w:after="0" w:line="240" w:lineRule="auto"/>
        <w:rPr>
          <w:rFonts w:ascii="Verdana" w:hAnsi="Verdana"/>
          <w:sz w:val="18"/>
          <w:szCs w:val="18"/>
        </w:rPr>
      </w:pPr>
      <w:r w:rsidRPr="00DF1459">
        <w:rPr>
          <w:rFonts w:ascii="Verdana" w:hAnsi="Verdana"/>
          <w:sz w:val="18"/>
          <w:szCs w:val="18"/>
        </w:rPr>
        <w:t>De Raad zal stilstaan bij de situatie in het Midden-Oosten en met name bij het voortdurende gewapende conflict tussen Isra</w:t>
      </w:r>
      <w:r w:rsidRPr="00DF1459" w:rsidR="00BE171C">
        <w:rPr>
          <w:rFonts w:ascii="Verdana" w:hAnsi="Verdana"/>
          <w:sz w:val="18"/>
          <w:szCs w:val="18"/>
        </w:rPr>
        <w:t>ë</w:t>
      </w:r>
      <w:r w:rsidRPr="00DF1459">
        <w:rPr>
          <w:rFonts w:ascii="Verdana" w:hAnsi="Verdana"/>
          <w:sz w:val="18"/>
          <w:szCs w:val="18"/>
        </w:rPr>
        <w:t>l en Hamas</w:t>
      </w:r>
      <w:r w:rsidRPr="00DF1459" w:rsidR="00AF2090">
        <w:rPr>
          <w:rFonts w:ascii="Verdana" w:hAnsi="Verdana"/>
          <w:sz w:val="18"/>
          <w:szCs w:val="18"/>
        </w:rPr>
        <w:t xml:space="preserve"> en de toenemende spanningen aan de grens tussen Isra</w:t>
      </w:r>
      <w:r w:rsidRPr="00DF1459" w:rsidR="00F220F0">
        <w:rPr>
          <w:rFonts w:ascii="Verdana" w:hAnsi="Verdana"/>
          <w:sz w:val="18"/>
          <w:szCs w:val="18"/>
        </w:rPr>
        <w:t>ë</w:t>
      </w:r>
      <w:r w:rsidRPr="00DF1459" w:rsidR="00AF2090">
        <w:rPr>
          <w:rFonts w:ascii="Verdana" w:hAnsi="Verdana"/>
          <w:sz w:val="18"/>
          <w:szCs w:val="18"/>
        </w:rPr>
        <w:t>l en Libanon</w:t>
      </w:r>
      <w:r w:rsidRPr="00DF1459">
        <w:rPr>
          <w:rFonts w:ascii="Verdana" w:hAnsi="Verdana"/>
          <w:sz w:val="18"/>
          <w:szCs w:val="18"/>
        </w:rPr>
        <w:t>.</w:t>
      </w:r>
      <w:r w:rsidRPr="00DF1459" w:rsidR="00981C5B">
        <w:rPr>
          <w:rFonts w:ascii="Verdana" w:hAnsi="Verdana"/>
          <w:sz w:val="18"/>
          <w:szCs w:val="18"/>
        </w:rPr>
        <w:t xml:space="preserve"> De ministers van Buitenlandse Zaken van Saudi-Arabië, Egypte, Jordanië, de Palestijnse Gebieden en de secretaris-generaal van de Arabische Liga zijn uitgenodigd om dit agendapunt deels (virtueel) bij te wonen. </w:t>
      </w:r>
      <w:r w:rsidRPr="00DF1459" w:rsidR="006826C6">
        <w:rPr>
          <w:rFonts w:ascii="Verdana" w:hAnsi="Verdana"/>
          <w:sz w:val="18"/>
          <w:szCs w:val="18"/>
        </w:rPr>
        <w:t xml:space="preserve">Daarna is de </w:t>
      </w:r>
      <w:r w:rsidRPr="00DF1459" w:rsidR="00981C5B">
        <w:rPr>
          <w:rFonts w:ascii="Verdana" w:hAnsi="Verdana"/>
          <w:sz w:val="18"/>
          <w:szCs w:val="18"/>
        </w:rPr>
        <w:t xml:space="preserve">minister van Buitenlandse Zaken van Israël uitgenodigd om het agendapunt deels bij te wonen. </w:t>
      </w:r>
      <w:r w:rsidRPr="00DF1459" w:rsidR="00AB16D5">
        <w:rPr>
          <w:rFonts w:ascii="Verdana" w:hAnsi="Verdana"/>
          <w:sz w:val="18"/>
          <w:szCs w:val="18"/>
        </w:rPr>
        <w:t xml:space="preserve">Op </w:t>
      </w:r>
      <w:r w:rsidRPr="00DF1459" w:rsidR="00C379AD">
        <w:rPr>
          <w:rFonts w:ascii="Verdana" w:hAnsi="Verdana"/>
          <w:sz w:val="18"/>
          <w:szCs w:val="18"/>
        </w:rPr>
        <w:t>het</w:t>
      </w:r>
      <w:r w:rsidRPr="00DF1459" w:rsidR="00AB16D5">
        <w:rPr>
          <w:rFonts w:ascii="Verdana" w:hAnsi="Verdana"/>
          <w:sz w:val="18"/>
          <w:szCs w:val="18"/>
        </w:rPr>
        <w:t xml:space="preserve"> moment van schrijven is </w:t>
      </w:r>
      <w:r w:rsidRPr="00DF1459" w:rsidR="00C379AD">
        <w:rPr>
          <w:rFonts w:ascii="Verdana" w:hAnsi="Verdana"/>
          <w:sz w:val="18"/>
          <w:szCs w:val="18"/>
        </w:rPr>
        <w:t xml:space="preserve">er </w:t>
      </w:r>
      <w:r w:rsidRPr="00DF1459" w:rsidR="00AB16D5">
        <w:rPr>
          <w:rFonts w:ascii="Verdana" w:hAnsi="Verdana"/>
          <w:sz w:val="18"/>
          <w:szCs w:val="18"/>
        </w:rPr>
        <w:t xml:space="preserve">nog geen </w:t>
      </w:r>
      <w:r w:rsidRPr="00DF1459" w:rsidR="00C379AD">
        <w:rPr>
          <w:rFonts w:ascii="Verdana" w:hAnsi="Verdana"/>
          <w:sz w:val="18"/>
          <w:szCs w:val="18"/>
        </w:rPr>
        <w:t>uitsluitsel over</w:t>
      </w:r>
      <w:r w:rsidRPr="00DF1459" w:rsidR="00AB16D5">
        <w:rPr>
          <w:rFonts w:ascii="Verdana" w:hAnsi="Verdana"/>
          <w:sz w:val="18"/>
          <w:szCs w:val="18"/>
        </w:rPr>
        <w:t xml:space="preserve"> deelname van deze ministers.</w:t>
      </w:r>
      <w:r w:rsidRPr="00DF1459" w:rsidR="008E188F">
        <w:rPr>
          <w:rFonts w:ascii="Verdana" w:hAnsi="Verdana"/>
          <w:sz w:val="18"/>
          <w:szCs w:val="18"/>
        </w:rPr>
        <w:t xml:space="preserve"> </w:t>
      </w:r>
      <w:r w:rsidRPr="00DF1459" w:rsidR="00364868">
        <w:rPr>
          <w:rFonts w:ascii="Verdana" w:hAnsi="Verdana"/>
          <w:sz w:val="18"/>
          <w:szCs w:val="18"/>
        </w:rPr>
        <w:t xml:space="preserve">Naar verwachting zal de Raad spreken over </w:t>
      </w:r>
      <w:r w:rsidRPr="00DF1459" w:rsidR="005F56FC">
        <w:rPr>
          <w:rFonts w:ascii="Verdana" w:hAnsi="Verdana"/>
          <w:sz w:val="18"/>
          <w:szCs w:val="18"/>
        </w:rPr>
        <w:t xml:space="preserve">de benodigde actie in het licht van de </w:t>
      </w:r>
      <w:r w:rsidRPr="00DF1459" w:rsidR="00ED4BC5">
        <w:rPr>
          <w:rFonts w:ascii="Verdana" w:hAnsi="Verdana"/>
          <w:sz w:val="18"/>
          <w:szCs w:val="18"/>
        </w:rPr>
        <w:t>schrijnende</w:t>
      </w:r>
      <w:r w:rsidRPr="00DF1459" w:rsidR="008C2C48">
        <w:rPr>
          <w:rFonts w:ascii="Verdana" w:hAnsi="Verdana"/>
          <w:sz w:val="18"/>
          <w:szCs w:val="18"/>
        </w:rPr>
        <w:t xml:space="preserve"> </w:t>
      </w:r>
      <w:r w:rsidRPr="00DF1459" w:rsidR="005F56FC">
        <w:rPr>
          <w:rFonts w:ascii="Verdana" w:hAnsi="Verdana"/>
          <w:sz w:val="18"/>
          <w:szCs w:val="18"/>
        </w:rPr>
        <w:t>humanitaire situatie in Gaza</w:t>
      </w:r>
      <w:r w:rsidRPr="00DF1459" w:rsidR="00B4376D">
        <w:rPr>
          <w:rFonts w:ascii="Verdana" w:hAnsi="Verdana"/>
          <w:sz w:val="18"/>
          <w:szCs w:val="18"/>
        </w:rPr>
        <w:t>. De</w:t>
      </w:r>
      <w:r w:rsidRPr="00DF1459" w:rsidR="008C2C48">
        <w:rPr>
          <w:rFonts w:ascii="Verdana" w:hAnsi="Verdana"/>
          <w:sz w:val="18"/>
          <w:szCs w:val="18"/>
        </w:rPr>
        <w:t xml:space="preserve"> Raad </w:t>
      </w:r>
      <w:r w:rsidRPr="00DF1459" w:rsidR="00445796">
        <w:rPr>
          <w:rFonts w:ascii="Verdana" w:hAnsi="Verdana"/>
          <w:sz w:val="18"/>
          <w:szCs w:val="18"/>
        </w:rPr>
        <w:t xml:space="preserve">zal </w:t>
      </w:r>
      <w:r w:rsidRPr="00DF1459" w:rsidR="00B4376D">
        <w:rPr>
          <w:rFonts w:ascii="Verdana" w:hAnsi="Verdana"/>
          <w:sz w:val="18"/>
          <w:szCs w:val="18"/>
        </w:rPr>
        <w:t>waarschijnlijk</w:t>
      </w:r>
      <w:r w:rsidRPr="00DF1459" w:rsidR="008C2C48">
        <w:rPr>
          <w:rFonts w:ascii="Verdana" w:hAnsi="Verdana"/>
          <w:sz w:val="18"/>
          <w:szCs w:val="18"/>
        </w:rPr>
        <w:t xml:space="preserve"> </w:t>
      </w:r>
      <w:r w:rsidRPr="00DF1459" w:rsidR="00D1288F">
        <w:rPr>
          <w:rFonts w:ascii="Verdana" w:hAnsi="Verdana"/>
          <w:sz w:val="18"/>
          <w:szCs w:val="18"/>
        </w:rPr>
        <w:t xml:space="preserve">ook </w:t>
      </w:r>
      <w:r w:rsidRPr="00DF1459" w:rsidR="00445796">
        <w:rPr>
          <w:rFonts w:ascii="Verdana" w:hAnsi="Verdana"/>
          <w:sz w:val="18"/>
          <w:szCs w:val="18"/>
        </w:rPr>
        <w:t xml:space="preserve">inventariseren </w:t>
      </w:r>
      <w:r w:rsidRPr="00DF1459" w:rsidR="00C379AD">
        <w:rPr>
          <w:rFonts w:ascii="Verdana" w:hAnsi="Verdana"/>
          <w:sz w:val="18"/>
          <w:szCs w:val="18"/>
        </w:rPr>
        <w:t xml:space="preserve">welke maatregelen </w:t>
      </w:r>
      <w:r w:rsidRPr="00DF1459" w:rsidR="00364868">
        <w:rPr>
          <w:rFonts w:ascii="Verdana" w:hAnsi="Verdana"/>
          <w:sz w:val="18"/>
          <w:szCs w:val="18"/>
        </w:rPr>
        <w:t xml:space="preserve">in EU-verband </w:t>
      </w:r>
      <w:r w:rsidRPr="00DF1459" w:rsidR="00C379AD">
        <w:rPr>
          <w:rFonts w:ascii="Verdana" w:hAnsi="Verdana"/>
          <w:sz w:val="18"/>
          <w:szCs w:val="18"/>
        </w:rPr>
        <w:t xml:space="preserve">kunnen worden genomen om </w:t>
      </w:r>
      <w:r w:rsidRPr="00DF1459" w:rsidR="00364868">
        <w:rPr>
          <w:rFonts w:ascii="Verdana" w:hAnsi="Verdana"/>
          <w:sz w:val="18"/>
          <w:szCs w:val="18"/>
        </w:rPr>
        <w:t xml:space="preserve">Hamas gericht </w:t>
      </w:r>
      <w:r w:rsidRPr="00DF1459" w:rsidR="00CB6EC8">
        <w:rPr>
          <w:rFonts w:ascii="Verdana" w:hAnsi="Verdana"/>
          <w:sz w:val="18"/>
          <w:szCs w:val="18"/>
        </w:rPr>
        <w:t>aan te pakken</w:t>
      </w:r>
      <w:r w:rsidRPr="00DF1459" w:rsidR="00C379AD">
        <w:rPr>
          <w:rFonts w:ascii="Verdana" w:hAnsi="Verdana"/>
          <w:sz w:val="18"/>
          <w:szCs w:val="18"/>
        </w:rPr>
        <w:t xml:space="preserve">. Ook zal de Raad </w:t>
      </w:r>
      <w:r w:rsidRPr="00DF1459" w:rsidR="00445796">
        <w:rPr>
          <w:rFonts w:ascii="Verdana" w:hAnsi="Verdana"/>
          <w:sz w:val="18"/>
          <w:szCs w:val="18"/>
        </w:rPr>
        <w:t>mogelijkheden verkennen om gezamenlijk</w:t>
      </w:r>
      <w:r w:rsidRPr="00DF1459" w:rsidR="009F6C82">
        <w:rPr>
          <w:rFonts w:ascii="Verdana" w:hAnsi="Verdana"/>
          <w:sz w:val="18"/>
          <w:szCs w:val="18"/>
        </w:rPr>
        <w:t xml:space="preserve"> op te treden</w:t>
      </w:r>
      <w:r w:rsidRPr="00DF1459" w:rsidR="00CB6EC8">
        <w:rPr>
          <w:rFonts w:ascii="Verdana" w:hAnsi="Verdana"/>
          <w:sz w:val="18"/>
          <w:szCs w:val="18"/>
        </w:rPr>
        <w:t xml:space="preserve"> tegen gewelddadige kolonisten op de Westelijke Jordaanoever</w:t>
      </w:r>
      <w:r w:rsidRPr="00DF1459" w:rsidR="00714F29">
        <w:rPr>
          <w:rFonts w:ascii="Verdana" w:hAnsi="Verdana"/>
          <w:sz w:val="18"/>
          <w:szCs w:val="18"/>
        </w:rPr>
        <w:t>.</w:t>
      </w:r>
      <w:r w:rsidRPr="00DF1459" w:rsidR="00843DB9">
        <w:rPr>
          <w:rFonts w:ascii="Verdana" w:hAnsi="Verdana"/>
          <w:sz w:val="18"/>
          <w:szCs w:val="18"/>
        </w:rPr>
        <w:t xml:space="preserve"> Voorts zal de Raad spreken over de</w:t>
      </w:r>
      <w:r w:rsidRPr="00DF1459" w:rsidR="00714F29">
        <w:rPr>
          <w:rFonts w:ascii="Verdana" w:hAnsi="Verdana"/>
          <w:sz w:val="18"/>
          <w:szCs w:val="18"/>
        </w:rPr>
        <w:t xml:space="preserve"> </w:t>
      </w:r>
      <w:r w:rsidRPr="00DF1459" w:rsidR="006E49A5">
        <w:rPr>
          <w:rFonts w:ascii="Verdana" w:hAnsi="Verdana"/>
          <w:sz w:val="18"/>
          <w:szCs w:val="18"/>
        </w:rPr>
        <w:t>bijdrage van</w:t>
      </w:r>
      <w:r w:rsidRPr="00DF1459" w:rsidR="00843DB9">
        <w:rPr>
          <w:rFonts w:ascii="Verdana" w:hAnsi="Verdana"/>
          <w:sz w:val="18"/>
          <w:szCs w:val="18"/>
        </w:rPr>
        <w:t xml:space="preserve"> </w:t>
      </w:r>
      <w:r w:rsidRPr="00DF1459" w:rsidR="006E49A5">
        <w:rPr>
          <w:rFonts w:ascii="Verdana" w:hAnsi="Verdana"/>
          <w:sz w:val="18"/>
          <w:szCs w:val="18"/>
        </w:rPr>
        <w:t>de</w:t>
      </w:r>
      <w:r w:rsidRPr="00DF1459" w:rsidR="00843DB9">
        <w:rPr>
          <w:rFonts w:ascii="Verdana" w:hAnsi="Verdana"/>
          <w:sz w:val="18"/>
          <w:szCs w:val="18"/>
        </w:rPr>
        <w:t xml:space="preserve"> </w:t>
      </w:r>
      <w:r w:rsidRPr="00DF1459" w:rsidR="006E49A5">
        <w:rPr>
          <w:rFonts w:ascii="Verdana" w:hAnsi="Verdana"/>
          <w:sz w:val="18"/>
          <w:szCs w:val="18"/>
        </w:rPr>
        <w:t>EU</w:t>
      </w:r>
      <w:r w:rsidRPr="00DF1459" w:rsidR="00843DB9">
        <w:rPr>
          <w:rFonts w:ascii="Verdana" w:hAnsi="Verdana"/>
          <w:sz w:val="18"/>
          <w:szCs w:val="18"/>
        </w:rPr>
        <w:t xml:space="preserve"> aan het opstarten van een vredesproces.</w:t>
      </w:r>
    </w:p>
    <w:p w:rsidRPr="00DF1459" w:rsidR="00E6511B" w:rsidP="00E47717" w:rsidRDefault="00E6511B" w14:paraId="0B5B2D26" w14:textId="77777777">
      <w:pPr>
        <w:spacing w:after="0" w:line="240" w:lineRule="auto"/>
        <w:rPr>
          <w:rFonts w:ascii="Verdana" w:hAnsi="Verdana"/>
          <w:sz w:val="18"/>
          <w:szCs w:val="18"/>
        </w:rPr>
      </w:pPr>
    </w:p>
    <w:p w:rsidRPr="00DF1459" w:rsidR="009E1E83" w:rsidP="009E1E83" w:rsidRDefault="00194E68" w14:paraId="4BD23E6C" w14:textId="04F9F26C">
      <w:pPr>
        <w:spacing w:after="0" w:line="240" w:lineRule="auto"/>
        <w:rPr>
          <w:rFonts w:ascii="Verdana" w:hAnsi="Verdana"/>
          <w:sz w:val="18"/>
          <w:szCs w:val="18"/>
        </w:rPr>
      </w:pPr>
      <w:bookmarkStart w:name="_Hlk155716945" w:id="1"/>
      <w:r w:rsidRPr="00A012C3">
        <w:rPr>
          <w:rFonts w:ascii="Verdana" w:hAnsi="Verdana"/>
          <w:sz w:val="18"/>
          <w:szCs w:val="18"/>
        </w:rPr>
        <w:t xml:space="preserve">De huidige humanitaire situatie in Gaza is verschrikkelijk. Te veel onschuldige levens zijn verloren en de schaal van het leed en de verwoesting in Gaza door de Israëls bombardementen is enorm. </w:t>
      </w:r>
      <w:r w:rsidRPr="00A012C3" w:rsidR="00647736">
        <w:rPr>
          <w:rFonts w:ascii="Verdana" w:hAnsi="Verdana"/>
          <w:sz w:val="18"/>
          <w:szCs w:val="18"/>
        </w:rPr>
        <w:t>Nederland benadrukt in diplomatieke contacten het belang van proportionaliteit in de militaire</w:t>
      </w:r>
      <w:r w:rsidRPr="00DF1459" w:rsidR="00647736">
        <w:rPr>
          <w:rFonts w:ascii="Verdana" w:hAnsi="Verdana"/>
          <w:sz w:val="18"/>
          <w:szCs w:val="18"/>
        </w:rPr>
        <w:t xml:space="preserve"> respons van Israël</w:t>
      </w:r>
      <w:r w:rsidRPr="00DF1459" w:rsidR="002E5B6E">
        <w:rPr>
          <w:rFonts w:ascii="Verdana" w:hAnsi="Verdana"/>
          <w:sz w:val="18"/>
          <w:szCs w:val="18"/>
        </w:rPr>
        <w:t xml:space="preserve">. Nederland roept </w:t>
      </w:r>
      <w:r w:rsidRPr="00DF1459" w:rsidR="00057F42">
        <w:rPr>
          <w:rFonts w:ascii="Verdana" w:hAnsi="Verdana"/>
          <w:sz w:val="18"/>
          <w:szCs w:val="18"/>
        </w:rPr>
        <w:t>Israël</w:t>
      </w:r>
      <w:r w:rsidRPr="00DF1459" w:rsidR="002E5B6E">
        <w:rPr>
          <w:rFonts w:ascii="Verdana" w:hAnsi="Verdana"/>
          <w:sz w:val="18"/>
          <w:szCs w:val="18"/>
        </w:rPr>
        <w:t xml:space="preserve"> op om hierbij aantoonbaar terughoudend en zeer gericht te handelen. Er moet veel meer worden gedaan om burgerslachtoffers te voorkomen. </w:t>
      </w:r>
      <w:r w:rsidRPr="00DF1459" w:rsidR="0088687D">
        <w:rPr>
          <w:rFonts w:ascii="Verdana" w:hAnsi="Verdana"/>
          <w:sz w:val="18"/>
          <w:szCs w:val="18"/>
        </w:rPr>
        <w:t>Voorts</w:t>
      </w:r>
      <w:r w:rsidRPr="00DF1459" w:rsidR="00647736">
        <w:rPr>
          <w:rFonts w:ascii="Verdana" w:hAnsi="Verdana"/>
          <w:sz w:val="18"/>
          <w:szCs w:val="18"/>
        </w:rPr>
        <w:t xml:space="preserve"> onderstreept </w:t>
      </w:r>
      <w:r w:rsidRPr="00DF1459" w:rsidR="0088687D">
        <w:rPr>
          <w:rFonts w:ascii="Verdana" w:hAnsi="Verdana"/>
          <w:sz w:val="18"/>
          <w:szCs w:val="18"/>
        </w:rPr>
        <w:t>Nederland d</w:t>
      </w:r>
      <w:r w:rsidRPr="00DF1459" w:rsidR="00647736">
        <w:rPr>
          <w:rFonts w:ascii="Verdana" w:hAnsi="Verdana"/>
          <w:sz w:val="18"/>
          <w:szCs w:val="18"/>
        </w:rPr>
        <w:t xml:space="preserve">at regionale escalatie voorkomen moet worden en blijft zich diplomatiek inspannen om alle gijzelaars vrij te krijgen en EU-burgers uit Gaza te kunnen krijgen. </w:t>
      </w:r>
      <w:bookmarkEnd w:id="1"/>
      <w:r w:rsidRPr="00DF1459" w:rsidR="002E6A44">
        <w:rPr>
          <w:rFonts w:ascii="Verdana" w:hAnsi="Verdana"/>
          <w:sz w:val="18"/>
          <w:szCs w:val="18"/>
        </w:rPr>
        <w:t xml:space="preserve">Nederland </w:t>
      </w:r>
      <w:r w:rsidRPr="00DF1459" w:rsidR="00FC4309">
        <w:rPr>
          <w:rFonts w:ascii="Verdana" w:hAnsi="Verdana"/>
          <w:sz w:val="18"/>
          <w:szCs w:val="18"/>
        </w:rPr>
        <w:t xml:space="preserve">zal in EU-verband </w:t>
      </w:r>
      <w:r w:rsidRPr="00DF1459" w:rsidR="00E6511B">
        <w:rPr>
          <w:rFonts w:ascii="Verdana" w:hAnsi="Verdana"/>
          <w:sz w:val="18"/>
          <w:szCs w:val="18"/>
        </w:rPr>
        <w:t xml:space="preserve">pleiten voor een tijdelijk humanitair staakt-het-vuren tussen </w:t>
      </w:r>
      <w:r w:rsidRPr="00DF1459" w:rsidR="001D4261">
        <w:rPr>
          <w:rFonts w:ascii="Verdana" w:hAnsi="Verdana"/>
          <w:sz w:val="18"/>
          <w:szCs w:val="18"/>
        </w:rPr>
        <w:t>Israël</w:t>
      </w:r>
      <w:r w:rsidRPr="00DF1459" w:rsidR="00E6511B">
        <w:rPr>
          <w:rFonts w:ascii="Verdana" w:hAnsi="Verdana"/>
          <w:sz w:val="18"/>
          <w:szCs w:val="18"/>
        </w:rPr>
        <w:t xml:space="preserve"> en Hamas dat moet leiden tot een duurzame beëindiging van vijandelijkheden</w:t>
      </w:r>
      <w:r w:rsidRPr="00DF1459" w:rsidR="00ED4BC5">
        <w:rPr>
          <w:rFonts w:ascii="Verdana" w:hAnsi="Verdana"/>
          <w:sz w:val="18"/>
          <w:szCs w:val="18"/>
        </w:rPr>
        <w:t>.</w:t>
      </w:r>
      <w:r w:rsidRPr="00DF1459" w:rsidR="007D2FEE">
        <w:rPr>
          <w:rFonts w:ascii="Verdana" w:hAnsi="Verdana"/>
          <w:sz w:val="18"/>
          <w:szCs w:val="18"/>
        </w:rPr>
        <w:t xml:space="preserve"> </w:t>
      </w:r>
      <w:r w:rsidRPr="00DF1459" w:rsidR="002E6A44">
        <w:rPr>
          <w:rFonts w:ascii="Verdana" w:hAnsi="Verdana"/>
          <w:sz w:val="18"/>
          <w:szCs w:val="18"/>
        </w:rPr>
        <w:t xml:space="preserve">Nederland blijft </w:t>
      </w:r>
      <w:r w:rsidRPr="00DF1459" w:rsidR="00586CCC">
        <w:rPr>
          <w:rFonts w:ascii="Verdana" w:hAnsi="Verdana"/>
          <w:sz w:val="18"/>
          <w:szCs w:val="18"/>
        </w:rPr>
        <w:t xml:space="preserve">daarnaast </w:t>
      </w:r>
      <w:r w:rsidRPr="00DF1459" w:rsidR="002E6A44">
        <w:rPr>
          <w:rFonts w:ascii="Verdana" w:hAnsi="Verdana"/>
          <w:sz w:val="18"/>
          <w:szCs w:val="18"/>
        </w:rPr>
        <w:t>onderstrepen dat er op grote schaal onmiddellijke, veilige en ongehinderde verstrekking van humanitaire hulp moet worden toegelaten en gefaciliteerd.</w:t>
      </w:r>
      <w:r w:rsidRPr="00DF1459" w:rsidR="00453DBD">
        <w:rPr>
          <w:rFonts w:ascii="Verdana" w:hAnsi="Verdana"/>
          <w:sz w:val="18"/>
          <w:szCs w:val="18"/>
        </w:rPr>
        <w:t xml:space="preserve"> </w:t>
      </w:r>
      <w:bookmarkStart w:name="_Hlk155717046" w:id="2"/>
      <w:r w:rsidRPr="00DF1459" w:rsidR="00453DBD">
        <w:rPr>
          <w:rFonts w:ascii="Verdana" w:hAnsi="Verdana"/>
          <w:sz w:val="18"/>
          <w:szCs w:val="18"/>
        </w:rPr>
        <w:t xml:space="preserve">Hiertoe is het </w:t>
      </w:r>
      <w:r w:rsidRPr="00DF1459" w:rsidR="006A3C4C">
        <w:rPr>
          <w:rFonts w:ascii="Verdana" w:hAnsi="Verdana"/>
          <w:sz w:val="18"/>
          <w:szCs w:val="18"/>
        </w:rPr>
        <w:t>met name</w:t>
      </w:r>
      <w:r w:rsidRPr="00DF1459" w:rsidR="00453DBD">
        <w:rPr>
          <w:rFonts w:ascii="Verdana" w:hAnsi="Verdana"/>
          <w:sz w:val="18"/>
          <w:szCs w:val="18"/>
        </w:rPr>
        <w:t xml:space="preserve"> van groot belang dat de </w:t>
      </w:r>
      <w:r w:rsidRPr="00DF1459" w:rsidR="00762DA5">
        <w:rPr>
          <w:rFonts w:ascii="Verdana" w:hAnsi="Verdana"/>
          <w:sz w:val="18"/>
          <w:szCs w:val="18"/>
        </w:rPr>
        <w:t>grensovergangen per land</w:t>
      </w:r>
      <w:r w:rsidRPr="00DF1459" w:rsidR="00453DBD">
        <w:rPr>
          <w:rFonts w:ascii="Verdana" w:hAnsi="Verdana"/>
          <w:sz w:val="18"/>
          <w:szCs w:val="18"/>
        </w:rPr>
        <w:t xml:space="preserve"> </w:t>
      </w:r>
      <w:r w:rsidRPr="00DF1459" w:rsidR="00762DA5">
        <w:rPr>
          <w:rFonts w:ascii="Verdana" w:hAnsi="Verdana"/>
          <w:sz w:val="18"/>
          <w:szCs w:val="18"/>
        </w:rPr>
        <w:t>gebruikt kunnen worden</w:t>
      </w:r>
      <w:r w:rsidRPr="00DF1459" w:rsidR="00453DBD">
        <w:rPr>
          <w:rFonts w:ascii="Verdana" w:hAnsi="Verdana"/>
          <w:sz w:val="18"/>
          <w:szCs w:val="18"/>
        </w:rPr>
        <w:t>.</w:t>
      </w:r>
      <w:r w:rsidRPr="00DF1459" w:rsidR="002E6A44">
        <w:rPr>
          <w:rFonts w:ascii="Verdana" w:hAnsi="Verdana"/>
          <w:sz w:val="18"/>
          <w:szCs w:val="18"/>
        </w:rPr>
        <w:t xml:space="preserve"> </w:t>
      </w:r>
      <w:bookmarkEnd w:id="2"/>
      <w:r w:rsidRPr="00DF1459" w:rsidR="009C7C6F">
        <w:rPr>
          <w:rFonts w:ascii="Verdana" w:hAnsi="Verdana"/>
          <w:sz w:val="18"/>
          <w:szCs w:val="18"/>
        </w:rPr>
        <w:t>De</w:t>
      </w:r>
      <w:r w:rsidRPr="00DF1459" w:rsidR="00114961">
        <w:rPr>
          <w:rFonts w:ascii="Verdana" w:hAnsi="Verdana"/>
          <w:sz w:val="18"/>
          <w:szCs w:val="18"/>
        </w:rPr>
        <w:t xml:space="preserve"> onlangs</w:t>
      </w:r>
      <w:r w:rsidRPr="00DF1459" w:rsidR="009C7C6F">
        <w:rPr>
          <w:rFonts w:ascii="Verdana" w:hAnsi="Verdana"/>
          <w:sz w:val="18"/>
          <w:szCs w:val="18"/>
        </w:rPr>
        <w:t xml:space="preserve"> door Nederland</w:t>
      </w:r>
      <w:r w:rsidRPr="00DF1459" w:rsidR="009557A7">
        <w:rPr>
          <w:rFonts w:ascii="Verdana" w:hAnsi="Verdana"/>
          <w:sz w:val="18"/>
          <w:szCs w:val="18"/>
        </w:rPr>
        <w:t xml:space="preserve"> </w:t>
      </w:r>
      <w:r w:rsidRPr="00DF1459" w:rsidR="009C7C6F">
        <w:rPr>
          <w:rFonts w:ascii="Verdana" w:hAnsi="Verdana"/>
          <w:sz w:val="18"/>
          <w:szCs w:val="18"/>
        </w:rPr>
        <w:t>aangestelde speciaal gezant voor humanitaire hulp zal zich onder meer voor dit doel inspannen</w:t>
      </w:r>
      <w:r w:rsidRPr="00DF1459" w:rsidR="00647736">
        <w:rPr>
          <w:rFonts w:ascii="Verdana" w:hAnsi="Verdana"/>
          <w:sz w:val="18"/>
          <w:szCs w:val="18"/>
        </w:rPr>
        <w:t>, in nauwe samenwerking met de VN-coördinator voor humanitaire hulp</w:t>
      </w:r>
      <w:r w:rsidRPr="00DF1459" w:rsidR="009C7C6F">
        <w:rPr>
          <w:rFonts w:ascii="Verdana" w:hAnsi="Verdana"/>
          <w:sz w:val="18"/>
          <w:szCs w:val="18"/>
        </w:rPr>
        <w:t>.</w:t>
      </w:r>
      <w:r w:rsidRPr="00DF1459" w:rsidR="00BD303E">
        <w:rPr>
          <w:rFonts w:ascii="Verdana" w:hAnsi="Verdana"/>
          <w:sz w:val="18"/>
          <w:szCs w:val="18"/>
        </w:rPr>
        <w:t xml:space="preserve"> </w:t>
      </w:r>
      <w:bookmarkStart w:name="_Hlk155717102" w:id="3"/>
      <w:r w:rsidRPr="00DF1459" w:rsidR="009E1E83">
        <w:rPr>
          <w:rFonts w:ascii="Verdana" w:hAnsi="Verdana"/>
          <w:sz w:val="18"/>
          <w:szCs w:val="18"/>
        </w:rPr>
        <w:t xml:space="preserve">In het Tweeminutendebat terrorisme/extremisme van 21 december </w:t>
      </w:r>
      <w:r w:rsidRPr="00DF1459" w:rsidR="00905E1C">
        <w:rPr>
          <w:rFonts w:ascii="Verdana" w:hAnsi="Verdana"/>
          <w:sz w:val="18"/>
          <w:szCs w:val="18"/>
        </w:rPr>
        <w:t xml:space="preserve">2023 </w:t>
      </w:r>
      <w:r w:rsidRPr="00DF1459" w:rsidR="009E1E83">
        <w:rPr>
          <w:rFonts w:ascii="Verdana" w:hAnsi="Verdana"/>
          <w:sz w:val="18"/>
          <w:szCs w:val="18"/>
        </w:rPr>
        <w:t>is het kabinet via de aangenomen motie van het lid van Dijk verzocht om zich in Europees verband in te spannen voor een visumverbod voor aanhangers en sympathisanten van Hamas.</w:t>
      </w:r>
      <w:r w:rsidRPr="00DF1459" w:rsidR="009E1E83">
        <w:rPr>
          <w:rStyle w:val="FootnoteReference"/>
          <w:rFonts w:ascii="Verdana" w:hAnsi="Verdana"/>
          <w:sz w:val="18"/>
          <w:szCs w:val="18"/>
        </w:rPr>
        <w:footnoteReference w:id="2"/>
      </w:r>
      <w:r w:rsidRPr="00DF1459" w:rsidR="006E2CB8">
        <w:rPr>
          <w:rFonts w:ascii="Verdana" w:hAnsi="Verdana"/>
          <w:sz w:val="18"/>
          <w:szCs w:val="18"/>
        </w:rPr>
        <w:t xml:space="preserve"> </w:t>
      </w:r>
      <w:r w:rsidRPr="00DF1459" w:rsidR="009E1E83">
        <w:rPr>
          <w:rFonts w:ascii="Verdana" w:hAnsi="Verdana"/>
          <w:sz w:val="18"/>
          <w:szCs w:val="18"/>
        </w:rPr>
        <w:t xml:space="preserve">Palestijnen hebben een visum nodig om naar het Schengengebied te reizen. Binnen het </w:t>
      </w:r>
      <w:proofErr w:type="spellStart"/>
      <w:r w:rsidRPr="00DF1459" w:rsidR="009E1E83">
        <w:rPr>
          <w:rFonts w:ascii="Verdana" w:hAnsi="Verdana"/>
          <w:sz w:val="18"/>
          <w:szCs w:val="18"/>
        </w:rPr>
        <w:t>visumbeslisproces</w:t>
      </w:r>
      <w:proofErr w:type="spellEnd"/>
      <w:r w:rsidRPr="00DF1459" w:rsidR="009E1E83">
        <w:rPr>
          <w:rFonts w:ascii="Verdana" w:hAnsi="Verdana"/>
          <w:sz w:val="18"/>
          <w:szCs w:val="18"/>
        </w:rPr>
        <w:t xml:space="preserve"> wordt een aanvraag onder andere getoetst op aanwijzingen voor een bedreiging van de openbare orde of nationale veiligheid. Indien deze aanwijzingen er zijn, wordt de visumaanvraag geweigerd. Dit kan onder meer blijken uit een signalering in het Schengeninformatiesysteem (SIS), die geldt voor alle EU/EER-landen (met uitzondering van Ierland) en Zwitserland. Door het plaatsen van personen en entiteiten op sanctielijsten wordt derhalve een weigeringsgrond gecreëerd wanneer de betreffende personen een visumaanvraag indienen en kunnen personen die visumvrij reizen op dezelfde gronden toegang worden geweigerd.</w:t>
      </w:r>
    </w:p>
    <w:p w:rsidRPr="00DF1459" w:rsidR="009E1E83" w:rsidP="009E1E83" w:rsidRDefault="009E1E83" w14:paraId="5BB18B7A" w14:textId="77777777">
      <w:pPr>
        <w:spacing w:after="0" w:line="240" w:lineRule="auto"/>
        <w:rPr>
          <w:rFonts w:ascii="Verdana" w:hAnsi="Verdana"/>
          <w:sz w:val="18"/>
          <w:szCs w:val="18"/>
        </w:rPr>
      </w:pPr>
    </w:p>
    <w:p w:rsidRPr="00DF1459" w:rsidR="009E1E83" w:rsidP="009E1E83" w:rsidRDefault="009E1E83" w14:paraId="4540A3C8" w14:textId="5C04FFDF">
      <w:pPr>
        <w:spacing w:after="0" w:line="240" w:lineRule="auto"/>
        <w:rPr>
          <w:rFonts w:ascii="Verdana" w:hAnsi="Verdana"/>
          <w:sz w:val="18"/>
          <w:szCs w:val="18"/>
        </w:rPr>
      </w:pPr>
      <w:r w:rsidRPr="00DF1459">
        <w:rPr>
          <w:rFonts w:ascii="Verdana" w:hAnsi="Verdana"/>
          <w:sz w:val="18"/>
          <w:szCs w:val="18"/>
        </w:rPr>
        <w:t xml:space="preserve">Nederland is voorstander van het in EU-verband verkennen van maatregelen om Hamas en ondersteunende netwerken gericht aan te pakken, waarbij het sanctie-instrumentarium ook tot de mogelijkheden behoort. De EU heeft in respons op de aanval van Hamas van 7 oktober </w:t>
      </w:r>
      <w:r w:rsidRPr="00DF1459" w:rsidR="007C448C">
        <w:rPr>
          <w:rFonts w:ascii="Verdana" w:hAnsi="Verdana"/>
          <w:sz w:val="18"/>
          <w:szCs w:val="18"/>
        </w:rPr>
        <w:t>2023</w:t>
      </w:r>
      <w:r w:rsidRPr="00DF1459">
        <w:rPr>
          <w:rFonts w:ascii="Verdana" w:hAnsi="Verdana"/>
          <w:sz w:val="18"/>
          <w:szCs w:val="18"/>
        </w:rPr>
        <w:t xml:space="preserve"> twee individuen op de EU terroristenlijst gezet.</w:t>
      </w:r>
      <w:r w:rsidRPr="00DF1459">
        <w:rPr>
          <w:rStyle w:val="FootnoteReference"/>
          <w:rFonts w:ascii="Verdana" w:hAnsi="Verdana"/>
          <w:sz w:val="18"/>
          <w:szCs w:val="18"/>
        </w:rPr>
        <w:footnoteReference w:id="3"/>
      </w:r>
    </w:p>
    <w:p w:rsidRPr="00DF1459" w:rsidR="009E1E83" w:rsidP="00E47717" w:rsidRDefault="009E1E83" w14:paraId="2FA354C6" w14:textId="5BD80F0A">
      <w:pPr>
        <w:spacing w:after="0" w:line="240" w:lineRule="auto"/>
        <w:rPr>
          <w:rFonts w:ascii="Verdana" w:hAnsi="Verdana"/>
          <w:sz w:val="18"/>
          <w:szCs w:val="18"/>
        </w:rPr>
      </w:pPr>
    </w:p>
    <w:p w:rsidRPr="00DF1459" w:rsidR="002E6A44" w:rsidP="00E47717" w:rsidRDefault="00C76AF8" w14:paraId="6E850449" w14:textId="0D3A9C65">
      <w:pPr>
        <w:spacing w:after="0" w:line="240" w:lineRule="auto"/>
        <w:rPr>
          <w:rFonts w:ascii="Verdana" w:hAnsi="Verdana"/>
          <w:sz w:val="18"/>
          <w:szCs w:val="18"/>
        </w:rPr>
      </w:pPr>
      <w:r w:rsidRPr="00DF1459">
        <w:rPr>
          <w:rFonts w:ascii="Verdana" w:hAnsi="Verdana"/>
          <w:sz w:val="18"/>
          <w:szCs w:val="18"/>
        </w:rPr>
        <w:t>Zoal</w:t>
      </w:r>
      <w:r w:rsidRPr="00DF1459" w:rsidR="0078226F">
        <w:rPr>
          <w:rFonts w:ascii="Verdana" w:hAnsi="Verdana"/>
          <w:sz w:val="18"/>
          <w:szCs w:val="18"/>
        </w:rPr>
        <w:t xml:space="preserve">s toegezegd tijdens het </w:t>
      </w:r>
      <w:r w:rsidRPr="00DF1459" w:rsidR="00057DA1">
        <w:rPr>
          <w:rFonts w:ascii="Verdana" w:hAnsi="Verdana"/>
          <w:sz w:val="18"/>
          <w:szCs w:val="18"/>
        </w:rPr>
        <w:t>commissiedebat</w:t>
      </w:r>
      <w:r w:rsidRPr="00DF1459" w:rsidR="0078226F">
        <w:rPr>
          <w:rFonts w:ascii="Verdana" w:hAnsi="Verdana"/>
          <w:sz w:val="18"/>
          <w:szCs w:val="18"/>
        </w:rPr>
        <w:t xml:space="preserve"> </w:t>
      </w:r>
      <w:r w:rsidRPr="00DF1459" w:rsidR="00266E75">
        <w:rPr>
          <w:rFonts w:ascii="Verdana" w:hAnsi="Verdana"/>
          <w:sz w:val="18"/>
          <w:szCs w:val="18"/>
        </w:rPr>
        <w:t>Israël</w:t>
      </w:r>
      <w:r w:rsidRPr="00DF1459" w:rsidR="0078226F">
        <w:rPr>
          <w:rFonts w:ascii="Verdana" w:hAnsi="Verdana"/>
          <w:sz w:val="18"/>
          <w:szCs w:val="18"/>
        </w:rPr>
        <w:t xml:space="preserve"> en Gaza van 23 november </w:t>
      </w:r>
      <w:r w:rsidRPr="00DF1459" w:rsidR="00C824C8">
        <w:rPr>
          <w:rFonts w:ascii="Verdana" w:hAnsi="Verdana"/>
          <w:sz w:val="18"/>
          <w:szCs w:val="18"/>
        </w:rPr>
        <w:t xml:space="preserve">2023 </w:t>
      </w:r>
      <w:r w:rsidRPr="00DF1459" w:rsidR="0077353A">
        <w:rPr>
          <w:rFonts w:ascii="Verdana" w:hAnsi="Verdana"/>
          <w:sz w:val="18"/>
          <w:szCs w:val="18"/>
        </w:rPr>
        <w:t>en</w:t>
      </w:r>
      <w:r w:rsidRPr="00DF1459" w:rsidR="00D17F09">
        <w:rPr>
          <w:rFonts w:ascii="Verdana" w:hAnsi="Verdana"/>
          <w:sz w:val="18"/>
          <w:szCs w:val="18"/>
        </w:rPr>
        <w:t xml:space="preserve"> in lijn met</w:t>
      </w:r>
      <w:r w:rsidRPr="00DF1459" w:rsidR="0077353A">
        <w:rPr>
          <w:rFonts w:ascii="Verdana" w:hAnsi="Verdana"/>
          <w:sz w:val="18"/>
          <w:szCs w:val="18"/>
        </w:rPr>
        <w:t xml:space="preserve"> motie </w:t>
      </w:r>
      <w:proofErr w:type="spellStart"/>
      <w:r w:rsidRPr="00DF1459" w:rsidR="0077353A">
        <w:rPr>
          <w:rFonts w:ascii="Verdana" w:hAnsi="Verdana"/>
          <w:sz w:val="18"/>
          <w:szCs w:val="18"/>
        </w:rPr>
        <w:t>Paternotte</w:t>
      </w:r>
      <w:proofErr w:type="spellEnd"/>
      <w:r w:rsidRPr="00DF1459" w:rsidR="0077353A">
        <w:rPr>
          <w:rFonts w:ascii="Verdana" w:hAnsi="Verdana"/>
          <w:sz w:val="18"/>
          <w:szCs w:val="18"/>
        </w:rPr>
        <w:t xml:space="preserve"> c.s. </w:t>
      </w:r>
      <w:r w:rsidRPr="00DF1459" w:rsidR="008901A2">
        <w:rPr>
          <w:rFonts w:ascii="Verdana" w:hAnsi="Verdana"/>
          <w:sz w:val="18"/>
          <w:szCs w:val="18"/>
        </w:rPr>
        <w:t>heeft</w:t>
      </w:r>
      <w:r w:rsidRPr="00DF1459" w:rsidR="0078226F">
        <w:rPr>
          <w:rFonts w:ascii="Verdana" w:hAnsi="Verdana"/>
          <w:sz w:val="18"/>
          <w:szCs w:val="18"/>
        </w:rPr>
        <w:t xml:space="preserve"> Nederland steun </w:t>
      </w:r>
      <w:r w:rsidRPr="00DF1459" w:rsidR="008901A2">
        <w:rPr>
          <w:rFonts w:ascii="Verdana" w:hAnsi="Verdana"/>
          <w:sz w:val="18"/>
          <w:szCs w:val="18"/>
        </w:rPr>
        <w:t xml:space="preserve">uitgesproken </w:t>
      </w:r>
      <w:r w:rsidRPr="00DF1459" w:rsidR="0078226F">
        <w:rPr>
          <w:rFonts w:ascii="Verdana" w:hAnsi="Verdana"/>
          <w:sz w:val="18"/>
          <w:szCs w:val="18"/>
        </w:rPr>
        <w:t xml:space="preserve">voor </w:t>
      </w:r>
      <w:r w:rsidRPr="00DF1459" w:rsidR="008901A2">
        <w:rPr>
          <w:rFonts w:ascii="Verdana" w:hAnsi="Verdana"/>
          <w:sz w:val="18"/>
          <w:szCs w:val="18"/>
        </w:rPr>
        <w:t xml:space="preserve">een inventarisatie </w:t>
      </w:r>
      <w:r w:rsidRPr="00DF1459" w:rsidR="007B2BDD">
        <w:rPr>
          <w:rFonts w:ascii="Verdana" w:hAnsi="Verdana"/>
          <w:sz w:val="18"/>
          <w:szCs w:val="18"/>
        </w:rPr>
        <w:t>door</w:t>
      </w:r>
      <w:r w:rsidRPr="00DF1459" w:rsidR="008901A2">
        <w:rPr>
          <w:rFonts w:ascii="Verdana" w:hAnsi="Verdana"/>
          <w:sz w:val="18"/>
          <w:szCs w:val="18"/>
        </w:rPr>
        <w:t xml:space="preserve"> EDEO</w:t>
      </w:r>
      <w:r w:rsidRPr="00DF1459" w:rsidR="00A730DE">
        <w:rPr>
          <w:rFonts w:ascii="Verdana" w:hAnsi="Verdana"/>
          <w:sz w:val="18"/>
          <w:szCs w:val="18"/>
        </w:rPr>
        <w:t xml:space="preserve"> van </w:t>
      </w:r>
      <w:r w:rsidRPr="00DF1459" w:rsidR="00A730DE">
        <w:rPr>
          <w:rFonts w:ascii="Verdana" w:hAnsi="Verdana"/>
          <w:sz w:val="18"/>
          <w:szCs w:val="18"/>
        </w:rPr>
        <w:lastRenderedPageBreak/>
        <w:t>mogelijke</w:t>
      </w:r>
      <w:r w:rsidRPr="00DF1459" w:rsidR="0078226F">
        <w:rPr>
          <w:rFonts w:ascii="Verdana" w:hAnsi="Verdana"/>
          <w:sz w:val="18"/>
          <w:szCs w:val="18"/>
        </w:rPr>
        <w:t xml:space="preserve"> maatregelen op EU-niveau</w:t>
      </w:r>
      <w:r w:rsidR="009E597D">
        <w:rPr>
          <w:rFonts w:ascii="Verdana" w:hAnsi="Verdana"/>
          <w:sz w:val="18"/>
          <w:szCs w:val="18"/>
        </w:rPr>
        <w:t>, waaronder een visumverbod,</w:t>
      </w:r>
      <w:r w:rsidRPr="00DF1459" w:rsidR="0078226F">
        <w:rPr>
          <w:rFonts w:ascii="Verdana" w:hAnsi="Verdana"/>
          <w:sz w:val="18"/>
          <w:szCs w:val="18"/>
        </w:rPr>
        <w:t xml:space="preserve"> tegen gewelddadige kolonisten.</w:t>
      </w:r>
      <w:r w:rsidRPr="00DF1459" w:rsidR="00203858">
        <w:rPr>
          <w:rStyle w:val="FootnoteReference"/>
          <w:rFonts w:ascii="Verdana" w:hAnsi="Verdana"/>
          <w:sz w:val="18"/>
          <w:szCs w:val="18"/>
        </w:rPr>
        <w:footnoteReference w:id="4"/>
      </w:r>
      <w:bookmarkEnd w:id="3"/>
    </w:p>
    <w:p w:rsidRPr="00DF1459" w:rsidR="006C49D7" w:rsidP="00E47717" w:rsidRDefault="006C49D7" w14:paraId="72C34B5D" w14:textId="6358117E">
      <w:pPr>
        <w:spacing w:after="0" w:line="240" w:lineRule="auto"/>
        <w:rPr>
          <w:rFonts w:ascii="Verdana" w:hAnsi="Verdana"/>
          <w:sz w:val="18"/>
          <w:szCs w:val="18"/>
        </w:rPr>
      </w:pPr>
    </w:p>
    <w:p w:rsidRPr="00FC1EC3" w:rsidR="00926E61" w:rsidP="00926E61" w:rsidRDefault="00926E61" w14:paraId="68CF405C" w14:textId="71584081">
      <w:pPr>
        <w:spacing w:after="0" w:line="240" w:lineRule="auto"/>
        <w:rPr>
          <w:rFonts w:ascii="Verdana" w:hAnsi="Verdana"/>
          <w:sz w:val="18"/>
          <w:szCs w:val="18"/>
        </w:rPr>
      </w:pPr>
      <w:r w:rsidRPr="00DF1459">
        <w:rPr>
          <w:rFonts w:ascii="Verdana" w:hAnsi="Verdana"/>
          <w:sz w:val="18"/>
          <w:szCs w:val="18"/>
        </w:rPr>
        <w:t xml:space="preserve">Tevens wordt verwacht dat de Raad zal stilstaan bij de ontwikkelingen en incidenten in de Rode Zee en de westelijke Golf van Aden. </w:t>
      </w:r>
      <w:proofErr w:type="spellStart"/>
      <w:r w:rsidRPr="00DF1459">
        <w:rPr>
          <w:rFonts w:ascii="Verdana" w:hAnsi="Verdana"/>
          <w:sz w:val="18"/>
          <w:szCs w:val="18"/>
        </w:rPr>
        <w:t>Houthi</w:t>
      </w:r>
      <w:proofErr w:type="spellEnd"/>
      <w:r w:rsidRPr="00DF1459">
        <w:rPr>
          <w:rFonts w:ascii="Verdana" w:hAnsi="Verdana"/>
          <w:sz w:val="18"/>
          <w:szCs w:val="18"/>
        </w:rPr>
        <w:t xml:space="preserve">-rebellen vallen commerciële en militaire schepen aan, hetgeen grote gevolgen heeft voor de maritieme veiligheid in de regio en de vrije en veilige doorvaart. Inmiddels hebben meerdere landen verdedigende militaire acties uit moeten voeren om de internationale scheepvaart en eigen schepen te beschermen. </w:t>
      </w:r>
      <w:r w:rsidRPr="00DF1459" w:rsidR="00ED4BC5">
        <w:rPr>
          <w:rFonts w:ascii="Verdana" w:hAnsi="Verdana"/>
          <w:sz w:val="18"/>
          <w:szCs w:val="18"/>
        </w:rPr>
        <w:t xml:space="preserve">De Verenigde Staten en het Verenigd Koninkrijk hebben gewapend opgetreden tegen de militaire infrastructuur van de </w:t>
      </w:r>
      <w:proofErr w:type="spellStart"/>
      <w:r w:rsidRPr="00DF1459" w:rsidR="00ED4BC5">
        <w:rPr>
          <w:rFonts w:ascii="Verdana" w:hAnsi="Verdana"/>
          <w:sz w:val="18"/>
          <w:szCs w:val="18"/>
        </w:rPr>
        <w:t>Houthi’s</w:t>
      </w:r>
      <w:proofErr w:type="spellEnd"/>
      <w:r w:rsidRPr="00DF1459" w:rsidR="00ED4BC5">
        <w:rPr>
          <w:rFonts w:ascii="Verdana" w:hAnsi="Verdana"/>
          <w:sz w:val="18"/>
          <w:szCs w:val="18"/>
        </w:rPr>
        <w:t xml:space="preserve">. Zoals op 12 januari jl. in </w:t>
      </w:r>
      <w:r w:rsidRPr="00FC1EC3" w:rsidR="00ED4BC5">
        <w:rPr>
          <w:rFonts w:ascii="Verdana" w:hAnsi="Verdana"/>
          <w:sz w:val="18"/>
          <w:szCs w:val="18"/>
        </w:rPr>
        <w:t>de Kamerbrief ‘maritieme veiligheid in de Rode Zee’ gemeld,</w:t>
      </w:r>
      <w:r w:rsidRPr="00FC1EC3" w:rsidR="001A728E">
        <w:rPr>
          <w:rStyle w:val="FootnoteReference"/>
          <w:rFonts w:ascii="Verdana" w:hAnsi="Verdana"/>
          <w:sz w:val="18"/>
          <w:szCs w:val="18"/>
        </w:rPr>
        <w:footnoteReference w:id="5"/>
      </w:r>
      <w:r w:rsidRPr="00FC1EC3" w:rsidR="00ED4BC5">
        <w:rPr>
          <w:rFonts w:ascii="Verdana" w:hAnsi="Verdana"/>
          <w:sz w:val="18"/>
          <w:szCs w:val="18"/>
        </w:rPr>
        <w:t xml:space="preserve"> steunt Nederland deze operatie politiek en heeft</w:t>
      </w:r>
      <w:r w:rsidRPr="00FC1EC3" w:rsidR="00771B69">
        <w:rPr>
          <w:rFonts w:ascii="Verdana" w:hAnsi="Verdana"/>
          <w:sz w:val="18"/>
          <w:szCs w:val="18"/>
        </w:rPr>
        <w:t xml:space="preserve"> het</w:t>
      </w:r>
      <w:r w:rsidRPr="00FC1EC3" w:rsidR="00675EBD">
        <w:rPr>
          <w:rFonts w:ascii="Verdana" w:hAnsi="Verdana"/>
          <w:sz w:val="18"/>
          <w:szCs w:val="18"/>
        </w:rPr>
        <w:t xml:space="preserve"> </w:t>
      </w:r>
      <w:r w:rsidRPr="00FC1EC3" w:rsidR="00ED4BC5">
        <w:rPr>
          <w:rFonts w:ascii="Verdana" w:hAnsi="Verdana"/>
          <w:sz w:val="18"/>
          <w:szCs w:val="18"/>
        </w:rPr>
        <w:t xml:space="preserve">niet-operationele militaire steun </w:t>
      </w:r>
      <w:r w:rsidRPr="00FC1EC3" w:rsidR="00771B69">
        <w:rPr>
          <w:rFonts w:ascii="Verdana" w:hAnsi="Verdana"/>
          <w:sz w:val="18"/>
          <w:szCs w:val="18"/>
        </w:rPr>
        <w:t xml:space="preserve">verleend </w:t>
      </w:r>
      <w:r w:rsidRPr="00FC1EC3" w:rsidR="00ED4BC5">
        <w:rPr>
          <w:rFonts w:ascii="Verdana" w:hAnsi="Verdana"/>
          <w:sz w:val="18"/>
          <w:szCs w:val="18"/>
        </w:rPr>
        <w:t>aan deze operatie door middel van de inzet van één stafofficier gegeven. Naar verwachting zal de Raad spreken over de lopende en toekomstige inspanningen op politiek en militair gebied om bij te dragen aan de veiligheid in de Rode Zee en de westelijke golf van Aden.</w:t>
      </w:r>
      <w:r w:rsidRPr="00FC1EC3">
        <w:rPr>
          <w:rFonts w:ascii="Verdana" w:hAnsi="Verdana"/>
          <w:sz w:val="18"/>
          <w:szCs w:val="18"/>
        </w:rPr>
        <w:t xml:space="preserve"> </w:t>
      </w:r>
    </w:p>
    <w:p w:rsidRPr="00FC1EC3" w:rsidR="00926E61" w:rsidP="00926E61" w:rsidRDefault="00926E61" w14:paraId="71E4F5FE" w14:textId="77777777">
      <w:pPr>
        <w:spacing w:after="0" w:line="240" w:lineRule="auto"/>
        <w:rPr>
          <w:rFonts w:ascii="Verdana" w:hAnsi="Verdana"/>
          <w:sz w:val="18"/>
          <w:szCs w:val="18"/>
        </w:rPr>
      </w:pPr>
    </w:p>
    <w:p w:rsidRPr="00FC1EC3" w:rsidR="00926E61" w:rsidP="00E47717" w:rsidRDefault="00926E61" w14:paraId="44A3E790" w14:textId="255D0E4B">
      <w:pPr>
        <w:spacing w:after="0" w:line="240" w:lineRule="auto"/>
        <w:rPr>
          <w:rFonts w:ascii="Verdana" w:hAnsi="Verdana"/>
          <w:sz w:val="18"/>
          <w:szCs w:val="18"/>
        </w:rPr>
      </w:pPr>
      <w:r w:rsidRPr="00FC1EC3">
        <w:rPr>
          <w:rFonts w:ascii="Verdana" w:hAnsi="Verdana"/>
          <w:sz w:val="18"/>
          <w:szCs w:val="18"/>
        </w:rPr>
        <w:t xml:space="preserve">Gezien het grote belang van maritieme veiligheid en vrije en veilige doorvaart voor Nederland en de EU zal Nederland pleiten voor een stevige Europese respons. Nederland zal verwijzen naar de verschillende initiatieven die Nederland reeds ontplooit en steunt. Het betreft hier onder andere verschillende diplomatieke sporen, de militaire bijdrage aan operatie </w:t>
      </w:r>
      <w:proofErr w:type="spellStart"/>
      <w:r w:rsidRPr="00FC1EC3">
        <w:rPr>
          <w:rFonts w:ascii="Verdana" w:hAnsi="Verdana"/>
          <w:i/>
          <w:iCs/>
          <w:sz w:val="18"/>
          <w:szCs w:val="18"/>
        </w:rPr>
        <w:t>Prosperity</w:t>
      </w:r>
      <w:proofErr w:type="spellEnd"/>
      <w:r w:rsidRPr="00FC1EC3">
        <w:rPr>
          <w:rFonts w:ascii="Verdana" w:hAnsi="Verdana"/>
          <w:i/>
          <w:iCs/>
          <w:sz w:val="18"/>
          <w:szCs w:val="18"/>
        </w:rPr>
        <w:t xml:space="preserve"> </w:t>
      </w:r>
      <w:proofErr w:type="spellStart"/>
      <w:r w:rsidRPr="00FC1EC3">
        <w:rPr>
          <w:rFonts w:ascii="Verdana" w:hAnsi="Verdana"/>
          <w:i/>
          <w:iCs/>
          <w:sz w:val="18"/>
          <w:szCs w:val="18"/>
        </w:rPr>
        <w:t>Guardian</w:t>
      </w:r>
      <w:proofErr w:type="spellEnd"/>
      <w:r w:rsidRPr="00FC1EC3">
        <w:rPr>
          <w:rFonts w:ascii="Verdana" w:hAnsi="Verdana"/>
          <w:sz w:val="18"/>
          <w:szCs w:val="18"/>
        </w:rPr>
        <w:t>,</w:t>
      </w:r>
      <w:r w:rsidRPr="00FC1EC3">
        <w:rPr>
          <w:rStyle w:val="FootnoteReference"/>
          <w:rFonts w:ascii="Verdana" w:hAnsi="Verdana"/>
          <w:sz w:val="18"/>
          <w:szCs w:val="18"/>
        </w:rPr>
        <w:footnoteReference w:id="6"/>
      </w:r>
      <w:r w:rsidRPr="00FC1EC3">
        <w:rPr>
          <w:rFonts w:ascii="Verdana" w:hAnsi="Verdana"/>
          <w:sz w:val="18"/>
          <w:szCs w:val="18"/>
        </w:rPr>
        <w:t xml:space="preserve"> het onderzoek naar een mogelijke aanvullende bijdrage aan maritieme veiligheid in de regio en de gemeenschappelijke verklaring van </w:t>
      </w:r>
      <w:r w:rsidRPr="00FC1EC3" w:rsidR="00380F29">
        <w:rPr>
          <w:rFonts w:ascii="Verdana" w:hAnsi="Verdana"/>
          <w:sz w:val="18"/>
          <w:szCs w:val="18"/>
        </w:rPr>
        <w:t>3 januari jl</w:t>
      </w:r>
      <w:r w:rsidRPr="00FC1EC3" w:rsidR="00F253D0">
        <w:rPr>
          <w:rFonts w:ascii="Verdana" w:hAnsi="Verdana"/>
          <w:sz w:val="18"/>
          <w:szCs w:val="18"/>
        </w:rPr>
        <w:t xml:space="preserve">. en </w:t>
      </w:r>
      <w:r w:rsidRPr="00FC1EC3" w:rsidR="00DF1459">
        <w:rPr>
          <w:rFonts w:ascii="Verdana" w:hAnsi="Verdana"/>
          <w:sz w:val="18"/>
          <w:szCs w:val="18"/>
        </w:rPr>
        <w:t>de politieke en niet-</w:t>
      </w:r>
      <w:proofErr w:type="spellStart"/>
      <w:r w:rsidRPr="00FC1EC3" w:rsidR="00DF1459">
        <w:rPr>
          <w:rFonts w:ascii="Verdana" w:hAnsi="Verdana"/>
          <w:sz w:val="18"/>
          <w:szCs w:val="18"/>
        </w:rPr>
        <w:t>operationale</w:t>
      </w:r>
      <w:proofErr w:type="spellEnd"/>
      <w:r w:rsidRPr="00FC1EC3" w:rsidR="00DF1459">
        <w:rPr>
          <w:rFonts w:ascii="Verdana" w:hAnsi="Verdana"/>
          <w:sz w:val="18"/>
          <w:szCs w:val="18"/>
        </w:rPr>
        <w:t xml:space="preserve"> militaire steun aan de door de Verenigde Staten en het Verenigd Koninkrijk geleide operatie.</w:t>
      </w:r>
      <w:r w:rsidRPr="00FC1EC3" w:rsidR="00380F29">
        <w:rPr>
          <w:rStyle w:val="FootnoteReference"/>
          <w:rFonts w:ascii="Verdana" w:hAnsi="Verdana"/>
          <w:sz w:val="18"/>
          <w:szCs w:val="18"/>
        </w:rPr>
        <w:footnoteReference w:id="7"/>
      </w:r>
    </w:p>
    <w:p w:rsidRPr="00FC1EC3" w:rsidR="00F719CA" w:rsidP="00E47717" w:rsidRDefault="00F719CA" w14:paraId="65361A61" w14:textId="679EE329">
      <w:pPr>
        <w:spacing w:after="0" w:line="240" w:lineRule="auto"/>
        <w:rPr>
          <w:rFonts w:ascii="Verdana" w:hAnsi="Verdana"/>
          <w:sz w:val="18"/>
          <w:szCs w:val="18"/>
        </w:rPr>
      </w:pPr>
    </w:p>
    <w:p w:rsidRPr="00FC1EC3" w:rsidR="00F719CA" w:rsidP="00E47717" w:rsidRDefault="00A90FDC" w14:paraId="557D99A0" w14:textId="7C3D1B6D">
      <w:pPr>
        <w:spacing w:after="0" w:line="240" w:lineRule="auto"/>
        <w:rPr>
          <w:rFonts w:ascii="Verdana" w:hAnsi="Verdana" w:eastAsia="Times New Roman"/>
          <w:b/>
          <w:bCs/>
          <w:sz w:val="18"/>
          <w:szCs w:val="18"/>
        </w:rPr>
      </w:pPr>
      <w:r w:rsidRPr="00FC1EC3">
        <w:rPr>
          <w:rFonts w:ascii="Verdana" w:hAnsi="Verdana" w:eastAsia="Times New Roman"/>
          <w:b/>
          <w:bCs/>
          <w:sz w:val="18"/>
          <w:szCs w:val="18"/>
        </w:rPr>
        <w:t>Russische agressie jegens Oekraïne  </w:t>
      </w:r>
    </w:p>
    <w:p w:rsidRPr="00FC1EC3" w:rsidR="00306F7C" w:rsidP="00306F7C" w:rsidRDefault="00306F7C" w14:paraId="79817F20" w14:textId="77777777">
      <w:pPr>
        <w:spacing w:after="0" w:line="240" w:lineRule="auto"/>
        <w:rPr>
          <w:rFonts w:ascii="Verdana" w:hAnsi="Verdana"/>
          <w:sz w:val="18"/>
          <w:szCs w:val="18"/>
        </w:rPr>
      </w:pPr>
      <w:r w:rsidRPr="00FC1EC3">
        <w:rPr>
          <w:rFonts w:ascii="Verdana" w:hAnsi="Verdana"/>
          <w:sz w:val="18"/>
          <w:szCs w:val="18"/>
        </w:rPr>
        <w:t xml:space="preserve">De Raad zal over de voortdurende Russische agressie tegen Oekraïne spreken. De kern van de </w:t>
      </w:r>
    </w:p>
    <w:p w:rsidRPr="00FC1EC3" w:rsidR="00306F7C" w:rsidP="00306F7C" w:rsidRDefault="00306F7C" w14:paraId="77F6DA25" w14:textId="77777777">
      <w:pPr>
        <w:spacing w:after="0" w:line="240" w:lineRule="auto"/>
        <w:rPr>
          <w:rFonts w:ascii="Verdana" w:hAnsi="Verdana"/>
          <w:sz w:val="18"/>
          <w:szCs w:val="18"/>
        </w:rPr>
      </w:pPr>
      <w:r w:rsidRPr="00FC1EC3">
        <w:rPr>
          <w:rFonts w:ascii="Verdana" w:hAnsi="Verdana"/>
          <w:sz w:val="18"/>
          <w:szCs w:val="18"/>
        </w:rPr>
        <w:t xml:space="preserve">inzet van het kabinet ten aanzien van de Russische oorlog tegen Oekraïne blijft onverminderd </w:t>
      </w:r>
    </w:p>
    <w:p w:rsidRPr="00DF1459" w:rsidR="00306F7C" w:rsidP="00306F7C" w:rsidRDefault="00306F7C" w14:paraId="541BB075" w14:textId="77777777">
      <w:pPr>
        <w:spacing w:after="0" w:line="240" w:lineRule="auto"/>
        <w:rPr>
          <w:rFonts w:ascii="Verdana" w:hAnsi="Verdana"/>
          <w:sz w:val="18"/>
          <w:szCs w:val="18"/>
        </w:rPr>
      </w:pPr>
      <w:r w:rsidRPr="00FC1EC3">
        <w:rPr>
          <w:rFonts w:ascii="Verdana" w:hAnsi="Verdana"/>
          <w:sz w:val="18"/>
          <w:szCs w:val="18"/>
        </w:rPr>
        <w:t>gericht op enerzijds het verlenen van zoveel mogelijk</w:t>
      </w:r>
      <w:r w:rsidRPr="00DF1459">
        <w:rPr>
          <w:rFonts w:ascii="Verdana" w:hAnsi="Verdana"/>
          <w:sz w:val="18"/>
          <w:szCs w:val="18"/>
        </w:rPr>
        <w:t xml:space="preserve"> steun aan Oekraïne en anderzijds op het </w:t>
      </w:r>
    </w:p>
    <w:p w:rsidRPr="00DF1459" w:rsidR="00306F7C" w:rsidP="00306F7C" w:rsidRDefault="00306F7C" w14:paraId="79DD6FBA" w14:textId="41531450">
      <w:pPr>
        <w:spacing w:after="0" w:line="240" w:lineRule="auto"/>
        <w:rPr>
          <w:rFonts w:ascii="Verdana" w:hAnsi="Verdana"/>
          <w:sz w:val="18"/>
          <w:szCs w:val="18"/>
        </w:rPr>
      </w:pPr>
      <w:r w:rsidRPr="00DF1459">
        <w:rPr>
          <w:rFonts w:ascii="Verdana" w:hAnsi="Verdana"/>
          <w:sz w:val="18"/>
          <w:szCs w:val="18"/>
        </w:rPr>
        <w:t>verder vergroten van de druk op Rusland om de agressie te beëindigen.</w:t>
      </w:r>
      <w:r w:rsidRPr="00DF1459" w:rsidR="0039596F">
        <w:rPr>
          <w:rFonts w:ascii="Verdana" w:hAnsi="Verdana"/>
          <w:sz w:val="18"/>
          <w:szCs w:val="18"/>
        </w:rPr>
        <w:t xml:space="preserve"> </w:t>
      </w:r>
    </w:p>
    <w:p w:rsidRPr="00DF1459" w:rsidR="00306F7C" w:rsidP="00306F7C" w:rsidRDefault="00306F7C" w14:paraId="5BAF1E06" w14:textId="77777777">
      <w:pPr>
        <w:spacing w:after="0" w:line="240" w:lineRule="auto"/>
        <w:rPr>
          <w:rFonts w:ascii="Verdana" w:hAnsi="Verdana"/>
          <w:sz w:val="18"/>
          <w:szCs w:val="18"/>
        </w:rPr>
      </w:pPr>
    </w:p>
    <w:p w:rsidRPr="00DF1459" w:rsidR="00AC04B1" w:rsidP="00E47717" w:rsidRDefault="00FF6B36" w14:paraId="382140A8" w14:textId="109DC4EA">
      <w:pPr>
        <w:spacing w:after="0" w:line="240" w:lineRule="auto"/>
        <w:rPr>
          <w:rFonts w:ascii="Verdana" w:hAnsi="Verdana"/>
          <w:sz w:val="18"/>
          <w:szCs w:val="18"/>
        </w:rPr>
      </w:pPr>
      <w:r w:rsidRPr="00DF1459">
        <w:rPr>
          <w:rFonts w:ascii="Verdana" w:hAnsi="Verdana"/>
          <w:sz w:val="18"/>
          <w:szCs w:val="18"/>
        </w:rPr>
        <w:t xml:space="preserve">Op 19 december 2023 vond de tweede ronde bilaterale consultaties met Oekraïne plaats over invulling van het veiligheidsarrangement tussen Nederland en Oekraïne. </w:t>
      </w:r>
      <w:r w:rsidRPr="00DF1459" w:rsidR="00AC04B1">
        <w:rPr>
          <w:rFonts w:ascii="Verdana" w:hAnsi="Verdana"/>
          <w:sz w:val="18"/>
          <w:szCs w:val="18"/>
        </w:rPr>
        <w:t xml:space="preserve">Ook de EU ondertekende op 12 juli 2023 als deelnemer </w:t>
      </w:r>
      <w:r w:rsidRPr="00DF1459" w:rsidR="0039596F">
        <w:rPr>
          <w:rFonts w:ascii="Verdana" w:hAnsi="Verdana"/>
          <w:sz w:val="18"/>
          <w:szCs w:val="18"/>
        </w:rPr>
        <w:t>van</w:t>
      </w:r>
      <w:r w:rsidRPr="00DF1459" w:rsidR="00AC04B1">
        <w:rPr>
          <w:rFonts w:ascii="Verdana" w:hAnsi="Verdana"/>
          <w:sz w:val="18"/>
          <w:szCs w:val="18"/>
        </w:rPr>
        <w:t xml:space="preserve"> de G7 de verklaring over veiligheidsarrangementen voor Oekraïne.</w:t>
      </w:r>
      <w:r w:rsidRPr="00DF1459" w:rsidR="00AC04B1">
        <w:rPr>
          <w:rFonts w:ascii="Verdana" w:hAnsi="Verdana"/>
          <w:sz w:val="18"/>
          <w:szCs w:val="18"/>
          <w:vertAlign w:val="superscript"/>
        </w:rPr>
        <w:footnoteReference w:id="8"/>
      </w:r>
      <w:r w:rsidRPr="00DF1459" w:rsidR="00AC04B1">
        <w:rPr>
          <w:rFonts w:ascii="Verdana" w:hAnsi="Verdana"/>
          <w:sz w:val="18"/>
          <w:szCs w:val="18"/>
        </w:rPr>
        <w:t xml:space="preserve"> Kernelementen hiervan zijn onder andere de </w:t>
      </w:r>
      <w:r w:rsidRPr="00DF1459" w:rsidR="00E743A7">
        <w:rPr>
          <w:rFonts w:ascii="Verdana" w:hAnsi="Verdana"/>
          <w:sz w:val="18"/>
          <w:szCs w:val="18"/>
        </w:rPr>
        <w:t xml:space="preserve">EU </w:t>
      </w:r>
      <w:r w:rsidRPr="00DF1459" w:rsidR="00E743A7">
        <w:rPr>
          <w:rFonts w:ascii="Verdana" w:hAnsi="Verdana"/>
          <w:i/>
          <w:iCs/>
          <w:sz w:val="18"/>
          <w:szCs w:val="18"/>
        </w:rPr>
        <w:t>Military Assistance Mission in support of Ukraine</w:t>
      </w:r>
      <w:r w:rsidRPr="00DF1459" w:rsidR="00E743A7">
        <w:rPr>
          <w:rFonts w:ascii="Verdana" w:hAnsi="Verdana"/>
          <w:sz w:val="18"/>
          <w:szCs w:val="18"/>
        </w:rPr>
        <w:t xml:space="preserve"> </w:t>
      </w:r>
      <w:r w:rsidRPr="00DF1459" w:rsidR="00AC04B1">
        <w:rPr>
          <w:rFonts w:ascii="Verdana" w:hAnsi="Verdana"/>
          <w:sz w:val="18"/>
          <w:szCs w:val="18"/>
        </w:rPr>
        <w:t xml:space="preserve">(EUMAM), het versterken van de </w:t>
      </w:r>
      <w:r w:rsidRPr="00DF1459" w:rsidR="0059179B">
        <w:rPr>
          <w:rFonts w:ascii="Verdana" w:hAnsi="Verdana"/>
          <w:sz w:val="18"/>
          <w:szCs w:val="18"/>
        </w:rPr>
        <w:t xml:space="preserve">Europese </w:t>
      </w:r>
      <w:r w:rsidRPr="00DF1459" w:rsidR="00AC04B1">
        <w:rPr>
          <w:rFonts w:ascii="Verdana" w:hAnsi="Verdana"/>
          <w:sz w:val="18"/>
          <w:szCs w:val="18"/>
        </w:rPr>
        <w:t>defensie-industrie en meerjarige militaire steun via de Europese Vredesfaciliteit (EPF). Het kabinet verwelkomt de uitwerking van deze veiligheidsarrangementen</w:t>
      </w:r>
      <w:r w:rsidRPr="00DF1459" w:rsidR="00FA12EF">
        <w:rPr>
          <w:rFonts w:ascii="Verdana" w:hAnsi="Verdana"/>
          <w:sz w:val="18"/>
          <w:szCs w:val="18"/>
        </w:rPr>
        <w:t xml:space="preserve"> in lijn met motie </w:t>
      </w:r>
      <w:proofErr w:type="spellStart"/>
      <w:r w:rsidRPr="00DF1459" w:rsidR="00FA12EF">
        <w:rPr>
          <w:rFonts w:ascii="Verdana" w:hAnsi="Verdana"/>
          <w:sz w:val="18"/>
          <w:szCs w:val="18"/>
        </w:rPr>
        <w:t>Piri</w:t>
      </w:r>
      <w:proofErr w:type="spellEnd"/>
      <w:r w:rsidRPr="00DF1459" w:rsidR="00E43D14">
        <w:rPr>
          <w:rFonts w:ascii="Verdana" w:hAnsi="Verdana"/>
          <w:sz w:val="18"/>
          <w:szCs w:val="18"/>
        </w:rPr>
        <w:t xml:space="preserve"> en </w:t>
      </w:r>
      <w:r w:rsidRPr="00DF1459" w:rsidR="00FA12EF">
        <w:rPr>
          <w:rFonts w:ascii="Verdana" w:hAnsi="Verdana"/>
          <w:sz w:val="18"/>
          <w:szCs w:val="18"/>
        </w:rPr>
        <w:t>Veldkamp</w:t>
      </w:r>
      <w:r w:rsidRPr="00DF1459" w:rsidR="007B1B40">
        <w:rPr>
          <w:rFonts w:ascii="Verdana" w:hAnsi="Verdana"/>
          <w:sz w:val="18"/>
          <w:szCs w:val="18"/>
        </w:rPr>
        <w:t>,</w:t>
      </w:r>
      <w:r w:rsidRPr="00DF1459" w:rsidR="00FA12EF">
        <w:rPr>
          <w:rFonts w:ascii="Verdana" w:hAnsi="Verdana"/>
          <w:sz w:val="18"/>
          <w:szCs w:val="18"/>
          <w:vertAlign w:val="superscript"/>
        </w:rPr>
        <w:footnoteReference w:id="9"/>
      </w:r>
      <w:r w:rsidRPr="00DF1459" w:rsidR="00AC04B1">
        <w:rPr>
          <w:rFonts w:ascii="Verdana" w:hAnsi="Verdana"/>
          <w:sz w:val="18"/>
          <w:szCs w:val="18"/>
        </w:rPr>
        <w:t xml:space="preserve"> die Oekraïne zullen helpen zichzelf te verdedigen en destabilisatiepogingen en agressie tegen te gaan</w:t>
      </w:r>
      <w:r w:rsidRPr="00DF1459" w:rsidR="00FA12EF">
        <w:rPr>
          <w:rFonts w:ascii="Verdana" w:hAnsi="Verdana"/>
          <w:sz w:val="18"/>
          <w:szCs w:val="18"/>
        </w:rPr>
        <w:t xml:space="preserve">. </w:t>
      </w:r>
      <w:r w:rsidRPr="00DF1459" w:rsidR="00AC04B1">
        <w:rPr>
          <w:rFonts w:ascii="Verdana" w:hAnsi="Verdana"/>
          <w:sz w:val="18"/>
          <w:szCs w:val="18"/>
        </w:rPr>
        <w:t xml:space="preserve">Onderhandelingen over het EPF </w:t>
      </w:r>
      <w:r w:rsidRPr="00DF1459" w:rsidR="00AC04B1">
        <w:rPr>
          <w:rFonts w:ascii="Verdana" w:hAnsi="Verdana"/>
          <w:i/>
          <w:iCs/>
          <w:sz w:val="18"/>
          <w:szCs w:val="18"/>
        </w:rPr>
        <w:t>Ukraine Assistance Fund</w:t>
      </w:r>
      <w:r w:rsidRPr="00DF1459" w:rsidR="00AC04B1">
        <w:rPr>
          <w:rFonts w:ascii="Verdana" w:hAnsi="Verdana"/>
          <w:sz w:val="18"/>
          <w:szCs w:val="18"/>
        </w:rPr>
        <w:t xml:space="preserve"> zijn nog gaande.</w:t>
      </w:r>
      <w:r w:rsidRPr="00DF1459" w:rsidR="00AC04B1">
        <w:rPr>
          <w:rFonts w:ascii="Verdana" w:hAnsi="Verdana"/>
          <w:sz w:val="18"/>
          <w:szCs w:val="18"/>
          <w:vertAlign w:val="superscript"/>
        </w:rPr>
        <w:footnoteReference w:id="10"/>
      </w:r>
      <w:r w:rsidRPr="00DF1459" w:rsidR="00AC04B1">
        <w:rPr>
          <w:rFonts w:ascii="Verdana" w:hAnsi="Verdana"/>
          <w:sz w:val="18"/>
          <w:szCs w:val="18"/>
        </w:rPr>
        <w:t xml:space="preserve"> Het kabinet benadrukt het belang van snelle besluitvorming om te voorkomen dat de huidige steun stil komt te liggen en zet in op de ophoging van dit fonds met 5 miljard euro in 2024. In dit kader is er 300,9 miljoen euro gereserveerd voor</w:t>
      </w:r>
      <w:r w:rsidRPr="00DF1459" w:rsidR="00831C84">
        <w:rPr>
          <w:rFonts w:ascii="Verdana" w:hAnsi="Verdana"/>
          <w:sz w:val="18"/>
          <w:szCs w:val="18"/>
        </w:rPr>
        <w:t xml:space="preserve"> </w:t>
      </w:r>
      <w:r w:rsidRPr="00DF1459" w:rsidR="00AC04B1">
        <w:rPr>
          <w:rFonts w:ascii="Verdana" w:hAnsi="Verdana"/>
          <w:sz w:val="18"/>
          <w:szCs w:val="18"/>
        </w:rPr>
        <w:t xml:space="preserve">de Nederlandse bijdrage in 2024. Tot op heden ontvangt Nederland een substantieel deel van de EPF-bijdrage voor Oekraïne terug via declaraties voor bilateraal geleverde steun. </w:t>
      </w:r>
    </w:p>
    <w:p w:rsidRPr="00DF1459" w:rsidR="008003BA" w:rsidP="00306F7C" w:rsidRDefault="008003BA" w14:paraId="13F26225" w14:textId="473BA572">
      <w:pPr>
        <w:spacing w:after="0" w:line="240" w:lineRule="auto"/>
        <w:rPr>
          <w:rFonts w:ascii="Verdana" w:hAnsi="Verdana"/>
          <w:sz w:val="18"/>
          <w:szCs w:val="18"/>
        </w:rPr>
      </w:pPr>
    </w:p>
    <w:p w:rsidRPr="00DF1459" w:rsidR="00306F7C" w:rsidP="00306F7C" w:rsidRDefault="00306F7C" w14:paraId="7001DEA8" w14:textId="6BBC68D9">
      <w:pPr>
        <w:spacing w:after="0" w:line="240" w:lineRule="auto"/>
        <w:rPr>
          <w:rFonts w:ascii="Verdana" w:hAnsi="Verdana"/>
          <w:sz w:val="18"/>
          <w:szCs w:val="18"/>
        </w:rPr>
      </w:pPr>
      <w:r w:rsidRPr="00DF1459">
        <w:rPr>
          <w:rFonts w:ascii="Verdana" w:hAnsi="Verdana"/>
          <w:sz w:val="18"/>
          <w:szCs w:val="18"/>
        </w:rPr>
        <w:t xml:space="preserve">Daarnaast </w:t>
      </w:r>
      <w:r w:rsidRPr="00DF1459" w:rsidR="008003BA">
        <w:rPr>
          <w:rFonts w:ascii="Verdana" w:hAnsi="Verdana"/>
          <w:sz w:val="18"/>
          <w:szCs w:val="18"/>
        </w:rPr>
        <w:t xml:space="preserve">zal de Raad </w:t>
      </w:r>
      <w:r w:rsidRPr="00DF1459">
        <w:rPr>
          <w:rFonts w:ascii="Verdana" w:hAnsi="Verdana"/>
          <w:sz w:val="18"/>
          <w:szCs w:val="18"/>
        </w:rPr>
        <w:t xml:space="preserve">naar verwachting ook </w:t>
      </w:r>
      <w:r w:rsidRPr="00DF1459" w:rsidR="008003BA">
        <w:rPr>
          <w:rFonts w:ascii="Verdana" w:hAnsi="Verdana"/>
          <w:sz w:val="18"/>
          <w:szCs w:val="18"/>
        </w:rPr>
        <w:t xml:space="preserve">spreken </w:t>
      </w:r>
      <w:r w:rsidRPr="00DF1459">
        <w:rPr>
          <w:rFonts w:ascii="Verdana" w:hAnsi="Verdana"/>
          <w:sz w:val="18"/>
          <w:szCs w:val="18"/>
        </w:rPr>
        <w:t xml:space="preserve">over </w:t>
      </w:r>
      <w:r w:rsidRPr="00DF1459" w:rsidR="00585BEF">
        <w:rPr>
          <w:rFonts w:ascii="Verdana" w:hAnsi="Verdana"/>
          <w:sz w:val="18"/>
          <w:szCs w:val="18"/>
        </w:rPr>
        <w:t xml:space="preserve">de uitkomsten van de vierde bijeenkomst over </w:t>
      </w:r>
      <w:r w:rsidRPr="00DF1459">
        <w:rPr>
          <w:rFonts w:ascii="Verdana" w:hAnsi="Verdana"/>
          <w:sz w:val="18"/>
          <w:szCs w:val="18"/>
        </w:rPr>
        <w:t xml:space="preserve">President </w:t>
      </w:r>
      <w:proofErr w:type="spellStart"/>
      <w:r w:rsidRPr="00DF1459">
        <w:rPr>
          <w:rFonts w:ascii="Verdana" w:hAnsi="Verdana"/>
          <w:sz w:val="18"/>
          <w:szCs w:val="18"/>
        </w:rPr>
        <w:t>Zelensky</w:t>
      </w:r>
      <w:r w:rsidRPr="00DF1459" w:rsidR="00585BEF">
        <w:rPr>
          <w:rFonts w:ascii="Verdana" w:hAnsi="Verdana"/>
          <w:sz w:val="18"/>
          <w:szCs w:val="18"/>
        </w:rPr>
        <w:t>’</w:t>
      </w:r>
      <w:r w:rsidRPr="00DF1459">
        <w:rPr>
          <w:rFonts w:ascii="Verdana" w:hAnsi="Verdana"/>
          <w:sz w:val="18"/>
          <w:szCs w:val="18"/>
        </w:rPr>
        <w:t>s</w:t>
      </w:r>
      <w:proofErr w:type="spellEnd"/>
      <w:r w:rsidRPr="00DF1459">
        <w:rPr>
          <w:rFonts w:ascii="Verdana" w:hAnsi="Verdana"/>
          <w:sz w:val="18"/>
          <w:szCs w:val="18"/>
        </w:rPr>
        <w:t xml:space="preserve"> Vredesformule</w:t>
      </w:r>
      <w:r w:rsidRPr="00DF1459" w:rsidR="00585BEF">
        <w:rPr>
          <w:rFonts w:ascii="Verdana" w:hAnsi="Verdana"/>
          <w:sz w:val="18"/>
          <w:szCs w:val="18"/>
        </w:rPr>
        <w:t xml:space="preserve"> </w:t>
      </w:r>
      <w:r w:rsidRPr="00DF1459" w:rsidR="006C4877">
        <w:rPr>
          <w:rFonts w:ascii="Verdana" w:hAnsi="Verdana"/>
          <w:sz w:val="18"/>
          <w:szCs w:val="18"/>
        </w:rPr>
        <w:t xml:space="preserve">voor nationale veiligheidsadviseurs </w:t>
      </w:r>
      <w:r w:rsidRPr="00DF1459" w:rsidR="00585BEF">
        <w:rPr>
          <w:rFonts w:ascii="Verdana" w:hAnsi="Verdana"/>
          <w:sz w:val="18"/>
          <w:szCs w:val="18"/>
        </w:rPr>
        <w:t>waarbij Nederland ook vertegenwoordigd was</w:t>
      </w:r>
      <w:r w:rsidRPr="00DF1459" w:rsidR="00262F8B">
        <w:rPr>
          <w:rFonts w:ascii="Verdana" w:hAnsi="Verdana"/>
          <w:sz w:val="18"/>
          <w:szCs w:val="18"/>
        </w:rPr>
        <w:t>.</w:t>
      </w:r>
    </w:p>
    <w:p w:rsidRPr="00DF1459" w:rsidR="00A90FDC" w:rsidP="00E47717" w:rsidRDefault="00A90FDC" w14:paraId="27186BEA" w14:textId="77777777">
      <w:pPr>
        <w:spacing w:after="0" w:line="240" w:lineRule="auto"/>
        <w:rPr>
          <w:rFonts w:ascii="Verdana" w:hAnsi="Verdana"/>
          <w:sz w:val="18"/>
          <w:szCs w:val="18"/>
        </w:rPr>
      </w:pPr>
    </w:p>
    <w:p w:rsidRPr="00DF1459" w:rsidR="002B4310" w:rsidP="002B4310" w:rsidRDefault="002B4310" w14:paraId="568BB802" w14:textId="504729B1">
      <w:pPr>
        <w:spacing w:after="0" w:line="240" w:lineRule="auto"/>
        <w:rPr>
          <w:rFonts w:ascii="Verdana" w:hAnsi="Verdana"/>
          <w:b/>
          <w:bCs/>
          <w:sz w:val="18"/>
          <w:szCs w:val="18"/>
        </w:rPr>
      </w:pPr>
      <w:r w:rsidRPr="00DF1459">
        <w:rPr>
          <w:rFonts w:ascii="Verdana" w:hAnsi="Verdana"/>
          <w:b/>
          <w:bCs/>
          <w:sz w:val="18"/>
          <w:szCs w:val="18"/>
        </w:rPr>
        <w:t>Armenië en Azerbeidzjan</w:t>
      </w:r>
      <w:r w:rsidRPr="00DF1459" w:rsidR="00DC333A">
        <w:rPr>
          <w:rFonts w:ascii="Verdana" w:hAnsi="Verdana"/>
          <w:b/>
          <w:bCs/>
          <w:sz w:val="18"/>
          <w:szCs w:val="18"/>
        </w:rPr>
        <w:t xml:space="preserve"> </w:t>
      </w:r>
    </w:p>
    <w:p w:rsidR="00F719CA" w:rsidP="002B4310" w:rsidRDefault="002B4310" w14:paraId="268ADA7F" w14:textId="70463E46">
      <w:pPr>
        <w:spacing w:after="0" w:line="240" w:lineRule="auto"/>
        <w:rPr>
          <w:rFonts w:ascii="Verdana" w:hAnsi="Verdana"/>
          <w:sz w:val="18"/>
          <w:szCs w:val="18"/>
        </w:rPr>
      </w:pPr>
      <w:r w:rsidRPr="00DF1459">
        <w:rPr>
          <w:rFonts w:ascii="Verdana" w:hAnsi="Verdana"/>
          <w:sz w:val="18"/>
          <w:szCs w:val="18"/>
        </w:rPr>
        <w:t xml:space="preserve">Verwacht wordt dat tijdens de Raad gesproken zal worden over de ontwikkelingen in het vredesproces en de rol die de EU hierin </w:t>
      </w:r>
      <w:r w:rsidRPr="00DF1459" w:rsidR="00EE1EE3">
        <w:rPr>
          <w:rFonts w:ascii="Verdana" w:hAnsi="Verdana"/>
          <w:sz w:val="18"/>
          <w:szCs w:val="18"/>
        </w:rPr>
        <w:t>kan</w:t>
      </w:r>
      <w:r w:rsidRPr="00DF1459">
        <w:rPr>
          <w:rFonts w:ascii="Verdana" w:hAnsi="Verdana"/>
          <w:sz w:val="18"/>
          <w:szCs w:val="18"/>
        </w:rPr>
        <w:t xml:space="preserve"> spelen. </w:t>
      </w:r>
      <w:r w:rsidRPr="00DF1459" w:rsidR="00CA33C6">
        <w:rPr>
          <w:rFonts w:ascii="Verdana" w:hAnsi="Verdana"/>
          <w:sz w:val="18"/>
          <w:szCs w:val="18"/>
        </w:rPr>
        <w:t>T</w:t>
      </w:r>
      <w:r w:rsidRPr="00DF1459">
        <w:rPr>
          <w:rFonts w:ascii="Verdana" w:hAnsi="Verdana"/>
          <w:sz w:val="18"/>
          <w:szCs w:val="18"/>
        </w:rPr>
        <w:t xml:space="preserve">ijdens de vergaderingen van de Raad in oktober en november </w:t>
      </w:r>
      <w:r w:rsidRPr="00DF1459" w:rsidR="00CA33C6">
        <w:rPr>
          <w:rFonts w:ascii="Verdana" w:hAnsi="Verdana"/>
          <w:sz w:val="18"/>
          <w:szCs w:val="18"/>
        </w:rPr>
        <w:t xml:space="preserve">is </w:t>
      </w:r>
      <w:r w:rsidRPr="00DF1459">
        <w:rPr>
          <w:rFonts w:ascii="Verdana" w:hAnsi="Verdana"/>
          <w:sz w:val="18"/>
          <w:szCs w:val="18"/>
        </w:rPr>
        <w:t xml:space="preserve">gesproken over opties voor steun aan Armenië. In dat kader reisde een delegatie van EDEO en de Europese Commissie eind november af naar Armenië voor een </w:t>
      </w:r>
      <w:r w:rsidRPr="00DF1459">
        <w:rPr>
          <w:rFonts w:ascii="Verdana" w:hAnsi="Verdana"/>
          <w:sz w:val="18"/>
          <w:szCs w:val="18"/>
        </w:rPr>
        <w:lastRenderedPageBreak/>
        <w:t>inventariserende ‘</w:t>
      </w:r>
      <w:proofErr w:type="spellStart"/>
      <w:r w:rsidRPr="00DF1459">
        <w:rPr>
          <w:rFonts w:ascii="Verdana" w:hAnsi="Verdana"/>
          <w:sz w:val="18"/>
          <w:szCs w:val="18"/>
        </w:rPr>
        <w:t>fact</w:t>
      </w:r>
      <w:proofErr w:type="spellEnd"/>
      <w:r w:rsidRPr="00DF1459">
        <w:rPr>
          <w:rFonts w:ascii="Verdana" w:hAnsi="Verdana"/>
          <w:sz w:val="18"/>
          <w:szCs w:val="18"/>
        </w:rPr>
        <w:t xml:space="preserve"> </w:t>
      </w:r>
      <w:proofErr w:type="spellStart"/>
      <w:r w:rsidRPr="00DF1459">
        <w:rPr>
          <w:rFonts w:ascii="Verdana" w:hAnsi="Verdana"/>
          <w:sz w:val="18"/>
          <w:szCs w:val="18"/>
        </w:rPr>
        <w:t>finding</w:t>
      </w:r>
      <w:proofErr w:type="spellEnd"/>
      <w:r w:rsidRPr="00DF1459">
        <w:rPr>
          <w:rFonts w:ascii="Verdana" w:hAnsi="Verdana"/>
          <w:sz w:val="18"/>
          <w:szCs w:val="18"/>
        </w:rPr>
        <w:t>’ missie. Mogelijk zal</w:t>
      </w:r>
      <w:r w:rsidRPr="00DF1459" w:rsidR="009A4E80">
        <w:rPr>
          <w:rFonts w:ascii="Verdana" w:hAnsi="Verdana"/>
          <w:sz w:val="18"/>
          <w:szCs w:val="18"/>
        </w:rPr>
        <w:t xml:space="preserve"> op basis van </w:t>
      </w:r>
      <w:r w:rsidRPr="00DF1459" w:rsidR="00CA33C6">
        <w:rPr>
          <w:rFonts w:ascii="Verdana" w:hAnsi="Verdana"/>
          <w:sz w:val="18"/>
          <w:szCs w:val="18"/>
        </w:rPr>
        <w:t xml:space="preserve">de bevindingen van de missie </w:t>
      </w:r>
      <w:r w:rsidRPr="00DF1459">
        <w:rPr>
          <w:rFonts w:ascii="Verdana" w:hAnsi="Verdana"/>
          <w:sz w:val="18"/>
          <w:szCs w:val="18"/>
        </w:rPr>
        <w:t>tijdens de aankomende Raad verder worden gesproken over steunmaatregelen</w:t>
      </w:r>
      <w:r w:rsidRPr="00DF1459" w:rsidR="00D907FE">
        <w:rPr>
          <w:rFonts w:ascii="Verdana" w:hAnsi="Verdana"/>
          <w:sz w:val="18"/>
          <w:szCs w:val="18"/>
        </w:rPr>
        <w:t>.</w:t>
      </w:r>
    </w:p>
    <w:p w:rsidR="00D4550A" w:rsidRDefault="00D4550A" w14:paraId="2D5BA7B5" w14:textId="329979C4">
      <w:pPr>
        <w:spacing w:after="0" w:line="240" w:lineRule="auto"/>
        <w:rPr>
          <w:rFonts w:ascii="Verdana" w:hAnsi="Verdana"/>
          <w:sz w:val="18"/>
          <w:szCs w:val="18"/>
        </w:rPr>
      </w:pPr>
    </w:p>
    <w:p w:rsidRPr="00F967F4" w:rsidR="00D4550A" w:rsidRDefault="00D4550A" w14:paraId="1E97EA9A" w14:textId="77777777">
      <w:pPr>
        <w:spacing w:after="0" w:line="240" w:lineRule="auto"/>
        <w:rPr>
          <w:rFonts w:ascii="Verdana" w:hAnsi="Verdana"/>
          <w:sz w:val="18"/>
          <w:szCs w:val="18"/>
        </w:rPr>
      </w:pPr>
    </w:p>
    <w:sectPr w:rsidRPr="00F967F4" w:rsidR="00D4550A">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2F03" w14:textId="77777777" w:rsidR="00F967F4" w:rsidRDefault="00F967F4" w:rsidP="00F967F4">
      <w:pPr>
        <w:spacing w:after="0" w:line="240" w:lineRule="auto"/>
      </w:pPr>
      <w:r>
        <w:separator/>
      </w:r>
    </w:p>
  </w:endnote>
  <w:endnote w:type="continuationSeparator" w:id="0">
    <w:p w14:paraId="704047AA" w14:textId="77777777" w:rsidR="00F967F4" w:rsidRDefault="00F967F4" w:rsidP="00F967F4">
      <w:pPr>
        <w:spacing w:after="0" w:line="240" w:lineRule="auto"/>
      </w:pPr>
      <w:r>
        <w:continuationSeparator/>
      </w:r>
    </w:p>
  </w:endnote>
  <w:endnote w:type="continuationNotice" w:id="1">
    <w:p w14:paraId="3E775DF1" w14:textId="77777777" w:rsidR="00CD269C" w:rsidRDefault="00CD2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016299"/>
      <w:docPartObj>
        <w:docPartGallery w:val="Page Numbers (Bottom of Page)"/>
        <w:docPartUnique/>
      </w:docPartObj>
    </w:sdtPr>
    <w:sdtEndPr/>
    <w:sdtContent>
      <w:p w14:paraId="4AD936BB" w14:textId="16158D36" w:rsidR="00BC1931" w:rsidRDefault="00BC1931">
        <w:pPr>
          <w:pStyle w:val="Footer"/>
          <w:jc w:val="center"/>
        </w:pPr>
        <w:r>
          <w:fldChar w:fldCharType="begin"/>
        </w:r>
        <w:r>
          <w:instrText>PAGE   \* MERGEFORMAT</w:instrText>
        </w:r>
        <w:r>
          <w:fldChar w:fldCharType="separate"/>
        </w:r>
        <w:r>
          <w:t>2</w:t>
        </w:r>
        <w:r>
          <w:fldChar w:fldCharType="end"/>
        </w:r>
      </w:p>
    </w:sdtContent>
  </w:sdt>
  <w:p w14:paraId="3B032A2D" w14:textId="77777777" w:rsidR="00BC1931" w:rsidRDefault="00BC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E0C2" w14:textId="77777777" w:rsidR="00F967F4" w:rsidRDefault="00F967F4" w:rsidP="00F967F4">
      <w:pPr>
        <w:spacing w:after="0" w:line="240" w:lineRule="auto"/>
      </w:pPr>
      <w:r>
        <w:separator/>
      </w:r>
    </w:p>
  </w:footnote>
  <w:footnote w:type="continuationSeparator" w:id="0">
    <w:p w14:paraId="554C84AE" w14:textId="77777777" w:rsidR="00F967F4" w:rsidRDefault="00F967F4" w:rsidP="00F967F4">
      <w:pPr>
        <w:spacing w:after="0" w:line="240" w:lineRule="auto"/>
      </w:pPr>
      <w:r>
        <w:continuationSeparator/>
      </w:r>
    </w:p>
  </w:footnote>
  <w:footnote w:type="continuationNotice" w:id="1">
    <w:p w14:paraId="35CB14A6" w14:textId="77777777" w:rsidR="00CD269C" w:rsidRDefault="00CD269C">
      <w:pPr>
        <w:spacing w:after="0" w:line="240" w:lineRule="auto"/>
      </w:pPr>
    </w:p>
  </w:footnote>
  <w:footnote w:id="2">
    <w:p w14:paraId="0AC5D53E" w14:textId="77777777" w:rsidR="009E1E83" w:rsidRPr="00091ED6" w:rsidRDefault="009E1E83" w:rsidP="009E1E83">
      <w:pPr>
        <w:pStyle w:val="FootnoteText"/>
        <w:rPr>
          <w:rFonts w:ascii="Verdana" w:hAnsi="Verdana" w:cstheme="minorHAnsi"/>
          <w:sz w:val="16"/>
          <w:szCs w:val="16"/>
        </w:rPr>
      </w:pPr>
      <w:r w:rsidRPr="00091ED6">
        <w:rPr>
          <w:rStyle w:val="FootnoteReference"/>
          <w:rFonts w:ascii="Verdana" w:hAnsi="Verdana" w:cstheme="minorHAnsi"/>
          <w:sz w:val="14"/>
          <w:szCs w:val="14"/>
        </w:rPr>
        <w:footnoteRef/>
      </w:r>
      <w:r w:rsidRPr="00091ED6">
        <w:rPr>
          <w:rFonts w:ascii="Verdana" w:hAnsi="Verdana" w:cstheme="minorHAnsi"/>
          <w:sz w:val="14"/>
          <w:szCs w:val="14"/>
        </w:rPr>
        <w:t xml:space="preserve"> </w:t>
      </w:r>
      <w:r>
        <w:rPr>
          <w:rFonts w:ascii="Verdana" w:hAnsi="Verdana" w:cstheme="minorHAnsi"/>
          <w:sz w:val="14"/>
          <w:szCs w:val="14"/>
        </w:rPr>
        <w:t>Motie Diederik van Dijk 29 754 nr. 704 en verzoek met kenmerk</w:t>
      </w:r>
      <w:r w:rsidRPr="00923D60">
        <w:t xml:space="preserve"> </w:t>
      </w:r>
      <w:r w:rsidRPr="00923D60">
        <w:rPr>
          <w:rFonts w:ascii="Verdana" w:hAnsi="Verdana" w:cstheme="minorHAnsi"/>
          <w:sz w:val="14"/>
          <w:szCs w:val="14"/>
        </w:rPr>
        <w:t>2023Z20862</w:t>
      </w:r>
      <w:r w:rsidRPr="00091ED6">
        <w:rPr>
          <w:rFonts w:ascii="Verdana" w:hAnsi="Verdana" w:cstheme="minorHAnsi"/>
          <w:sz w:val="14"/>
          <w:szCs w:val="14"/>
        </w:rPr>
        <w:t>.</w:t>
      </w:r>
    </w:p>
  </w:footnote>
  <w:footnote w:id="3">
    <w:p w14:paraId="6292607F" w14:textId="77777777" w:rsidR="009E1E83" w:rsidRPr="00091ED6" w:rsidRDefault="009E1E83" w:rsidP="009E1E83">
      <w:pPr>
        <w:spacing w:after="0" w:line="240" w:lineRule="auto"/>
        <w:rPr>
          <w:rFonts w:ascii="Verdana" w:hAnsi="Verdana" w:cstheme="minorHAnsi"/>
          <w:sz w:val="14"/>
          <w:szCs w:val="14"/>
        </w:rPr>
      </w:pPr>
      <w:r w:rsidRPr="00091ED6">
        <w:rPr>
          <w:rStyle w:val="FootnoteReference"/>
          <w:rFonts w:ascii="Verdana" w:hAnsi="Verdana" w:cstheme="minorHAnsi"/>
          <w:sz w:val="14"/>
          <w:szCs w:val="14"/>
        </w:rPr>
        <w:footnoteRef/>
      </w:r>
      <w:r w:rsidRPr="00091ED6">
        <w:rPr>
          <w:rFonts w:ascii="Verdana" w:hAnsi="Verdana" w:cstheme="minorHAnsi"/>
          <w:sz w:val="14"/>
          <w:szCs w:val="14"/>
        </w:rPr>
        <w:t xml:space="preserve"> Zie persbericht van de Europese Raad: </w:t>
      </w:r>
      <w:hyperlink r:id="rId1" w:anchor=":~:text=These%20sanctions%20are%20effective%20as,the%20military%20wing%20of%20Hamas.m (europa.eu)" w:history="1">
        <w:r w:rsidRPr="00091ED6">
          <w:rPr>
            <w:rStyle w:val="Hyperlink"/>
            <w:rFonts w:ascii="Verdana" w:hAnsi="Verdana"/>
            <w:sz w:val="14"/>
            <w:szCs w:val="14"/>
          </w:rPr>
          <w:t>https://www.consilium.europa.eu/en/press/press-releases/2023/12/08/fight-against-terrorism-council-adds-two-individuals-to-the-eu-terrorist-list-in-response-to-the-7-october-attacks/#:~:text=These%20sanctions%20are%20effective%20as,the%20military%20wing%20of%20Hamas.m (europa.eu)</w:t>
        </w:r>
      </w:hyperlink>
      <w:r w:rsidRPr="00091ED6">
        <w:rPr>
          <w:rFonts w:ascii="Verdana" w:hAnsi="Verdana"/>
          <w:sz w:val="14"/>
          <w:szCs w:val="14"/>
        </w:rPr>
        <w:t>.</w:t>
      </w:r>
    </w:p>
  </w:footnote>
  <w:footnote w:id="4">
    <w:p w14:paraId="44251D28" w14:textId="001F5227" w:rsidR="00203858" w:rsidRPr="00091ED6" w:rsidRDefault="00203858">
      <w:pPr>
        <w:pStyle w:val="FootnoteText"/>
        <w:rPr>
          <w:rFonts w:ascii="Verdana" w:hAnsi="Verdana" w:cstheme="minorHAnsi"/>
          <w:sz w:val="14"/>
          <w:szCs w:val="14"/>
        </w:rPr>
      </w:pPr>
      <w:r w:rsidRPr="00091ED6">
        <w:rPr>
          <w:rStyle w:val="FootnoteReference"/>
          <w:rFonts w:ascii="Verdana" w:hAnsi="Verdana" w:cstheme="minorHAnsi"/>
          <w:sz w:val="14"/>
          <w:szCs w:val="14"/>
        </w:rPr>
        <w:footnoteRef/>
      </w:r>
      <w:r w:rsidRPr="00091ED6">
        <w:rPr>
          <w:rFonts w:ascii="Verdana" w:hAnsi="Verdana" w:cstheme="minorHAnsi"/>
          <w:sz w:val="14"/>
          <w:szCs w:val="14"/>
        </w:rPr>
        <w:t xml:space="preserve"> </w:t>
      </w:r>
      <w:r w:rsidR="00997742" w:rsidRPr="00091ED6">
        <w:rPr>
          <w:rFonts w:ascii="Verdana" w:hAnsi="Verdana" w:cstheme="minorHAnsi"/>
          <w:sz w:val="14"/>
          <w:szCs w:val="14"/>
        </w:rPr>
        <w:t>Zie t</w:t>
      </w:r>
      <w:r w:rsidRPr="00091ED6">
        <w:rPr>
          <w:rFonts w:ascii="Verdana" w:hAnsi="Verdana" w:cstheme="minorHAnsi"/>
          <w:sz w:val="14"/>
          <w:szCs w:val="14"/>
        </w:rPr>
        <w:t>oezegging</w:t>
      </w:r>
      <w:r w:rsidR="00997742" w:rsidRPr="00091ED6">
        <w:rPr>
          <w:rFonts w:ascii="Verdana" w:hAnsi="Verdana" w:cstheme="minorHAnsi"/>
          <w:sz w:val="14"/>
          <w:szCs w:val="14"/>
        </w:rPr>
        <w:t xml:space="preserve"> </w:t>
      </w:r>
      <w:r w:rsidRPr="00091ED6">
        <w:rPr>
          <w:rFonts w:ascii="Verdana" w:hAnsi="Verdana" w:cstheme="minorHAnsi"/>
          <w:sz w:val="14"/>
          <w:szCs w:val="14"/>
        </w:rPr>
        <w:t xml:space="preserve">TZ202311-038, Commissiedebat situatie </w:t>
      </w:r>
      <w:r w:rsidR="003E0813" w:rsidRPr="00091ED6">
        <w:rPr>
          <w:rFonts w:ascii="Verdana" w:hAnsi="Verdana" w:cstheme="minorHAnsi"/>
          <w:sz w:val="14"/>
          <w:szCs w:val="14"/>
        </w:rPr>
        <w:t>Israël</w:t>
      </w:r>
      <w:r w:rsidRPr="00091ED6">
        <w:rPr>
          <w:rFonts w:ascii="Verdana" w:hAnsi="Verdana" w:cstheme="minorHAnsi"/>
          <w:sz w:val="14"/>
          <w:szCs w:val="14"/>
        </w:rPr>
        <w:t xml:space="preserve">/Gaza 23 november </w:t>
      </w:r>
      <w:r w:rsidR="007C448C">
        <w:rPr>
          <w:rFonts w:ascii="Verdana" w:hAnsi="Verdana" w:cstheme="minorHAnsi"/>
          <w:sz w:val="14"/>
          <w:szCs w:val="14"/>
        </w:rPr>
        <w:t>2023</w:t>
      </w:r>
      <w:r w:rsidR="00F155F7">
        <w:rPr>
          <w:rFonts w:ascii="Verdana" w:hAnsi="Verdana" w:cstheme="minorHAnsi"/>
          <w:sz w:val="14"/>
          <w:szCs w:val="14"/>
        </w:rPr>
        <w:t xml:space="preserve"> en </w:t>
      </w:r>
      <w:r w:rsidR="00F155F7" w:rsidRPr="00091ED6">
        <w:rPr>
          <w:rFonts w:ascii="Verdana" w:hAnsi="Verdana" w:cstheme="minorHAnsi"/>
          <w:sz w:val="14"/>
          <w:szCs w:val="14"/>
        </w:rPr>
        <w:t xml:space="preserve">Kamerstukken II, 2023-2024, 21501-20-1984, motie </w:t>
      </w:r>
      <w:proofErr w:type="spellStart"/>
      <w:r w:rsidR="00F155F7" w:rsidRPr="00091ED6">
        <w:rPr>
          <w:rFonts w:ascii="Verdana" w:hAnsi="Verdana" w:cstheme="minorHAnsi"/>
          <w:sz w:val="14"/>
          <w:szCs w:val="14"/>
        </w:rPr>
        <w:t>Paternotte</w:t>
      </w:r>
      <w:proofErr w:type="spellEnd"/>
      <w:r w:rsidR="00F155F7" w:rsidRPr="00091ED6">
        <w:rPr>
          <w:rFonts w:ascii="Verdana" w:hAnsi="Verdana" w:cstheme="minorHAnsi"/>
          <w:sz w:val="14"/>
          <w:szCs w:val="14"/>
        </w:rPr>
        <w:t xml:space="preserve"> c.s</w:t>
      </w:r>
      <w:r w:rsidR="00DD666C">
        <w:rPr>
          <w:rFonts w:ascii="Verdana" w:hAnsi="Verdana" w:cstheme="minorHAnsi"/>
          <w:sz w:val="14"/>
          <w:szCs w:val="14"/>
        </w:rPr>
        <w:t>.</w:t>
      </w:r>
    </w:p>
  </w:footnote>
  <w:footnote w:id="5">
    <w:p w14:paraId="12C05DB5" w14:textId="76516F43" w:rsidR="001A728E" w:rsidRPr="001A728E" w:rsidRDefault="001A728E">
      <w:pPr>
        <w:pStyle w:val="FootnoteText"/>
        <w:rPr>
          <w:rFonts w:ascii="Verdana" w:hAnsi="Verdana"/>
          <w:sz w:val="14"/>
          <w:szCs w:val="14"/>
        </w:rPr>
      </w:pPr>
      <w:r w:rsidRPr="001A728E">
        <w:rPr>
          <w:rStyle w:val="FootnoteReference"/>
          <w:rFonts w:ascii="Verdana" w:hAnsi="Verdana" w:cstheme="majorHAnsi"/>
          <w:sz w:val="14"/>
          <w:szCs w:val="14"/>
        </w:rPr>
        <w:footnoteRef/>
      </w:r>
      <w:r w:rsidRPr="001A728E">
        <w:rPr>
          <w:rFonts w:ascii="Verdana" w:hAnsi="Verdana" w:cstheme="majorHAnsi"/>
          <w:sz w:val="14"/>
          <w:szCs w:val="14"/>
        </w:rPr>
        <w:t xml:space="preserve"> Zie </w:t>
      </w:r>
      <w:r w:rsidR="00A93549">
        <w:rPr>
          <w:rFonts w:ascii="Verdana" w:hAnsi="Verdana" w:cstheme="majorHAnsi"/>
          <w:sz w:val="14"/>
          <w:szCs w:val="14"/>
        </w:rPr>
        <w:t>K</w:t>
      </w:r>
      <w:r w:rsidRPr="001A728E">
        <w:rPr>
          <w:rFonts w:ascii="Verdana" w:hAnsi="Verdana" w:cstheme="majorHAnsi"/>
          <w:sz w:val="14"/>
          <w:szCs w:val="14"/>
        </w:rPr>
        <w:t>amerstuk 2024</w:t>
      </w:r>
      <w:r w:rsidR="00A93549">
        <w:rPr>
          <w:rFonts w:ascii="Verdana" w:hAnsi="Verdana" w:cstheme="majorHAnsi"/>
          <w:sz w:val="14"/>
          <w:szCs w:val="14"/>
        </w:rPr>
        <w:t>Z00190</w:t>
      </w:r>
      <w:r w:rsidRPr="001A728E">
        <w:rPr>
          <w:rFonts w:ascii="Verdana" w:hAnsi="Verdana"/>
          <w:sz w:val="14"/>
          <w:szCs w:val="14"/>
        </w:rPr>
        <w:t xml:space="preserve">. </w:t>
      </w:r>
    </w:p>
  </w:footnote>
  <w:footnote w:id="6">
    <w:p w14:paraId="4D13DC25" w14:textId="27C573BF" w:rsidR="00926E61" w:rsidRPr="00416089" w:rsidRDefault="00926E61" w:rsidP="00926E61">
      <w:pPr>
        <w:pStyle w:val="FootnoteText"/>
        <w:rPr>
          <w:rFonts w:ascii="Verdana" w:hAnsi="Verdana"/>
          <w:sz w:val="16"/>
          <w:szCs w:val="16"/>
        </w:rPr>
      </w:pPr>
      <w:r w:rsidRPr="00091ED6">
        <w:rPr>
          <w:rStyle w:val="FootnoteReference"/>
          <w:sz w:val="14"/>
          <w:szCs w:val="14"/>
        </w:rPr>
        <w:footnoteRef/>
      </w:r>
      <w:r w:rsidRPr="00091ED6">
        <w:rPr>
          <w:sz w:val="14"/>
          <w:szCs w:val="14"/>
        </w:rPr>
        <w:t xml:space="preserve"> </w:t>
      </w:r>
      <w:r w:rsidRPr="00416089">
        <w:rPr>
          <w:rFonts w:ascii="Verdana" w:hAnsi="Verdana"/>
          <w:sz w:val="14"/>
          <w:szCs w:val="14"/>
        </w:rPr>
        <w:t>Zie Kamerbrief veiligheidssituatie Irak en gevolgen voor Nederlandse aanwezigheid, d.d. 20 december 2023</w:t>
      </w:r>
      <w:r w:rsidR="00E176BF" w:rsidRPr="00416089">
        <w:rPr>
          <w:rFonts w:ascii="Verdana" w:hAnsi="Verdana"/>
          <w:sz w:val="14"/>
          <w:szCs w:val="14"/>
        </w:rPr>
        <w:t>, Kamerstuk 2023Z20577.</w:t>
      </w:r>
    </w:p>
  </w:footnote>
  <w:footnote w:id="7">
    <w:p w14:paraId="7B70F8AC" w14:textId="77777777" w:rsidR="00380F29" w:rsidRDefault="00380F29" w:rsidP="00380F29">
      <w:pPr>
        <w:pStyle w:val="FootnoteText"/>
        <w:rPr>
          <w:rFonts w:ascii="Verdana" w:hAnsi="Verdana"/>
          <w:b/>
          <w:bCs/>
          <w:sz w:val="14"/>
          <w:szCs w:val="14"/>
        </w:rPr>
      </w:pPr>
      <w:r>
        <w:rPr>
          <w:rStyle w:val="FootnoteReference"/>
          <w:rFonts w:ascii="Verdana" w:hAnsi="Verdana"/>
          <w:sz w:val="14"/>
          <w:szCs w:val="14"/>
        </w:rPr>
        <w:footnoteRef/>
      </w:r>
      <w:r>
        <w:rPr>
          <w:rFonts w:ascii="Verdana" w:hAnsi="Verdana"/>
          <w:sz w:val="14"/>
          <w:szCs w:val="14"/>
        </w:rPr>
        <w:t xml:space="preserve"> Zie Kamerbrief over kennisgeving onderzoek naar bijdrage maritieme veiligheid Golfregio, d.d. 22 december 2023, Kamerstuk 2023Z21000 en zie gezamenlijk statement o.l.v. de Verenigde Staten: </w:t>
      </w:r>
      <w:hyperlink r:id="rId2">
        <w:r>
          <w:rPr>
            <w:rStyle w:val="Hyperlink"/>
            <w:rFonts w:ascii="Verdana" w:hAnsi="Verdana"/>
            <w:color w:val="0563C1"/>
            <w:sz w:val="14"/>
            <w:szCs w:val="14"/>
          </w:rPr>
          <w:t>https://www.whitehouse.gov/briefing-room/statements-releases/2024/01/03/a-joint-statement-from-the-governments-of-the-united-states-australia-bahrain-belgium-canada-denmark-germany-italy-japan-netherlands-new-zealand-and-the-united-kingdom/</w:t>
        </w:r>
      </w:hyperlink>
      <w:r>
        <w:rPr>
          <w:rFonts w:ascii="Verdana" w:hAnsi="Verdana"/>
          <w:sz w:val="14"/>
          <w:szCs w:val="14"/>
        </w:rPr>
        <w:t xml:space="preserve">.  </w:t>
      </w:r>
    </w:p>
  </w:footnote>
  <w:footnote w:id="8">
    <w:p w14:paraId="4B0FE452" w14:textId="326237C5" w:rsidR="00AC04B1" w:rsidRPr="00091ED6" w:rsidRDefault="00AC04B1" w:rsidP="00AC04B1">
      <w:pPr>
        <w:pStyle w:val="FootnoteText"/>
        <w:rPr>
          <w:rFonts w:ascii="Verdana" w:hAnsi="Verdana" w:cstheme="minorHAnsi"/>
          <w:sz w:val="14"/>
          <w:szCs w:val="14"/>
        </w:rPr>
      </w:pPr>
      <w:r w:rsidRPr="00091ED6">
        <w:rPr>
          <w:rStyle w:val="FootnoteReference"/>
          <w:rFonts w:ascii="Verdana" w:hAnsi="Verdana" w:cstheme="minorHAnsi"/>
          <w:sz w:val="14"/>
          <w:szCs w:val="14"/>
        </w:rPr>
        <w:footnoteRef/>
      </w:r>
      <w:r w:rsidRPr="00091ED6">
        <w:rPr>
          <w:rFonts w:ascii="Verdana" w:hAnsi="Verdana" w:cstheme="minorHAnsi"/>
          <w:sz w:val="14"/>
          <w:szCs w:val="14"/>
        </w:rPr>
        <w:t xml:space="preserve"> </w:t>
      </w:r>
      <w:r w:rsidR="00604599" w:rsidRPr="00091ED6">
        <w:rPr>
          <w:rFonts w:ascii="Verdana" w:hAnsi="Verdana" w:cstheme="minorHAnsi"/>
          <w:sz w:val="14"/>
          <w:szCs w:val="14"/>
        </w:rPr>
        <w:t xml:space="preserve">Zie </w:t>
      </w:r>
      <w:hyperlink r:id="rId3" w:history="1">
        <w:r w:rsidR="00604599" w:rsidRPr="00091ED6">
          <w:rPr>
            <w:rStyle w:val="Hyperlink"/>
            <w:rFonts w:ascii="Verdana" w:hAnsi="Verdana" w:cstheme="minorHAnsi"/>
            <w:sz w:val="14"/>
            <w:szCs w:val="14"/>
          </w:rPr>
          <w:t>https://www.consilium.europa.eu/nl/press/press-releases/2023/07/12/g7-joint-declaration-of-support-for-ukraine/</w:t>
        </w:r>
      </w:hyperlink>
      <w:r w:rsidRPr="00091ED6">
        <w:rPr>
          <w:rFonts w:ascii="Verdana" w:hAnsi="Verdana" w:cstheme="minorHAnsi"/>
          <w:sz w:val="14"/>
          <w:szCs w:val="14"/>
        </w:rPr>
        <w:t xml:space="preserve"> ;</w:t>
      </w:r>
      <w:r w:rsidR="00F06C2A" w:rsidRPr="00091ED6">
        <w:rPr>
          <w:rFonts w:ascii="Verdana" w:hAnsi="Verdana" w:cstheme="minorHAnsi"/>
          <w:sz w:val="14"/>
          <w:szCs w:val="14"/>
        </w:rPr>
        <w:t xml:space="preserve"> </w:t>
      </w:r>
      <w:r w:rsidRPr="00091ED6">
        <w:rPr>
          <w:rFonts w:ascii="Verdana" w:hAnsi="Verdana" w:cstheme="minorHAnsi"/>
          <w:sz w:val="14"/>
          <w:szCs w:val="14"/>
        </w:rPr>
        <w:t>Zie ook verslag NAVO Top in Vilnius van 11 en 12 juli,</w:t>
      </w:r>
      <w:r w:rsidR="00E176BF">
        <w:rPr>
          <w:rFonts w:ascii="Verdana" w:hAnsi="Verdana" w:cstheme="minorHAnsi"/>
          <w:sz w:val="14"/>
          <w:szCs w:val="14"/>
        </w:rPr>
        <w:t xml:space="preserve"> d.d. 18 juli 2023, Kamerstuk 28 676 nr. 440.</w:t>
      </w:r>
    </w:p>
  </w:footnote>
  <w:footnote w:id="9">
    <w:p w14:paraId="00157732" w14:textId="054D5DBC" w:rsidR="00FA12EF" w:rsidRPr="00091ED6" w:rsidRDefault="00FA12EF" w:rsidP="00FA12EF">
      <w:pPr>
        <w:pStyle w:val="FootnoteText"/>
        <w:rPr>
          <w:rFonts w:ascii="Verdana" w:hAnsi="Verdana" w:cstheme="minorHAnsi"/>
          <w:sz w:val="14"/>
          <w:szCs w:val="14"/>
        </w:rPr>
      </w:pPr>
      <w:r w:rsidRPr="00091ED6">
        <w:rPr>
          <w:rStyle w:val="FootnoteReference"/>
          <w:rFonts w:ascii="Verdana" w:hAnsi="Verdana" w:cstheme="minorHAnsi"/>
          <w:sz w:val="14"/>
          <w:szCs w:val="14"/>
        </w:rPr>
        <w:footnoteRef/>
      </w:r>
      <w:r w:rsidRPr="00091ED6">
        <w:rPr>
          <w:rFonts w:ascii="Verdana" w:hAnsi="Verdana" w:cstheme="minorHAnsi"/>
          <w:sz w:val="14"/>
          <w:szCs w:val="14"/>
        </w:rPr>
        <w:t xml:space="preserve"> </w:t>
      </w:r>
      <w:r w:rsidR="00604599" w:rsidRPr="00091ED6">
        <w:rPr>
          <w:rFonts w:ascii="Verdana" w:hAnsi="Verdana" w:cstheme="minorHAnsi"/>
          <w:sz w:val="14"/>
          <w:szCs w:val="14"/>
        </w:rPr>
        <w:t>Zie Kamerstukken II 2023-2024, 21501-20</w:t>
      </w:r>
      <w:r w:rsidR="00C70873">
        <w:rPr>
          <w:rFonts w:ascii="Verdana" w:hAnsi="Verdana" w:cstheme="minorHAnsi"/>
          <w:sz w:val="14"/>
          <w:szCs w:val="14"/>
        </w:rPr>
        <w:t xml:space="preserve"> nr. 1993.</w:t>
      </w:r>
    </w:p>
  </w:footnote>
  <w:footnote w:id="10">
    <w:p w14:paraId="740A7B62" w14:textId="562CCBA5" w:rsidR="00AC04B1" w:rsidRPr="00091ED6" w:rsidRDefault="00AC04B1" w:rsidP="00AC04B1">
      <w:pPr>
        <w:pStyle w:val="FootnoteText"/>
        <w:rPr>
          <w:rFonts w:ascii="Verdana" w:hAnsi="Verdana" w:cstheme="minorHAnsi"/>
          <w:sz w:val="14"/>
          <w:szCs w:val="14"/>
        </w:rPr>
      </w:pPr>
      <w:r w:rsidRPr="00091ED6">
        <w:rPr>
          <w:rStyle w:val="FootnoteReference"/>
          <w:rFonts w:ascii="Verdana" w:hAnsi="Verdana" w:cstheme="minorHAnsi"/>
          <w:sz w:val="14"/>
          <w:szCs w:val="14"/>
        </w:rPr>
        <w:footnoteRef/>
      </w:r>
      <w:r w:rsidRPr="00091ED6">
        <w:rPr>
          <w:rFonts w:ascii="Verdana" w:hAnsi="Verdana" w:cstheme="minorHAnsi"/>
          <w:sz w:val="14"/>
          <w:szCs w:val="14"/>
        </w:rPr>
        <w:t xml:space="preserve"> Zie ook geannoteerde agenda RBZ</w:t>
      </w:r>
      <w:r w:rsidR="009F1068" w:rsidRPr="00091ED6">
        <w:rPr>
          <w:rFonts w:ascii="Verdana" w:hAnsi="Verdana" w:cstheme="minorHAnsi"/>
          <w:sz w:val="14"/>
          <w:szCs w:val="14"/>
        </w:rPr>
        <w:t xml:space="preserve"> </w:t>
      </w:r>
      <w:r w:rsidR="00E176BF">
        <w:rPr>
          <w:rFonts w:ascii="Verdana" w:hAnsi="Verdana" w:cstheme="minorHAnsi"/>
          <w:sz w:val="14"/>
          <w:szCs w:val="14"/>
        </w:rPr>
        <w:t xml:space="preserve">van </w:t>
      </w:r>
      <w:r w:rsidRPr="00091ED6">
        <w:rPr>
          <w:rFonts w:ascii="Verdana" w:hAnsi="Verdana" w:cstheme="minorHAnsi"/>
          <w:sz w:val="14"/>
          <w:szCs w:val="14"/>
        </w:rPr>
        <w:t xml:space="preserve">11 december 2023, </w:t>
      </w:r>
      <w:r w:rsidR="00E176BF">
        <w:rPr>
          <w:rFonts w:ascii="Verdana" w:hAnsi="Verdana" w:cstheme="minorHAnsi"/>
          <w:sz w:val="14"/>
          <w:szCs w:val="14"/>
        </w:rPr>
        <w:t>d.d. 1 december 2023, Kamerstuk 21 501-02 nr. 2790.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F535D"/>
    <w:multiLevelType w:val="hybridMultilevel"/>
    <w:tmpl w:val="BA2E1C64"/>
    <w:lvl w:ilvl="0" w:tplc="7B282AB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9519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932"/>
    <w:rsid w:val="000004A7"/>
    <w:rsid w:val="00000C1E"/>
    <w:rsid w:val="0000362A"/>
    <w:rsid w:val="00004692"/>
    <w:rsid w:val="000078B0"/>
    <w:rsid w:val="00023E5A"/>
    <w:rsid w:val="000255C1"/>
    <w:rsid w:val="000534FC"/>
    <w:rsid w:val="000547A7"/>
    <w:rsid w:val="00057DA1"/>
    <w:rsid w:val="00057F42"/>
    <w:rsid w:val="00060FA6"/>
    <w:rsid w:val="00064146"/>
    <w:rsid w:val="000707CE"/>
    <w:rsid w:val="00073790"/>
    <w:rsid w:val="000778F6"/>
    <w:rsid w:val="00091ED6"/>
    <w:rsid w:val="00096B5F"/>
    <w:rsid w:val="000C057A"/>
    <w:rsid w:val="000C700F"/>
    <w:rsid w:val="000C73B4"/>
    <w:rsid w:val="000C7619"/>
    <w:rsid w:val="000D2880"/>
    <w:rsid w:val="000E0D3F"/>
    <w:rsid w:val="000E518D"/>
    <w:rsid w:val="000F6562"/>
    <w:rsid w:val="00114961"/>
    <w:rsid w:val="001302B1"/>
    <w:rsid w:val="00142CCD"/>
    <w:rsid w:val="00144D2C"/>
    <w:rsid w:val="00154ACB"/>
    <w:rsid w:val="00154BE4"/>
    <w:rsid w:val="00164EED"/>
    <w:rsid w:val="001735A8"/>
    <w:rsid w:val="00183717"/>
    <w:rsid w:val="00184553"/>
    <w:rsid w:val="00191ED4"/>
    <w:rsid w:val="00191F4E"/>
    <w:rsid w:val="00194E68"/>
    <w:rsid w:val="001969AF"/>
    <w:rsid w:val="00197A91"/>
    <w:rsid w:val="001A728E"/>
    <w:rsid w:val="001B7C08"/>
    <w:rsid w:val="001D0A13"/>
    <w:rsid w:val="001D3D14"/>
    <w:rsid w:val="001D4261"/>
    <w:rsid w:val="001D64C9"/>
    <w:rsid w:val="00203858"/>
    <w:rsid w:val="002247CA"/>
    <w:rsid w:val="00224B7E"/>
    <w:rsid w:val="00234117"/>
    <w:rsid w:val="002364E1"/>
    <w:rsid w:val="00241E35"/>
    <w:rsid w:val="00241EC2"/>
    <w:rsid w:val="00243240"/>
    <w:rsid w:val="002511B9"/>
    <w:rsid w:val="002525D7"/>
    <w:rsid w:val="002562B8"/>
    <w:rsid w:val="00260E40"/>
    <w:rsid w:val="002628FF"/>
    <w:rsid w:val="00262F8B"/>
    <w:rsid w:val="00266E75"/>
    <w:rsid w:val="002779E5"/>
    <w:rsid w:val="00285388"/>
    <w:rsid w:val="00292C6C"/>
    <w:rsid w:val="00296112"/>
    <w:rsid w:val="002B4310"/>
    <w:rsid w:val="002B47D3"/>
    <w:rsid w:val="002C3AA4"/>
    <w:rsid w:val="002E5B6E"/>
    <w:rsid w:val="002E6A44"/>
    <w:rsid w:val="002F3F78"/>
    <w:rsid w:val="002F454D"/>
    <w:rsid w:val="002F78EF"/>
    <w:rsid w:val="0030175F"/>
    <w:rsid w:val="00306F7C"/>
    <w:rsid w:val="00313751"/>
    <w:rsid w:val="00315D3F"/>
    <w:rsid w:val="0032081C"/>
    <w:rsid w:val="003222DE"/>
    <w:rsid w:val="00324883"/>
    <w:rsid w:val="00324B8C"/>
    <w:rsid w:val="003363F0"/>
    <w:rsid w:val="0034488C"/>
    <w:rsid w:val="003516D3"/>
    <w:rsid w:val="0035170A"/>
    <w:rsid w:val="003611E8"/>
    <w:rsid w:val="00364868"/>
    <w:rsid w:val="0036516C"/>
    <w:rsid w:val="00365341"/>
    <w:rsid w:val="00380B59"/>
    <w:rsid w:val="00380F29"/>
    <w:rsid w:val="00386520"/>
    <w:rsid w:val="0039596F"/>
    <w:rsid w:val="00397371"/>
    <w:rsid w:val="003A2708"/>
    <w:rsid w:val="003A6876"/>
    <w:rsid w:val="003B05A1"/>
    <w:rsid w:val="003B5C3A"/>
    <w:rsid w:val="003C2190"/>
    <w:rsid w:val="003C617E"/>
    <w:rsid w:val="003D3EAA"/>
    <w:rsid w:val="003D4877"/>
    <w:rsid w:val="003E0813"/>
    <w:rsid w:val="003E0878"/>
    <w:rsid w:val="003E4693"/>
    <w:rsid w:val="003E5766"/>
    <w:rsid w:val="003E7C84"/>
    <w:rsid w:val="003F0A49"/>
    <w:rsid w:val="00405D45"/>
    <w:rsid w:val="00413BF9"/>
    <w:rsid w:val="00415BBE"/>
    <w:rsid w:val="00416089"/>
    <w:rsid w:val="00425B9F"/>
    <w:rsid w:val="00435E81"/>
    <w:rsid w:val="0044101C"/>
    <w:rsid w:val="00445796"/>
    <w:rsid w:val="00450B76"/>
    <w:rsid w:val="00453DBD"/>
    <w:rsid w:val="0046271A"/>
    <w:rsid w:val="00463016"/>
    <w:rsid w:val="00471244"/>
    <w:rsid w:val="004726F2"/>
    <w:rsid w:val="00473828"/>
    <w:rsid w:val="004849B0"/>
    <w:rsid w:val="00487B02"/>
    <w:rsid w:val="00497289"/>
    <w:rsid w:val="004A3349"/>
    <w:rsid w:val="004C7D8C"/>
    <w:rsid w:val="004E1B67"/>
    <w:rsid w:val="004F22CA"/>
    <w:rsid w:val="005060D0"/>
    <w:rsid w:val="00506EC3"/>
    <w:rsid w:val="0051630A"/>
    <w:rsid w:val="00527BDE"/>
    <w:rsid w:val="00532F07"/>
    <w:rsid w:val="005339A2"/>
    <w:rsid w:val="00533ED1"/>
    <w:rsid w:val="005543EC"/>
    <w:rsid w:val="005649DD"/>
    <w:rsid w:val="00574974"/>
    <w:rsid w:val="00581063"/>
    <w:rsid w:val="00581198"/>
    <w:rsid w:val="00582151"/>
    <w:rsid w:val="00585BEF"/>
    <w:rsid w:val="00586CCC"/>
    <w:rsid w:val="005912C5"/>
    <w:rsid w:val="0059179B"/>
    <w:rsid w:val="00594092"/>
    <w:rsid w:val="005C08EB"/>
    <w:rsid w:val="005C62DA"/>
    <w:rsid w:val="005D2539"/>
    <w:rsid w:val="005D3653"/>
    <w:rsid w:val="005E5E83"/>
    <w:rsid w:val="005F2D9D"/>
    <w:rsid w:val="005F56FC"/>
    <w:rsid w:val="005F5F49"/>
    <w:rsid w:val="00604599"/>
    <w:rsid w:val="006142F7"/>
    <w:rsid w:val="006230AC"/>
    <w:rsid w:val="006254FC"/>
    <w:rsid w:val="00632FC8"/>
    <w:rsid w:val="0063331B"/>
    <w:rsid w:val="0064366F"/>
    <w:rsid w:val="00647736"/>
    <w:rsid w:val="0066648B"/>
    <w:rsid w:val="00666EFC"/>
    <w:rsid w:val="00675EBD"/>
    <w:rsid w:val="00676170"/>
    <w:rsid w:val="006826C6"/>
    <w:rsid w:val="0068355D"/>
    <w:rsid w:val="0069755B"/>
    <w:rsid w:val="006A07A8"/>
    <w:rsid w:val="006A3C4C"/>
    <w:rsid w:val="006B3E95"/>
    <w:rsid w:val="006C4877"/>
    <w:rsid w:val="006C49D7"/>
    <w:rsid w:val="006C78A3"/>
    <w:rsid w:val="006D7EF7"/>
    <w:rsid w:val="006E0BEB"/>
    <w:rsid w:val="006E28F3"/>
    <w:rsid w:val="006E2CB8"/>
    <w:rsid w:val="006E49A5"/>
    <w:rsid w:val="006E7140"/>
    <w:rsid w:val="007122A8"/>
    <w:rsid w:val="00714F29"/>
    <w:rsid w:val="00716FD1"/>
    <w:rsid w:val="00722602"/>
    <w:rsid w:val="00726954"/>
    <w:rsid w:val="00730AB9"/>
    <w:rsid w:val="007321D5"/>
    <w:rsid w:val="00745202"/>
    <w:rsid w:val="00746F56"/>
    <w:rsid w:val="0075083F"/>
    <w:rsid w:val="00762DA5"/>
    <w:rsid w:val="007660E4"/>
    <w:rsid w:val="00771B69"/>
    <w:rsid w:val="00772C79"/>
    <w:rsid w:val="0077353A"/>
    <w:rsid w:val="0078226F"/>
    <w:rsid w:val="00785638"/>
    <w:rsid w:val="0078598E"/>
    <w:rsid w:val="00793276"/>
    <w:rsid w:val="007A291C"/>
    <w:rsid w:val="007A75A6"/>
    <w:rsid w:val="007B1B40"/>
    <w:rsid w:val="007B2BDD"/>
    <w:rsid w:val="007B322C"/>
    <w:rsid w:val="007B77C0"/>
    <w:rsid w:val="007C448C"/>
    <w:rsid w:val="007C6CD3"/>
    <w:rsid w:val="007D2FEE"/>
    <w:rsid w:val="007D379F"/>
    <w:rsid w:val="007E4A61"/>
    <w:rsid w:val="008003BA"/>
    <w:rsid w:val="00822EDA"/>
    <w:rsid w:val="0082532C"/>
    <w:rsid w:val="00825CF8"/>
    <w:rsid w:val="0082601D"/>
    <w:rsid w:val="0082717B"/>
    <w:rsid w:val="00827CC9"/>
    <w:rsid w:val="00827F63"/>
    <w:rsid w:val="00831C84"/>
    <w:rsid w:val="00835386"/>
    <w:rsid w:val="008369A6"/>
    <w:rsid w:val="00842F9D"/>
    <w:rsid w:val="00843DB9"/>
    <w:rsid w:val="00853B86"/>
    <w:rsid w:val="00855780"/>
    <w:rsid w:val="00862545"/>
    <w:rsid w:val="00862890"/>
    <w:rsid w:val="00871B11"/>
    <w:rsid w:val="00872D55"/>
    <w:rsid w:val="008832EF"/>
    <w:rsid w:val="00883960"/>
    <w:rsid w:val="00884380"/>
    <w:rsid w:val="00885525"/>
    <w:rsid w:val="0088687D"/>
    <w:rsid w:val="008901A2"/>
    <w:rsid w:val="00890C9F"/>
    <w:rsid w:val="008A254A"/>
    <w:rsid w:val="008B66C7"/>
    <w:rsid w:val="008B6E02"/>
    <w:rsid w:val="008C2C48"/>
    <w:rsid w:val="008C59B0"/>
    <w:rsid w:val="008E188F"/>
    <w:rsid w:val="008E53E8"/>
    <w:rsid w:val="00901416"/>
    <w:rsid w:val="00905E1C"/>
    <w:rsid w:val="00914329"/>
    <w:rsid w:val="0091493D"/>
    <w:rsid w:val="00914F3A"/>
    <w:rsid w:val="00923D60"/>
    <w:rsid w:val="00926E61"/>
    <w:rsid w:val="00936AC2"/>
    <w:rsid w:val="009419BE"/>
    <w:rsid w:val="009551F8"/>
    <w:rsid w:val="009557A7"/>
    <w:rsid w:val="009569BB"/>
    <w:rsid w:val="009612DA"/>
    <w:rsid w:val="00981168"/>
    <w:rsid w:val="00981C5B"/>
    <w:rsid w:val="009938C5"/>
    <w:rsid w:val="00996642"/>
    <w:rsid w:val="00997319"/>
    <w:rsid w:val="00997742"/>
    <w:rsid w:val="009A0620"/>
    <w:rsid w:val="009A4E80"/>
    <w:rsid w:val="009A5DCD"/>
    <w:rsid w:val="009B09D6"/>
    <w:rsid w:val="009C06E1"/>
    <w:rsid w:val="009C7C6F"/>
    <w:rsid w:val="009E1E83"/>
    <w:rsid w:val="009E3708"/>
    <w:rsid w:val="009E4810"/>
    <w:rsid w:val="009E597D"/>
    <w:rsid w:val="009F1068"/>
    <w:rsid w:val="009F3171"/>
    <w:rsid w:val="009F487F"/>
    <w:rsid w:val="009F6C82"/>
    <w:rsid w:val="00A012C3"/>
    <w:rsid w:val="00A02472"/>
    <w:rsid w:val="00A234C5"/>
    <w:rsid w:val="00A36827"/>
    <w:rsid w:val="00A41F86"/>
    <w:rsid w:val="00A53B08"/>
    <w:rsid w:val="00A53FEC"/>
    <w:rsid w:val="00A6588D"/>
    <w:rsid w:val="00A67339"/>
    <w:rsid w:val="00A67B88"/>
    <w:rsid w:val="00A70110"/>
    <w:rsid w:val="00A71BB3"/>
    <w:rsid w:val="00A730DE"/>
    <w:rsid w:val="00A903BA"/>
    <w:rsid w:val="00A90FDC"/>
    <w:rsid w:val="00A93549"/>
    <w:rsid w:val="00A949E8"/>
    <w:rsid w:val="00A95575"/>
    <w:rsid w:val="00A9641B"/>
    <w:rsid w:val="00AA2EAF"/>
    <w:rsid w:val="00AB16D5"/>
    <w:rsid w:val="00AC04B1"/>
    <w:rsid w:val="00AD63E6"/>
    <w:rsid w:val="00AE0885"/>
    <w:rsid w:val="00AE73A9"/>
    <w:rsid w:val="00AF2090"/>
    <w:rsid w:val="00AF317D"/>
    <w:rsid w:val="00B03F08"/>
    <w:rsid w:val="00B05F90"/>
    <w:rsid w:val="00B106B7"/>
    <w:rsid w:val="00B10A84"/>
    <w:rsid w:val="00B10F05"/>
    <w:rsid w:val="00B141B9"/>
    <w:rsid w:val="00B14B58"/>
    <w:rsid w:val="00B34926"/>
    <w:rsid w:val="00B36115"/>
    <w:rsid w:val="00B37FA9"/>
    <w:rsid w:val="00B4376D"/>
    <w:rsid w:val="00B64B6B"/>
    <w:rsid w:val="00B6752B"/>
    <w:rsid w:val="00B85399"/>
    <w:rsid w:val="00B94827"/>
    <w:rsid w:val="00B95018"/>
    <w:rsid w:val="00BA0909"/>
    <w:rsid w:val="00BB1737"/>
    <w:rsid w:val="00BB26E3"/>
    <w:rsid w:val="00BB2957"/>
    <w:rsid w:val="00BB6A4A"/>
    <w:rsid w:val="00BB7110"/>
    <w:rsid w:val="00BC1931"/>
    <w:rsid w:val="00BC758D"/>
    <w:rsid w:val="00BD1922"/>
    <w:rsid w:val="00BD303E"/>
    <w:rsid w:val="00BE171C"/>
    <w:rsid w:val="00BE1A75"/>
    <w:rsid w:val="00BE2F78"/>
    <w:rsid w:val="00BF6E80"/>
    <w:rsid w:val="00C048AD"/>
    <w:rsid w:val="00C1738E"/>
    <w:rsid w:val="00C22572"/>
    <w:rsid w:val="00C308D0"/>
    <w:rsid w:val="00C379AD"/>
    <w:rsid w:val="00C504EF"/>
    <w:rsid w:val="00C5299D"/>
    <w:rsid w:val="00C574F7"/>
    <w:rsid w:val="00C60706"/>
    <w:rsid w:val="00C6218A"/>
    <w:rsid w:val="00C70873"/>
    <w:rsid w:val="00C76AF8"/>
    <w:rsid w:val="00C76EF9"/>
    <w:rsid w:val="00C824C8"/>
    <w:rsid w:val="00C8370E"/>
    <w:rsid w:val="00C86AFD"/>
    <w:rsid w:val="00C96E34"/>
    <w:rsid w:val="00C9754A"/>
    <w:rsid w:val="00CA33C6"/>
    <w:rsid w:val="00CA476A"/>
    <w:rsid w:val="00CA78CD"/>
    <w:rsid w:val="00CA7A2E"/>
    <w:rsid w:val="00CB6555"/>
    <w:rsid w:val="00CB6EC8"/>
    <w:rsid w:val="00CC331A"/>
    <w:rsid w:val="00CC597F"/>
    <w:rsid w:val="00CD0DED"/>
    <w:rsid w:val="00CD269C"/>
    <w:rsid w:val="00CE7E68"/>
    <w:rsid w:val="00CF770D"/>
    <w:rsid w:val="00CF7C1A"/>
    <w:rsid w:val="00D002EB"/>
    <w:rsid w:val="00D04B5E"/>
    <w:rsid w:val="00D1288F"/>
    <w:rsid w:val="00D17F09"/>
    <w:rsid w:val="00D20B9E"/>
    <w:rsid w:val="00D22421"/>
    <w:rsid w:val="00D279E1"/>
    <w:rsid w:val="00D44E92"/>
    <w:rsid w:val="00D4550A"/>
    <w:rsid w:val="00D47134"/>
    <w:rsid w:val="00D63929"/>
    <w:rsid w:val="00D65CFB"/>
    <w:rsid w:val="00D708D5"/>
    <w:rsid w:val="00D7135A"/>
    <w:rsid w:val="00D73C99"/>
    <w:rsid w:val="00D80D2C"/>
    <w:rsid w:val="00D875B3"/>
    <w:rsid w:val="00D907FE"/>
    <w:rsid w:val="00DA3E80"/>
    <w:rsid w:val="00DB2F7F"/>
    <w:rsid w:val="00DB66D1"/>
    <w:rsid w:val="00DB700F"/>
    <w:rsid w:val="00DB753A"/>
    <w:rsid w:val="00DC162C"/>
    <w:rsid w:val="00DC333A"/>
    <w:rsid w:val="00DC4E49"/>
    <w:rsid w:val="00DC580A"/>
    <w:rsid w:val="00DD1988"/>
    <w:rsid w:val="00DD2ADF"/>
    <w:rsid w:val="00DD666C"/>
    <w:rsid w:val="00DE4EBF"/>
    <w:rsid w:val="00DF0999"/>
    <w:rsid w:val="00DF1459"/>
    <w:rsid w:val="00E00B40"/>
    <w:rsid w:val="00E03923"/>
    <w:rsid w:val="00E0554B"/>
    <w:rsid w:val="00E12C7E"/>
    <w:rsid w:val="00E176BF"/>
    <w:rsid w:val="00E24769"/>
    <w:rsid w:val="00E400DE"/>
    <w:rsid w:val="00E41465"/>
    <w:rsid w:val="00E42C32"/>
    <w:rsid w:val="00E4339E"/>
    <w:rsid w:val="00E43D14"/>
    <w:rsid w:val="00E4401F"/>
    <w:rsid w:val="00E469F5"/>
    <w:rsid w:val="00E47717"/>
    <w:rsid w:val="00E50491"/>
    <w:rsid w:val="00E522FE"/>
    <w:rsid w:val="00E55EE5"/>
    <w:rsid w:val="00E57DC4"/>
    <w:rsid w:val="00E6511B"/>
    <w:rsid w:val="00E743A7"/>
    <w:rsid w:val="00E7751D"/>
    <w:rsid w:val="00E81F0B"/>
    <w:rsid w:val="00E83687"/>
    <w:rsid w:val="00EA7F12"/>
    <w:rsid w:val="00EB28FB"/>
    <w:rsid w:val="00EB420F"/>
    <w:rsid w:val="00EC5D87"/>
    <w:rsid w:val="00EC6A3B"/>
    <w:rsid w:val="00ED4BC5"/>
    <w:rsid w:val="00ED531B"/>
    <w:rsid w:val="00EE1EE3"/>
    <w:rsid w:val="00EE6479"/>
    <w:rsid w:val="00EF1009"/>
    <w:rsid w:val="00EF7901"/>
    <w:rsid w:val="00F06C2A"/>
    <w:rsid w:val="00F10291"/>
    <w:rsid w:val="00F11745"/>
    <w:rsid w:val="00F12932"/>
    <w:rsid w:val="00F148C7"/>
    <w:rsid w:val="00F155F7"/>
    <w:rsid w:val="00F220F0"/>
    <w:rsid w:val="00F253D0"/>
    <w:rsid w:val="00F25DA8"/>
    <w:rsid w:val="00F34E84"/>
    <w:rsid w:val="00F432AA"/>
    <w:rsid w:val="00F5227C"/>
    <w:rsid w:val="00F5349F"/>
    <w:rsid w:val="00F55FBA"/>
    <w:rsid w:val="00F719CA"/>
    <w:rsid w:val="00F73166"/>
    <w:rsid w:val="00F916A1"/>
    <w:rsid w:val="00F967F4"/>
    <w:rsid w:val="00FA12EF"/>
    <w:rsid w:val="00FC1EC3"/>
    <w:rsid w:val="00FC4309"/>
    <w:rsid w:val="00FE18A0"/>
    <w:rsid w:val="00FE199C"/>
    <w:rsid w:val="00FE678C"/>
    <w:rsid w:val="00FF2A99"/>
    <w:rsid w:val="00FF6B3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5424"/>
  <w15:chartTrackingRefBased/>
  <w15:docId w15:val="{90FB24FE-D799-4C88-BF11-478D9513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9C"/>
  </w:style>
  <w:style w:type="paragraph" w:styleId="Footer">
    <w:name w:val="footer"/>
    <w:basedOn w:val="Normal"/>
    <w:link w:val="FooterChar"/>
    <w:uiPriority w:val="99"/>
    <w:unhideWhenUsed/>
    <w:rsid w:val="00CD2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9C"/>
  </w:style>
  <w:style w:type="paragraph" w:styleId="FootnoteText">
    <w:name w:val="footnote text"/>
    <w:basedOn w:val="Normal"/>
    <w:link w:val="FootnoteTextChar"/>
    <w:uiPriority w:val="99"/>
    <w:semiHidden/>
    <w:unhideWhenUsed/>
    <w:rsid w:val="00E414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465"/>
    <w:rPr>
      <w:sz w:val="20"/>
      <w:szCs w:val="20"/>
    </w:rPr>
  </w:style>
  <w:style w:type="character" w:styleId="FootnoteReference">
    <w:name w:val="footnote reference"/>
    <w:basedOn w:val="DefaultParagraphFont"/>
    <w:uiPriority w:val="99"/>
    <w:semiHidden/>
    <w:unhideWhenUsed/>
    <w:rsid w:val="00E41465"/>
    <w:rPr>
      <w:vertAlign w:val="superscript"/>
    </w:rPr>
  </w:style>
  <w:style w:type="character" w:styleId="Hyperlink">
    <w:name w:val="Hyperlink"/>
    <w:basedOn w:val="DefaultParagraphFont"/>
    <w:uiPriority w:val="99"/>
    <w:unhideWhenUsed/>
    <w:rsid w:val="00E41465"/>
    <w:rPr>
      <w:color w:val="0563C1" w:themeColor="hyperlink"/>
      <w:u w:val="single"/>
    </w:rPr>
  </w:style>
  <w:style w:type="character" w:styleId="FollowedHyperlink">
    <w:name w:val="FollowedHyperlink"/>
    <w:basedOn w:val="DefaultParagraphFont"/>
    <w:uiPriority w:val="99"/>
    <w:semiHidden/>
    <w:unhideWhenUsed/>
    <w:rsid w:val="00E41465"/>
    <w:rPr>
      <w:color w:val="954F72" w:themeColor="followedHyperlink"/>
      <w:u w:val="single"/>
    </w:rPr>
  </w:style>
  <w:style w:type="character" w:styleId="CommentReference">
    <w:name w:val="annotation reference"/>
    <w:basedOn w:val="DefaultParagraphFont"/>
    <w:uiPriority w:val="99"/>
    <w:semiHidden/>
    <w:unhideWhenUsed/>
    <w:rsid w:val="00785638"/>
    <w:rPr>
      <w:sz w:val="16"/>
      <w:szCs w:val="16"/>
    </w:rPr>
  </w:style>
  <w:style w:type="paragraph" w:styleId="CommentText">
    <w:name w:val="annotation text"/>
    <w:basedOn w:val="Normal"/>
    <w:link w:val="CommentTextChar"/>
    <w:uiPriority w:val="99"/>
    <w:unhideWhenUsed/>
    <w:rsid w:val="00785638"/>
    <w:pPr>
      <w:spacing w:line="240" w:lineRule="auto"/>
    </w:pPr>
    <w:rPr>
      <w:sz w:val="20"/>
      <w:szCs w:val="20"/>
    </w:rPr>
  </w:style>
  <w:style w:type="character" w:customStyle="1" w:styleId="CommentTextChar">
    <w:name w:val="Comment Text Char"/>
    <w:basedOn w:val="DefaultParagraphFont"/>
    <w:link w:val="CommentText"/>
    <w:uiPriority w:val="99"/>
    <w:rsid w:val="00785638"/>
    <w:rPr>
      <w:sz w:val="20"/>
      <w:szCs w:val="20"/>
    </w:rPr>
  </w:style>
  <w:style w:type="paragraph" w:styleId="CommentSubject">
    <w:name w:val="annotation subject"/>
    <w:basedOn w:val="CommentText"/>
    <w:next w:val="CommentText"/>
    <w:link w:val="CommentSubjectChar"/>
    <w:uiPriority w:val="99"/>
    <w:semiHidden/>
    <w:unhideWhenUsed/>
    <w:rsid w:val="00785638"/>
    <w:rPr>
      <w:b/>
      <w:bCs/>
    </w:rPr>
  </w:style>
  <w:style w:type="character" w:customStyle="1" w:styleId="CommentSubjectChar">
    <w:name w:val="Comment Subject Char"/>
    <w:basedOn w:val="CommentTextChar"/>
    <w:link w:val="CommentSubject"/>
    <w:uiPriority w:val="99"/>
    <w:semiHidden/>
    <w:rsid w:val="00785638"/>
    <w:rPr>
      <w:b/>
      <w:bCs/>
      <w:sz w:val="20"/>
      <w:szCs w:val="20"/>
    </w:rPr>
  </w:style>
  <w:style w:type="paragraph" w:styleId="Revision">
    <w:name w:val="Revision"/>
    <w:hidden/>
    <w:uiPriority w:val="99"/>
    <w:semiHidden/>
    <w:rsid w:val="00E50491"/>
    <w:pPr>
      <w:spacing w:after="0" w:line="240" w:lineRule="auto"/>
    </w:pPr>
  </w:style>
  <w:style w:type="paragraph" w:styleId="ListParagraph">
    <w:name w:val="List Paragraph"/>
    <w:basedOn w:val="Normal"/>
    <w:uiPriority w:val="34"/>
    <w:qFormat/>
    <w:rsid w:val="002525D7"/>
    <w:pPr>
      <w:spacing w:after="0" w:line="240" w:lineRule="auto"/>
      <w:ind w:left="720"/>
    </w:pPr>
    <w:rPr>
      <w:rFonts w:ascii="Calibri" w:hAnsi="Calibri" w:cs="Calibri"/>
      <w:lang w:eastAsia="nl-NL"/>
    </w:rPr>
  </w:style>
  <w:style w:type="character" w:styleId="UnresolvedMention">
    <w:name w:val="Unresolved Mention"/>
    <w:basedOn w:val="DefaultParagraphFont"/>
    <w:uiPriority w:val="99"/>
    <w:semiHidden/>
    <w:unhideWhenUsed/>
    <w:rsid w:val="0060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1587">
      <w:bodyDiv w:val="1"/>
      <w:marLeft w:val="0"/>
      <w:marRight w:val="0"/>
      <w:marTop w:val="0"/>
      <w:marBottom w:val="0"/>
      <w:divBdr>
        <w:top w:val="none" w:sz="0" w:space="0" w:color="auto"/>
        <w:left w:val="none" w:sz="0" w:space="0" w:color="auto"/>
        <w:bottom w:val="none" w:sz="0" w:space="0" w:color="auto"/>
        <w:right w:val="none" w:sz="0" w:space="0" w:color="auto"/>
      </w:divBdr>
    </w:div>
    <w:div w:id="138301838">
      <w:bodyDiv w:val="1"/>
      <w:marLeft w:val="0"/>
      <w:marRight w:val="0"/>
      <w:marTop w:val="0"/>
      <w:marBottom w:val="0"/>
      <w:divBdr>
        <w:top w:val="none" w:sz="0" w:space="0" w:color="auto"/>
        <w:left w:val="none" w:sz="0" w:space="0" w:color="auto"/>
        <w:bottom w:val="none" w:sz="0" w:space="0" w:color="auto"/>
        <w:right w:val="none" w:sz="0" w:space="0" w:color="auto"/>
      </w:divBdr>
    </w:div>
    <w:div w:id="175703168">
      <w:bodyDiv w:val="1"/>
      <w:marLeft w:val="0"/>
      <w:marRight w:val="0"/>
      <w:marTop w:val="0"/>
      <w:marBottom w:val="0"/>
      <w:divBdr>
        <w:top w:val="none" w:sz="0" w:space="0" w:color="auto"/>
        <w:left w:val="none" w:sz="0" w:space="0" w:color="auto"/>
        <w:bottom w:val="none" w:sz="0" w:space="0" w:color="auto"/>
        <w:right w:val="none" w:sz="0" w:space="0" w:color="auto"/>
      </w:divBdr>
    </w:div>
    <w:div w:id="502859955">
      <w:bodyDiv w:val="1"/>
      <w:marLeft w:val="0"/>
      <w:marRight w:val="0"/>
      <w:marTop w:val="0"/>
      <w:marBottom w:val="0"/>
      <w:divBdr>
        <w:top w:val="none" w:sz="0" w:space="0" w:color="auto"/>
        <w:left w:val="none" w:sz="0" w:space="0" w:color="auto"/>
        <w:bottom w:val="none" w:sz="0" w:space="0" w:color="auto"/>
        <w:right w:val="none" w:sz="0" w:space="0" w:color="auto"/>
      </w:divBdr>
    </w:div>
    <w:div w:id="631980014">
      <w:bodyDiv w:val="1"/>
      <w:marLeft w:val="0"/>
      <w:marRight w:val="0"/>
      <w:marTop w:val="0"/>
      <w:marBottom w:val="0"/>
      <w:divBdr>
        <w:top w:val="none" w:sz="0" w:space="0" w:color="auto"/>
        <w:left w:val="none" w:sz="0" w:space="0" w:color="auto"/>
        <w:bottom w:val="none" w:sz="0" w:space="0" w:color="auto"/>
        <w:right w:val="none" w:sz="0" w:space="0" w:color="auto"/>
      </w:divBdr>
    </w:div>
    <w:div w:id="665472604">
      <w:bodyDiv w:val="1"/>
      <w:marLeft w:val="0"/>
      <w:marRight w:val="0"/>
      <w:marTop w:val="0"/>
      <w:marBottom w:val="0"/>
      <w:divBdr>
        <w:top w:val="none" w:sz="0" w:space="0" w:color="auto"/>
        <w:left w:val="none" w:sz="0" w:space="0" w:color="auto"/>
        <w:bottom w:val="none" w:sz="0" w:space="0" w:color="auto"/>
        <w:right w:val="none" w:sz="0" w:space="0" w:color="auto"/>
      </w:divBdr>
    </w:div>
    <w:div w:id="971515622">
      <w:bodyDiv w:val="1"/>
      <w:marLeft w:val="0"/>
      <w:marRight w:val="0"/>
      <w:marTop w:val="0"/>
      <w:marBottom w:val="0"/>
      <w:divBdr>
        <w:top w:val="none" w:sz="0" w:space="0" w:color="auto"/>
        <w:left w:val="none" w:sz="0" w:space="0" w:color="auto"/>
        <w:bottom w:val="none" w:sz="0" w:space="0" w:color="auto"/>
        <w:right w:val="none" w:sz="0" w:space="0" w:color="auto"/>
      </w:divBdr>
    </w:div>
    <w:div w:id="1235164566">
      <w:bodyDiv w:val="1"/>
      <w:marLeft w:val="0"/>
      <w:marRight w:val="0"/>
      <w:marTop w:val="0"/>
      <w:marBottom w:val="0"/>
      <w:divBdr>
        <w:top w:val="none" w:sz="0" w:space="0" w:color="auto"/>
        <w:left w:val="none" w:sz="0" w:space="0" w:color="auto"/>
        <w:bottom w:val="none" w:sz="0" w:space="0" w:color="auto"/>
        <w:right w:val="none" w:sz="0" w:space="0" w:color="auto"/>
      </w:divBdr>
    </w:div>
    <w:div w:id="15574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nl/press/press-releases/2023/07/12/g7-joint-declaration-of-support-for-ukraine/" TargetMode="External"/><Relationship Id="rId2" Type="http://schemas.openxmlformats.org/officeDocument/2006/relationships/hyperlink" Target="pack://file%3a,,root,SECUREAPPSUPPORT,fileDatabase,files,Geannoteerde%2520Agenda%2520Raad%2520Buitenlandse%2520Zaken%252022%2520januari%25202024_00000001.docx/customXml/item2.xml" TargetMode="External"/><Relationship Id="rId1" Type="http://schemas.openxmlformats.org/officeDocument/2006/relationships/hyperlink" Target="https://www.consilium.europa.eu/en/press/press-releases/2023/12/08/fight-against-terrorism-council-adds-two-individuals-to-the-eu-terrorist-list-in-response-to-the-7-october-att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1333</ap:Words>
  <ap:Characters>7333</ap:Characters>
  <ap:DocSecurity>0</ap:DocSecurity>
  <ap:Lines>61</ap:Lines>
  <ap:Paragraphs>17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Geannoteerde Agenda Raad Buitenlandse Zaken 22 januari 2024</vt:lpstr>
      <vt:lpstr>Geannoteerde Agenda Raad Buitenlandse Zaken 22 januari 2024</vt:lpstr>
    </vt:vector>
  </ap:TitlesOfParts>
  <ap:LinksUpToDate>false</ap:LinksUpToDate>
  <ap:CharactersWithSpaces>8649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2024-01-10T11:30:00.0000000Z</lastPrinted>
  <dcterms:created xsi:type="dcterms:W3CDTF">2024-01-15T14:15:00.0000000Z</dcterms:created>
  <dcterms:modified xsi:type="dcterms:W3CDTF">2024-01-15T14:15:00.0000000Z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0x0101009FFE7A2FBA144D4699EC54818DF680F2001AE3C8DC259AA4469307A719AA29FAE4</vt:lpwstr>
  </property>
  <property fmtid="{D5CDD505-2E9C-101B-9397-08002B2CF9AE}" pid="3" name="_dlc_DocIdItemGuid">
    <vt:lpwstr>b95a8015-ed3a-4459-80e7-1646992f2525</vt:lpwstr>
  </property>
  <property fmtid="{D5CDD505-2E9C-101B-9397-08002B2CF9AE}" pid="4" name="_docset_NoMedatataSyncRequired">
    <vt:lpwstr>False</vt:lpwstr>
  </property>
</Properties>
</file>