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7239" w:rsidR="004A04AE" w:rsidP="008F2040" w:rsidRDefault="004A04AE" w14:paraId="3B2059E1" w14:textId="77777777">
      <w:pPr>
        <w:spacing w:after="0" w:line="240" w:lineRule="auto"/>
        <w:jc w:val="center"/>
        <w:rPr>
          <w:rFonts w:eastAsia="Times New Roman" w:cs="Arial"/>
          <w:b/>
          <w:bCs/>
          <w:color w:val="000000"/>
          <w:sz w:val="24"/>
          <w:szCs w:val="24"/>
          <w:lang w:eastAsia="nl-NL"/>
        </w:rPr>
      </w:pPr>
      <w:bookmarkStart w:name="_GoBack" w:id="0"/>
      <w:bookmarkEnd w:id="0"/>
      <w:r w:rsidRPr="001A7239">
        <w:rPr>
          <w:rFonts w:eastAsia="Times New Roman" w:cs="Arial"/>
          <w:b/>
          <w:bCs/>
          <w:color w:val="000000"/>
          <w:sz w:val="24"/>
          <w:szCs w:val="24"/>
          <w:lang w:eastAsia="nl-NL"/>
        </w:rPr>
        <w:t>Verslag van de Raad Justitie en Binnenlandse zaken</w:t>
      </w:r>
    </w:p>
    <w:p w:rsidRPr="001A7239" w:rsidR="00E659BA" w:rsidP="008F2040" w:rsidRDefault="00E659BA" w14:paraId="6A7D91B8" w14:textId="0EE69300">
      <w:pPr>
        <w:spacing w:after="0" w:line="240" w:lineRule="auto"/>
        <w:jc w:val="center"/>
        <w:rPr>
          <w:rFonts w:eastAsia="Times New Roman" w:cs="Arial"/>
          <w:b/>
          <w:bCs/>
          <w:color w:val="000000"/>
          <w:sz w:val="24"/>
          <w:szCs w:val="24"/>
          <w:lang w:eastAsia="nl-NL"/>
        </w:rPr>
      </w:pPr>
      <w:r w:rsidRPr="001A7239">
        <w:rPr>
          <w:rFonts w:eastAsia="Times New Roman" w:cs="Arial"/>
          <w:b/>
          <w:bCs/>
          <w:color w:val="000000"/>
          <w:sz w:val="24"/>
          <w:szCs w:val="24"/>
          <w:lang w:eastAsia="nl-NL"/>
        </w:rPr>
        <w:t xml:space="preserve">4 </w:t>
      </w:r>
      <w:r w:rsidRPr="001A7239" w:rsidR="00D33457">
        <w:rPr>
          <w:rFonts w:eastAsia="Times New Roman" w:cs="Arial"/>
          <w:b/>
          <w:bCs/>
          <w:color w:val="000000"/>
          <w:sz w:val="24"/>
          <w:szCs w:val="24"/>
          <w:lang w:eastAsia="nl-NL"/>
        </w:rPr>
        <w:t>en 5 december 2023</w:t>
      </w:r>
    </w:p>
    <w:p w:rsidR="00D33457" w:rsidP="00BD0FE6" w:rsidRDefault="00D33457" w14:paraId="29C056A6" w14:textId="77777777">
      <w:pPr>
        <w:spacing w:after="0" w:line="240" w:lineRule="auto"/>
        <w:rPr>
          <w:rFonts w:ascii="Arial" w:hAnsi="Arial" w:eastAsia="Times New Roman" w:cs="Arial"/>
          <w:b/>
          <w:bCs/>
          <w:color w:val="000000"/>
          <w:sz w:val="22"/>
          <w:lang w:eastAsia="nl-NL"/>
        </w:rPr>
      </w:pPr>
    </w:p>
    <w:p w:rsidR="00F42FBB" w:rsidP="004A04AE" w:rsidRDefault="00F42FBB" w14:paraId="26214F31" w14:textId="77777777">
      <w:pPr>
        <w:spacing w:after="0" w:line="240" w:lineRule="auto"/>
        <w:rPr>
          <w:rFonts w:eastAsia="Times New Roman" w:cs="Arial"/>
          <w:b/>
          <w:bCs/>
          <w:color w:val="000000"/>
          <w:sz w:val="28"/>
          <w:szCs w:val="28"/>
          <w:lang w:eastAsia="nl-NL"/>
        </w:rPr>
      </w:pPr>
    </w:p>
    <w:p w:rsidRPr="001A7239" w:rsidR="00D33457" w:rsidP="004A04AE" w:rsidRDefault="004A04AE" w14:paraId="648ED6FD" w14:textId="77417B3A">
      <w:pPr>
        <w:spacing w:after="0" w:line="240" w:lineRule="auto"/>
        <w:rPr>
          <w:rFonts w:eastAsia="Times New Roman" w:cs="Arial"/>
          <w:b/>
          <w:bCs/>
          <w:color w:val="000000"/>
          <w:sz w:val="24"/>
          <w:szCs w:val="24"/>
          <w:lang w:eastAsia="nl-NL"/>
        </w:rPr>
      </w:pPr>
      <w:r w:rsidRPr="001A7239">
        <w:rPr>
          <w:rFonts w:eastAsia="Times New Roman" w:cs="Arial"/>
          <w:b/>
          <w:bCs/>
          <w:color w:val="000000"/>
          <w:sz w:val="24"/>
          <w:szCs w:val="24"/>
          <w:lang w:eastAsia="nl-NL"/>
        </w:rPr>
        <w:t xml:space="preserve">I. </w:t>
      </w:r>
      <w:r w:rsidRPr="001A7239" w:rsidR="00D33457">
        <w:rPr>
          <w:rFonts w:eastAsia="Times New Roman" w:cs="Arial"/>
          <w:b/>
          <w:bCs/>
          <w:color w:val="000000"/>
          <w:sz w:val="24"/>
          <w:szCs w:val="24"/>
          <w:lang w:eastAsia="nl-NL"/>
        </w:rPr>
        <w:t>Justitie</w:t>
      </w:r>
    </w:p>
    <w:p w:rsidRPr="00627660" w:rsidR="00D33457" w:rsidP="00BD0FE6" w:rsidRDefault="00D33457" w14:paraId="7A11BCD3" w14:textId="03032CF7">
      <w:pPr>
        <w:spacing w:after="0" w:line="240" w:lineRule="auto"/>
        <w:rPr>
          <w:rFonts w:ascii="Arial" w:hAnsi="Arial" w:eastAsia="Times New Roman" w:cs="Arial"/>
          <w:b/>
          <w:bCs/>
          <w:color w:val="000000"/>
          <w:sz w:val="20"/>
          <w:szCs w:val="20"/>
          <w:lang w:eastAsia="nl-NL"/>
        </w:rPr>
      </w:pPr>
    </w:p>
    <w:p w:rsidRPr="00B619C3" w:rsidR="004A04AE" w:rsidP="00BD0FE6" w:rsidRDefault="004A04AE" w14:paraId="2BE0BC6D" w14:textId="680E9681">
      <w:pPr>
        <w:spacing w:after="0" w:line="240" w:lineRule="auto"/>
        <w:rPr>
          <w:rFonts w:eastAsia="Times New Roman" w:cs="Arial"/>
          <w:b/>
          <w:bCs/>
          <w:color w:val="000000"/>
          <w:szCs w:val="18"/>
          <w:lang w:eastAsia="nl-NL"/>
        </w:rPr>
      </w:pPr>
      <w:r w:rsidRPr="00B619C3">
        <w:rPr>
          <w:rFonts w:eastAsia="Times New Roman" w:cs="Arial"/>
          <w:b/>
          <w:bCs/>
          <w:color w:val="000000"/>
          <w:szCs w:val="18"/>
          <w:lang w:eastAsia="nl-NL"/>
        </w:rPr>
        <w:t>Belangrijkste resultaten</w:t>
      </w:r>
      <w:r w:rsidRPr="00B619C3" w:rsidR="00627660">
        <w:rPr>
          <w:rFonts w:eastAsia="Times New Roman" w:cs="Arial"/>
          <w:b/>
          <w:bCs/>
          <w:color w:val="000000"/>
          <w:szCs w:val="18"/>
          <w:lang w:eastAsia="nl-NL"/>
        </w:rPr>
        <w:br/>
      </w:r>
    </w:p>
    <w:p w:rsidR="004A04AE" w:rsidP="004A04AE" w:rsidRDefault="00B619C3" w14:paraId="18EBE512" w14:textId="208EB809">
      <w:pPr>
        <w:pStyle w:val="Lijstalinea"/>
        <w:numPr>
          <w:ilvl w:val="0"/>
          <w:numId w:val="3"/>
        </w:numPr>
        <w:spacing w:after="0" w:line="240" w:lineRule="auto"/>
        <w:rPr>
          <w:rFonts w:eastAsia="Times New Roman" w:cs="Arial"/>
          <w:color w:val="000000"/>
          <w:szCs w:val="18"/>
          <w:lang w:eastAsia="nl-NL"/>
        </w:rPr>
      </w:pPr>
      <w:r>
        <w:rPr>
          <w:rFonts w:eastAsia="Times New Roman" w:cs="Arial"/>
          <w:color w:val="000000"/>
          <w:szCs w:val="18"/>
          <w:lang w:eastAsia="nl-NL"/>
        </w:rPr>
        <w:t>Er werd een</w:t>
      </w:r>
      <w:r w:rsidRPr="00B619C3" w:rsidR="00953FE2">
        <w:rPr>
          <w:rFonts w:eastAsia="Times New Roman" w:cs="Arial"/>
          <w:color w:val="000000"/>
          <w:szCs w:val="18"/>
          <w:lang w:eastAsia="nl-NL"/>
        </w:rPr>
        <w:t xml:space="preserve"> algemene</w:t>
      </w:r>
      <w:r>
        <w:rPr>
          <w:rFonts w:eastAsia="Times New Roman" w:cs="Arial"/>
          <w:color w:val="000000"/>
          <w:szCs w:val="18"/>
          <w:lang w:eastAsia="nl-NL"/>
        </w:rPr>
        <w:t xml:space="preserve"> oriëntatie aangenomen over de Verordening overdracht van strafvervolging</w:t>
      </w:r>
      <w:r w:rsidR="00FD2F2B">
        <w:rPr>
          <w:rFonts w:eastAsia="Times New Roman" w:cs="Arial"/>
          <w:color w:val="000000"/>
          <w:szCs w:val="18"/>
          <w:lang w:eastAsia="nl-NL"/>
        </w:rPr>
        <w:t>.</w:t>
      </w:r>
    </w:p>
    <w:p w:rsidR="00B619C3" w:rsidP="004A04AE" w:rsidRDefault="00B619C3" w14:paraId="3C15A5E9" w14:textId="6DD28703">
      <w:pPr>
        <w:pStyle w:val="Lijstalinea"/>
        <w:numPr>
          <w:ilvl w:val="0"/>
          <w:numId w:val="3"/>
        </w:numPr>
        <w:spacing w:after="0" w:line="240" w:lineRule="auto"/>
        <w:rPr>
          <w:rFonts w:eastAsia="Times New Roman" w:cs="Arial"/>
          <w:color w:val="000000"/>
          <w:szCs w:val="18"/>
          <w:lang w:eastAsia="nl-NL"/>
        </w:rPr>
      </w:pPr>
      <w:r>
        <w:rPr>
          <w:rFonts w:eastAsia="Times New Roman" w:cs="Arial"/>
          <w:color w:val="000000"/>
          <w:szCs w:val="18"/>
          <w:lang w:eastAsia="nl-NL"/>
        </w:rPr>
        <w:t xml:space="preserve">De </w:t>
      </w:r>
      <w:r w:rsidR="00BC4C76">
        <w:rPr>
          <w:rFonts w:eastAsia="Times New Roman" w:cs="Arial"/>
          <w:color w:val="000000"/>
          <w:szCs w:val="18"/>
          <w:lang w:eastAsia="nl-NL"/>
        </w:rPr>
        <w:t>e</w:t>
      </w:r>
      <w:r>
        <w:rPr>
          <w:rFonts w:eastAsia="Times New Roman" w:cs="Arial"/>
          <w:color w:val="000000"/>
          <w:szCs w:val="18"/>
          <w:lang w:eastAsia="nl-NL"/>
        </w:rPr>
        <w:t>-justice strategie 2024-2028 werd aangenomen</w:t>
      </w:r>
      <w:r w:rsidR="00FD2F2B">
        <w:rPr>
          <w:rFonts w:eastAsia="Times New Roman" w:cs="Arial"/>
          <w:color w:val="000000"/>
          <w:szCs w:val="18"/>
          <w:lang w:eastAsia="nl-NL"/>
        </w:rPr>
        <w:t>.</w:t>
      </w:r>
    </w:p>
    <w:p w:rsidR="00FD2F2B" w:rsidP="004A04AE" w:rsidRDefault="00FD2F2B" w14:paraId="3E61B9C5" w14:textId="31E16E5C">
      <w:pPr>
        <w:pStyle w:val="Lijstalinea"/>
        <w:numPr>
          <w:ilvl w:val="0"/>
          <w:numId w:val="3"/>
        </w:numPr>
        <w:spacing w:after="0" w:line="240" w:lineRule="auto"/>
        <w:rPr>
          <w:rFonts w:eastAsia="Times New Roman" w:cs="Arial"/>
          <w:color w:val="000000"/>
          <w:szCs w:val="18"/>
          <w:lang w:eastAsia="nl-NL"/>
        </w:rPr>
      </w:pPr>
      <w:r>
        <w:rPr>
          <w:rFonts w:eastAsia="Times New Roman" w:cs="Arial"/>
          <w:color w:val="000000"/>
          <w:szCs w:val="18"/>
          <w:lang w:eastAsia="nl-NL"/>
        </w:rPr>
        <w:t>Er is een Raadspositie aangenomen over de evaluatie van de toepassing van de AVG.</w:t>
      </w:r>
    </w:p>
    <w:p w:rsidR="00FD2F2B" w:rsidP="00FD2F2B" w:rsidRDefault="00AD0302" w14:paraId="0E995A24" w14:textId="0BA0FD69">
      <w:pPr>
        <w:pStyle w:val="Lijstalinea"/>
        <w:numPr>
          <w:ilvl w:val="0"/>
          <w:numId w:val="3"/>
        </w:numPr>
        <w:spacing w:after="0" w:line="240" w:lineRule="auto"/>
        <w:rPr>
          <w:rFonts w:eastAsia="Times New Roman" w:cs="Arial"/>
          <w:color w:val="000000"/>
          <w:szCs w:val="18"/>
          <w:lang w:eastAsia="nl-NL"/>
        </w:rPr>
      </w:pPr>
      <w:r>
        <w:rPr>
          <w:rFonts w:eastAsia="Times New Roman" w:cs="Arial"/>
          <w:color w:val="000000"/>
          <w:szCs w:val="18"/>
          <w:lang w:eastAsia="nl-NL"/>
        </w:rPr>
        <w:t>D</w:t>
      </w:r>
      <w:r w:rsidR="009812D2">
        <w:rPr>
          <w:rFonts w:eastAsia="Times New Roman" w:cs="Arial"/>
          <w:color w:val="000000"/>
          <w:szCs w:val="18"/>
          <w:lang w:eastAsia="nl-NL"/>
        </w:rPr>
        <w:t>ebatten</w:t>
      </w:r>
      <w:r w:rsidR="00FD2F2B">
        <w:rPr>
          <w:rFonts w:eastAsia="Times New Roman" w:cs="Arial"/>
          <w:color w:val="000000"/>
          <w:szCs w:val="18"/>
          <w:lang w:eastAsia="nl-NL"/>
        </w:rPr>
        <w:t xml:space="preserve"> over de rechten van slachtoffers en over de justitiële samenwerking met derde landen he</w:t>
      </w:r>
      <w:r>
        <w:rPr>
          <w:rFonts w:eastAsia="Times New Roman" w:cs="Arial"/>
          <w:color w:val="000000"/>
          <w:szCs w:val="18"/>
          <w:lang w:eastAsia="nl-NL"/>
        </w:rPr>
        <w:t xml:space="preserve">bben </w:t>
      </w:r>
      <w:r w:rsidR="00FD2F2B">
        <w:rPr>
          <w:rFonts w:eastAsia="Times New Roman" w:cs="Arial"/>
          <w:color w:val="000000"/>
          <w:szCs w:val="18"/>
          <w:lang w:eastAsia="nl-NL"/>
        </w:rPr>
        <w:t>besluitvorming op deze dossiers richting gegeven.</w:t>
      </w:r>
    </w:p>
    <w:p w:rsidRPr="00B619C3" w:rsidR="00FD2F2B" w:rsidP="00FD2F2B" w:rsidRDefault="00FD2F2B" w14:paraId="3053816F" w14:textId="77777777">
      <w:pPr>
        <w:pStyle w:val="Lijstalinea"/>
        <w:spacing w:after="0" w:line="240" w:lineRule="auto"/>
        <w:rPr>
          <w:rFonts w:eastAsia="Times New Roman" w:cs="Arial"/>
          <w:color w:val="000000"/>
          <w:szCs w:val="18"/>
          <w:lang w:eastAsia="nl-NL"/>
        </w:rPr>
      </w:pPr>
    </w:p>
    <w:p w:rsidRPr="00B619C3" w:rsidR="00D44FA3" w:rsidP="00176550" w:rsidRDefault="00D44FA3" w14:paraId="08FF449F" w14:textId="77777777">
      <w:pPr>
        <w:pStyle w:val="Default"/>
        <w:rPr>
          <w:sz w:val="18"/>
          <w:szCs w:val="18"/>
        </w:rPr>
      </w:pPr>
      <w:r w:rsidRPr="00B619C3">
        <w:rPr>
          <w:sz w:val="18"/>
          <w:szCs w:val="18"/>
        </w:rPr>
        <w:t xml:space="preserve"> </w:t>
      </w:r>
    </w:p>
    <w:p w:rsidRPr="00B619C3" w:rsidR="00DD7BD2" w:rsidP="00DD7BD2" w:rsidRDefault="00DD7BD2" w14:paraId="12CC01C4" w14:textId="77777777">
      <w:pPr>
        <w:pStyle w:val="Default"/>
        <w:rPr>
          <w:sz w:val="18"/>
          <w:szCs w:val="18"/>
        </w:rPr>
      </w:pPr>
      <w:r w:rsidRPr="00B619C3">
        <w:rPr>
          <w:b/>
          <w:bCs/>
          <w:sz w:val="18"/>
          <w:szCs w:val="18"/>
        </w:rPr>
        <w:t xml:space="preserve">1. Verordening betreffende de overdracht van strafvervolging </w:t>
      </w:r>
    </w:p>
    <w:p w:rsidR="00DD7BD2" w:rsidP="00DD7BD2" w:rsidRDefault="00DD7BD2" w14:paraId="376C6D6F" w14:textId="77777777">
      <w:pPr>
        <w:pStyle w:val="Default"/>
        <w:rPr>
          <w:sz w:val="18"/>
          <w:szCs w:val="18"/>
        </w:rPr>
      </w:pPr>
    </w:p>
    <w:p w:rsidRPr="008F2040" w:rsidR="00DD7BD2" w:rsidP="00DD7BD2" w:rsidRDefault="00DD7BD2" w14:paraId="55AEFBC3" w14:textId="50238C72">
      <w:pPr>
        <w:pStyle w:val="Default"/>
        <w:rPr>
          <w:sz w:val="18"/>
          <w:szCs w:val="18"/>
        </w:rPr>
      </w:pPr>
      <w:r w:rsidRPr="008F2040">
        <w:rPr>
          <w:sz w:val="18"/>
          <w:szCs w:val="18"/>
        </w:rPr>
        <w:t xml:space="preserve">Het Spaanse voorzitterschap lichtte de voorliggende verordening toe als een ontbrekend instrument in de strafrechtelijke samenwerking binnen de EU. </w:t>
      </w:r>
      <w:r>
        <w:rPr>
          <w:sz w:val="18"/>
          <w:szCs w:val="18"/>
        </w:rPr>
        <w:t>Er zijn diverse instrumenten inzake wederzijdse erkenning, maar</w:t>
      </w:r>
      <w:r w:rsidRPr="008F2040">
        <w:rPr>
          <w:sz w:val="18"/>
          <w:szCs w:val="18"/>
        </w:rPr>
        <w:t xml:space="preserve"> specifieke regelgeving</w:t>
      </w:r>
      <w:r>
        <w:rPr>
          <w:sz w:val="18"/>
          <w:szCs w:val="18"/>
        </w:rPr>
        <w:t xml:space="preserve"> ontbreekt</w:t>
      </w:r>
      <w:r w:rsidRPr="008F2040">
        <w:rPr>
          <w:sz w:val="18"/>
          <w:szCs w:val="18"/>
        </w:rPr>
        <w:t xml:space="preserve"> voor de overdracht van strafvervolging</w:t>
      </w:r>
      <w:r>
        <w:rPr>
          <w:sz w:val="18"/>
          <w:szCs w:val="18"/>
        </w:rPr>
        <w:t xml:space="preserve"> naar een andere lidstaat</w:t>
      </w:r>
      <w:r w:rsidRPr="008F2040">
        <w:rPr>
          <w:sz w:val="18"/>
          <w:szCs w:val="18"/>
        </w:rPr>
        <w:t xml:space="preserve">. </w:t>
      </w:r>
    </w:p>
    <w:p w:rsidRPr="008F2040" w:rsidR="00DD7BD2" w:rsidP="00DD7BD2" w:rsidRDefault="00DD7BD2" w14:paraId="34FD49C6" w14:textId="77777777">
      <w:pPr>
        <w:pStyle w:val="Default"/>
        <w:rPr>
          <w:sz w:val="18"/>
          <w:szCs w:val="18"/>
        </w:rPr>
      </w:pPr>
    </w:p>
    <w:p w:rsidRPr="00B619C3" w:rsidR="00DD7BD2" w:rsidP="00DD7BD2" w:rsidRDefault="00DD7BD2" w14:paraId="690B49F8" w14:textId="7ECFC99A">
      <w:pPr>
        <w:pStyle w:val="Default"/>
        <w:rPr>
          <w:sz w:val="18"/>
          <w:szCs w:val="18"/>
        </w:rPr>
      </w:pPr>
      <w:r>
        <w:rPr>
          <w:sz w:val="18"/>
          <w:szCs w:val="18"/>
        </w:rPr>
        <w:t>Een meerderheid van de lidstaten sprak steun uit voor aanname van</w:t>
      </w:r>
      <w:r w:rsidRPr="008F2040">
        <w:rPr>
          <w:sz w:val="18"/>
          <w:szCs w:val="18"/>
        </w:rPr>
        <w:t xml:space="preserve"> de voorliggende algemene oriëntatie. De lidstaten uitten hun waardering voor de compromistekst en zien het voorstel als een belangrijk EU</w:t>
      </w:r>
      <w:r>
        <w:rPr>
          <w:sz w:val="18"/>
          <w:szCs w:val="18"/>
        </w:rPr>
        <w:t>-instrument</w:t>
      </w:r>
      <w:r w:rsidRPr="008F2040">
        <w:rPr>
          <w:sz w:val="18"/>
          <w:szCs w:val="18"/>
        </w:rPr>
        <w:t xml:space="preserve"> om de efficiënt</w:t>
      </w:r>
      <w:r>
        <w:rPr>
          <w:sz w:val="18"/>
          <w:szCs w:val="18"/>
        </w:rPr>
        <w:t>i</w:t>
      </w:r>
      <w:r w:rsidRPr="008F2040">
        <w:rPr>
          <w:sz w:val="18"/>
          <w:szCs w:val="18"/>
        </w:rPr>
        <w:t>e en effectiviteit van strafvervolgingsoverdrachten te verbeteren</w:t>
      </w:r>
      <w:r>
        <w:rPr>
          <w:sz w:val="18"/>
          <w:szCs w:val="18"/>
        </w:rPr>
        <w:t xml:space="preserve"> en de rechtsbescherming voor betrokkenen te versterken</w:t>
      </w:r>
      <w:r w:rsidRPr="008F2040">
        <w:rPr>
          <w:sz w:val="18"/>
          <w:szCs w:val="18"/>
        </w:rPr>
        <w:t>.</w:t>
      </w:r>
      <w:r>
        <w:rPr>
          <w:sz w:val="18"/>
          <w:szCs w:val="18"/>
        </w:rPr>
        <w:t xml:space="preserve"> E</w:t>
      </w:r>
      <w:r w:rsidRPr="008F2040">
        <w:rPr>
          <w:sz w:val="18"/>
          <w:szCs w:val="18"/>
        </w:rPr>
        <w:t xml:space="preserve">nkele lidstaten uitten </w:t>
      </w:r>
      <w:r>
        <w:rPr>
          <w:sz w:val="18"/>
          <w:szCs w:val="18"/>
        </w:rPr>
        <w:t xml:space="preserve">een </w:t>
      </w:r>
      <w:r w:rsidRPr="008F2040">
        <w:rPr>
          <w:sz w:val="18"/>
          <w:szCs w:val="18"/>
        </w:rPr>
        <w:t xml:space="preserve">voorbehoud ten aanzien van het voorstel en onthielden zich van </w:t>
      </w:r>
      <w:r>
        <w:rPr>
          <w:sz w:val="18"/>
          <w:szCs w:val="18"/>
        </w:rPr>
        <w:t>stemming</w:t>
      </w:r>
      <w:r w:rsidRPr="008F2040">
        <w:rPr>
          <w:sz w:val="18"/>
          <w:szCs w:val="18"/>
        </w:rPr>
        <w:t xml:space="preserve">. Deze lidstaten benadrukten hun behoefte aan meer tijd om de praktische implicaties van het voorstel te bestuderen. De verdere uitwerking van het voorstel zal op basis van de algemene oriëntatie worden voortgezet onder het Belgische </w:t>
      </w:r>
      <w:r w:rsidR="003B49FA">
        <w:rPr>
          <w:sz w:val="18"/>
          <w:szCs w:val="18"/>
        </w:rPr>
        <w:t>v</w:t>
      </w:r>
      <w:r w:rsidRPr="008F2040">
        <w:rPr>
          <w:sz w:val="18"/>
          <w:szCs w:val="18"/>
        </w:rPr>
        <w:t>oorzitterschap</w:t>
      </w:r>
      <w:r>
        <w:rPr>
          <w:sz w:val="18"/>
          <w:szCs w:val="18"/>
        </w:rPr>
        <w:t xml:space="preserve">. </w:t>
      </w:r>
    </w:p>
    <w:p w:rsidRPr="00B619C3" w:rsidR="00D44FA3" w:rsidP="00176550" w:rsidRDefault="00D44FA3" w14:paraId="0F3A9F6E" w14:textId="77777777">
      <w:pPr>
        <w:pStyle w:val="Default"/>
        <w:rPr>
          <w:sz w:val="18"/>
          <w:szCs w:val="18"/>
        </w:rPr>
      </w:pPr>
      <w:r w:rsidRPr="00B619C3">
        <w:rPr>
          <w:sz w:val="18"/>
          <w:szCs w:val="18"/>
        </w:rPr>
        <w:t xml:space="preserve"> </w:t>
      </w:r>
    </w:p>
    <w:p w:rsidRPr="00B619C3" w:rsidR="00D44FA3" w:rsidP="00176550" w:rsidRDefault="00D44FA3" w14:paraId="5702F8F4" w14:textId="77777777">
      <w:pPr>
        <w:pStyle w:val="Default"/>
        <w:rPr>
          <w:sz w:val="18"/>
          <w:szCs w:val="18"/>
        </w:rPr>
      </w:pPr>
      <w:r w:rsidRPr="00B619C3">
        <w:rPr>
          <w:b/>
          <w:bCs/>
          <w:sz w:val="18"/>
          <w:szCs w:val="18"/>
        </w:rPr>
        <w:t xml:space="preserve">2. Richtlijn voor het wijzigen van Richtlijn 2012/29/EU betreffende de rechten van slachtoffers van strafbare feiten </w:t>
      </w:r>
    </w:p>
    <w:p w:rsidR="00D44FA3" w:rsidP="00176550" w:rsidRDefault="00D44FA3" w14:paraId="1A37F63C" w14:textId="050806F6">
      <w:pPr>
        <w:spacing w:after="0" w:line="240" w:lineRule="auto"/>
        <w:rPr>
          <w:rFonts w:ascii="Times New Roman" w:hAnsi="Times New Roman" w:eastAsia="Times New Roman" w:cs="Times New Roman"/>
          <w:szCs w:val="18"/>
          <w:lang w:eastAsia="nl-NL"/>
        </w:rPr>
      </w:pPr>
    </w:p>
    <w:p w:rsidRPr="008F2040" w:rsidR="008F2040" w:rsidP="008F2040" w:rsidRDefault="008F2040" w14:paraId="5398F451" w14:textId="64F5ECC1">
      <w:pPr>
        <w:spacing w:after="0" w:line="240" w:lineRule="auto"/>
        <w:rPr>
          <w:rFonts w:eastAsia="Times New Roman" w:cs="Times New Roman"/>
          <w:szCs w:val="18"/>
          <w:lang w:eastAsia="nl-NL"/>
        </w:rPr>
      </w:pPr>
      <w:r w:rsidRPr="008F2040">
        <w:rPr>
          <w:rFonts w:eastAsia="Times New Roman" w:cs="Times New Roman"/>
          <w:szCs w:val="18"/>
          <w:lang w:eastAsia="nl-NL"/>
        </w:rPr>
        <w:t xml:space="preserve">Het Voorzitterschap opende het beleidsdebat </w:t>
      </w:r>
      <w:r w:rsidR="00AD0302">
        <w:rPr>
          <w:rFonts w:eastAsia="Times New Roman" w:cs="Times New Roman"/>
          <w:szCs w:val="18"/>
          <w:lang w:eastAsia="nl-NL"/>
        </w:rPr>
        <w:t>door de discussie te richtten op de</w:t>
      </w:r>
      <w:r w:rsidRPr="008F2040">
        <w:rPr>
          <w:rFonts w:eastAsia="Times New Roman" w:cs="Times New Roman"/>
          <w:szCs w:val="18"/>
          <w:lang w:eastAsia="nl-NL"/>
        </w:rPr>
        <w:t xml:space="preserve"> schadeloosstelling voor slachtoffers en de implementatie van een geïntegreerde dienstverlening op een locatie voor kindslachtoffers. In het </w:t>
      </w:r>
      <w:r w:rsidR="00AD0302">
        <w:rPr>
          <w:rFonts w:eastAsia="Times New Roman" w:cs="Times New Roman"/>
          <w:szCs w:val="18"/>
          <w:lang w:eastAsia="nl-NL"/>
        </w:rPr>
        <w:t xml:space="preserve">vooraf verspreide </w:t>
      </w:r>
      <w:r w:rsidRPr="008F2040">
        <w:rPr>
          <w:rFonts w:eastAsia="Times New Roman" w:cs="Times New Roman"/>
          <w:szCs w:val="18"/>
          <w:lang w:eastAsia="nl-NL"/>
        </w:rPr>
        <w:t xml:space="preserve">discussiedocument vroeg het Voorzitterschap de Raad: </w:t>
      </w:r>
    </w:p>
    <w:p w:rsidRPr="008F2040" w:rsidR="008F2040" w:rsidP="008F2040" w:rsidRDefault="008F2040" w14:paraId="2DE1B832" w14:textId="77777777">
      <w:pPr>
        <w:spacing w:after="0" w:line="240" w:lineRule="auto"/>
        <w:rPr>
          <w:rFonts w:eastAsia="Times New Roman" w:cs="Times New Roman"/>
          <w:szCs w:val="18"/>
          <w:lang w:eastAsia="nl-NL"/>
        </w:rPr>
      </w:pPr>
    </w:p>
    <w:p w:rsidRPr="008F2040" w:rsidR="008F2040" w:rsidP="008F2040" w:rsidRDefault="008F2040" w14:paraId="476417CD" w14:textId="5C20D058">
      <w:pPr>
        <w:pStyle w:val="Lijstalinea"/>
        <w:numPr>
          <w:ilvl w:val="0"/>
          <w:numId w:val="21"/>
        </w:numPr>
        <w:spacing w:after="0" w:line="240" w:lineRule="auto"/>
        <w:rPr>
          <w:rFonts w:eastAsia="Times New Roman" w:cs="Times New Roman"/>
          <w:szCs w:val="18"/>
          <w:lang w:eastAsia="nl-NL"/>
        </w:rPr>
      </w:pPr>
      <w:r w:rsidRPr="008F2040">
        <w:rPr>
          <w:rFonts w:eastAsia="Times New Roman" w:cs="Times New Roman"/>
          <w:szCs w:val="18"/>
          <w:lang w:eastAsia="nl-NL"/>
        </w:rPr>
        <w:t>Wat is de beste aanpak om ervoor te zorgen dat slachtoffers adequate compensatie van schade door de dader ontvangen?</w:t>
      </w:r>
    </w:p>
    <w:p w:rsidRPr="008F2040" w:rsidR="008F2040" w:rsidP="008F2040" w:rsidRDefault="008F2040" w14:paraId="65F1F1CE" w14:textId="6DF26A1A">
      <w:pPr>
        <w:pStyle w:val="Lijstalinea"/>
        <w:numPr>
          <w:ilvl w:val="0"/>
          <w:numId w:val="21"/>
        </w:numPr>
        <w:spacing w:after="0" w:line="240" w:lineRule="auto"/>
        <w:rPr>
          <w:rFonts w:eastAsia="Times New Roman" w:cs="Times New Roman"/>
          <w:szCs w:val="18"/>
          <w:lang w:eastAsia="nl-NL"/>
        </w:rPr>
      </w:pPr>
      <w:r w:rsidRPr="008F2040">
        <w:rPr>
          <w:rFonts w:eastAsia="Times New Roman" w:cs="Times New Roman"/>
          <w:szCs w:val="18"/>
          <w:lang w:eastAsia="nl-NL"/>
        </w:rPr>
        <w:t>In welke zaken met kindslachtoffers zou het Barnahus</w:t>
      </w:r>
      <w:r w:rsidR="00607703">
        <w:rPr>
          <w:rFonts w:eastAsia="Times New Roman" w:cs="Times New Roman"/>
          <w:szCs w:val="18"/>
          <w:lang w:eastAsia="nl-NL"/>
        </w:rPr>
        <w:t>-</w:t>
      </w:r>
      <w:r w:rsidRPr="008F2040">
        <w:rPr>
          <w:rFonts w:eastAsia="Times New Roman" w:cs="Times New Roman"/>
          <w:szCs w:val="18"/>
          <w:lang w:eastAsia="nl-NL"/>
        </w:rPr>
        <w:t>model van toepassing moeten zijn? Zou het in alle zaken met kindslachtoffers van toepassing moeten zijn of alleen bij ernstige strafbare feiten of in het geval van specifieke behoeften door hun persoonlijke kenmerken?</w:t>
      </w:r>
    </w:p>
    <w:p w:rsidRPr="008F2040" w:rsidR="008F2040" w:rsidP="008F2040" w:rsidRDefault="008F2040" w14:paraId="0DD65FFA" w14:textId="77777777">
      <w:pPr>
        <w:spacing w:after="0" w:line="240" w:lineRule="auto"/>
        <w:rPr>
          <w:rFonts w:eastAsia="Times New Roman" w:cs="Times New Roman"/>
          <w:szCs w:val="18"/>
          <w:lang w:eastAsia="nl-NL"/>
        </w:rPr>
      </w:pPr>
    </w:p>
    <w:p w:rsidRPr="008F2040" w:rsidR="008F2040" w:rsidP="008F2040" w:rsidRDefault="001A7239" w14:paraId="1FFFBFE5" w14:textId="65227651">
      <w:pPr>
        <w:spacing w:after="0" w:line="240" w:lineRule="auto"/>
        <w:rPr>
          <w:rFonts w:eastAsia="Times New Roman" w:cs="Times New Roman"/>
          <w:szCs w:val="18"/>
          <w:lang w:eastAsia="nl-NL"/>
        </w:rPr>
      </w:pPr>
      <w:r>
        <w:rPr>
          <w:rFonts w:eastAsia="Times New Roman" w:cs="Times New Roman"/>
          <w:szCs w:val="18"/>
          <w:lang w:eastAsia="nl-NL"/>
        </w:rPr>
        <w:t xml:space="preserve">Een </w:t>
      </w:r>
      <w:r w:rsidRPr="008F2040" w:rsidR="008F2040">
        <w:rPr>
          <w:rFonts w:eastAsia="Times New Roman" w:cs="Times New Roman"/>
          <w:szCs w:val="18"/>
          <w:lang w:eastAsia="nl-NL"/>
        </w:rPr>
        <w:t xml:space="preserve">meerderheid van de lidstaten </w:t>
      </w:r>
      <w:r w:rsidR="00AD0302">
        <w:rPr>
          <w:rFonts w:eastAsia="Times New Roman" w:cs="Times New Roman"/>
          <w:szCs w:val="18"/>
          <w:lang w:eastAsia="nl-NL"/>
        </w:rPr>
        <w:t xml:space="preserve">uitte steun voor </w:t>
      </w:r>
      <w:r w:rsidRPr="008F2040" w:rsidR="008F2040">
        <w:rPr>
          <w:rFonts w:eastAsia="Times New Roman" w:cs="Times New Roman"/>
          <w:szCs w:val="18"/>
          <w:lang w:eastAsia="nl-NL"/>
        </w:rPr>
        <w:t xml:space="preserve">de doelstellingen van de richtlijn. </w:t>
      </w:r>
      <w:r w:rsidR="005D3B4D">
        <w:rPr>
          <w:rFonts w:eastAsia="Times New Roman" w:cs="Times New Roman"/>
          <w:szCs w:val="18"/>
          <w:lang w:eastAsia="nl-NL"/>
        </w:rPr>
        <w:t>Vrijwel alle lidstaten</w:t>
      </w:r>
      <w:r w:rsidRPr="008F2040" w:rsidR="008F2040">
        <w:rPr>
          <w:rFonts w:eastAsia="Times New Roman" w:cs="Times New Roman"/>
          <w:szCs w:val="18"/>
          <w:lang w:eastAsia="nl-NL"/>
        </w:rPr>
        <w:t>, waaronder Nederland, benadrukte</w:t>
      </w:r>
      <w:r>
        <w:rPr>
          <w:rFonts w:eastAsia="Times New Roman" w:cs="Times New Roman"/>
          <w:szCs w:val="18"/>
          <w:lang w:eastAsia="nl-NL"/>
        </w:rPr>
        <w:t>n</w:t>
      </w:r>
      <w:r w:rsidRPr="008F2040" w:rsidR="008F2040">
        <w:rPr>
          <w:rFonts w:eastAsia="Times New Roman" w:cs="Times New Roman"/>
          <w:szCs w:val="18"/>
          <w:lang w:eastAsia="nl-NL"/>
        </w:rPr>
        <w:t xml:space="preserve"> het belang van nationale speelruimte bij de implementatie van enkele voorgestelde richtlijnbepalingen. Hierbij werd gesteld dat een flexibele aanpak vereist is, waarbij er rekening wordt gehouden met bestaande nationale systemen op het gebied van slachtoffercompensaties. Daarnaast werd er door meerdere lidstaten bezorgdheid geuit over de financiële implicaties van de voorgestelde voorschotregeling. </w:t>
      </w:r>
      <w:r w:rsidR="00AD0302">
        <w:rPr>
          <w:rFonts w:eastAsia="Times New Roman" w:cs="Times New Roman"/>
          <w:szCs w:val="18"/>
          <w:lang w:eastAsia="nl-NL"/>
        </w:rPr>
        <w:t xml:space="preserve">Ook </w:t>
      </w:r>
      <w:r w:rsidR="00607703">
        <w:rPr>
          <w:rFonts w:eastAsia="Times New Roman" w:cs="Times New Roman"/>
          <w:szCs w:val="18"/>
          <w:lang w:eastAsia="nl-NL"/>
        </w:rPr>
        <w:t>pleitte</w:t>
      </w:r>
      <w:r>
        <w:rPr>
          <w:rFonts w:eastAsia="Times New Roman" w:cs="Times New Roman"/>
          <w:szCs w:val="18"/>
          <w:lang w:eastAsia="nl-NL"/>
        </w:rPr>
        <w:t>n</w:t>
      </w:r>
      <w:r w:rsidR="00AD0302">
        <w:rPr>
          <w:rFonts w:eastAsia="Times New Roman" w:cs="Times New Roman"/>
          <w:szCs w:val="18"/>
          <w:lang w:eastAsia="nl-NL"/>
        </w:rPr>
        <w:t xml:space="preserve"> veel lidstaten</w:t>
      </w:r>
      <w:r w:rsidR="00607703">
        <w:rPr>
          <w:rFonts w:eastAsia="Times New Roman" w:cs="Times New Roman"/>
          <w:szCs w:val="18"/>
          <w:lang w:eastAsia="nl-NL"/>
        </w:rPr>
        <w:t xml:space="preserve"> </w:t>
      </w:r>
      <w:r w:rsidRPr="008F2040" w:rsidR="008F2040">
        <w:rPr>
          <w:rFonts w:eastAsia="Times New Roman" w:cs="Times New Roman"/>
          <w:szCs w:val="18"/>
          <w:lang w:eastAsia="nl-NL"/>
        </w:rPr>
        <w:t xml:space="preserve">voor een </w:t>
      </w:r>
      <w:r w:rsidR="00607703">
        <w:rPr>
          <w:rFonts w:eastAsia="Times New Roman" w:cs="Times New Roman"/>
          <w:szCs w:val="18"/>
          <w:lang w:eastAsia="nl-NL"/>
        </w:rPr>
        <w:t>benadering</w:t>
      </w:r>
      <w:r w:rsidRPr="008F2040" w:rsidR="008F2040">
        <w:rPr>
          <w:rFonts w:eastAsia="Times New Roman" w:cs="Times New Roman"/>
          <w:szCs w:val="18"/>
          <w:lang w:eastAsia="nl-NL"/>
        </w:rPr>
        <w:t xml:space="preserve"> waarbij de staat, indien nodig, het slachtoffer ondersteunt zonder de primaire verantwoordelijkheid van de dader te ontnemen.</w:t>
      </w:r>
    </w:p>
    <w:p w:rsidR="00D44FA3" w:rsidP="00176550" w:rsidRDefault="00D44FA3" w14:paraId="16E00D0C" w14:textId="56AB983D">
      <w:pPr>
        <w:spacing w:after="0" w:line="240" w:lineRule="auto"/>
        <w:rPr>
          <w:rFonts w:ascii="Arial" w:hAnsi="Arial" w:eastAsia="Times New Roman" w:cs="Arial"/>
          <w:b/>
          <w:bCs/>
          <w:i/>
          <w:iCs/>
          <w:color w:val="000000"/>
          <w:szCs w:val="18"/>
          <w:lang w:eastAsia="nl-NL"/>
        </w:rPr>
      </w:pPr>
    </w:p>
    <w:p w:rsidRPr="008F2040" w:rsidR="008F2040" w:rsidP="00176550" w:rsidRDefault="005D3B4D" w14:paraId="0FFC3ACC" w14:textId="66875342">
      <w:pPr>
        <w:spacing w:after="0" w:line="240" w:lineRule="auto"/>
        <w:rPr>
          <w:rFonts w:eastAsia="Times New Roman" w:cs="Arial"/>
          <w:color w:val="000000"/>
          <w:szCs w:val="18"/>
          <w:lang w:eastAsia="nl-NL"/>
        </w:rPr>
      </w:pPr>
      <w:r>
        <w:rPr>
          <w:rFonts w:eastAsia="Times New Roman" w:cs="Arial"/>
          <w:color w:val="000000"/>
          <w:szCs w:val="18"/>
          <w:lang w:eastAsia="nl-NL"/>
        </w:rPr>
        <w:t>Ten aanzien van het</w:t>
      </w:r>
      <w:r w:rsidRPr="008F2040" w:rsidR="008F2040">
        <w:rPr>
          <w:rFonts w:eastAsia="Times New Roman" w:cs="Arial"/>
          <w:color w:val="000000"/>
          <w:szCs w:val="18"/>
          <w:lang w:eastAsia="nl-NL"/>
        </w:rPr>
        <w:t xml:space="preserve"> Barnahus-model</w:t>
      </w:r>
      <w:r>
        <w:rPr>
          <w:rFonts w:eastAsia="Times New Roman" w:cs="Arial"/>
          <w:color w:val="000000"/>
          <w:szCs w:val="18"/>
          <w:lang w:eastAsia="nl-NL"/>
        </w:rPr>
        <w:t xml:space="preserve">, </w:t>
      </w:r>
      <w:r w:rsidRPr="008F2040" w:rsidR="008F2040">
        <w:rPr>
          <w:rFonts w:eastAsia="Times New Roman" w:cs="Arial"/>
          <w:color w:val="000000"/>
          <w:szCs w:val="18"/>
          <w:lang w:eastAsia="nl-NL"/>
        </w:rPr>
        <w:t xml:space="preserve">prijsden </w:t>
      </w:r>
      <w:r>
        <w:rPr>
          <w:rFonts w:eastAsia="Times New Roman" w:cs="Arial"/>
          <w:color w:val="000000"/>
          <w:szCs w:val="18"/>
          <w:lang w:eastAsia="nl-NL"/>
        </w:rPr>
        <w:t xml:space="preserve">enkele lidstaten </w:t>
      </w:r>
      <w:r w:rsidRPr="008F2040" w:rsidR="008F2040">
        <w:rPr>
          <w:rFonts w:eastAsia="Times New Roman" w:cs="Arial"/>
          <w:color w:val="000000"/>
          <w:szCs w:val="18"/>
          <w:lang w:eastAsia="nl-NL"/>
        </w:rPr>
        <w:t>het model aan als waardevol</w:t>
      </w:r>
      <w:r>
        <w:rPr>
          <w:rFonts w:eastAsia="Times New Roman" w:cs="Arial"/>
          <w:color w:val="000000"/>
          <w:szCs w:val="18"/>
          <w:lang w:eastAsia="nl-NL"/>
        </w:rPr>
        <w:t xml:space="preserve">. De meeste lidstaten </w:t>
      </w:r>
      <w:r w:rsidRPr="008F2040" w:rsidR="008F2040">
        <w:rPr>
          <w:rFonts w:eastAsia="Times New Roman" w:cs="Arial"/>
          <w:color w:val="000000"/>
          <w:szCs w:val="18"/>
          <w:lang w:eastAsia="nl-NL"/>
        </w:rPr>
        <w:t>pleitten</w:t>
      </w:r>
      <w:r>
        <w:rPr>
          <w:rFonts w:eastAsia="Times New Roman" w:cs="Arial"/>
          <w:color w:val="000000"/>
          <w:szCs w:val="18"/>
          <w:lang w:eastAsia="nl-NL"/>
        </w:rPr>
        <w:t xml:space="preserve"> echter</w:t>
      </w:r>
      <w:r w:rsidRPr="008F2040" w:rsidR="008F2040">
        <w:rPr>
          <w:rFonts w:eastAsia="Times New Roman" w:cs="Arial"/>
          <w:color w:val="000000"/>
          <w:szCs w:val="18"/>
          <w:lang w:eastAsia="nl-NL"/>
        </w:rPr>
        <w:t xml:space="preserve"> voor geen verplichting van het model.</w:t>
      </w:r>
      <w:r w:rsidR="00607703">
        <w:rPr>
          <w:rFonts w:eastAsia="Times New Roman" w:cs="Arial"/>
          <w:color w:val="000000"/>
          <w:szCs w:val="18"/>
          <w:lang w:eastAsia="nl-NL"/>
        </w:rPr>
        <w:t xml:space="preserve"> </w:t>
      </w:r>
      <w:r>
        <w:rPr>
          <w:rFonts w:eastAsia="Times New Roman" w:cs="Arial"/>
          <w:color w:val="000000"/>
          <w:szCs w:val="18"/>
          <w:lang w:eastAsia="nl-NL"/>
        </w:rPr>
        <w:t xml:space="preserve">Daarbij werd aangegeven dat </w:t>
      </w:r>
      <w:r w:rsidRPr="008F2040" w:rsidR="008F2040">
        <w:rPr>
          <w:rFonts w:eastAsia="Times New Roman" w:cs="Arial"/>
          <w:color w:val="000000"/>
          <w:szCs w:val="18"/>
          <w:lang w:eastAsia="nl-NL"/>
        </w:rPr>
        <w:t xml:space="preserve">de specifieke behoeften en omstandigheden variëren per lidstaat en </w:t>
      </w:r>
      <w:r>
        <w:rPr>
          <w:rFonts w:eastAsia="Times New Roman" w:cs="Arial"/>
          <w:color w:val="000000"/>
          <w:szCs w:val="18"/>
          <w:lang w:eastAsia="nl-NL"/>
        </w:rPr>
        <w:t xml:space="preserve">er ruimte nodig is om </w:t>
      </w:r>
      <w:r w:rsidRPr="008F2040" w:rsidR="008F2040">
        <w:rPr>
          <w:rFonts w:eastAsia="Times New Roman" w:cs="Arial"/>
          <w:color w:val="000000"/>
          <w:szCs w:val="18"/>
          <w:lang w:eastAsia="nl-NL"/>
        </w:rPr>
        <w:t xml:space="preserve">op nationaal niveau </w:t>
      </w:r>
      <w:r>
        <w:rPr>
          <w:rFonts w:eastAsia="Times New Roman" w:cs="Arial"/>
          <w:color w:val="000000"/>
          <w:szCs w:val="18"/>
          <w:lang w:eastAsia="nl-NL"/>
        </w:rPr>
        <w:t>een</w:t>
      </w:r>
      <w:r w:rsidRPr="008F2040" w:rsidR="008F2040">
        <w:rPr>
          <w:rFonts w:eastAsia="Times New Roman" w:cs="Arial"/>
          <w:color w:val="000000"/>
          <w:szCs w:val="18"/>
          <w:lang w:eastAsia="nl-NL"/>
        </w:rPr>
        <w:t xml:space="preserve"> effectieve ondersteuning voor slachtoffers te waarborgen.</w:t>
      </w:r>
    </w:p>
    <w:p w:rsidRPr="00B619C3" w:rsidR="00D44FA3" w:rsidP="00176550" w:rsidRDefault="00D44FA3" w14:paraId="193FF4A9" w14:textId="77777777">
      <w:pPr>
        <w:pStyle w:val="Default"/>
        <w:rPr>
          <w:sz w:val="18"/>
          <w:szCs w:val="18"/>
        </w:rPr>
      </w:pPr>
    </w:p>
    <w:p w:rsidRPr="00B619C3" w:rsidR="00D44FA3" w:rsidP="00176550" w:rsidRDefault="00D44FA3" w14:paraId="4599B2AA" w14:textId="77777777">
      <w:pPr>
        <w:pStyle w:val="Default"/>
        <w:rPr>
          <w:sz w:val="18"/>
          <w:szCs w:val="18"/>
        </w:rPr>
      </w:pPr>
      <w:r w:rsidRPr="00B619C3">
        <w:rPr>
          <w:b/>
          <w:bCs/>
          <w:sz w:val="18"/>
          <w:szCs w:val="18"/>
        </w:rPr>
        <w:t xml:space="preserve">3. Russische agressie tegen Oekraïne: tegengaan straffeloosheid </w:t>
      </w:r>
    </w:p>
    <w:p w:rsidR="00D44FA3" w:rsidP="00176550" w:rsidRDefault="00D44FA3" w14:paraId="79AA0FC0" w14:textId="6242239F">
      <w:pPr>
        <w:spacing w:after="0" w:line="240" w:lineRule="auto"/>
        <w:rPr>
          <w:rFonts w:ascii="Arial" w:hAnsi="Arial" w:eastAsia="Times New Roman" w:cs="Arial"/>
          <w:b/>
          <w:bCs/>
          <w:i/>
          <w:iCs/>
          <w:color w:val="000000"/>
          <w:sz w:val="22"/>
          <w:lang w:eastAsia="nl-NL"/>
        </w:rPr>
      </w:pPr>
    </w:p>
    <w:p w:rsidR="00F3275F" w:rsidP="00F3275F" w:rsidRDefault="00F3275F" w14:paraId="4AD7F759" w14:textId="72ED1AC8">
      <w:pPr>
        <w:rPr>
          <w:color w:val="00B050"/>
          <w:lang w:eastAsia="nl-NL"/>
        </w:rPr>
      </w:pPr>
      <w:r w:rsidRPr="00E7627C">
        <w:rPr>
          <w:rFonts w:eastAsia="Times New Roman" w:cs="Arial"/>
          <w:color w:val="000000"/>
          <w:szCs w:val="18"/>
          <w:lang w:eastAsia="nl-NL"/>
        </w:rPr>
        <w:lastRenderedPageBreak/>
        <w:t xml:space="preserve">De Commissie en het Voorzitterschap lichtte de recente ontwikkelingen </w:t>
      </w:r>
      <w:r>
        <w:rPr>
          <w:rFonts w:eastAsia="Times New Roman" w:cs="Arial"/>
          <w:color w:val="000000"/>
          <w:szCs w:val="18"/>
          <w:lang w:eastAsia="nl-NL"/>
        </w:rPr>
        <w:t xml:space="preserve">toe bij </w:t>
      </w:r>
      <w:r w:rsidRPr="00E7627C">
        <w:rPr>
          <w:rFonts w:eastAsia="Times New Roman" w:cs="Arial"/>
          <w:color w:val="000000"/>
          <w:szCs w:val="18"/>
          <w:lang w:eastAsia="nl-NL"/>
        </w:rPr>
        <w:t>het ICPA (</w:t>
      </w:r>
      <w:r w:rsidRPr="00595157">
        <w:rPr>
          <w:rFonts w:eastAsia="Times New Roman" w:cs="Arial"/>
          <w:i/>
          <w:iCs/>
          <w:color w:val="000000"/>
          <w:szCs w:val="18"/>
          <w:lang w:eastAsia="nl-NL"/>
        </w:rPr>
        <w:t>International Centre for the Prosection of the Crime of Aggresion against Ukraine),</w:t>
      </w:r>
      <w:r w:rsidRPr="00E7627C">
        <w:rPr>
          <w:rFonts w:eastAsia="Times New Roman" w:cs="Arial"/>
          <w:color w:val="000000"/>
          <w:szCs w:val="18"/>
          <w:lang w:eastAsia="nl-NL"/>
        </w:rPr>
        <w:t xml:space="preserve"> het EU netwerk</w:t>
      </w:r>
      <w:r>
        <w:t xml:space="preserve"> van nationale aanspreekpunten inzake genocide, misdrijven tegen de menselijkheid en oorlogsmisdrijven</w:t>
      </w:r>
      <w:r w:rsidRPr="00E7627C">
        <w:rPr>
          <w:rFonts w:eastAsia="Times New Roman" w:cs="Arial"/>
          <w:color w:val="000000"/>
          <w:szCs w:val="18"/>
          <w:lang w:eastAsia="nl-NL"/>
        </w:rPr>
        <w:t xml:space="preserve"> en het schaderegister</w:t>
      </w:r>
      <w:r>
        <w:rPr>
          <w:rFonts w:eastAsia="Times New Roman" w:cs="Arial"/>
          <w:color w:val="000000"/>
          <w:szCs w:val="18"/>
          <w:lang w:eastAsia="nl-NL"/>
        </w:rPr>
        <w:t>.</w:t>
      </w:r>
      <w:r>
        <w:rPr>
          <w:color w:val="00B050"/>
          <w:lang w:eastAsia="nl-NL"/>
        </w:rPr>
        <w:t xml:space="preserve"> </w:t>
      </w:r>
      <w:r w:rsidR="005D3B4D">
        <w:rPr>
          <w:lang w:eastAsia="nl-NL"/>
        </w:rPr>
        <w:t>Ook</w:t>
      </w:r>
      <w:r w:rsidRPr="00F3275F">
        <w:rPr>
          <w:lang w:eastAsia="nl-NL"/>
        </w:rPr>
        <w:t xml:space="preserve"> meldde de Commissie aanpassing van het Statuut van Rome te steunen zodat het Internationaal Strafhof (ICC) in de toekomst een grotere rol kan spelen ten aanzien van het misdrijf agressie.</w:t>
      </w:r>
    </w:p>
    <w:p w:rsidRPr="00E7627C" w:rsidR="00E7627C" w:rsidP="00E7627C" w:rsidRDefault="00E7627C" w14:paraId="60850C3B" w14:textId="5D47AF62">
      <w:pPr>
        <w:spacing w:after="0" w:line="240" w:lineRule="auto"/>
        <w:rPr>
          <w:rFonts w:eastAsia="Times New Roman" w:cs="Arial"/>
          <w:color w:val="000000"/>
          <w:szCs w:val="18"/>
          <w:lang w:eastAsia="nl-NL"/>
        </w:rPr>
      </w:pPr>
      <w:r w:rsidRPr="00E7627C">
        <w:rPr>
          <w:rFonts w:eastAsia="Times New Roman" w:cs="Arial"/>
          <w:color w:val="000000"/>
          <w:szCs w:val="18"/>
          <w:lang w:eastAsia="nl-NL"/>
        </w:rPr>
        <w:t xml:space="preserve">Eurojust </w:t>
      </w:r>
      <w:r w:rsidR="005D3B4D">
        <w:rPr>
          <w:rFonts w:eastAsia="Times New Roman" w:cs="Arial"/>
          <w:color w:val="000000"/>
          <w:szCs w:val="18"/>
          <w:lang w:eastAsia="nl-NL"/>
        </w:rPr>
        <w:t>benoemde als nieuwe stap dat z</w:t>
      </w:r>
      <w:r w:rsidRPr="00E7627C">
        <w:rPr>
          <w:rFonts w:eastAsia="Times New Roman" w:cs="Arial"/>
          <w:color w:val="000000"/>
          <w:szCs w:val="18"/>
          <w:lang w:eastAsia="nl-NL"/>
        </w:rPr>
        <w:t>owel het ICPA als de Core International Crimes Evidence Database (CICED) volledig operationeel</w:t>
      </w:r>
      <w:r w:rsidR="005D3B4D">
        <w:rPr>
          <w:rFonts w:eastAsia="Times New Roman" w:cs="Arial"/>
          <w:color w:val="000000"/>
          <w:szCs w:val="18"/>
          <w:lang w:eastAsia="nl-NL"/>
        </w:rPr>
        <w:t xml:space="preserve"> zijn</w:t>
      </w:r>
      <w:r w:rsidRPr="00E7627C">
        <w:rPr>
          <w:rFonts w:eastAsia="Times New Roman" w:cs="Arial"/>
          <w:color w:val="000000"/>
          <w:szCs w:val="18"/>
          <w:lang w:eastAsia="nl-NL"/>
        </w:rPr>
        <w:t xml:space="preserve">. Hierbij </w:t>
      </w:r>
      <w:r w:rsidR="0055552C">
        <w:rPr>
          <w:rFonts w:eastAsia="Times New Roman" w:cs="Arial"/>
          <w:color w:val="000000"/>
          <w:szCs w:val="18"/>
          <w:lang w:eastAsia="nl-NL"/>
        </w:rPr>
        <w:t>riep</w:t>
      </w:r>
      <w:r w:rsidRPr="00E7627C">
        <w:rPr>
          <w:rFonts w:eastAsia="Times New Roman" w:cs="Arial"/>
          <w:color w:val="000000"/>
          <w:szCs w:val="18"/>
          <w:lang w:eastAsia="nl-NL"/>
        </w:rPr>
        <w:t xml:space="preserve"> Eurojust </w:t>
      </w:r>
      <w:r w:rsidR="005D3B4D">
        <w:rPr>
          <w:rFonts w:eastAsia="Times New Roman" w:cs="Arial"/>
          <w:color w:val="000000"/>
          <w:szCs w:val="18"/>
          <w:lang w:eastAsia="nl-NL"/>
        </w:rPr>
        <w:t>de lidstaten o</w:t>
      </w:r>
      <w:r w:rsidRPr="00E7627C">
        <w:rPr>
          <w:rFonts w:eastAsia="Times New Roman" w:cs="Arial"/>
          <w:color w:val="000000"/>
          <w:szCs w:val="18"/>
          <w:lang w:eastAsia="nl-NL"/>
        </w:rPr>
        <w:t>p tot het aanleveren van bewijs voor de</w:t>
      </w:r>
      <w:r w:rsidR="005D3B4D">
        <w:rPr>
          <w:rFonts w:eastAsia="Times New Roman" w:cs="Arial"/>
          <w:color w:val="000000"/>
          <w:szCs w:val="18"/>
          <w:lang w:eastAsia="nl-NL"/>
        </w:rPr>
        <w:t xml:space="preserve">ze </w:t>
      </w:r>
      <w:r w:rsidRPr="00E7627C">
        <w:rPr>
          <w:rFonts w:eastAsia="Times New Roman" w:cs="Arial"/>
          <w:color w:val="000000"/>
          <w:szCs w:val="18"/>
          <w:lang w:eastAsia="nl-NL"/>
        </w:rPr>
        <w:t xml:space="preserve">database. Tevens lichtten Europol en Eurojust de ontwikkelingen toe met betrekking tot het gemeenschappelijke onderzoeksteam (JIT). </w:t>
      </w:r>
    </w:p>
    <w:p w:rsidRPr="00E7627C" w:rsidR="00E7627C" w:rsidP="00E7627C" w:rsidRDefault="00E7627C" w14:paraId="6B331969" w14:textId="77777777">
      <w:pPr>
        <w:spacing w:after="0" w:line="240" w:lineRule="auto"/>
        <w:rPr>
          <w:rFonts w:eastAsia="Times New Roman" w:cs="Arial"/>
          <w:color w:val="000000"/>
          <w:szCs w:val="18"/>
          <w:lang w:eastAsia="nl-NL"/>
        </w:rPr>
      </w:pPr>
    </w:p>
    <w:p w:rsidRPr="00E7627C" w:rsidR="00E7627C" w:rsidP="00E7627C" w:rsidRDefault="00E7627C" w14:paraId="1E5D726D" w14:textId="045509EB">
      <w:pPr>
        <w:spacing w:after="0" w:line="240" w:lineRule="auto"/>
        <w:rPr>
          <w:rFonts w:eastAsia="Times New Roman" w:cs="Arial"/>
          <w:color w:val="000000"/>
          <w:szCs w:val="18"/>
          <w:lang w:eastAsia="nl-NL"/>
        </w:rPr>
      </w:pPr>
      <w:r w:rsidRPr="00E7627C">
        <w:rPr>
          <w:rFonts w:eastAsia="Times New Roman" w:cs="Arial"/>
          <w:color w:val="000000"/>
          <w:szCs w:val="18"/>
          <w:lang w:eastAsia="nl-NL"/>
        </w:rPr>
        <w:t>De lidstaten ondersteunden de agendering van het onderwerp en onderstreepte</w:t>
      </w:r>
      <w:r w:rsidR="0055552C">
        <w:rPr>
          <w:rFonts w:eastAsia="Times New Roman" w:cs="Arial"/>
          <w:color w:val="000000"/>
          <w:szCs w:val="18"/>
          <w:lang w:eastAsia="nl-NL"/>
        </w:rPr>
        <w:t>n</w:t>
      </w:r>
      <w:r w:rsidRPr="00E7627C">
        <w:rPr>
          <w:rFonts w:eastAsia="Times New Roman" w:cs="Arial"/>
          <w:color w:val="000000"/>
          <w:szCs w:val="18"/>
          <w:lang w:eastAsia="nl-NL"/>
        </w:rPr>
        <w:t xml:space="preserve"> het belang van de </w:t>
      </w:r>
      <w:r w:rsidRPr="00E7627C" w:rsidR="0055552C">
        <w:rPr>
          <w:rFonts w:eastAsia="Times New Roman" w:cs="Arial"/>
          <w:color w:val="000000"/>
          <w:szCs w:val="18"/>
          <w:lang w:eastAsia="nl-NL"/>
        </w:rPr>
        <w:t>initiatieven</w:t>
      </w:r>
      <w:r w:rsidRPr="00E7627C">
        <w:rPr>
          <w:rFonts w:eastAsia="Times New Roman" w:cs="Arial"/>
          <w:color w:val="000000"/>
          <w:szCs w:val="18"/>
          <w:lang w:eastAsia="nl-NL"/>
        </w:rPr>
        <w:t xml:space="preserve"> om straffeloosheid in </w:t>
      </w:r>
      <w:r w:rsidRPr="00E7627C" w:rsidR="0055552C">
        <w:rPr>
          <w:rFonts w:eastAsia="Times New Roman" w:cs="Arial"/>
          <w:color w:val="000000"/>
          <w:szCs w:val="18"/>
          <w:lang w:eastAsia="nl-NL"/>
        </w:rPr>
        <w:t>Oekraïne</w:t>
      </w:r>
      <w:r w:rsidRPr="00E7627C">
        <w:rPr>
          <w:rFonts w:eastAsia="Times New Roman" w:cs="Arial"/>
          <w:color w:val="000000"/>
          <w:szCs w:val="18"/>
          <w:lang w:eastAsia="nl-NL"/>
        </w:rPr>
        <w:t xml:space="preserve"> tegen te gaan. Hierbij werd steun uitgesproken voor het schaderegister en het ICPA. Enkele lidstaten benadrukten het belang om de Russische Federatie ter verantwoording te roepen en het ICC hierin te steunen.</w:t>
      </w:r>
    </w:p>
    <w:p w:rsidR="00D44FA3" w:rsidP="00176550" w:rsidRDefault="00D44FA3" w14:paraId="39387809" w14:textId="77777777">
      <w:pPr>
        <w:pStyle w:val="Default"/>
      </w:pPr>
    </w:p>
    <w:p w:rsidR="00D44FA3" w:rsidP="00176550" w:rsidRDefault="00D44FA3" w14:paraId="4661B78D" w14:textId="2948784D">
      <w:pPr>
        <w:pStyle w:val="Default"/>
        <w:rPr>
          <w:sz w:val="18"/>
          <w:szCs w:val="18"/>
        </w:rPr>
      </w:pPr>
      <w:r>
        <w:rPr>
          <w:b/>
          <w:bCs/>
          <w:sz w:val="18"/>
          <w:szCs w:val="18"/>
        </w:rPr>
        <w:t xml:space="preserve">4. Studie over de werking van Europees Openbaar Ministerie </w:t>
      </w:r>
      <w:r>
        <w:rPr>
          <w:b/>
          <w:bCs/>
          <w:sz w:val="18"/>
          <w:szCs w:val="18"/>
        </w:rPr>
        <w:br/>
      </w:r>
    </w:p>
    <w:p w:rsidRPr="007F617E" w:rsidR="007F617E" w:rsidP="007F617E" w:rsidRDefault="007F617E" w14:paraId="70E42927" w14:textId="77777777">
      <w:pPr>
        <w:spacing w:after="0" w:line="240" w:lineRule="auto"/>
        <w:rPr>
          <w:rFonts w:eastAsia="Times New Roman" w:cs="Arial"/>
          <w:color w:val="000000"/>
          <w:szCs w:val="18"/>
          <w:lang w:eastAsia="nl-NL"/>
        </w:rPr>
      </w:pPr>
      <w:r w:rsidRPr="007F617E">
        <w:rPr>
          <w:rFonts w:eastAsia="Times New Roman" w:cs="Arial"/>
          <w:color w:val="000000"/>
          <w:szCs w:val="18"/>
          <w:lang w:eastAsia="nl-NL"/>
        </w:rPr>
        <w:t xml:space="preserve">Het Voorzitterschap sprak waardering uit voor het werk dat het EOM heeft verricht. Hierbij benadrukte het Voorzitterschap de successen van het EOM, waaronder de inbeslagname van 300 miljoen euro in 800 zaken en de aanstelling van 8 aanklagers in het afgelopen jaar. </w:t>
      </w:r>
    </w:p>
    <w:p w:rsidRPr="007F617E" w:rsidR="007F617E" w:rsidP="007F617E" w:rsidRDefault="007F617E" w14:paraId="7C0BA5C4" w14:textId="77777777">
      <w:pPr>
        <w:spacing w:after="0" w:line="240" w:lineRule="auto"/>
        <w:rPr>
          <w:rFonts w:eastAsia="Times New Roman" w:cs="Arial"/>
          <w:color w:val="000000"/>
          <w:szCs w:val="18"/>
          <w:lang w:eastAsia="nl-NL"/>
        </w:rPr>
      </w:pPr>
    </w:p>
    <w:p w:rsidRPr="007F617E" w:rsidR="007F617E" w:rsidP="007F617E" w:rsidRDefault="007F617E" w14:paraId="65E33FEB" w14:textId="4733DAC4">
      <w:pPr>
        <w:spacing w:after="0" w:line="240" w:lineRule="auto"/>
        <w:rPr>
          <w:rFonts w:eastAsia="Times New Roman" w:cs="Arial"/>
          <w:color w:val="000000"/>
          <w:szCs w:val="18"/>
          <w:lang w:eastAsia="nl-NL"/>
        </w:rPr>
      </w:pPr>
      <w:r w:rsidRPr="007F617E">
        <w:rPr>
          <w:rFonts w:eastAsia="Times New Roman" w:cs="Arial"/>
          <w:color w:val="000000"/>
          <w:szCs w:val="18"/>
          <w:lang w:eastAsia="nl-NL"/>
        </w:rPr>
        <w:t>De Commissie reflecteerde op de operationele periode van het EOM gedurende de afgelopen 2,5 jaar. Hierbij erkende de Commissie ook de uitdagingen</w:t>
      </w:r>
      <w:r>
        <w:rPr>
          <w:rFonts w:eastAsia="Times New Roman" w:cs="Arial"/>
          <w:color w:val="000000"/>
          <w:szCs w:val="18"/>
          <w:lang w:eastAsia="nl-NL"/>
        </w:rPr>
        <w:t xml:space="preserve"> voor het EOM</w:t>
      </w:r>
      <w:r w:rsidRPr="007F617E">
        <w:rPr>
          <w:rFonts w:eastAsia="Times New Roman" w:cs="Arial"/>
          <w:color w:val="000000"/>
          <w:szCs w:val="18"/>
          <w:lang w:eastAsia="nl-NL"/>
        </w:rPr>
        <w:t xml:space="preserve"> </w:t>
      </w:r>
      <w:r w:rsidR="00E23BB5">
        <w:rPr>
          <w:rFonts w:eastAsia="Times New Roman" w:cs="Arial"/>
          <w:color w:val="000000"/>
          <w:szCs w:val="18"/>
          <w:lang w:eastAsia="nl-NL"/>
        </w:rPr>
        <w:t>waarover</w:t>
      </w:r>
      <w:r w:rsidRPr="007F617E">
        <w:rPr>
          <w:rFonts w:eastAsia="Times New Roman" w:cs="Arial"/>
          <w:color w:val="000000"/>
          <w:szCs w:val="18"/>
          <w:lang w:eastAsia="nl-NL"/>
        </w:rPr>
        <w:t xml:space="preserve"> een studie is uitgevoerd. </w:t>
      </w:r>
      <w:r>
        <w:rPr>
          <w:rFonts w:eastAsia="Times New Roman" w:cs="Arial"/>
          <w:color w:val="000000"/>
          <w:szCs w:val="18"/>
          <w:lang w:eastAsia="nl-NL"/>
        </w:rPr>
        <w:t>Voorafgaand aan de JBZ-Raad is de studie over de werking van het EOM gepubliceerd, de studie</w:t>
      </w:r>
      <w:r w:rsidRPr="007F617E">
        <w:rPr>
          <w:rFonts w:eastAsia="Times New Roman" w:cs="Arial"/>
          <w:color w:val="000000"/>
          <w:szCs w:val="18"/>
          <w:lang w:eastAsia="nl-NL"/>
        </w:rPr>
        <w:t xml:space="preserve"> richt zich </w:t>
      </w:r>
      <w:r>
        <w:rPr>
          <w:rFonts w:eastAsia="Times New Roman" w:cs="Arial"/>
          <w:color w:val="000000"/>
          <w:szCs w:val="18"/>
          <w:lang w:eastAsia="nl-NL"/>
        </w:rPr>
        <w:t xml:space="preserve">met name </w:t>
      </w:r>
      <w:r w:rsidRPr="007F617E">
        <w:rPr>
          <w:rFonts w:eastAsia="Times New Roman" w:cs="Arial"/>
          <w:color w:val="000000"/>
          <w:szCs w:val="18"/>
          <w:lang w:eastAsia="nl-NL"/>
        </w:rPr>
        <w:t xml:space="preserve">op de gegevensuitwisseling tussen het EOM en nationale autoriteiten. </w:t>
      </w:r>
    </w:p>
    <w:p w:rsidRPr="007F617E" w:rsidR="007F617E" w:rsidP="007F617E" w:rsidRDefault="007F617E" w14:paraId="5A1813FA" w14:textId="77777777">
      <w:pPr>
        <w:spacing w:after="0" w:line="240" w:lineRule="auto"/>
        <w:rPr>
          <w:rFonts w:eastAsia="Times New Roman" w:cs="Arial"/>
          <w:color w:val="000000"/>
          <w:szCs w:val="18"/>
          <w:lang w:eastAsia="nl-NL"/>
        </w:rPr>
      </w:pPr>
    </w:p>
    <w:p w:rsidRPr="007F617E" w:rsidR="007F617E" w:rsidP="007F617E" w:rsidRDefault="007F617E" w14:paraId="68C35674" w14:textId="401BAF0F">
      <w:pPr>
        <w:spacing w:after="0" w:line="240" w:lineRule="auto"/>
        <w:rPr>
          <w:rFonts w:eastAsia="Times New Roman" w:cs="Arial"/>
          <w:color w:val="000000"/>
          <w:szCs w:val="18"/>
          <w:lang w:eastAsia="nl-NL"/>
        </w:rPr>
      </w:pPr>
      <w:r w:rsidRPr="007F617E">
        <w:rPr>
          <w:rFonts w:eastAsia="Times New Roman" w:cs="Arial"/>
          <w:color w:val="000000"/>
          <w:szCs w:val="18"/>
          <w:lang w:eastAsia="nl-NL"/>
        </w:rPr>
        <w:t>De Hoofdaanklager van het EOM, Laura</w:t>
      </w:r>
      <w:r w:rsidRPr="007F617E">
        <w:t xml:space="preserve"> </w:t>
      </w:r>
      <w:r w:rsidRPr="007F617E">
        <w:rPr>
          <w:rFonts w:eastAsia="Times New Roman" w:cs="Arial"/>
          <w:color w:val="000000"/>
          <w:szCs w:val="18"/>
          <w:lang w:eastAsia="nl-NL"/>
        </w:rPr>
        <w:t>Kövesi, reflecteerde op de uitdagingen voor het EOM. Hierbij werd de strategie benadrukt om de financiële capaciteit van  georganiseerde misdaadgroepen te ondermijnen. Het EOM riep op tot de steun van lidstaten om effectiever te kunnen opereren in de strijd tegen fraude en georganiseerde misdaad.</w:t>
      </w:r>
    </w:p>
    <w:p w:rsidRPr="007F617E" w:rsidR="007F617E" w:rsidP="007F617E" w:rsidRDefault="007F617E" w14:paraId="28D88AEA" w14:textId="77777777">
      <w:pPr>
        <w:spacing w:after="0" w:line="240" w:lineRule="auto"/>
        <w:rPr>
          <w:rFonts w:eastAsia="Times New Roman" w:cs="Arial"/>
          <w:color w:val="000000"/>
          <w:szCs w:val="18"/>
          <w:lang w:eastAsia="nl-NL"/>
        </w:rPr>
      </w:pPr>
    </w:p>
    <w:p w:rsidRPr="007F617E" w:rsidR="007F617E" w:rsidP="007F617E" w:rsidRDefault="007F617E" w14:paraId="165606A1" w14:textId="0441860B">
      <w:pPr>
        <w:spacing w:after="0" w:line="240" w:lineRule="auto"/>
        <w:rPr>
          <w:rFonts w:eastAsia="Times New Roman" w:cs="Arial"/>
          <w:color w:val="000000"/>
          <w:szCs w:val="18"/>
          <w:lang w:eastAsia="nl-NL"/>
        </w:rPr>
      </w:pPr>
      <w:r w:rsidRPr="007F617E">
        <w:rPr>
          <w:rFonts w:eastAsia="Times New Roman" w:cs="Arial"/>
          <w:color w:val="000000"/>
          <w:szCs w:val="18"/>
          <w:lang w:eastAsia="nl-NL"/>
        </w:rPr>
        <w:t>De meeste lidstaten benadruk</w:t>
      </w:r>
      <w:r>
        <w:rPr>
          <w:rFonts w:eastAsia="Times New Roman" w:cs="Arial"/>
          <w:color w:val="000000"/>
          <w:szCs w:val="18"/>
          <w:lang w:eastAsia="nl-NL"/>
        </w:rPr>
        <w:t>t</w:t>
      </w:r>
      <w:r w:rsidRPr="007F617E">
        <w:rPr>
          <w:rFonts w:eastAsia="Times New Roman" w:cs="Arial"/>
          <w:color w:val="000000"/>
          <w:szCs w:val="18"/>
          <w:lang w:eastAsia="nl-NL"/>
        </w:rPr>
        <w:t xml:space="preserve">en het belang van nauwe samenwerking tussen nationale autoriteiten en het EOM, met aandacht voor mogelijke wijzigingen in de verordening en de uitbreiding van bevoegdheden. Hierbij pleitten enkele lidstaten voor de uitbreiding van de rol en de bevoegdheden van </w:t>
      </w:r>
      <w:r>
        <w:rPr>
          <w:rFonts w:eastAsia="Times New Roman" w:cs="Arial"/>
          <w:color w:val="000000"/>
          <w:szCs w:val="18"/>
          <w:lang w:eastAsia="nl-NL"/>
        </w:rPr>
        <w:t xml:space="preserve">de </w:t>
      </w:r>
      <w:r w:rsidRPr="007F617E">
        <w:rPr>
          <w:rFonts w:eastAsia="Times New Roman" w:cs="Arial"/>
          <w:color w:val="000000"/>
          <w:szCs w:val="18"/>
          <w:lang w:eastAsia="nl-NL"/>
        </w:rPr>
        <w:t>Europese gedelegeerde openbare aanklagers</w:t>
      </w:r>
      <w:r>
        <w:rPr>
          <w:rFonts w:eastAsia="Times New Roman" w:cs="Arial"/>
          <w:color w:val="000000"/>
          <w:szCs w:val="18"/>
          <w:lang w:eastAsia="nl-NL"/>
        </w:rPr>
        <w:t xml:space="preserve">. </w:t>
      </w:r>
      <w:r w:rsidRPr="007F617E">
        <w:rPr>
          <w:rFonts w:eastAsia="Times New Roman" w:cs="Arial"/>
          <w:color w:val="000000"/>
          <w:szCs w:val="18"/>
          <w:lang w:eastAsia="nl-NL"/>
        </w:rPr>
        <w:t xml:space="preserve">De meeste lidstaten beschouwen het identificeren en oplossen van </w:t>
      </w:r>
      <w:r>
        <w:rPr>
          <w:rFonts w:eastAsia="Times New Roman" w:cs="Arial"/>
          <w:color w:val="000000"/>
          <w:szCs w:val="18"/>
          <w:lang w:eastAsia="nl-NL"/>
        </w:rPr>
        <w:t xml:space="preserve">de </w:t>
      </w:r>
      <w:r w:rsidRPr="007F617E">
        <w:rPr>
          <w:rFonts w:eastAsia="Times New Roman" w:cs="Arial"/>
          <w:color w:val="000000"/>
          <w:szCs w:val="18"/>
          <w:lang w:eastAsia="nl-NL"/>
        </w:rPr>
        <w:t>praktische obstakels, en het bevorderen van technische samenwerking als verbeterpunten. De Commissie zal de verdere uitwisselingen tussen lidstaten en de technische besprekingen op basis van de studie over het functioneren van het EOM ondersteunen.</w:t>
      </w:r>
    </w:p>
    <w:p w:rsidR="00D44FA3" w:rsidP="00176550" w:rsidRDefault="00D44FA3" w14:paraId="25B0CA08" w14:textId="77777777">
      <w:pPr>
        <w:pStyle w:val="Default"/>
      </w:pPr>
    </w:p>
    <w:p w:rsidR="00D44FA3" w:rsidP="00176550" w:rsidRDefault="00D44FA3" w14:paraId="0A435F50" w14:textId="0117AD7E">
      <w:pPr>
        <w:pStyle w:val="Default"/>
        <w:rPr>
          <w:b/>
          <w:bCs/>
          <w:sz w:val="18"/>
          <w:szCs w:val="18"/>
        </w:rPr>
      </w:pPr>
      <w:r>
        <w:rPr>
          <w:b/>
          <w:bCs/>
          <w:sz w:val="18"/>
          <w:szCs w:val="18"/>
        </w:rPr>
        <w:t xml:space="preserve">5. Standpunten en bevindingen van de Raad over de toepassing van de Algemene Verordening Gegevensbescherming (AVG) </w:t>
      </w:r>
    </w:p>
    <w:p w:rsidR="007F617E" w:rsidP="00176550" w:rsidRDefault="007F617E" w14:paraId="0467627D" w14:textId="0D3A133B">
      <w:pPr>
        <w:pStyle w:val="Default"/>
        <w:rPr>
          <w:b/>
          <w:bCs/>
          <w:sz w:val="18"/>
          <w:szCs w:val="18"/>
        </w:rPr>
      </w:pPr>
    </w:p>
    <w:p w:rsidR="007F617E" w:rsidP="00176550" w:rsidRDefault="00884EA6" w14:paraId="080077CA" w14:textId="6B94067A">
      <w:pPr>
        <w:pStyle w:val="Default"/>
        <w:rPr>
          <w:sz w:val="18"/>
          <w:szCs w:val="18"/>
        </w:rPr>
      </w:pPr>
      <w:r>
        <w:rPr>
          <w:sz w:val="18"/>
          <w:szCs w:val="18"/>
        </w:rPr>
        <w:t xml:space="preserve">Het Voorzitterschap benadrukte het belang van de AVG voor het waarborgen van het fundamentele recht op bescherming van persoonsgegevens. </w:t>
      </w:r>
      <w:r w:rsidR="00003040">
        <w:rPr>
          <w:sz w:val="18"/>
          <w:szCs w:val="18"/>
        </w:rPr>
        <w:t>Het Voorzitterschap</w:t>
      </w:r>
      <w:r w:rsidR="00F54A07">
        <w:rPr>
          <w:sz w:val="18"/>
          <w:szCs w:val="18"/>
        </w:rPr>
        <w:t xml:space="preserve"> vatte de Raadspositie samen en wees </w:t>
      </w:r>
      <w:r w:rsidR="00003040">
        <w:rPr>
          <w:sz w:val="18"/>
          <w:szCs w:val="18"/>
        </w:rPr>
        <w:t>op enkele uitdagingen</w:t>
      </w:r>
      <w:r w:rsidR="00F54A07">
        <w:rPr>
          <w:sz w:val="18"/>
          <w:szCs w:val="18"/>
        </w:rPr>
        <w:t xml:space="preserve"> in de AVG</w:t>
      </w:r>
      <w:r>
        <w:rPr>
          <w:sz w:val="18"/>
          <w:szCs w:val="18"/>
        </w:rPr>
        <w:t>, zoals de interpretatie en toepassing van de AVG vooral voor het midden- en kleinbedrijf en de noodzaak om rekening te houden met nieuwe technologieën</w:t>
      </w:r>
      <w:r w:rsidR="00003040">
        <w:rPr>
          <w:sz w:val="18"/>
          <w:szCs w:val="18"/>
        </w:rPr>
        <w:t>. Deze uitdagingen w</w:t>
      </w:r>
      <w:r w:rsidR="00F54A07">
        <w:rPr>
          <w:sz w:val="18"/>
          <w:szCs w:val="18"/>
        </w:rPr>
        <w:t>e</w:t>
      </w:r>
      <w:r w:rsidR="00003040">
        <w:rPr>
          <w:sz w:val="18"/>
          <w:szCs w:val="18"/>
        </w:rPr>
        <w:t xml:space="preserve">rden bevestigd door enkele lidstaten. </w:t>
      </w:r>
    </w:p>
    <w:p w:rsidR="00003040" w:rsidP="00176550" w:rsidRDefault="00F54A07" w14:paraId="0A6C736C" w14:textId="77A90019">
      <w:pPr>
        <w:pStyle w:val="Default"/>
        <w:rPr>
          <w:sz w:val="18"/>
          <w:szCs w:val="18"/>
        </w:rPr>
      </w:pPr>
      <w:r>
        <w:rPr>
          <w:sz w:val="18"/>
          <w:szCs w:val="18"/>
        </w:rPr>
        <w:t>Er was brede steun binnen de JBZ-Raad en de Raadspositie over de toepassing van de Algemene Verordening Gegevensbescherming (AVG) werd aangenomen.</w:t>
      </w:r>
    </w:p>
    <w:p w:rsidR="000841F2" w:rsidP="00176550" w:rsidRDefault="000841F2" w14:paraId="02388342" w14:textId="77777777">
      <w:pPr>
        <w:spacing w:after="0" w:line="240" w:lineRule="auto"/>
        <w:rPr>
          <w:szCs w:val="18"/>
        </w:rPr>
      </w:pPr>
    </w:p>
    <w:p w:rsidRPr="000841F2" w:rsidR="00BD0FE6" w:rsidP="00176550" w:rsidRDefault="00F42FBB" w14:paraId="5E778A00" w14:textId="72C84D83">
      <w:pPr>
        <w:spacing w:after="0" w:line="240" w:lineRule="auto"/>
        <w:rPr>
          <w:rFonts w:eastAsia="Times New Roman" w:cs="Arial"/>
          <w:b/>
          <w:bCs/>
          <w:color w:val="000000"/>
          <w:szCs w:val="18"/>
          <w:lang w:eastAsia="nl-NL"/>
        </w:rPr>
      </w:pPr>
      <w:r w:rsidRPr="000841F2">
        <w:rPr>
          <w:rFonts w:eastAsia="Times New Roman" w:cs="Arial"/>
          <w:b/>
          <w:bCs/>
          <w:color w:val="000000"/>
          <w:szCs w:val="18"/>
          <w:lang w:eastAsia="nl-NL"/>
        </w:rPr>
        <w:t xml:space="preserve">6. </w:t>
      </w:r>
      <w:r w:rsidRPr="000841F2" w:rsidR="00BD0FE6">
        <w:rPr>
          <w:rFonts w:eastAsia="Times New Roman" w:cs="Arial"/>
          <w:b/>
          <w:bCs/>
          <w:color w:val="000000"/>
          <w:szCs w:val="18"/>
          <w:lang w:eastAsia="nl-NL"/>
        </w:rPr>
        <w:t>W</w:t>
      </w:r>
      <w:r w:rsidRPr="000841F2" w:rsidR="00627660">
        <w:rPr>
          <w:rFonts w:eastAsia="Times New Roman" w:cs="Arial"/>
          <w:b/>
          <w:bCs/>
          <w:color w:val="000000"/>
          <w:szCs w:val="18"/>
          <w:lang w:eastAsia="nl-NL"/>
        </w:rPr>
        <w:t>erk</w:t>
      </w:r>
      <w:r w:rsidRPr="000841F2" w:rsidR="00BD0FE6">
        <w:rPr>
          <w:rFonts w:eastAsia="Times New Roman" w:cs="Arial"/>
          <w:b/>
          <w:bCs/>
          <w:color w:val="000000"/>
          <w:szCs w:val="18"/>
          <w:lang w:eastAsia="nl-NL"/>
        </w:rPr>
        <w:t>lunch</w:t>
      </w:r>
      <w:r w:rsidRPr="000841F2" w:rsidR="004A04AE">
        <w:rPr>
          <w:rFonts w:eastAsia="Times New Roman" w:cs="Arial"/>
          <w:b/>
          <w:bCs/>
          <w:color w:val="000000"/>
          <w:szCs w:val="18"/>
          <w:lang w:eastAsia="nl-NL"/>
        </w:rPr>
        <w:t xml:space="preserve"> justitiële </w:t>
      </w:r>
      <w:r w:rsidR="00176550">
        <w:rPr>
          <w:rFonts w:eastAsia="Times New Roman" w:cs="Arial"/>
          <w:b/>
          <w:bCs/>
          <w:color w:val="000000"/>
          <w:szCs w:val="18"/>
          <w:lang w:eastAsia="nl-NL"/>
        </w:rPr>
        <w:t xml:space="preserve">samenwerking derde landen in de </w:t>
      </w:r>
      <w:r w:rsidRPr="000841F2" w:rsidR="004A04AE">
        <w:rPr>
          <w:rFonts w:eastAsia="Times New Roman" w:cs="Arial"/>
          <w:b/>
          <w:bCs/>
          <w:color w:val="000000"/>
          <w:szCs w:val="18"/>
          <w:lang w:eastAsia="nl-NL"/>
        </w:rPr>
        <w:t xml:space="preserve">aanpak </w:t>
      </w:r>
      <w:r w:rsidR="00176550">
        <w:rPr>
          <w:rFonts w:eastAsia="Times New Roman" w:cs="Arial"/>
          <w:b/>
          <w:bCs/>
          <w:color w:val="000000"/>
          <w:szCs w:val="18"/>
          <w:lang w:eastAsia="nl-NL"/>
        </w:rPr>
        <w:t xml:space="preserve">van </w:t>
      </w:r>
      <w:r w:rsidRPr="000841F2" w:rsidR="004A04AE">
        <w:rPr>
          <w:rFonts w:eastAsia="Times New Roman" w:cs="Arial"/>
          <w:b/>
          <w:bCs/>
          <w:color w:val="000000"/>
          <w:szCs w:val="18"/>
          <w:lang w:eastAsia="nl-NL"/>
        </w:rPr>
        <w:t>georganiseerde criminaliteit</w:t>
      </w:r>
    </w:p>
    <w:p w:rsidRPr="000841F2" w:rsidR="00BD0FE6" w:rsidP="00176550" w:rsidRDefault="00BD0FE6" w14:paraId="2AF61A1D" w14:textId="77777777">
      <w:pPr>
        <w:spacing w:after="0" w:line="240" w:lineRule="auto"/>
        <w:rPr>
          <w:rFonts w:eastAsia="Times New Roman" w:cs="Times New Roman"/>
          <w:szCs w:val="18"/>
          <w:lang w:eastAsia="nl-NL"/>
        </w:rPr>
      </w:pPr>
    </w:p>
    <w:p w:rsidRPr="000841F2" w:rsidR="00B30C7F" w:rsidP="00176550" w:rsidRDefault="004A04AE" w14:paraId="4C49104E" w14:textId="7A4DBB04">
      <w:pPr>
        <w:shd w:val="clear" w:color="auto" w:fill="FFFFFF"/>
        <w:spacing w:after="0" w:line="240" w:lineRule="auto"/>
        <w:rPr>
          <w:rFonts w:eastAsia="Times New Roman" w:cs="Times New Roman"/>
          <w:szCs w:val="18"/>
          <w:lang w:eastAsia="nl-NL"/>
        </w:rPr>
      </w:pPr>
      <w:r w:rsidRPr="000841F2">
        <w:rPr>
          <w:rFonts w:eastAsia="Times New Roman" w:cs="Arial"/>
          <w:color w:val="222222"/>
          <w:szCs w:val="18"/>
          <w:lang w:eastAsia="nl-NL"/>
        </w:rPr>
        <w:t>Kort v</w:t>
      </w:r>
      <w:r w:rsidRPr="000841F2" w:rsidR="00B30C7F">
        <w:rPr>
          <w:rFonts w:eastAsia="Times New Roman" w:cs="Arial"/>
          <w:color w:val="222222"/>
          <w:szCs w:val="18"/>
          <w:lang w:eastAsia="nl-NL"/>
        </w:rPr>
        <w:t>oorafgaand aan de JBZ-Raad besloot h</w:t>
      </w:r>
      <w:r w:rsidRPr="000841F2">
        <w:rPr>
          <w:rFonts w:eastAsia="Times New Roman" w:cs="Arial"/>
          <w:color w:val="222222"/>
          <w:szCs w:val="18"/>
          <w:lang w:eastAsia="nl-NL"/>
        </w:rPr>
        <w:t>et Voorzitterschap een nieuw onderwerp te agenderen voor de gesloten werklunch.</w:t>
      </w:r>
      <w:r w:rsidRPr="000841F2" w:rsidR="002F7A36">
        <w:rPr>
          <w:rFonts w:eastAsia="Times New Roman" w:cs="Arial"/>
          <w:color w:val="222222"/>
          <w:szCs w:val="18"/>
          <w:lang w:eastAsia="nl-NL"/>
        </w:rPr>
        <w:t xml:space="preserve"> </w:t>
      </w:r>
      <w:r w:rsidRPr="000841F2">
        <w:rPr>
          <w:rFonts w:eastAsia="Times New Roman" w:cs="Arial"/>
          <w:color w:val="222222"/>
          <w:szCs w:val="18"/>
          <w:lang w:eastAsia="nl-NL"/>
        </w:rPr>
        <w:t xml:space="preserve">Tijdens de ministerslunch is gesproken over de </w:t>
      </w:r>
      <w:r w:rsidRPr="000841F2" w:rsidR="00B30C7F">
        <w:rPr>
          <w:rFonts w:eastAsia="Times New Roman" w:cs="Arial"/>
          <w:color w:val="222222"/>
          <w:szCs w:val="18"/>
          <w:lang w:eastAsia="nl-NL"/>
        </w:rPr>
        <w:t>justitiële</w:t>
      </w:r>
      <w:r w:rsidRPr="000841F2">
        <w:rPr>
          <w:rFonts w:eastAsia="Times New Roman" w:cs="Arial"/>
          <w:color w:val="222222"/>
          <w:szCs w:val="18"/>
          <w:lang w:eastAsia="nl-NL"/>
        </w:rPr>
        <w:t xml:space="preserve"> </w:t>
      </w:r>
      <w:r w:rsidR="00176550">
        <w:rPr>
          <w:rFonts w:eastAsia="Times New Roman" w:cs="Arial"/>
          <w:color w:val="222222"/>
          <w:szCs w:val="18"/>
          <w:lang w:eastAsia="nl-NL"/>
        </w:rPr>
        <w:t>samenwerking met derde landen om</w:t>
      </w:r>
      <w:r w:rsidRPr="000841F2">
        <w:rPr>
          <w:rFonts w:eastAsia="Times New Roman" w:cs="Arial"/>
          <w:color w:val="222222"/>
          <w:szCs w:val="18"/>
          <w:lang w:eastAsia="nl-NL"/>
        </w:rPr>
        <w:t xml:space="preserve"> georganiseerde criminaliteit</w:t>
      </w:r>
      <w:r w:rsidR="00176550">
        <w:rPr>
          <w:rFonts w:eastAsia="Times New Roman" w:cs="Arial"/>
          <w:color w:val="222222"/>
          <w:szCs w:val="18"/>
          <w:lang w:eastAsia="nl-NL"/>
        </w:rPr>
        <w:t xml:space="preserve"> aan te pakken</w:t>
      </w:r>
      <w:r w:rsidRPr="000841F2">
        <w:rPr>
          <w:rFonts w:eastAsia="Times New Roman" w:cs="Arial"/>
          <w:color w:val="222222"/>
          <w:szCs w:val="18"/>
          <w:lang w:eastAsia="nl-NL"/>
        </w:rPr>
        <w:t xml:space="preserve">. </w:t>
      </w:r>
      <w:r w:rsidRPr="000841F2" w:rsidR="00B30C7F">
        <w:rPr>
          <w:rFonts w:eastAsia="Times New Roman" w:cs="Arial"/>
          <w:color w:val="222222"/>
          <w:szCs w:val="18"/>
          <w:lang w:eastAsia="nl-NL"/>
        </w:rPr>
        <w:t>Het Voorzitterschap en de Commissie lichtte de recent verschenen Routekaart aanpak georganiseerde criminaliteit en drugshandel</w:t>
      </w:r>
      <w:r w:rsidRPr="000841F2" w:rsidR="00B30C7F">
        <w:rPr>
          <w:rStyle w:val="Voetnootmarkering"/>
          <w:rFonts w:eastAsia="Times New Roman" w:cs="Arial"/>
          <w:color w:val="222222"/>
          <w:szCs w:val="18"/>
          <w:lang w:eastAsia="nl-NL"/>
        </w:rPr>
        <w:footnoteReference w:id="1"/>
      </w:r>
      <w:r w:rsidRPr="000841F2" w:rsidR="00B30C7F">
        <w:rPr>
          <w:rFonts w:eastAsia="Times New Roman" w:cs="Arial"/>
          <w:color w:val="222222"/>
          <w:szCs w:val="18"/>
          <w:lang w:eastAsia="nl-NL"/>
        </w:rPr>
        <w:t xml:space="preserve"> toe. </w:t>
      </w:r>
      <w:r w:rsidRPr="000841F2" w:rsidR="00331A00">
        <w:rPr>
          <w:rFonts w:eastAsia="Times New Roman" w:cs="Arial"/>
          <w:color w:val="222222"/>
          <w:szCs w:val="18"/>
          <w:lang w:eastAsia="nl-NL"/>
        </w:rPr>
        <w:t>Hierbij werden de</w:t>
      </w:r>
      <w:r w:rsidRPr="000841F2" w:rsidR="00B30C7F">
        <w:rPr>
          <w:rFonts w:eastAsia="Times New Roman" w:cs="Arial"/>
          <w:color w:val="222222"/>
          <w:szCs w:val="18"/>
          <w:lang w:eastAsia="nl-NL"/>
        </w:rPr>
        <w:t xml:space="preserve"> samenwerkingsakkoorden van Eurojust met derde landen </w:t>
      </w:r>
      <w:r w:rsidRPr="000841F2" w:rsidR="00331A00">
        <w:rPr>
          <w:rFonts w:eastAsia="Times New Roman" w:cs="Arial"/>
          <w:color w:val="222222"/>
          <w:szCs w:val="18"/>
          <w:lang w:eastAsia="nl-NL"/>
        </w:rPr>
        <w:t>als belangrijk instrument benoemd</w:t>
      </w:r>
      <w:r w:rsidRPr="000841F2" w:rsidR="00B30C7F">
        <w:rPr>
          <w:rFonts w:eastAsia="Times New Roman" w:cs="Arial"/>
          <w:color w:val="222222"/>
          <w:szCs w:val="18"/>
          <w:lang w:eastAsia="nl-NL"/>
        </w:rPr>
        <w:t xml:space="preserve">. Eurojust </w:t>
      </w:r>
      <w:r w:rsidR="00176550">
        <w:rPr>
          <w:rFonts w:eastAsia="Times New Roman" w:cs="Arial"/>
          <w:color w:val="222222"/>
          <w:szCs w:val="18"/>
          <w:lang w:eastAsia="nl-NL"/>
        </w:rPr>
        <w:t xml:space="preserve">onderstreepte dat zij </w:t>
      </w:r>
      <w:r w:rsidRPr="000841F2" w:rsidR="00B30C7F">
        <w:rPr>
          <w:rFonts w:eastAsia="Times New Roman" w:cs="Arial"/>
          <w:color w:val="222222"/>
          <w:szCs w:val="18"/>
          <w:lang w:eastAsia="nl-NL"/>
        </w:rPr>
        <w:t xml:space="preserve">het aantal samenwerkingsakkoorden willen uitbreiden maar dat gegevensbescherming een complicerende factor speelt. </w:t>
      </w:r>
      <w:r w:rsidRPr="000841F2" w:rsidR="00627660">
        <w:rPr>
          <w:rFonts w:eastAsia="Times New Roman" w:cs="Arial"/>
          <w:color w:val="222222"/>
          <w:szCs w:val="18"/>
          <w:lang w:eastAsia="nl-NL"/>
        </w:rPr>
        <w:t xml:space="preserve">Een groot aantal lidstaten, waaronder </w:t>
      </w:r>
      <w:r w:rsidRPr="000841F2" w:rsidR="00B30C7F">
        <w:rPr>
          <w:rFonts w:eastAsia="Times New Roman" w:cs="Arial"/>
          <w:color w:val="222222"/>
          <w:szCs w:val="18"/>
          <w:lang w:eastAsia="nl-NL"/>
        </w:rPr>
        <w:t>Nederland</w:t>
      </w:r>
      <w:r w:rsidRPr="000841F2" w:rsidR="00627660">
        <w:rPr>
          <w:rFonts w:eastAsia="Times New Roman" w:cs="Arial"/>
          <w:color w:val="222222"/>
          <w:szCs w:val="18"/>
          <w:lang w:eastAsia="nl-NL"/>
        </w:rPr>
        <w:t>, onderstreepte</w:t>
      </w:r>
      <w:r w:rsidRPr="000841F2" w:rsidR="00B30C7F">
        <w:rPr>
          <w:rFonts w:eastAsia="Times New Roman" w:cs="Arial"/>
          <w:color w:val="222222"/>
          <w:szCs w:val="18"/>
          <w:lang w:eastAsia="nl-NL"/>
        </w:rPr>
        <w:t xml:space="preserve"> </w:t>
      </w:r>
      <w:r w:rsidRPr="000841F2">
        <w:rPr>
          <w:rFonts w:eastAsia="Times New Roman" w:cs="Arial"/>
          <w:color w:val="222222"/>
          <w:szCs w:val="18"/>
          <w:lang w:eastAsia="nl-NL"/>
        </w:rPr>
        <w:t xml:space="preserve">het belang van een stevige </w:t>
      </w:r>
      <w:r w:rsidRPr="000841F2" w:rsidR="00B30C7F">
        <w:rPr>
          <w:rFonts w:eastAsia="Times New Roman" w:cs="Arial"/>
          <w:color w:val="222222"/>
          <w:szCs w:val="18"/>
          <w:lang w:eastAsia="nl-NL"/>
        </w:rPr>
        <w:t>justitiële</w:t>
      </w:r>
      <w:r w:rsidRPr="000841F2">
        <w:rPr>
          <w:rFonts w:eastAsia="Times New Roman" w:cs="Arial"/>
          <w:color w:val="222222"/>
          <w:szCs w:val="18"/>
          <w:lang w:eastAsia="nl-NL"/>
        </w:rPr>
        <w:t xml:space="preserve"> samenwerking</w:t>
      </w:r>
      <w:r w:rsidRPr="000841F2" w:rsidR="00331A00">
        <w:rPr>
          <w:rFonts w:eastAsia="Times New Roman" w:cs="Arial"/>
          <w:color w:val="222222"/>
          <w:szCs w:val="18"/>
          <w:lang w:eastAsia="nl-NL"/>
        </w:rPr>
        <w:t xml:space="preserve"> tussen de lidstaten en</w:t>
      </w:r>
      <w:r w:rsidRPr="000841F2">
        <w:rPr>
          <w:rFonts w:eastAsia="Times New Roman" w:cs="Arial"/>
          <w:color w:val="222222"/>
          <w:szCs w:val="18"/>
          <w:lang w:eastAsia="nl-NL"/>
        </w:rPr>
        <w:t xml:space="preserve"> derde landen</w:t>
      </w:r>
      <w:r w:rsidRPr="000841F2" w:rsidR="00627660">
        <w:rPr>
          <w:rFonts w:eastAsia="Times New Roman" w:cs="Arial"/>
          <w:color w:val="222222"/>
          <w:szCs w:val="18"/>
          <w:lang w:eastAsia="nl-NL"/>
        </w:rPr>
        <w:t xml:space="preserve"> om</w:t>
      </w:r>
      <w:r w:rsidRPr="000841F2" w:rsidR="00331A00">
        <w:rPr>
          <w:rFonts w:eastAsia="Times New Roman" w:cs="Arial"/>
          <w:color w:val="222222"/>
          <w:szCs w:val="18"/>
          <w:lang w:eastAsia="nl-NL"/>
        </w:rPr>
        <w:t xml:space="preserve"> effectief</w:t>
      </w:r>
      <w:r w:rsidRPr="000841F2" w:rsidR="00627660">
        <w:rPr>
          <w:rFonts w:eastAsia="Times New Roman" w:cs="Arial"/>
          <w:color w:val="222222"/>
          <w:szCs w:val="18"/>
          <w:lang w:eastAsia="nl-NL"/>
        </w:rPr>
        <w:t xml:space="preserve"> georganiseerde criminaliteit tegen te gaan</w:t>
      </w:r>
      <w:r w:rsidRPr="000841F2">
        <w:rPr>
          <w:rFonts w:eastAsia="Times New Roman" w:cs="Arial"/>
          <w:color w:val="222222"/>
          <w:szCs w:val="18"/>
          <w:lang w:eastAsia="nl-NL"/>
        </w:rPr>
        <w:t>. Nederland</w:t>
      </w:r>
      <w:r w:rsidRPr="000841F2" w:rsidR="00331A00">
        <w:rPr>
          <w:rFonts w:eastAsia="Times New Roman" w:cs="Arial"/>
          <w:color w:val="222222"/>
          <w:szCs w:val="18"/>
          <w:lang w:eastAsia="nl-NL"/>
        </w:rPr>
        <w:t xml:space="preserve"> en </w:t>
      </w:r>
      <w:r w:rsidR="00176550">
        <w:rPr>
          <w:rFonts w:eastAsia="Times New Roman" w:cs="Arial"/>
          <w:color w:val="222222"/>
          <w:szCs w:val="18"/>
          <w:lang w:eastAsia="nl-NL"/>
        </w:rPr>
        <w:t xml:space="preserve">een </w:t>
      </w:r>
      <w:r w:rsidRPr="000841F2" w:rsidR="00331A00">
        <w:rPr>
          <w:rFonts w:eastAsia="Times New Roman" w:cs="Arial"/>
          <w:color w:val="222222"/>
          <w:szCs w:val="18"/>
          <w:lang w:eastAsia="nl-NL"/>
        </w:rPr>
        <w:t xml:space="preserve">aantal lidstaten benadrukte hierbij dat </w:t>
      </w:r>
      <w:r w:rsidRPr="000841F2" w:rsidR="00136D07">
        <w:rPr>
          <w:rFonts w:eastAsia="Times New Roman" w:cs="Arial"/>
          <w:color w:val="222222"/>
          <w:szCs w:val="18"/>
          <w:lang w:eastAsia="nl-NL"/>
        </w:rPr>
        <w:t>er bestaande instrumenten zijn om rechtshulp- en uitlevering met derde landen te verbeteren. Nederland gaf te kennen</w:t>
      </w:r>
      <w:r w:rsidRPr="000841F2" w:rsidR="00B30C7F">
        <w:rPr>
          <w:rFonts w:eastAsia="Times New Roman" w:cs="Arial"/>
          <w:color w:val="222222"/>
          <w:szCs w:val="18"/>
          <w:lang w:eastAsia="nl-NL"/>
        </w:rPr>
        <w:t xml:space="preserve"> geen voorstander</w:t>
      </w:r>
      <w:r w:rsidRPr="000841F2" w:rsidR="00136D07">
        <w:rPr>
          <w:rFonts w:eastAsia="Times New Roman" w:cs="Arial"/>
          <w:color w:val="222222"/>
          <w:szCs w:val="18"/>
          <w:lang w:eastAsia="nl-NL"/>
        </w:rPr>
        <w:t xml:space="preserve"> te zijn van nieuwe</w:t>
      </w:r>
      <w:r w:rsidRPr="000841F2" w:rsidR="00B30C7F">
        <w:rPr>
          <w:rFonts w:eastAsia="Times New Roman" w:cs="Arial"/>
          <w:color w:val="222222"/>
          <w:szCs w:val="18"/>
          <w:lang w:eastAsia="nl-NL"/>
        </w:rPr>
        <w:t xml:space="preserve"> EU-uitleveringsverdragen en </w:t>
      </w:r>
      <w:r w:rsidRPr="000841F2" w:rsidR="00331A00">
        <w:rPr>
          <w:rFonts w:eastAsia="Times New Roman" w:cs="Arial"/>
          <w:color w:val="222222"/>
          <w:szCs w:val="18"/>
          <w:lang w:eastAsia="nl-NL"/>
        </w:rPr>
        <w:t xml:space="preserve">te </w:t>
      </w:r>
      <w:r w:rsidRPr="000841F2" w:rsidR="00B30C7F">
        <w:rPr>
          <w:rFonts w:eastAsia="Times New Roman" w:cs="Arial"/>
          <w:color w:val="222222"/>
          <w:szCs w:val="18"/>
          <w:lang w:eastAsia="nl-NL"/>
        </w:rPr>
        <w:t xml:space="preserve">twijfelen over toegevoegde waarde van </w:t>
      </w:r>
      <w:r w:rsidRPr="000841F2" w:rsidR="000047B6">
        <w:rPr>
          <w:rFonts w:eastAsia="Times New Roman" w:cs="Arial"/>
          <w:color w:val="222222"/>
          <w:szCs w:val="18"/>
          <w:lang w:eastAsia="nl-NL"/>
        </w:rPr>
        <w:t xml:space="preserve">het </w:t>
      </w:r>
      <w:r w:rsidRPr="000841F2" w:rsidR="00B30C7F">
        <w:rPr>
          <w:rFonts w:eastAsia="Times New Roman" w:cs="Arial"/>
          <w:color w:val="222222"/>
          <w:szCs w:val="18"/>
          <w:lang w:eastAsia="nl-NL"/>
        </w:rPr>
        <w:t>komen tot een definitie van georganiseerde misdaad.</w:t>
      </w:r>
      <w:r w:rsidRPr="000841F2" w:rsidR="00627660">
        <w:rPr>
          <w:rStyle w:val="Voetnootmarkering"/>
          <w:rFonts w:eastAsia="Times New Roman" w:cs="Arial"/>
          <w:color w:val="222222"/>
          <w:szCs w:val="18"/>
          <w:lang w:eastAsia="nl-NL"/>
        </w:rPr>
        <w:footnoteReference w:id="2"/>
      </w:r>
      <w:r w:rsidRPr="000841F2" w:rsidR="00B30C7F">
        <w:rPr>
          <w:rFonts w:eastAsia="Times New Roman" w:cs="Arial"/>
          <w:color w:val="222222"/>
          <w:szCs w:val="18"/>
          <w:lang w:eastAsia="nl-NL"/>
        </w:rPr>
        <w:t xml:space="preserve"> </w:t>
      </w:r>
      <w:r w:rsidRPr="000841F2" w:rsidR="00331A00">
        <w:rPr>
          <w:rFonts w:eastAsia="Times New Roman" w:cs="Arial"/>
          <w:color w:val="222222"/>
          <w:szCs w:val="18"/>
          <w:lang w:eastAsia="nl-NL"/>
        </w:rPr>
        <w:t>De Commissie concludeerde dat</w:t>
      </w:r>
      <w:r w:rsidRPr="000841F2" w:rsidR="00117601">
        <w:rPr>
          <w:rFonts w:eastAsia="Times New Roman" w:cs="Arial"/>
          <w:color w:val="222222"/>
          <w:szCs w:val="18"/>
          <w:lang w:eastAsia="nl-NL"/>
        </w:rPr>
        <w:t xml:space="preserve"> het </w:t>
      </w:r>
      <w:r w:rsidRPr="000841F2" w:rsidR="000047B6">
        <w:rPr>
          <w:rFonts w:eastAsia="Times New Roman" w:cs="Arial"/>
          <w:color w:val="222222"/>
          <w:szCs w:val="18"/>
          <w:lang w:eastAsia="nl-NL"/>
        </w:rPr>
        <w:t>aanmoedigen van</w:t>
      </w:r>
      <w:r w:rsidRPr="000841F2" w:rsidR="00117601">
        <w:rPr>
          <w:rFonts w:eastAsia="Times New Roman" w:cs="Arial"/>
          <w:color w:val="222222"/>
          <w:szCs w:val="18"/>
          <w:lang w:eastAsia="nl-NL"/>
        </w:rPr>
        <w:t xml:space="preserve"> deelname aan </w:t>
      </w:r>
      <w:r w:rsidRPr="000841F2" w:rsidR="00331A00">
        <w:rPr>
          <w:rFonts w:eastAsia="Times New Roman" w:cs="Arial"/>
          <w:color w:val="222222"/>
          <w:szCs w:val="18"/>
          <w:lang w:eastAsia="nl-NL"/>
        </w:rPr>
        <w:t xml:space="preserve">Raad van Europa instrumenten, uitwisselen van </w:t>
      </w:r>
      <w:r w:rsidRPr="000841F2" w:rsidR="00331A00">
        <w:rPr>
          <w:rFonts w:eastAsia="Times New Roman" w:cs="Arial"/>
          <w:i/>
          <w:iCs/>
          <w:color w:val="222222"/>
          <w:szCs w:val="18"/>
          <w:lang w:eastAsia="nl-NL"/>
        </w:rPr>
        <w:t>best practices</w:t>
      </w:r>
      <w:r w:rsidRPr="000841F2" w:rsidR="00331A00">
        <w:rPr>
          <w:rFonts w:eastAsia="Times New Roman" w:cs="Arial"/>
          <w:color w:val="222222"/>
          <w:szCs w:val="18"/>
          <w:lang w:eastAsia="nl-NL"/>
        </w:rPr>
        <w:t xml:space="preserve"> en </w:t>
      </w:r>
      <w:r w:rsidRPr="000841F2" w:rsidR="00117601">
        <w:rPr>
          <w:rFonts w:eastAsia="Times New Roman" w:cs="Arial"/>
          <w:color w:val="222222"/>
          <w:szCs w:val="18"/>
          <w:lang w:eastAsia="nl-NL"/>
        </w:rPr>
        <w:t xml:space="preserve">grotere rollen </w:t>
      </w:r>
      <w:r w:rsidRPr="000841F2" w:rsidR="00331A00">
        <w:rPr>
          <w:rFonts w:eastAsia="Times New Roman" w:cs="Arial"/>
          <w:color w:val="222222"/>
          <w:szCs w:val="18"/>
          <w:lang w:eastAsia="nl-NL"/>
        </w:rPr>
        <w:t xml:space="preserve">voor Eurojust, Europol en EOM realistische stappen </w:t>
      </w:r>
      <w:r w:rsidRPr="000841F2" w:rsidR="000047B6">
        <w:rPr>
          <w:rFonts w:eastAsia="Times New Roman" w:cs="Arial"/>
          <w:color w:val="222222"/>
          <w:szCs w:val="18"/>
          <w:lang w:eastAsia="nl-NL"/>
        </w:rPr>
        <w:t xml:space="preserve">zijn </w:t>
      </w:r>
      <w:r w:rsidRPr="000841F2" w:rsidR="00331A00">
        <w:rPr>
          <w:rFonts w:eastAsia="Times New Roman" w:cs="Arial"/>
          <w:color w:val="222222"/>
          <w:szCs w:val="18"/>
          <w:lang w:eastAsia="nl-NL"/>
        </w:rPr>
        <w:t xml:space="preserve">voor de verbetering </w:t>
      </w:r>
      <w:r w:rsidRPr="000841F2" w:rsidR="00117601">
        <w:rPr>
          <w:rFonts w:eastAsia="Times New Roman" w:cs="Arial"/>
          <w:color w:val="222222"/>
          <w:szCs w:val="18"/>
          <w:lang w:eastAsia="nl-NL"/>
        </w:rPr>
        <w:t>van</w:t>
      </w:r>
      <w:r w:rsidRPr="000841F2" w:rsidR="00331A00">
        <w:rPr>
          <w:rFonts w:eastAsia="Times New Roman" w:cs="Arial"/>
          <w:color w:val="222222"/>
          <w:szCs w:val="18"/>
          <w:lang w:eastAsia="nl-NL"/>
        </w:rPr>
        <w:t xml:space="preserve"> de samenwerking met derde landen. </w:t>
      </w:r>
    </w:p>
    <w:p w:rsidRPr="000841F2" w:rsidR="00D44FA3" w:rsidP="00176550" w:rsidRDefault="00D44FA3" w14:paraId="794C3BD4" w14:textId="77777777">
      <w:pPr>
        <w:pStyle w:val="Default"/>
        <w:rPr>
          <w:sz w:val="18"/>
          <w:szCs w:val="18"/>
        </w:rPr>
      </w:pPr>
    </w:p>
    <w:p w:rsidRPr="000841F2" w:rsidR="00D44FA3" w:rsidP="00176550" w:rsidRDefault="00F42FBB" w14:paraId="7CA02B4C" w14:textId="49D94473">
      <w:pPr>
        <w:pStyle w:val="Default"/>
        <w:rPr>
          <w:sz w:val="18"/>
          <w:szCs w:val="18"/>
        </w:rPr>
      </w:pPr>
      <w:r w:rsidRPr="000841F2">
        <w:rPr>
          <w:b/>
          <w:bCs/>
          <w:sz w:val="18"/>
          <w:szCs w:val="18"/>
        </w:rPr>
        <w:t>7</w:t>
      </w:r>
      <w:r w:rsidRPr="000841F2" w:rsidR="00D44FA3">
        <w:rPr>
          <w:b/>
          <w:bCs/>
          <w:sz w:val="18"/>
          <w:szCs w:val="18"/>
        </w:rPr>
        <w:t xml:space="preserve">. Europese e-Justice Strategie 2024-2028 </w:t>
      </w:r>
    </w:p>
    <w:p w:rsidRPr="000841F2" w:rsidR="00BD0FE6" w:rsidP="00176550" w:rsidRDefault="00BD0FE6" w14:paraId="3C8B122D" w14:textId="77777777">
      <w:pPr>
        <w:spacing w:after="0" w:line="240" w:lineRule="auto"/>
        <w:rPr>
          <w:rFonts w:eastAsia="Times New Roman" w:cs="Times New Roman"/>
          <w:szCs w:val="18"/>
          <w:lang w:eastAsia="nl-NL"/>
        </w:rPr>
      </w:pPr>
    </w:p>
    <w:p w:rsidRPr="000841F2" w:rsidR="00D44FA3" w:rsidP="00176550" w:rsidRDefault="00D44FA3" w14:paraId="78010F9A" w14:textId="5D4F4213">
      <w:pPr>
        <w:spacing w:after="0" w:line="240" w:lineRule="auto"/>
        <w:rPr>
          <w:rFonts w:eastAsia="Times New Roman" w:cs="Arial"/>
          <w:b/>
          <w:bCs/>
          <w:color w:val="000000"/>
          <w:szCs w:val="18"/>
          <w:lang w:eastAsia="nl-NL"/>
        </w:rPr>
      </w:pPr>
      <w:r w:rsidRPr="000841F2">
        <w:rPr>
          <w:rFonts w:eastAsia="Times New Roman" w:cs="Arial"/>
          <w:color w:val="000000"/>
          <w:szCs w:val="18"/>
          <w:lang w:eastAsia="nl-NL"/>
        </w:rPr>
        <w:t>Het Voorzitterschap lichtte toe dat de strategie van groot belang is voor het verbeteren van e-justitie in de EU en de lidstaten. Als successen werden de E-justice portal en e-CODEX genoemd, die beiden de digitalisering van juridische procedure in de EU verbeteren</w:t>
      </w:r>
      <w:r w:rsidRPr="000841F2" w:rsidR="00F42FBB">
        <w:rPr>
          <w:rFonts w:eastAsia="Times New Roman" w:cs="Arial"/>
          <w:color w:val="000000"/>
          <w:szCs w:val="18"/>
          <w:lang w:eastAsia="nl-NL"/>
        </w:rPr>
        <w:t xml:space="preserve">. </w:t>
      </w:r>
      <w:r w:rsidRPr="000F2769" w:rsidR="000F2769">
        <w:rPr>
          <w:rFonts w:eastAsia="Times New Roman" w:cs="Arial"/>
          <w:color w:val="000000"/>
          <w:szCs w:val="18"/>
          <w:lang w:eastAsia="nl-NL"/>
        </w:rPr>
        <w:t>De Commissie wees op het belang van een ondersteund kader voor de juridische omgeving</w:t>
      </w:r>
      <w:r w:rsidRPr="000841F2" w:rsidR="00F42FBB">
        <w:rPr>
          <w:rFonts w:eastAsia="Times New Roman" w:cs="Arial"/>
          <w:color w:val="000000"/>
          <w:szCs w:val="18"/>
          <w:lang w:eastAsia="nl-NL"/>
        </w:rPr>
        <w:t>.</w:t>
      </w:r>
      <w:r w:rsidRPr="000F2769" w:rsidR="00F42FBB">
        <w:rPr>
          <w:rFonts w:eastAsia="Times New Roman" w:cs="Arial"/>
          <w:color w:val="000000"/>
          <w:szCs w:val="18"/>
          <w:lang w:eastAsia="nl-NL"/>
        </w:rPr>
        <w:t xml:space="preserve"> </w:t>
      </w:r>
      <w:r w:rsidRPr="000841F2" w:rsidR="00F42FBB">
        <w:rPr>
          <w:rFonts w:eastAsia="Times New Roman" w:cs="Arial"/>
          <w:color w:val="000000"/>
          <w:szCs w:val="18"/>
          <w:lang w:eastAsia="nl-NL"/>
        </w:rPr>
        <w:t>De Raad nam de Europese e-Justice Strategie 2024-2028 aan</w:t>
      </w:r>
      <w:r w:rsidRPr="000841F2" w:rsidR="00F42FBB">
        <w:rPr>
          <w:rFonts w:eastAsia="Times New Roman" w:cs="Arial"/>
          <w:b/>
          <w:bCs/>
          <w:color w:val="000000"/>
          <w:szCs w:val="18"/>
          <w:lang w:eastAsia="nl-NL"/>
        </w:rPr>
        <w:t>.</w:t>
      </w:r>
    </w:p>
    <w:p w:rsidRPr="000841F2" w:rsidR="00BD0FE6" w:rsidP="00176550" w:rsidRDefault="00BD0FE6" w14:paraId="73C80A14" w14:textId="77777777">
      <w:pPr>
        <w:spacing w:after="0" w:line="240" w:lineRule="auto"/>
        <w:rPr>
          <w:rFonts w:ascii="Times New Roman" w:hAnsi="Times New Roman" w:eastAsia="Times New Roman" w:cs="Times New Roman"/>
          <w:szCs w:val="18"/>
          <w:lang w:eastAsia="nl-NL"/>
        </w:rPr>
      </w:pPr>
    </w:p>
    <w:p w:rsidRPr="000841F2" w:rsidR="00F42FBB" w:rsidP="00176550" w:rsidRDefault="00F42FBB" w14:paraId="38CC107B" w14:textId="77777777">
      <w:pPr>
        <w:pStyle w:val="Default"/>
        <w:rPr>
          <w:b/>
          <w:bCs/>
          <w:sz w:val="18"/>
          <w:szCs w:val="18"/>
        </w:rPr>
      </w:pPr>
      <w:r w:rsidRPr="000841F2">
        <w:rPr>
          <w:b/>
          <w:bCs/>
          <w:sz w:val="18"/>
          <w:szCs w:val="18"/>
        </w:rPr>
        <w:t xml:space="preserve">8. EU toetreding tot het Europees Verdrag Europees tot Bescherming van de Rechten van de Mens en de Fundamentele Vrijheden (EVRM) </w:t>
      </w:r>
    </w:p>
    <w:p w:rsidRPr="000841F2" w:rsidR="00BD0FE6" w:rsidP="00176550" w:rsidRDefault="00BD0FE6" w14:paraId="5BCD3AB0" w14:textId="77777777">
      <w:pPr>
        <w:spacing w:after="0" w:line="240" w:lineRule="auto"/>
        <w:rPr>
          <w:rFonts w:ascii="Times New Roman" w:hAnsi="Times New Roman" w:eastAsia="Times New Roman" w:cs="Times New Roman"/>
          <w:szCs w:val="18"/>
          <w:lang w:eastAsia="nl-NL"/>
        </w:rPr>
      </w:pPr>
    </w:p>
    <w:p w:rsidRPr="000841F2" w:rsidR="00BD0FE6" w:rsidP="00176550" w:rsidRDefault="00F42FBB" w14:paraId="6B5163FA" w14:textId="49A44E98">
      <w:pPr>
        <w:spacing w:after="0" w:line="240" w:lineRule="auto"/>
        <w:rPr>
          <w:rFonts w:eastAsia="Times New Roman" w:cs="Times New Roman"/>
          <w:sz w:val="20"/>
          <w:szCs w:val="20"/>
          <w:lang w:eastAsia="nl-NL"/>
        </w:rPr>
      </w:pPr>
      <w:r w:rsidRPr="000841F2">
        <w:rPr>
          <w:rFonts w:eastAsia="Times New Roman" w:cs="Arial"/>
          <w:color w:val="000000"/>
          <w:szCs w:val="18"/>
          <w:lang w:eastAsia="nl-NL"/>
        </w:rPr>
        <w:t xml:space="preserve">Het Voorzitterschap benadrukte </w:t>
      </w:r>
      <w:r w:rsidRPr="000841F2" w:rsidR="00FE2689">
        <w:rPr>
          <w:rFonts w:eastAsia="Times New Roman" w:cs="Arial"/>
          <w:color w:val="000000"/>
          <w:szCs w:val="18"/>
          <w:lang w:eastAsia="nl-NL"/>
        </w:rPr>
        <w:t>dat</w:t>
      </w:r>
      <w:r w:rsidRPr="000841F2">
        <w:rPr>
          <w:rFonts w:eastAsia="Times New Roman" w:cs="Arial"/>
          <w:color w:val="000000"/>
          <w:szCs w:val="18"/>
          <w:lang w:eastAsia="nl-NL"/>
        </w:rPr>
        <w:t xml:space="preserve"> de toetreding tot het EVRM</w:t>
      </w:r>
      <w:r w:rsidRPr="000841F2" w:rsidR="005A150F">
        <w:rPr>
          <w:rFonts w:eastAsia="Times New Roman" w:cs="Arial"/>
          <w:color w:val="000000"/>
          <w:szCs w:val="18"/>
          <w:lang w:eastAsia="nl-NL"/>
        </w:rPr>
        <w:t xml:space="preserve"> niet alleen </w:t>
      </w:r>
      <w:r w:rsidRPr="000841F2">
        <w:rPr>
          <w:rFonts w:eastAsia="Times New Roman" w:cs="Arial"/>
          <w:color w:val="000000"/>
          <w:szCs w:val="18"/>
          <w:lang w:eastAsia="nl-NL"/>
        </w:rPr>
        <w:t>een juridische stap</w:t>
      </w:r>
      <w:r w:rsidRPr="000841F2" w:rsidR="005A150F">
        <w:rPr>
          <w:rFonts w:eastAsia="Times New Roman" w:cs="Arial"/>
          <w:color w:val="000000"/>
          <w:szCs w:val="18"/>
          <w:lang w:eastAsia="nl-NL"/>
        </w:rPr>
        <w:t xml:space="preserve"> </w:t>
      </w:r>
      <w:r w:rsidRPr="000841F2" w:rsidR="00FE2689">
        <w:rPr>
          <w:rFonts w:eastAsia="Times New Roman" w:cs="Arial"/>
          <w:color w:val="000000"/>
          <w:szCs w:val="18"/>
          <w:lang w:eastAsia="nl-NL"/>
        </w:rPr>
        <w:t xml:space="preserve">is </w:t>
      </w:r>
      <w:r w:rsidRPr="000841F2" w:rsidR="005A150F">
        <w:rPr>
          <w:rFonts w:eastAsia="Times New Roman" w:cs="Arial"/>
          <w:color w:val="000000"/>
          <w:szCs w:val="18"/>
          <w:lang w:eastAsia="nl-NL"/>
        </w:rPr>
        <w:t xml:space="preserve">maar </w:t>
      </w:r>
      <w:r w:rsidRPr="000841F2" w:rsidR="00FE2689">
        <w:rPr>
          <w:rFonts w:eastAsia="Times New Roman" w:cs="Arial"/>
          <w:color w:val="000000"/>
          <w:szCs w:val="18"/>
          <w:lang w:eastAsia="nl-NL"/>
        </w:rPr>
        <w:t xml:space="preserve">als doel heeft </w:t>
      </w:r>
      <w:r w:rsidRPr="000841F2" w:rsidR="005A150F">
        <w:rPr>
          <w:rFonts w:eastAsia="Times New Roman" w:cs="Arial"/>
          <w:color w:val="000000"/>
          <w:szCs w:val="18"/>
          <w:lang w:eastAsia="nl-NL"/>
        </w:rPr>
        <w:t xml:space="preserve">grondrechten die steeds meer onder druk staan </w:t>
      </w:r>
      <w:r w:rsidR="00176550">
        <w:rPr>
          <w:rFonts w:eastAsia="Times New Roman" w:cs="Arial"/>
          <w:color w:val="000000"/>
          <w:szCs w:val="18"/>
          <w:lang w:eastAsia="nl-NL"/>
        </w:rPr>
        <w:t>te beschermen</w:t>
      </w:r>
      <w:r w:rsidRPr="000841F2" w:rsidR="005A150F">
        <w:rPr>
          <w:rFonts w:eastAsia="Times New Roman" w:cs="Arial"/>
          <w:color w:val="000000"/>
          <w:szCs w:val="18"/>
          <w:lang w:eastAsia="nl-NL"/>
        </w:rPr>
        <w:t xml:space="preserve">. </w:t>
      </w:r>
      <w:r w:rsidR="00176550">
        <w:rPr>
          <w:rFonts w:eastAsia="Times New Roman" w:cs="Arial"/>
          <w:color w:val="000000"/>
          <w:szCs w:val="18"/>
          <w:lang w:eastAsia="nl-NL"/>
        </w:rPr>
        <w:t>Gewerkt wordt aan e</w:t>
      </w:r>
      <w:r w:rsidRPr="000841F2" w:rsidR="005A150F">
        <w:rPr>
          <w:rFonts w:eastAsia="Times New Roman" w:cs="Arial"/>
          <w:color w:val="000000"/>
          <w:szCs w:val="18"/>
          <w:lang w:eastAsia="nl-NL"/>
        </w:rPr>
        <w:t xml:space="preserve">en administratieve procedure om tegemoet te komen aan het laatste bezwaar </w:t>
      </w:r>
      <w:r w:rsidRPr="000841F2" w:rsidR="00FE2689">
        <w:rPr>
          <w:rFonts w:eastAsia="Times New Roman" w:cs="Arial"/>
          <w:color w:val="000000"/>
          <w:szCs w:val="18"/>
          <w:lang w:eastAsia="nl-NL"/>
        </w:rPr>
        <w:t>(</w:t>
      </w:r>
      <w:r w:rsidR="007B791B">
        <w:rPr>
          <w:rFonts w:eastAsia="Times New Roman" w:cs="Arial"/>
          <w:color w:val="000000"/>
          <w:szCs w:val="18"/>
          <w:lang w:eastAsia="nl-NL"/>
        </w:rPr>
        <w:t xml:space="preserve">dat ziet op de </w:t>
      </w:r>
      <w:r w:rsidRPr="000841F2" w:rsidR="00FE2689">
        <w:rPr>
          <w:rFonts w:eastAsia="Times New Roman" w:cs="Arial"/>
          <w:color w:val="000000"/>
          <w:szCs w:val="18"/>
          <w:lang w:eastAsia="nl-NL"/>
        </w:rPr>
        <w:t>bevoegdheid voor mensenrechten op het terrein van gemeenschappelijk buitenlandsveiligheidsbeleid</w:t>
      </w:r>
      <w:r w:rsidRPr="000841F2" w:rsidR="00FE2689">
        <w:rPr>
          <w:rStyle w:val="Voetnootmarkering"/>
          <w:rFonts w:eastAsia="Times New Roman" w:cs="Arial"/>
          <w:color w:val="000000"/>
          <w:szCs w:val="18"/>
          <w:lang w:eastAsia="nl-NL"/>
        </w:rPr>
        <w:footnoteReference w:id="3"/>
      </w:r>
      <w:r w:rsidRPr="000841F2" w:rsidR="00FE2689">
        <w:rPr>
          <w:rFonts w:eastAsia="Times New Roman" w:cs="Arial"/>
          <w:color w:val="000000"/>
          <w:szCs w:val="18"/>
          <w:lang w:eastAsia="nl-NL"/>
        </w:rPr>
        <w:t xml:space="preserve">) </w:t>
      </w:r>
      <w:r w:rsidRPr="000841F2" w:rsidR="005A150F">
        <w:rPr>
          <w:rFonts w:eastAsia="Times New Roman" w:cs="Arial"/>
          <w:color w:val="000000"/>
          <w:szCs w:val="18"/>
          <w:lang w:eastAsia="nl-NL"/>
        </w:rPr>
        <w:t xml:space="preserve">voor </w:t>
      </w:r>
      <w:r w:rsidR="00176550">
        <w:rPr>
          <w:rFonts w:eastAsia="Times New Roman" w:cs="Arial"/>
          <w:color w:val="000000"/>
          <w:szCs w:val="18"/>
          <w:lang w:eastAsia="nl-NL"/>
        </w:rPr>
        <w:t xml:space="preserve">EU </w:t>
      </w:r>
      <w:r w:rsidRPr="000841F2" w:rsidR="005A150F">
        <w:rPr>
          <w:rFonts w:eastAsia="Times New Roman" w:cs="Arial"/>
          <w:color w:val="000000"/>
          <w:szCs w:val="18"/>
          <w:lang w:eastAsia="nl-NL"/>
        </w:rPr>
        <w:t>toetreding</w:t>
      </w:r>
      <w:r w:rsidR="00176550">
        <w:rPr>
          <w:rFonts w:eastAsia="Times New Roman" w:cs="Arial"/>
          <w:color w:val="000000"/>
          <w:szCs w:val="18"/>
          <w:lang w:eastAsia="nl-NL"/>
        </w:rPr>
        <w:t xml:space="preserve"> tot het EVRM</w:t>
      </w:r>
      <w:r w:rsidRPr="000841F2" w:rsidR="005A150F">
        <w:rPr>
          <w:rFonts w:eastAsia="Times New Roman" w:cs="Arial"/>
          <w:color w:val="000000"/>
          <w:szCs w:val="18"/>
          <w:lang w:eastAsia="nl-NL"/>
        </w:rPr>
        <w:t>. Deze</w:t>
      </w:r>
      <w:r w:rsidRPr="000841F2" w:rsidR="005A150F">
        <w:rPr>
          <w:rFonts w:eastAsia="Times New Roman" w:cs="Arial"/>
          <w:b/>
          <w:bCs/>
          <w:color w:val="000000"/>
          <w:szCs w:val="18"/>
          <w:lang w:eastAsia="nl-NL"/>
        </w:rPr>
        <w:t xml:space="preserve"> </w:t>
      </w:r>
      <w:r w:rsidRPr="000841F2" w:rsidR="005A150F">
        <w:rPr>
          <w:rFonts w:eastAsia="Times New Roman" w:cs="Arial"/>
          <w:color w:val="000000"/>
          <w:szCs w:val="18"/>
          <w:lang w:eastAsia="nl-NL"/>
        </w:rPr>
        <w:t xml:space="preserve">oplossing past binnen de bestaande kaders en is een oplossing in afwachting van de uitspraak van het Europese Hof van Justitie in de zaak Eulex-Kosovo, aldus het Voorzitterschap. De Commissie riep lidstaten op een oplossing te vinden in afwachting van de uitspraak in bovengenoemde zaak en </w:t>
      </w:r>
      <w:r w:rsidR="007B791B">
        <w:rPr>
          <w:rFonts w:eastAsia="Times New Roman" w:cs="Arial"/>
          <w:color w:val="000000"/>
          <w:szCs w:val="18"/>
          <w:lang w:eastAsia="nl-NL"/>
        </w:rPr>
        <w:t xml:space="preserve">om </w:t>
      </w:r>
      <w:r w:rsidRPr="000841F2" w:rsidR="005A150F">
        <w:rPr>
          <w:rFonts w:eastAsia="Times New Roman" w:cs="Arial"/>
          <w:color w:val="000000"/>
          <w:szCs w:val="18"/>
          <w:lang w:eastAsia="nl-NL"/>
        </w:rPr>
        <w:t>zich daarbij flexibel op te stellen. Daarbij onderstreepte</w:t>
      </w:r>
      <w:r w:rsidRPr="00FE2689" w:rsidR="005A150F">
        <w:rPr>
          <w:rFonts w:eastAsia="Times New Roman" w:cs="Arial"/>
          <w:color w:val="000000"/>
          <w:sz w:val="20"/>
          <w:szCs w:val="20"/>
          <w:lang w:eastAsia="nl-NL"/>
        </w:rPr>
        <w:t xml:space="preserve"> </w:t>
      </w:r>
      <w:r w:rsidRPr="000841F2" w:rsidR="005A150F">
        <w:rPr>
          <w:rFonts w:eastAsia="Times New Roman" w:cs="Arial"/>
          <w:color w:val="000000"/>
          <w:szCs w:val="18"/>
          <w:lang w:eastAsia="nl-NL"/>
        </w:rPr>
        <w:t>de Commissie dat toetreding van de EU tot het EVRM geen beleidskeuze maar een verdragsverplichting</w:t>
      </w:r>
      <w:r w:rsidRPr="000841F2" w:rsidR="000047B6">
        <w:rPr>
          <w:rFonts w:eastAsia="Times New Roman" w:cs="Arial"/>
          <w:color w:val="000000"/>
          <w:szCs w:val="18"/>
          <w:lang w:eastAsia="nl-NL"/>
        </w:rPr>
        <w:t xml:space="preserve"> is.</w:t>
      </w:r>
    </w:p>
    <w:p w:rsidRPr="00BD0FE6" w:rsidR="00BD0FE6" w:rsidP="00176550" w:rsidRDefault="00BD0FE6" w14:paraId="2C755932" w14:textId="77777777">
      <w:pPr>
        <w:spacing w:after="0" w:line="240" w:lineRule="auto"/>
        <w:rPr>
          <w:rFonts w:ascii="Times New Roman" w:hAnsi="Times New Roman" w:eastAsia="Times New Roman" w:cs="Times New Roman"/>
          <w:sz w:val="24"/>
          <w:szCs w:val="24"/>
          <w:lang w:eastAsia="nl-NL"/>
        </w:rPr>
      </w:pPr>
    </w:p>
    <w:p w:rsidRPr="00F42FBB" w:rsidR="00F42FBB" w:rsidP="00176550" w:rsidRDefault="00F42FBB" w14:paraId="76587CC1" w14:textId="77777777">
      <w:pPr>
        <w:pStyle w:val="Default"/>
        <w:numPr>
          <w:ilvl w:val="1"/>
          <w:numId w:val="4"/>
        </w:numPr>
        <w:rPr>
          <w:sz w:val="18"/>
          <w:szCs w:val="18"/>
        </w:rPr>
      </w:pPr>
      <w:r>
        <w:rPr>
          <w:b/>
          <w:bCs/>
          <w:sz w:val="18"/>
          <w:szCs w:val="18"/>
        </w:rPr>
        <w:t xml:space="preserve">9. Overige onderwerpen </w:t>
      </w:r>
    </w:p>
    <w:p w:rsidRPr="00F42FBB" w:rsidR="00F42FBB" w:rsidP="00176550" w:rsidRDefault="00F42FBB" w14:paraId="71DA75C7" w14:textId="77777777">
      <w:pPr>
        <w:pStyle w:val="Default"/>
        <w:numPr>
          <w:ilvl w:val="1"/>
          <w:numId w:val="4"/>
        </w:numPr>
        <w:rPr>
          <w:sz w:val="18"/>
          <w:szCs w:val="18"/>
        </w:rPr>
      </w:pPr>
    </w:p>
    <w:p w:rsidRPr="000841F2" w:rsidR="00F42FBB" w:rsidP="00176550" w:rsidRDefault="00F42FBB" w14:paraId="617B1867" w14:textId="3BB6E0CA">
      <w:pPr>
        <w:pStyle w:val="Default"/>
        <w:numPr>
          <w:ilvl w:val="1"/>
          <w:numId w:val="4"/>
        </w:numPr>
        <w:rPr>
          <w:sz w:val="18"/>
          <w:szCs w:val="18"/>
        </w:rPr>
      </w:pPr>
      <w:r w:rsidRPr="000841F2">
        <w:rPr>
          <w:b/>
          <w:bCs/>
          <w:sz w:val="18"/>
          <w:szCs w:val="18"/>
        </w:rPr>
        <w:t xml:space="preserve">a. Benoeming van de directeur van het Bureau van de Europese Unie voor de grondrechten </w:t>
      </w:r>
    </w:p>
    <w:p w:rsidRPr="000841F2" w:rsidR="000047B6" w:rsidP="00176550" w:rsidRDefault="000047B6" w14:paraId="0919113E" w14:textId="77777777">
      <w:pPr>
        <w:spacing w:after="0" w:line="240" w:lineRule="auto"/>
        <w:rPr>
          <w:rFonts w:ascii="Arial" w:hAnsi="Arial" w:eastAsia="Times New Roman" w:cs="Arial"/>
          <w:b/>
          <w:bCs/>
          <w:i/>
          <w:iCs/>
          <w:color w:val="000000"/>
          <w:szCs w:val="18"/>
          <w:lang w:eastAsia="nl-NL"/>
        </w:rPr>
      </w:pPr>
    </w:p>
    <w:p w:rsidRPr="000841F2" w:rsidR="00BD0FE6" w:rsidP="00176550" w:rsidRDefault="000047B6" w14:paraId="788767EF" w14:textId="42A5F456">
      <w:pPr>
        <w:spacing w:after="0" w:line="240" w:lineRule="auto"/>
        <w:rPr>
          <w:rFonts w:eastAsia="Times New Roman" w:cs="Times New Roman"/>
          <w:szCs w:val="18"/>
          <w:lang w:eastAsia="nl-NL"/>
        </w:rPr>
      </w:pPr>
      <w:r w:rsidRPr="000841F2">
        <w:rPr>
          <w:rFonts w:eastAsia="Times New Roman" w:cs="Arial"/>
          <w:color w:val="000000"/>
          <w:szCs w:val="18"/>
          <w:lang w:eastAsia="nl-NL"/>
        </w:rPr>
        <w:t xml:space="preserve">Het Voorzitterschap bedankte de huidige directeur Michael O’Flaherty van het Bureau van de EU voor grondrechten voor zijn inzet en lichtte de procedure voor de benoeming van zijn opvolger toe. De lidstaten namen hier kennis van. </w:t>
      </w:r>
    </w:p>
    <w:p w:rsidRPr="00BD0FE6" w:rsidR="00BD0FE6" w:rsidP="00176550" w:rsidRDefault="00BD0FE6" w14:paraId="26953204" w14:textId="77777777">
      <w:pPr>
        <w:spacing w:after="0" w:line="240" w:lineRule="auto"/>
        <w:rPr>
          <w:rFonts w:ascii="Times New Roman" w:hAnsi="Times New Roman" w:eastAsia="Times New Roman" w:cs="Times New Roman"/>
          <w:sz w:val="24"/>
          <w:szCs w:val="24"/>
          <w:lang w:eastAsia="nl-NL"/>
        </w:rPr>
      </w:pPr>
    </w:p>
    <w:p w:rsidR="00F42FBB" w:rsidP="00176550" w:rsidRDefault="00F42FBB" w14:paraId="15592EDD" w14:textId="252F10D6">
      <w:pPr>
        <w:pStyle w:val="Default"/>
        <w:numPr>
          <w:ilvl w:val="1"/>
          <w:numId w:val="6"/>
        </w:numPr>
        <w:rPr>
          <w:sz w:val="18"/>
          <w:szCs w:val="18"/>
        </w:rPr>
      </w:pPr>
      <w:r>
        <w:rPr>
          <w:b/>
          <w:bCs/>
          <w:sz w:val="18"/>
          <w:szCs w:val="18"/>
        </w:rPr>
        <w:t>b. EU-Weste</w:t>
      </w:r>
      <w:r w:rsidR="00B619C3">
        <w:rPr>
          <w:b/>
          <w:bCs/>
          <w:sz w:val="18"/>
          <w:szCs w:val="18"/>
        </w:rPr>
        <w:t>lijke</w:t>
      </w:r>
      <w:r>
        <w:rPr>
          <w:b/>
          <w:bCs/>
          <w:sz w:val="18"/>
          <w:szCs w:val="18"/>
        </w:rPr>
        <w:t xml:space="preserve"> Balkan Ministerieel Forum te Skopje (26-27 oktober 2023) </w:t>
      </w:r>
    </w:p>
    <w:p w:rsidRPr="00BD0FE6" w:rsidR="000047B6" w:rsidP="00176550" w:rsidRDefault="000047B6" w14:paraId="2D0426DF" w14:textId="77777777">
      <w:pPr>
        <w:spacing w:after="0" w:line="240" w:lineRule="auto"/>
        <w:rPr>
          <w:rFonts w:ascii="Times New Roman" w:hAnsi="Times New Roman" w:eastAsia="Times New Roman" w:cs="Times New Roman"/>
          <w:sz w:val="24"/>
          <w:szCs w:val="24"/>
          <w:lang w:eastAsia="nl-NL"/>
        </w:rPr>
      </w:pPr>
    </w:p>
    <w:p w:rsidRPr="000841F2" w:rsidR="006F0B2D" w:rsidP="00176550" w:rsidRDefault="006F0B2D" w14:paraId="377107E4" w14:textId="38696044">
      <w:pPr>
        <w:spacing w:after="0" w:line="240" w:lineRule="auto"/>
        <w:rPr>
          <w:szCs w:val="18"/>
        </w:rPr>
      </w:pPr>
      <w:r w:rsidRPr="000841F2">
        <w:rPr>
          <w:rFonts w:eastAsia="Times New Roman" w:cs="Arial"/>
          <w:color w:val="000000"/>
          <w:szCs w:val="18"/>
          <w:lang w:eastAsia="nl-NL"/>
        </w:rPr>
        <w:t>Het</w:t>
      </w:r>
      <w:r w:rsidRPr="000841F2" w:rsidR="000047B6">
        <w:rPr>
          <w:rFonts w:eastAsia="Times New Roman" w:cs="Arial"/>
          <w:color w:val="000000"/>
          <w:szCs w:val="18"/>
          <w:lang w:eastAsia="nl-NL"/>
        </w:rPr>
        <w:t xml:space="preserve"> EU-Weste</w:t>
      </w:r>
      <w:r w:rsidRPr="000841F2" w:rsidR="00B619C3">
        <w:rPr>
          <w:rFonts w:eastAsia="Times New Roman" w:cs="Arial"/>
          <w:color w:val="000000"/>
          <w:szCs w:val="18"/>
          <w:lang w:eastAsia="nl-NL"/>
        </w:rPr>
        <w:t>lijke</w:t>
      </w:r>
      <w:r w:rsidRPr="000841F2" w:rsidR="000047B6">
        <w:rPr>
          <w:rFonts w:eastAsia="Times New Roman" w:cs="Arial"/>
          <w:color w:val="000000"/>
          <w:szCs w:val="18"/>
          <w:lang w:eastAsia="nl-NL"/>
        </w:rPr>
        <w:t xml:space="preserve"> Balkan Forum </w:t>
      </w:r>
      <w:r w:rsidRPr="000841F2" w:rsidR="00FD75E3">
        <w:rPr>
          <w:rFonts w:eastAsia="Times New Roman" w:cs="Arial"/>
          <w:color w:val="000000"/>
          <w:szCs w:val="18"/>
          <w:lang w:eastAsia="nl-NL"/>
        </w:rPr>
        <w:t xml:space="preserve">van eind oktober </w:t>
      </w:r>
      <w:r w:rsidRPr="000841F2" w:rsidR="000047B6">
        <w:rPr>
          <w:rFonts w:eastAsia="Times New Roman" w:cs="Arial"/>
          <w:color w:val="000000"/>
          <w:szCs w:val="18"/>
          <w:lang w:eastAsia="nl-NL"/>
        </w:rPr>
        <w:t xml:space="preserve">werd door het Voorzitterschap </w:t>
      </w:r>
      <w:r w:rsidRPr="000841F2" w:rsidR="00FD75E3">
        <w:rPr>
          <w:rFonts w:eastAsia="Times New Roman" w:cs="Arial"/>
          <w:color w:val="000000"/>
          <w:szCs w:val="18"/>
          <w:lang w:eastAsia="nl-NL"/>
        </w:rPr>
        <w:t>toegelicht</w:t>
      </w:r>
      <w:r w:rsidRPr="000841F2" w:rsidR="000047B6">
        <w:rPr>
          <w:rFonts w:eastAsia="Times New Roman" w:cs="Arial"/>
          <w:color w:val="000000"/>
          <w:szCs w:val="18"/>
          <w:lang w:eastAsia="nl-NL"/>
        </w:rPr>
        <w:t>.</w:t>
      </w:r>
      <w:r w:rsidRPr="000841F2" w:rsidR="00B619C3">
        <w:rPr>
          <w:rFonts w:eastAsia="Times New Roman" w:cs="Arial"/>
          <w:color w:val="000000"/>
          <w:szCs w:val="18"/>
          <w:lang w:eastAsia="nl-NL"/>
        </w:rPr>
        <w:t xml:space="preserve"> </w:t>
      </w:r>
      <w:r w:rsidRPr="000841F2" w:rsidR="000047B6">
        <w:rPr>
          <w:rFonts w:eastAsia="Times New Roman" w:cs="Arial"/>
          <w:color w:val="000000"/>
          <w:szCs w:val="18"/>
          <w:lang w:eastAsia="nl-NL"/>
        </w:rPr>
        <w:t>Tijdens het Forum werd</w:t>
      </w:r>
      <w:r w:rsidRPr="000841F2" w:rsidR="00FD75E3">
        <w:rPr>
          <w:rFonts w:eastAsia="Times New Roman" w:cs="Arial"/>
          <w:color w:val="000000"/>
          <w:szCs w:val="18"/>
          <w:lang w:eastAsia="nl-NL"/>
        </w:rPr>
        <w:t xml:space="preserve">en rechtsstatelijkheid en herziening van </w:t>
      </w:r>
      <w:r w:rsidRPr="000841F2" w:rsidR="00B619C3">
        <w:rPr>
          <w:rFonts w:eastAsia="Times New Roman" w:cs="Arial"/>
          <w:color w:val="000000"/>
          <w:szCs w:val="18"/>
          <w:lang w:eastAsia="nl-NL"/>
        </w:rPr>
        <w:t xml:space="preserve">de </w:t>
      </w:r>
      <w:r w:rsidRPr="000841F2" w:rsidR="00FD75E3">
        <w:rPr>
          <w:rFonts w:eastAsia="Times New Roman" w:cs="Arial"/>
          <w:color w:val="000000"/>
          <w:szCs w:val="18"/>
          <w:lang w:eastAsia="nl-NL"/>
        </w:rPr>
        <w:t>rechtssystem</w:t>
      </w:r>
      <w:r w:rsidRPr="000841F2" w:rsidR="00B619C3">
        <w:rPr>
          <w:rFonts w:eastAsia="Times New Roman" w:cs="Arial"/>
          <w:color w:val="000000"/>
          <w:szCs w:val="18"/>
          <w:lang w:eastAsia="nl-NL"/>
        </w:rPr>
        <w:t>en besproken</w:t>
      </w:r>
      <w:r w:rsidRPr="000841F2" w:rsidR="00FD75E3">
        <w:rPr>
          <w:rFonts w:eastAsia="Times New Roman" w:cs="Arial"/>
          <w:color w:val="000000"/>
          <w:szCs w:val="18"/>
          <w:lang w:eastAsia="nl-NL"/>
        </w:rPr>
        <w:t xml:space="preserve"> als</w:t>
      </w:r>
      <w:r w:rsidRPr="000841F2" w:rsidR="00B619C3">
        <w:rPr>
          <w:rFonts w:eastAsia="Times New Roman" w:cs="Arial"/>
          <w:color w:val="000000"/>
          <w:szCs w:val="18"/>
          <w:lang w:eastAsia="nl-NL"/>
        </w:rPr>
        <w:t xml:space="preserve"> zjnde</w:t>
      </w:r>
      <w:r w:rsidRPr="000841F2" w:rsidR="00FD75E3">
        <w:rPr>
          <w:rFonts w:eastAsia="Times New Roman" w:cs="Arial"/>
          <w:color w:val="000000"/>
          <w:szCs w:val="18"/>
          <w:lang w:eastAsia="nl-NL"/>
        </w:rPr>
        <w:t xml:space="preserve"> </w:t>
      </w:r>
      <w:r w:rsidRPr="000841F2" w:rsidR="00FD75E3">
        <w:rPr>
          <w:rFonts w:eastAsia="Times New Roman" w:cs="Arial"/>
          <w:i/>
          <w:iCs/>
          <w:color w:val="000000"/>
          <w:szCs w:val="18"/>
          <w:lang w:eastAsia="nl-NL"/>
        </w:rPr>
        <w:t>fundamentals first</w:t>
      </w:r>
      <w:r w:rsidRPr="000841F2" w:rsidR="00FD75E3">
        <w:rPr>
          <w:rFonts w:eastAsia="Times New Roman" w:cs="Arial"/>
          <w:color w:val="000000"/>
          <w:szCs w:val="18"/>
          <w:lang w:eastAsia="nl-NL"/>
        </w:rPr>
        <w:t xml:space="preserve"> in het kader van EU-uitbreiding. Ook werd gesproken </w:t>
      </w:r>
      <w:r w:rsidRPr="000841F2">
        <w:rPr>
          <w:rFonts w:eastAsia="Times New Roman" w:cs="Arial"/>
          <w:color w:val="000000"/>
          <w:szCs w:val="18"/>
          <w:lang w:eastAsia="nl-NL"/>
        </w:rPr>
        <w:t xml:space="preserve">over </w:t>
      </w:r>
      <w:r w:rsidRPr="000841F2" w:rsidR="00FD75E3">
        <w:rPr>
          <w:rFonts w:eastAsia="Times New Roman" w:cs="Arial"/>
          <w:color w:val="000000"/>
          <w:szCs w:val="18"/>
          <w:lang w:eastAsia="nl-NL"/>
        </w:rPr>
        <w:t xml:space="preserve">gemeenschappelijke inspanningen bij het tegengaan straffeloosheid in het kader van Russische agressie tegen Oekraïne. </w:t>
      </w:r>
      <w:r w:rsidRPr="000841F2">
        <w:rPr>
          <w:rFonts w:eastAsia="Times New Roman" w:cs="Arial"/>
          <w:color w:val="000000"/>
          <w:szCs w:val="18"/>
          <w:lang w:eastAsia="nl-NL"/>
        </w:rPr>
        <w:t xml:space="preserve">Daarnaast werden </w:t>
      </w:r>
      <w:r w:rsidRPr="000841F2" w:rsidR="00B619C3">
        <w:rPr>
          <w:rFonts w:eastAsia="Times New Roman" w:cs="Arial"/>
          <w:color w:val="000000"/>
          <w:szCs w:val="18"/>
          <w:lang w:eastAsia="nl-NL"/>
        </w:rPr>
        <w:t xml:space="preserve">tijdens de Raad </w:t>
      </w:r>
      <w:r w:rsidRPr="000841F2">
        <w:rPr>
          <w:rFonts w:eastAsia="Times New Roman" w:cs="Arial"/>
          <w:color w:val="000000"/>
          <w:szCs w:val="18"/>
          <w:lang w:eastAsia="nl-NL"/>
        </w:rPr>
        <w:t xml:space="preserve">twee </w:t>
      </w:r>
      <w:r w:rsidRPr="000841F2">
        <w:rPr>
          <w:szCs w:val="18"/>
        </w:rPr>
        <w:t xml:space="preserve">conclusies </w:t>
      </w:r>
      <w:r w:rsidRPr="000841F2" w:rsidR="00B619C3">
        <w:rPr>
          <w:szCs w:val="18"/>
        </w:rPr>
        <w:t xml:space="preserve">van de bijeenkomst </w:t>
      </w:r>
      <w:r w:rsidRPr="000841F2">
        <w:rPr>
          <w:szCs w:val="18"/>
        </w:rPr>
        <w:t>belicht</w:t>
      </w:r>
      <w:r w:rsidRPr="000841F2" w:rsidR="00B619C3">
        <w:rPr>
          <w:szCs w:val="18"/>
        </w:rPr>
        <w:t>;</w:t>
      </w:r>
      <w:r w:rsidRPr="000841F2">
        <w:rPr>
          <w:szCs w:val="18"/>
        </w:rPr>
        <w:t xml:space="preserve"> 1) dat de gedeelde migratie commitment zi</w:t>
      </w:r>
      <w:r w:rsidRPr="000841F2" w:rsidR="00B619C3">
        <w:rPr>
          <w:szCs w:val="18"/>
        </w:rPr>
        <w:t>j</w:t>
      </w:r>
      <w:r w:rsidRPr="000841F2">
        <w:rPr>
          <w:szCs w:val="18"/>
        </w:rPr>
        <w:t>n vruchten begint af te werpen met minder irreguliere migrati</w:t>
      </w:r>
      <w:r w:rsidRPr="000841F2" w:rsidR="009323CB">
        <w:rPr>
          <w:szCs w:val="18"/>
        </w:rPr>
        <w:t>e</w:t>
      </w:r>
      <w:r w:rsidRPr="000841F2">
        <w:rPr>
          <w:szCs w:val="18"/>
        </w:rPr>
        <w:t xml:space="preserve"> in de regio, en 2) de samenwerking in de strijd tegen terrorisme met </w:t>
      </w:r>
      <w:r w:rsidRPr="000841F2">
        <w:rPr>
          <w:i/>
          <w:iCs/>
          <w:szCs w:val="18"/>
        </w:rPr>
        <w:t xml:space="preserve">joint action plans </w:t>
      </w:r>
      <w:r w:rsidRPr="000841F2">
        <w:rPr>
          <w:szCs w:val="18"/>
        </w:rPr>
        <w:t xml:space="preserve">vorm krijgt. </w:t>
      </w:r>
      <w:r w:rsidRPr="000841F2" w:rsidR="00B619C3">
        <w:rPr>
          <w:szCs w:val="18"/>
        </w:rPr>
        <w:t xml:space="preserve">Ook werd de </w:t>
      </w:r>
      <w:r w:rsidRPr="000841F2" w:rsidR="009323CB">
        <w:rPr>
          <w:szCs w:val="18"/>
        </w:rPr>
        <w:t>Weste</w:t>
      </w:r>
      <w:r w:rsidRPr="000841F2" w:rsidR="00B619C3">
        <w:rPr>
          <w:szCs w:val="18"/>
        </w:rPr>
        <w:t>lijke</w:t>
      </w:r>
      <w:r w:rsidRPr="000841F2" w:rsidR="009323CB">
        <w:rPr>
          <w:szCs w:val="18"/>
        </w:rPr>
        <w:t>-Balkan werd</w:t>
      </w:r>
      <w:r w:rsidRPr="000841F2">
        <w:rPr>
          <w:szCs w:val="18"/>
        </w:rPr>
        <w:t xml:space="preserve"> aangemoedigd om systemen op te zetten</w:t>
      </w:r>
      <w:r w:rsidRPr="000841F2" w:rsidR="00B619C3">
        <w:rPr>
          <w:szCs w:val="18"/>
        </w:rPr>
        <w:t xml:space="preserve"> in de strijd tegen drugshandel</w:t>
      </w:r>
      <w:r w:rsidRPr="000841F2">
        <w:rPr>
          <w:szCs w:val="18"/>
        </w:rPr>
        <w:t>.</w:t>
      </w:r>
      <w:r w:rsidRPr="000841F2">
        <w:rPr>
          <w:rFonts w:eastAsia="Times New Roman" w:cs="Arial"/>
          <w:color w:val="000000"/>
          <w:szCs w:val="18"/>
          <w:lang w:eastAsia="nl-NL"/>
        </w:rPr>
        <w:t xml:space="preserve"> Het volgende ministeriële forum met de West</w:t>
      </w:r>
      <w:r w:rsidRPr="000841F2" w:rsidR="00B619C3">
        <w:rPr>
          <w:rFonts w:eastAsia="Times New Roman" w:cs="Arial"/>
          <w:color w:val="000000"/>
          <w:szCs w:val="18"/>
          <w:lang w:eastAsia="nl-NL"/>
        </w:rPr>
        <w:t>elijk</w:t>
      </w:r>
      <w:r w:rsidRPr="000841F2">
        <w:rPr>
          <w:rFonts w:eastAsia="Times New Roman" w:cs="Arial"/>
          <w:color w:val="000000"/>
          <w:szCs w:val="18"/>
          <w:lang w:eastAsia="nl-NL"/>
        </w:rPr>
        <w:t>e</w:t>
      </w:r>
      <w:r w:rsidRPr="000841F2" w:rsidR="009323CB">
        <w:rPr>
          <w:rFonts w:eastAsia="Times New Roman" w:cs="Arial"/>
          <w:color w:val="000000"/>
          <w:szCs w:val="18"/>
          <w:lang w:eastAsia="nl-NL"/>
        </w:rPr>
        <w:t>-</w:t>
      </w:r>
      <w:r w:rsidRPr="000841F2">
        <w:rPr>
          <w:rFonts w:eastAsia="Times New Roman" w:cs="Arial"/>
          <w:color w:val="000000"/>
          <w:szCs w:val="18"/>
          <w:lang w:eastAsia="nl-NL"/>
        </w:rPr>
        <w:t>Balkan zal plaatsvinden onder Belgische voorzitterschap.</w:t>
      </w:r>
    </w:p>
    <w:p w:rsidRPr="000841F2" w:rsidR="006F0B2D" w:rsidP="00176550" w:rsidRDefault="006F0B2D" w14:paraId="06487632" w14:textId="77777777">
      <w:pPr>
        <w:rPr>
          <w:szCs w:val="18"/>
        </w:rPr>
      </w:pPr>
    </w:p>
    <w:p w:rsidRPr="000841F2" w:rsidR="00F42FBB" w:rsidP="00176550" w:rsidRDefault="00F42FBB" w14:paraId="12FF8487" w14:textId="6480B9DB">
      <w:pPr>
        <w:pStyle w:val="Default"/>
        <w:numPr>
          <w:ilvl w:val="1"/>
          <w:numId w:val="5"/>
        </w:numPr>
        <w:rPr>
          <w:sz w:val="18"/>
          <w:szCs w:val="18"/>
        </w:rPr>
      </w:pPr>
      <w:r w:rsidRPr="000841F2">
        <w:rPr>
          <w:b/>
          <w:bCs/>
          <w:sz w:val="18"/>
          <w:szCs w:val="18"/>
        </w:rPr>
        <w:t xml:space="preserve">c. EU-VS Ministeriële bijeenkomst over JBZ-aangelegenheden te Washington D.C. (13-14 november 2023) </w:t>
      </w:r>
    </w:p>
    <w:p w:rsidRPr="000841F2" w:rsidR="000841F2" w:rsidP="00176550" w:rsidRDefault="000841F2" w14:paraId="626D4853" w14:textId="77777777">
      <w:pPr>
        <w:spacing w:after="0" w:line="240" w:lineRule="auto"/>
        <w:rPr>
          <w:rFonts w:eastAsia="Times New Roman" w:cs="Times New Roman"/>
          <w:szCs w:val="18"/>
          <w:lang w:eastAsia="nl-NL"/>
        </w:rPr>
      </w:pPr>
    </w:p>
    <w:p w:rsidRPr="000841F2" w:rsidR="00BD0FE6" w:rsidP="00176550" w:rsidRDefault="00EF56E0" w14:paraId="78E5D61D" w14:textId="45838AB6">
      <w:pPr>
        <w:spacing w:after="0" w:line="240" w:lineRule="auto"/>
        <w:rPr>
          <w:rFonts w:eastAsia="Times New Roman" w:cs="Times New Roman"/>
          <w:szCs w:val="18"/>
          <w:lang w:eastAsia="nl-NL"/>
        </w:rPr>
      </w:pPr>
      <w:r w:rsidRPr="000841F2">
        <w:rPr>
          <w:rFonts w:eastAsia="Times New Roman" w:cs="Times New Roman"/>
          <w:szCs w:val="18"/>
          <w:lang w:eastAsia="nl-NL"/>
        </w:rPr>
        <w:t>Het Voorzitterschap informeerde de Raad dat tijdens de EU-VS</w:t>
      </w:r>
      <w:r w:rsidRPr="000841F2" w:rsidR="00BD0FE6">
        <w:rPr>
          <w:rFonts w:eastAsia="Times New Roman" w:cs="Arial"/>
          <w:color w:val="000000"/>
          <w:szCs w:val="18"/>
          <w:lang w:eastAsia="nl-NL"/>
        </w:rPr>
        <w:t xml:space="preserve"> bijeenkomst op 13 en 14 november jl. in Washington</w:t>
      </w:r>
      <w:r w:rsidRPr="000841F2" w:rsidR="00B619C3">
        <w:rPr>
          <w:rFonts w:eastAsia="Times New Roman" w:cs="Arial"/>
          <w:color w:val="000000"/>
          <w:szCs w:val="18"/>
          <w:lang w:eastAsia="nl-NL"/>
        </w:rPr>
        <w:t xml:space="preserve"> is</w:t>
      </w:r>
      <w:r w:rsidRPr="000841F2" w:rsidR="00BD0FE6">
        <w:rPr>
          <w:rFonts w:eastAsia="Times New Roman" w:cs="Arial"/>
          <w:color w:val="000000"/>
          <w:szCs w:val="18"/>
          <w:lang w:eastAsia="nl-NL"/>
        </w:rPr>
        <w:t xml:space="preserve"> </w:t>
      </w:r>
      <w:r w:rsidRPr="000841F2">
        <w:rPr>
          <w:rFonts w:eastAsia="Times New Roman" w:cs="Arial"/>
          <w:color w:val="000000"/>
          <w:szCs w:val="18"/>
          <w:lang w:eastAsia="nl-NL"/>
        </w:rPr>
        <w:t>gesproken over de steun aan Oekraine</w:t>
      </w:r>
      <w:r w:rsidRPr="000841F2" w:rsidR="00B619C3">
        <w:rPr>
          <w:rFonts w:eastAsia="Times New Roman" w:cs="Arial"/>
          <w:color w:val="000000"/>
          <w:szCs w:val="18"/>
          <w:lang w:eastAsia="nl-NL"/>
        </w:rPr>
        <w:t xml:space="preserve">. Hierbij zegde de V.S. steun toe aan </w:t>
      </w:r>
      <w:r w:rsidRPr="000841F2">
        <w:rPr>
          <w:rFonts w:eastAsia="Times New Roman" w:cs="Arial"/>
          <w:color w:val="000000"/>
          <w:szCs w:val="18"/>
          <w:lang w:eastAsia="nl-NL"/>
        </w:rPr>
        <w:t xml:space="preserve">verschillende accountability initiatieven </w:t>
      </w:r>
      <w:r w:rsidRPr="000841F2" w:rsidR="00B619C3">
        <w:rPr>
          <w:rFonts w:eastAsia="Times New Roman" w:cs="Arial"/>
          <w:color w:val="000000"/>
          <w:szCs w:val="18"/>
          <w:lang w:eastAsia="nl-NL"/>
        </w:rPr>
        <w:t xml:space="preserve">waaronder door </w:t>
      </w:r>
      <w:r w:rsidRPr="000841F2">
        <w:rPr>
          <w:rFonts w:eastAsia="Times New Roman" w:cs="Arial"/>
          <w:color w:val="000000"/>
          <w:szCs w:val="18"/>
          <w:lang w:eastAsia="nl-NL"/>
        </w:rPr>
        <w:t xml:space="preserve">1 miljoen dollars en een speciale aanklager </w:t>
      </w:r>
      <w:r w:rsidRPr="000841F2" w:rsidR="00B619C3">
        <w:rPr>
          <w:rFonts w:eastAsia="Times New Roman" w:cs="Arial"/>
          <w:color w:val="000000"/>
          <w:szCs w:val="18"/>
          <w:lang w:eastAsia="nl-NL"/>
        </w:rPr>
        <w:t>aan te bieden</w:t>
      </w:r>
      <w:r w:rsidRPr="000841F2">
        <w:rPr>
          <w:rFonts w:eastAsia="Times New Roman" w:cs="Arial"/>
          <w:color w:val="000000"/>
          <w:szCs w:val="18"/>
          <w:lang w:eastAsia="nl-NL"/>
        </w:rPr>
        <w:t xml:space="preserve"> aan het onderzoekscentrum ICPA (</w:t>
      </w:r>
      <w:r w:rsidRPr="000841F2">
        <w:rPr>
          <w:rFonts w:eastAsia="Times New Roman" w:cs="Arial"/>
          <w:i/>
          <w:iCs/>
          <w:color w:val="000000"/>
          <w:szCs w:val="18"/>
          <w:lang w:eastAsia="nl-NL"/>
        </w:rPr>
        <w:t>International Central for the Prosecution of the Crime of Agression)</w:t>
      </w:r>
      <w:r w:rsidRPr="000841F2">
        <w:rPr>
          <w:rFonts w:eastAsia="Times New Roman" w:cs="Arial"/>
          <w:color w:val="000000"/>
          <w:szCs w:val="18"/>
          <w:lang w:eastAsia="nl-NL"/>
        </w:rPr>
        <w:t xml:space="preserve"> bij Eurojust. </w:t>
      </w:r>
      <w:r w:rsidRPr="000841F2" w:rsidR="00BD0FE6">
        <w:rPr>
          <w:rFonts w:eastAsia="Times New Roman" w:cs="Arial"/>
          <w:color w:val="000000"/>
          <w:szCs w:val="18"/>
          <w:lang w:eastAsia="nl-NL"/>
        </w:rPr>
        <w:t xml:space="preserve"> Er is ook gesproken over </w:t>
      </w:r>
      <w:r w:rsidRPr="000841F2" w:rsidR="00951CB2">
        <w:rPr>
          <w:rFonts w:eastAsia="Times New Roman" w:cs="Arial"/>
          <w:color w:val="000000"/>
          <w:szCs w:val="18"/>
          <w:lang w:eastAsia="nl-NL"/>
        </w:rPr>
        <w:t>de inbeslagname van bevroren Russische activa, de samenwerking in de aanpak van</w:t>
      </w:r>
      <w:r w:rsidRPr="000841F2" w:rsidR="00BD0FE6">
        <w:rPr>
          <w:rFonts w:eastAsia="Times New Roman" w:cs="Arial"/>
          <w:color w:val="000000"/>
          <w:szCs w:val="18"/>
          <w:lang w:eastAsia="nl-NL"/>
        </w:rPr>
        <w:t xml:space="preserve"> cybercrime</w:t>
      </w:r>
      <w:r w:rsidRPr="000841F2" w:rsidR="00951CB2">
        <w:rPr>
          <w:rFonts w:eastAsia="Times New Roman" w:cs="Arial"/>
          <w:color w:val="000000"/>
          <w:szCs w:val="18"/>
          <w:lang w:eastAsia="nl-NL"/>
        </w:rPr>
        <w:t>, anti-corruptie, de situatie in het Midden Oosten en AI</w:t>
      </w:r>
      <w:r w:rsidRPr="000841F2" w:rsidR="00BD0FE6">
        <w:rPr>
          <w:rFonts w:eastAsia="Times New Roman" w:cs="Arial"/>
          <w:color w:val="000000"/>
          <w:szCs w:val="18"/>
          <w:lang w:eastAsia="nl-NL"/>
        </w:rPr>
        <w:t xml:space="preserve">. De volgende </w:t>
      </w:r>
      <w:r w:rsidRPr="000841F2" w:rsidR="00951CB2">
        <w:rPr>
          <w:rFonts w:eastAsia="Times New Roman" w:cs="Arial"/>
          <w:color w:val="000000"/>
          <w:szCs w:val="18"/>
          <w:lang w:eastAsia="nl-NL"/>
        </w:rPr>
        <w:t xml:space="preserve">ministeriele </w:t>
      </w:r>
      <w:r w:rsidRPr="000841F2" w:rsidR="00BD0FE6">
        <w:rPr>
          <w:rFonts w:eastAsia="Times New Roman" w:cs="Arial"/>
          <w:color w:val="000000"/>
          <w:szCs w:val="18"/>
          <w:lang w:eastAsia="nl-NL"/>
        </w:rPr>
        <w:t xml:space="preserve">bijeenkomst zal in juni onder </w:t>
      </w:r>
      <w:r w:rsidRPr="000841F2" w:rsidR="00951CB2">
        <w:rPr>
          <w:rFonts w:eastAsia="Times New Roman" w:cs="Arial"/>
          <w:color w:val="000000"/>
          <w:szCs w:val="18"/>
          <w:lang w:eastAsia="nl-NL"/>
        </w:rPr>
        <w:t xml:space="preserve">het Belgische voorzitterschap plaatsvinden. </w:t>
      </w:r>
    </w:p>
    <w:p w:rsidRPr="000841F2" w:rsidR="00BD0FE6" w:rsidP="00176550" w:rsidRDefault="00BD0FE6" w14:paraId="7552E127" w14:textId="77777777">
      <w:pPr>
        <w:spacing w:after="0" w:line="240" w:lineRule="auto"/>
        <w:rPr>
          <w:rFonts w:eastAsia="Times New Roman" w:cs="Times New Roman"/>
          <w:szCs w:val="18"/>
          <w:lang w:eastAsia="nl-NL"/>
        </w:rPr>
      </w:pPr>
    </w:p>
    <w:p w:rsidRPr="000841F2" w:rsidR="00951CB2" w:rsidP="00176550" w:rsidRDefault="00F42FBB" w14:paraId="12ECAE53" w14:textId="316332DC">
      <w:pPr>
        <w:pStyle w:val="Default"/>
        <w:numPr>
          <w:ilvl w:val="1"/>
          <w:numId w:val="7"/>
        </w:numPr>
        <w:rPr>
          <w:sz w:val="18"/>
          <w:szCs w:val="18"/>
        </w:rPr>
      </w:pPr>
      <w:r w:rsidRPr="000841F2">
        <w:rPr>
          <w:b/>
          <w:bCs/>
          <w:sz w:val="18"/>
          <w:szCs w:val="18"/>
        </w:rPr>
        <w:t xml:space="preserve">d. Onderhandelingen tussen de EU en de VS over een overeenkomst inzake e-evidence </w:t>
      </w:r>
    </w:p>
    <w:p w:rsidRPr="000841F2" w:rsidR="00BD0FE6" w:rsidP="00176550" w:rsidRDefault="007B791B" w14:paraId="6AABE9D3" w14:textId="062CDD39">
      <w:pPr>
        <w:spacing w:after="0" w:line="240" w:lineRule="auto"/>
        <w:rPr>
          <w:rFonts w:eastAsia="Times New Roman" w:cs="Times New Roman"/>
          <w:szCs w:val="18"/>
          <w:lang w:eastAsia="nl-NL"/>
        </w:rPr>
      </w:pPr>
      <w:r>
        <w:rPr>
          <w:rFonts w:eastAsia="Times New Roman" w:cs="Arial"/>
          <w:color w:val="000000"/>
          <w:szCs w:val="18"/>
          <w:lang w:eastAsia="nl-NL"/>
        </w:rPr>
        <w:br/>
      </w:r>
      <w:r w:rsidRPr="000841F2" w:rsidR="00951CB2">
        <w:rPr>
          <w:rFonts w:eastAsia="Times New Roman" w:cs="Arial"/>
          <w:color w:val="000000"/>
          <w:szCs w:val="18"/>
          <w:lang w:eastAsia="nl-NL"/>
        </w:rPr>
        <w:t xml:space="preserve">Het Voorzitterschap onderstreepte het belang van deze onderhandelingen om het e-evidence framework af te kunnen ronden en riep de Commissie op om ook technische informatie over de onderhandelingen te delen met de lidstaten. De Commissie lichtte toe dat de onderhandelingen in constructieve sfeer verlopen en van groot belang zijn voor de praktische samenwerking tussen rechtshandhavingsdiensten in de EU en V.s. Het doel is om de onderhandelingen te versnellen en in 2024 af te ronden. De Commissie gaf aan nog oplossingen te zoeken voor vraagstukken over architectuur, de afbakening en waarborgen en dat ingezet wordt op </w:t>
      </w:r>
      <w:r w:rsidRPr="000841F2" w:rsidR="00951CB2">
        <w:rPr>
          <w:rFonts w:eastAsia="Times New Roman" w:cs="Arial"/>
          <w:i/>
          <w:iCs/>
          <w:color w:val="000000"/>
          <w:szCs w:val="18"/>
          <w:lang w:eastAsia="nl-NL"/>
        </w:rPr>
        <w:t xml:space="preserve">single certification. </w:t>
      </w:r>
      <w:r w:rsidRPr="000841F2" w:rsidR="00951CB2">
        <w:rPr>
          <w:rFonts w:eastAsia="Times New Roman" w:cs="Arial"/>
          <w:color w:val="000000"/>
          <w:szCs w:val="18"/>
          <w:lang w:eastAsia="nl-NL"/>
        </w:rPr>
        <w:t>De Commissie zegde toe de lidstaten goed te blijven informeren.</w:t>
      </w:r>
      <w:r w:rsidRPr="000841F2" w:rsidR="00951CB2">
        <w:rPr>
          <w:rFonts w:eastAsia="Times New Roman" w:cs="Arial"/>
          <w:i/>
          <w:iCs/>
          <w:color w:val="000000"/>
          <w:szCs w:val="18"/>
          <w:lang w:eastAsia="nl-NL"/>
        </w:rPr>
        <w:t xml:space="preserve"> </w:t>
      </w:r>
    </w:p>
    <w:p w:rsidRPr="00B619C3" w:rsidR="00951CB2" w:rsidP="00176550" w:rsidRDefault="00951CB2" w14:paraId="234D6922" w14:textId="77777777">
      <w:pPr>
        <w:pStyle w:val="Default"/>
        <w:numPr>
          <w:ilvl w:val="1"/>
          <w:numId w:val="8"/>
        </w:numPr>
        <w:rPr>
          <w:sz w:val="18"/>
          <w:szCs w:val="18"/>
        </w:rPr>
      </w:pPr>
    </w:p>
    <w:p w:rsidRPr="00B619C3" w:rsidR="00F42FBB" w:rsidP="00176550" w:rsidRDefault="00F42FBB" w14:paraId="01D2DAD9" w14:textId="3C444D11">
      <w:pPr>
        <w:pStyle w:val="Default"/>
        <w:numPr>
          <w:ilvl w:val="1"/>
          <w:numId w:val="8"/>
        </w:numPr>
        <w:rPr>
          <w:sz w:val="18"/>
          <w:szCs w:val="18"/>
        </w:rPr>
      </w:pPr>
      <w:r w:rsidRPr="00B619C3">
        <w:rPr>
          <w:b/>
          <w:bCs/>
          <w:sz w:val="18"/>
          <w:szCs w:val="18"/>
        </w:rPr>
        <w:t xml:space="preserve">e. Jaarverslag over de toepassing van het EU-Handvest </w:t>
      </w:r>
    </w:p>
    <w:p w:rsidRPr="00B619C3" w:rsidR="00951CB2" w:rsidP="00176550" w:rsidRDefault="00951CB2" w14:paraId="4BD7F241" w14:textId="77777777">
      <w:pPr>
        <w:spacing w:after="0" w:line="240" w:lineRule="auto"/>
        <w:rPr>
          <w:rFonts w:eastAsia="Times New Roman" w:cs="Arial"/>
          <w:b/>
          <w:bCs/>
          <w:color w:val="000000"/>
          <w:szCs w:val="18"/>
          <w:lang w:eastAsia="nl-NL"/>
        </w:rPr>
      </w:pPr>
    </w:p>
    <w:p w:rsidRPr="00B619C3" w:rsidR="00BD0FE6" w:rsidP="00176550" w:rsidRDefault="00951CB2" w14:paraId="381FA77E" w14:textId="0B34D6EC">
      <w:pPr>
        <w:spacing w:after="0" w:line="240" w:lineRule="auto"/>
        <w:rPr>
          <w:rFonts w:eastAsia="Times New Roman" w:cs="Times New Roman"/>
          <w:szCs w:val="18"/>
          <w:lang w:eastAsia="nl-NL"/>
        </w:rPr>
      </w:pPr>
      <w:r w:rsidRPr="000841F2">
        <w:rPr>
          <w:rFonts w:eastAsia="Times New Roman" w:cs="Arial"/>
          <w:color w:val="000000"/>
          <w:szCs w:val="18"/>
          <w:lang w:eastAsia="nl-NL"/>
        </w:rPr>
        <w:t>De Commissie gaf de Raad een inkijk in d</w:t>
      </w:r>
      <w:r w:rsidRPr="000841F2" w:rsidR="00BD0FE6">
        <w:rPr>
          <w:rFonts w:eastAsia="Times New Roman" w:cs="Arial"/>
          <w:color w:val="000000"/>
          <w:szCs w:val="18"/>
          <w:lang w:eastAsia="nl-NL"/>
        </w:rPr>
        <w:t>e</w:t>
      </w:r>
      <w:r w:rsidRPr="00B619C3" w:rsidR="00BD0FE6">
        <w:rPr>
          <w:rFonts w:eastAsia="Times New Roman" w:cs="Arial"/>
          <w:color w:val="000000"/>
          <w:szCs w:val="18"/>
          <w:lang w:eastAsia="nl-NL"/>
        </w:rPr>
        <w:t xml:space="preserve"> 2023 jaarlijkse rapportage over toepassing van EU</w:t>
      </w:r>
      <w:r w:rsidRPr="00B619C3">
        <w:rPr>
          <w:rFonts w:eastAsia="Times New Roman" w:cs="Arial"/>
          <w:color w:val="000000"/>
          <w:szCs w:val="18"/>
          <w:lang w:eastAsia="nl-NL"/>
        </w:rPr>
        <w:t>-H</w:t>
      </w:r>
      <w:r w:rsidRPr="00B619C3" w:rsidR="00BD0FE6">
        <w:rPr>
          <w:rFonts w:eastAsia="Times New Roman" w:cs="Arial"/>
          <w:color w:val="000000"/>
          <w:szCs w:val="18"/>
          <w:lang w:eastAsia="nl-NL"/>
        </w:rPr>
        <w:t xml:space="preserve">andvest. </w:t>
      </w:r>
      <w:r w:rsidRPr="00B619C3">
        <w:rPr>
          <w:rFonts w:eastAsia="Times New Roman" w:cs="Arial"/>
          <w:color w:val="000000"/>
          <w:szCs w:val="18"/>
          <w:lang w:eastAsia="nl-NL"/>
        </w:rPr>
        <w:t xml:space="preserve">In de jaarrapportage werd dit keer aandacht besteed aan </w:t>
      </w:r>
      <w:r w:rsidRPr="00B619C3" w:rsidR="00BD0FE6">
        <w:rPr>
          <w:rFonts w:eastAsia="Times New Roman" w:cs="Arial"/>
          <w:color w:val="000000"/>
          <w:szCs w:val="18"/>
          <w:lang w:eastAsia="nl-NL"/>
        </w:rPr>
        <w:t xml:space="preserve">toegang tot het recht </w:t>
      </w:r>
      <w:r w:rsidRPr="00B619C3">
        <w:rPr>
          <w:rFonts w:eastAsia="Times New Roman" w:cs="Arial"/>
          <w:color w:val="000000"/>
          <w:szCs w:val="18"/>
          <w:lang w:eastAsia="nl-NL"/>
        </w:rPr>
        <w:t xml:space="preserve">waarbij zichtbaar wordt </w:t>
      </w:r>
      <w:r w:rsidRPr="00B619C3" w:rsidR="00BD0FE6">
        <w:rPr>
          <w:rFonts w:eastAsia="Times New Roman" w:cs="Arial"/>
          <w:color w:val="000000"/>
          <w:szCs w:val="18"/>
          <w:lang w:eastAsia="nl-NL"/>
        </w:rPr>
        <w:t>dat rechtsmiddelen</w:t>
      </w:r>
      <w:r w:rsidRPr="00B619C3">
        <w:rPr>
          <w:rFonts w:eastAsia="Times New Roman" w:cs="Arial"/>
          <w:color w:val="000000"/>
          <w:szCs w:val="18"/>
          <w:lang w:eastAsia="nl-NL"/>
        </w:rPr>
        <w:t xml:space="preserve"> (ook alternatieven)</w:t>
      </w:r>
      <w:r w:rsidRPr="00B619C3" w:rsidR="00BD0FE6">
        <w:rPr>
          <w:rFonts w:eastAsia="Times New Roman" w:cs="Arial"/>
          <w:color w:val="000000"/>
          <w:szCs w:val="18"/>
          <w:lang w:eastAsia="nl-NL"/>
        </w:rPr>
        <w:t xml:space="preserve"> in breed spectrum beschikbaar zijn voor effectieve rechtsbescherming. </w:t>
      </w:r>
      <w:r w:rsidRPr="00B619C3">
        <w:rPr>
          <w:rFonts w:eastAsia="Times New Roman" w:cs="Arial"/>
          <w:color w:val="000000"/>
          <w:szCs w:val="18"/>
          <w:lang w:eastAsia="nl-NL"/>
        </w:rPr>
        <w:t xml:space="preserve">Digitalisering, </w:t>
      </w:r>
      <w:r w:rsidRPr="00B619C3" w:rsidR="00BD0FE6">
        <w:rPr>
          <w:rFonts w:eastAsia="Times New Roman" w:cs="Arial"/>
          <w:color w:val="000000"/>
          <w:szCs w:val="18"/>
          <w:lang w:eastAsia="nl-NL"/>
        </w:rPr>
        <w:t>bescherming slachtoffers van discriminatie, regulering van online content en gegevensbescherming</w:t>
      </w:r>
      <w:r w:rsidRPr="00B619C3">
        <w:rPr>
          <w:rFonts w:eastAsia="Times New Roman" w:cs="Arial"/>
          <w:color w:val="000000"/>
          <w:szCs w:val="18"/>
          <w:lang w:eastAsia="nl-NL"/>
        </w:rPr>
        <w:t xml:space="preserve"> zijn belangrijke element om in discussies over toegang tot het recht mee te nemen en de Commissie riep dan ook op om de rapportage</w:t>
      </w:r>
      <w:r w:rsidRPr="00B619C3" w:rsidR="00041DE9">
        <w:rPr>
          <w:rFonts w:eastAsia="Times New Roman" w:cs="Arial"/>
          <w:color w:val="000000"/>
          <w:szCs w:val="18"/>
          <w:lang w:eastAsia="nl-NL"/>
        </w:rPr>
        <w:t xml:space="preserve"> te gebruiken in discussies over verbeteringen in het toegang tot het recht ook op nationaal niveau. </w:t>
      </w:r>
      <w:r w:rsidRPr="00B619C3" w:rsidR="00BD0FE6">
        <w:rPr>
          <w:rFonts w:eastAsia="Times New Roman" w:cs="Arial"/>
          <w:color w:val="000000"/>
          <w:szCs w:val="18"/>
          <w:lang w:eastAsia="nl-NL"/>
        </w:rPr>
        <w:t xml:space="preserve"> </w:t>
      </w:r>
    </w:p>
    <w:p w:rsidRPr="00B619C3" w:rsidR="00F42FBB" w:rsidP="00176550" w:rsidRDefault="00F42FBB" w14:paraId="2DF7BF0F" w14:textId="77777777">
      <w:pPr>
        <w:pStyle w:val="Default"/>
        <w:rPr>
          <w:sz w:val="18"/>
          <w:szCs w:val="18"/>
        </w:rPr>
      </w:pPr>
    </w:p>
    <w:p w:rsidRPr="00B619C3" w:rsidR="00F42FBB" w:rsidP="00176550" w:rsidRDefault="00F42FBB" w14:paraId="1469783F" w14:textId="77777777">
      <w:pPr>
        <w:pStyle w:val="Default"/>
        <w:numPr>
          <w:ilvl w:val="0"/>
          <w:numId w:val="9"/>
        </w:numPr>
        <w:rPr>
          <w:sz w:val="18"/>
          <w:szCs w:val="18"/>
        </w:rPr>
      </w:pPr>
      <w:r w:rsidRPr="00B619C3">
        <w:rPr>
          <w:b/>
          <w:bCs/>
          <w:sz w:val="18"/>
          <w:szCs w:val="18"/>
        </w:rPr>
        <w:t xml:space="preserve">f. Werkprogramma van het aantredende voorzitterschap </w:t>
      </w:r>
    </w:p>
    <w:p w:rsidRPr="00B619C3" w:rsidR="00BD0FE6" w:rsidP="00176550" w:rsidRDefault="00BD0FE6" w14:paraId="5B50E8BD" w14:textId="6A9957F8">
      <w:pPr>
        <w:spacing w:after="0" w:line="240" w:lineRule="auto"/>
        <w:rPr>
          <w:rFonts w:eastAsia="Times New Roman" w:cs="Times New Roman"/>
          <w:szCs w:val="18"/>
          <w:lang w:eastAsia="nl-NL"/>
        </w:rPr>
      </w:pPr>
    </w:p>
    <w:p w:rsidRPr="000841F2" w:rsidR="00BD0FE6" w:rsidP="00176550" w:rsidRDefault="00041DE9" w14:paraId="49FD8967" w14:textId="1C367778">
      <w:pPr>
        <w:spacing w:after="0" w:line="240" w:lineRule="auto"/>
        <w:rPr>
          <w:rFonts w:eastAsia="Times New Roman" w:cs="Times New Roman"/>
          <w:szCs w:val="18"/>
          <w:lang w:eastAsia="nl-NL"/>
        </w:rPr>
      </w:pPr>
      <w:r w:rsidRPr="000841F2">
        <w:rPr>
          <w:rFonts w:eastAsia="Times New Roman" w:cs="Arial"/>
          <w:color w:val="000000"/>
          <w:szCs w:val="18"/>
          <w:lang w:eastAsia="nl-NL"/>
        </w:rPr>
        <w:t xml:space="preserve">België lichtte de prioriteiten voor haar aankomend </w:t>
      </w:r>
      <w:r w:rsidRPr="000841F2" w:rsidR="006F0B2D">
        <w:rPr>
          <w:rFonts w:eastAsia="Times New Roman" w:cs="Arial"/>
          <w:color w:val="000000"/>
          <w:szCs w:val="18"/>
          <w:lang w:eastAsia="nl-NL"/>
        </w:rPr>
        <w:t>EU-v</w:t>
      </w:r>
      <w:r w:rsidRPr="000841F2">
        <w:rPr>
          <w:rFonts w:eastAsia="Times New Roman" w:cs="Arial"/>
          <w:color w:val="000000"/>
          <w:szCs w:val="18"/>
          <w:lang w:eastAsia="nl-NL"/>
        </w:rPr>
        <w:t xml:space="preserve">oorzitterschap toe. </w:t>
      </w:r>
    </w:p>
    <w:p w:rsidRPr="00B619C3" w:rsidR="00B06701" w:rsidP="00176550" w:rsidRDefault="00041DE9" w14:paraId="2D9D6230" w14:textId="6FB0A2E6">
      <w:pPr>
        <w:rPr>
          <w:rFonts w:eastAsia="Times New Roman" w:cs="Arial"/>
          <w:color w:val="000000"/>
          <w:szCs w:val="18"/>
          <w:lang w:eastAsia="nl-NL"/>
        </w:rPr>
      </w:pPr>
      <w:r w:rsidRPr="00B619C3">
        <w:rPr>
          <w:rFonts w:eastAsia="Times New Roman" w:cs="Arial"/>
          <w:color w:val="000000"/>
          <w:szCs w:val="18"/>
          <w:lang w:eastAsia="nl-NL"/>
        </w:rPr>
        <w:t>De b</w:t>
      </w:r>
      <w:r w:rsidRPr="00B619C3" w:rsidR="00BD0FE6">
        <w:rPr>
          <w:rFonts w:eastAsia="Times New Roman" w:cs="Arial"/>
          <w:color w:val="000000"/>
          <w:szCs w:val="18"/>
          <w:lang w:eastAsia="nl-NL"/>
        </w:rPr>
        <w:t xml:space="preserve">elangrijkste </w:t>
      </w:r>
      <w:r w:rsidRPr="00B619C3" w:rsidR="00B619C3">
        <w:rPr>
          <w:rFonts w:eastAsia="Times New Roman" w:cs="Arial"/>
          <w:color w:val="000000"/>
          <w:szCs w:val="18"/>
          <w:lang w:eastAsia="nl-NL"/>
        </w:rPr>
        <w:t xml:space="preserve">overkoepelende </w:t>
      </w:r>
      <w:r w:rsidRPr="00B619C3" w:rsidR="00BD0FE6">
        <w:rPr>
          <w:rFonts w:eastAsia="Times New Roman" w:cs="Arial"/>
          <w:color w:val="000000"/>
          <w:szCs w:val="18"/>
          <w:lang w:eastAsia="nl-NL"/>
        </w:rPr>
        <w:t xml:space="preserve">prioriteit </w:t>
      </w:r>
      <w:r w:rsidRPr="00B619C3">
        <w:rPr>
          <w:rFonts w:eastAsia="Times New Roman" w:cs="Arial"/>
          <w:color w:val="000000"/>
          <w:szCs w:val="18"/>
          <w:lang w:eastAsia="nl-NL"/>
        </w:rPr>
        <w:t>voor België i</w:t>
      </w:r>
      <w:r w:rsidRPr="00B619C3" w:rsidR="00BD0FE6">
        <w:rPr>
          <w:rFonts w:eastAsia="Times New Roman" w:cs="Arial"/>
          <w:color w:val="000000"/>
          <w:szCs w:val="18"/>
          <w:lang w:eastAsia="nl-NL"/>
        </w:rPr>
        <w:t>s</w:t>
      </w:r>
      <w:r w:rsidRPr="00B619C3">
        <w:rPr>
          <w:rFonts w:eastAsia="Times New Roman" w:cs="Arial"/>
          <w:color w:val="000000"/>
          <w:szCs w:val="18"/>
          <w:lang w:eastAsia="nl-NL"/>
        </w:rPr>
        <w:t xml:space="preserve"> de</w:t>
      </w:r>
      <w:r w:rsidRPr="00B619C3" w:rsidR="00BD0FE6">
        <w:rPr>
          <w:rFonts w:eastAsia="Times New Roman" w:cs="Arial"/>
          <w:color w:val="000000"/>
          <w:szCs w:val="18"/>
          <w:lang w:eastAsia="nl-NL"/>
        </w:rPr>
        <w:t xml:space="preserve"> strijd tegen georganiseerde drugscriminaliteit</w:t>
      </w:r>
      <w:r w:rsidR="000841F2">
        <w:rPr>
          <w:rFonts w:eastAsia="Times New Roman" w:cs="Arial"/>
          <w:color w:val="000000"/>
          <w:szCs w:val="18"/>
          <w:lang w:eastAsia="nl-NL"/>
        </w:rPr>
        <w:t>.</w:t>
      </w:r>
      <w:r w:rsidRPr="00B619C3">
        <w:rPr>
          <w:rFonts w:eastAsia="Times New Roman" w:cs="Arial"/>
          <w:color w:val="000000"/>
          <w:szCs w:val="18"/>
          <w:lang w:eastAsia="nl-NL"/>
        </w:rPr>
        <w:t xml:space="preserve"> België </w:t>
      </w:r>
      <w:r w:rsidR="007B791B">
        <w:rPr>
          <w:rFonts w:eastAsia="Times New Roman" w:cs="Arial"/>
          <w:color w:val="000000"/>
          <w:szCs w:val="18"/>
          <w:lang w:eastAsia="nl-NL"/>
        </w:rPr>
        <w:t xml:space="preserve">benadrukte </w:t>
      </w:r>
      <w:r w:rsidRPr="00B619C3">
        <w:rPr>
          <w:rFonts w:eastAsia="Times New Roman" w:cs="Arial"/>
          <w:color w:val="000000"/>
          <w:szCs w:val="18"/>
          <w:lang w:eastAsia="nl-NL"/>
        </w:rPr>
        <w:t xml:space="preserve">hier extra aandacht </w:t>
      </w:r>
      <w:r w:rsidR="000841F2">
        <w:rPr>
          <w:rFonts w:eastAsia="Times New Roman" w:cs="Arial"/>
          <w:color w:val="000000"/>
          <w:szCs w:val="18"/>
          <w:lang w:eastAsia="nl-NL"/>
        </w:rPr>
        <w:t>aan</w:t>
      </w:r>
      <w:r w:rsidR="007B791B">
        <w:rPr>
          <w:rFonts w:eastAsia="Times New Roman" w:cs="Arial"/>
          <w:color w:val="000000"/>
          <w:szCs w:val="18"/>
          <w:lang w:eastAsia="nl-NL"/>
        </w:rPr>
        <w:t xml:space="preserve"> te </w:t>
      </w:r>
      <w:r w:rsidR="000841F2">
        <w:rPr>
          <w:rFonts w:eastAsia="Times New Roman" w:cs="Arial"/>
          <w:color w:val="000000"/>
          <w:szCs w:val="18"/>
          <w:lang w:eastAsia="nl-NL"/>
        </w:rPr>
        <w:t xml:space="preserve">besteden </w:t>
      </w:r>
      <w:r w:rsidRPr="00B619C3">
        <w:rPr>
          <w:rFonts w:eastAsia="Times New Roman" w:cs="Arial"/>
          <w:color w:val="000000"/>
          <w:szCs w:val="18"/>
          <w:lang w:eastAsia="nl-NL"/>
        </w:rPr>
        <w:t xml:space="preserve">in de JBZ-Raad van januari en </w:t>
      </w:r>
      <w:r w:rsidR="000841F2">
        <w:rPr>
          <w:rFonts w:eastAsia="Times New Roman" w:cs="Arial"/>
          <w:color w:val="000000"/>
          <w:szCs w:val="18"/>
          <w:lang w:eastAsia="nl-NL"/>
        </w:rPr>
        <w:t xml:space="preserve">door het </w:t>
      </w:r>
      <w:r w:rsidRPr="00B619C3">
        <w:rPr>
          <w:rFonts w:eastAsia="Times New Roman" w:cs="Arial"/>
          <w:color w:val="000000"/>
          <w:szCs w:val="18"/>
          <w:lang w:eastAsia="nl-NL"/>
        </w:rPr>
        <w:t xml:space="preserve">aannemen van Raadsconclusies </w:t>
      </w:r>
      <w:r w:rsidR="000841F2">
        <w:rPr>
          <w:rFonts w:eastAsia="Times New Roman" w:cs="Arial"/>
          <w:color w:val="000000"/>
          <w:szCs w:val="18"/>
          <w:lang w:eastAsia="nl-NL"/>
        </w:rPr>
        <w:t>hierover</w:t>
      </w:r>
      <w:r w:rsidRPr="00B619C3">
        <w:rPr>
          <w:rFonts w:eastAsia="Times New Roman" w:cs="Arial"/>
          <w:color w:val="000000"/>
          <w:szCs w:val="18"/>
          <w:lang w:eastAsia="nl-NL"/>
        </w:rPr>
        <w:t xml:space="preserve">. </w:t>
      </w:r>
      <w:r w:rsidRPr="00B619C3" w:rsidR="00B619C3">
        <w:rPr>
          <w:rFonts w:eastAsia="Times New Roman" w:cs="Arial"/>
          <w:color w:val="000000"/>
          <w:szCs w:val="18"/>
          <w:lang w:eastAsia="nl-NL"/>
        </w:rPr>
        <w:t xml:space="preserve">Op justitieterrein gaf </w:t>
      </w:r>
      <w:r w:rsidRPr="00B619C3">
        <w:rPr>
          <w:rFonts w:eastAsia="Times New Roman" w:cs="Arial"/>
          <w:color w:val="000000"/>
          <w:szCs w:val="18"/>
          <w:lang w:eastAsia="nl-NL"/>
        </w:rPr>
        <w:t>België aan zich te richten op uitwisselingen over resocialisatie in detentie, decriminalisering van sekswerk</w:t>
      </w:r>
      <w:r w:rsidR="000841F2">
        <w:rPr>
          <w:rFonts w:eastAsia="Times New Roman" w:cs="Arial"/>
          <w:color w:val="000000"/>
          <w:szCs w:val="18"/>
          <w:lang w:eastAsia="nl-NL"/>
        </w:rPr>
        <w:t xml:space="preserve"> en</w:t>
      </w:r>
      <w:r w:rsidRPr="00B619C3">
        <w:rPr>
          <w:rFonts w:eastAsia="Times New Roman" w:cs="Arial"/>
          <w:color w:val="000000"/>
          <w:szCs w:val="18"/>
          <w:lang w:eastAsia="nl-NL"/>
        </w:rPr>
        <w:t xml:space="preserve"> erkenning van ouderschap in grensoverschrijdende situatie</w:t>
      </w:r>
      <w:r w:rsidRPr="00B619C3" w:rsidR="00B619C3">
        <w:rPr>
          <w:rFonts w:eastAsia="Times New Roman" w:cs="Arial"/>
          <w:color w:val="000000"/>
          <w:szCs w:val="18"/>
          <w:lang w:eastAsia="nl-NL"/>
        </w:rPr>
        <w:t xml:space="preserve">. </w:t>
      </w:r>
      <w:r w:rsidRPr="00B619C3" w:rsidR="00B619C3">
        <w:rPr>
          <w:szCs w:val="18"/>
        </w:rPr>
        <w:t xml:space="preserve">België lichtte als prioriteiten op </w:t>
      </w:r>
      <w:r w:rsidRPr="00B619C3" w:rsidR="00B619C3">
        <w:rPr>
          <w:i/>
          <w:iCs/>
          <w:szCs w:val="18"/>
        </w:rPr>
        <w:t>home</w:t>
      </w:r>
      <w:r w:rsidRPr="00B619C3" w:rsidR="00B619C3">
        <w:rPr>
          <w:szCs w:val="18"/>
        </w:rPr>
        <w:t xml:space="preserve">-gebied toe om naar gecontroleerde migratie toe te werken, de verbetering van Schengen </w:t>
      </w:r>
      <w:r w:rsidRPr="000841F2" w:rsidR="00B619C3">
        <w:rPr>
          <w:i/>
          <w:iCs/>
          <w:szCs w:val="18"/>
        </w:rPr>
        <w:t>governance</w:t>
      </w:r>
      <w:r w:rsidRPr="00B619C3" w:rsidR="00B619C3">
        <w:rPr>
          <w:szCs w:val="18"/>
        </w:rPr>
        <w:t xml:space="preserve"> en de verbetering van </w:t>
      </w:r>
      <w:r w:rsidRPr="00B619C3" w:rsidR="000841F2">
        <w:rPr>
          <w:szCs w:val="18"/>
        </w:rPr>
        <w:t>crisismanagement</w:t>
      </w:r>
      <w:r w:rsidRPr="00B619C3" w:rsidR="00B619C3">
        <w:rPr>
          <w:szCs w:val="18"/>
        </w:rPr>
        <w:t xml:space="preserve">. </w:t>
      </w:r>
      <w:r w:rsidRPr="00B619C3">
        <w:rPr>
          <w:rFonts w:eastAsia="Times New Roman" w:cs="Arial"/>
          <w:color w:val="000000"/>
          <w:szCs w:val="18"/>
          <w:lang w:eastAsia="nl-NL"/>
        </w:rPr>
        <w:t>Verder benad</w:t>
      </w:r>
      <w:r w:rsidRPr="00B619C3" w:rsidR="006F0B2D">
        <w:rPr>
          <w:rFonts w:eastAsia="Times New Roman" w:cs="Arial"/>
          <w:color w:val="000000"/>
          <w:szCs w:val="18"/>
          <w:lang w:eastAsia="nl-NL"/>
        </w:rPr>
        <w:t xml:space="preserve">rukte België dat zij alles op alles zullen zetten om lopende wetgevingsdossier af te ronden. </w:t>
      </w:r>
    </w:p>
    <w:p w:rsidR="00F42FBB" w:rsidP="00176550" w:rsidRDefault="00F42FBB" w14:paraId="7FCA5AB1" w14:textId="6666568D">
      <w:pPr>
        <w:rPr>
          <w:rFonts w:ascii="Arial" w:hAnsi="Arial" w:eastAsia="Times New Roman" w:cs="Arial"/>
          <w:color w:val="000000"/>
          <w:sz w:val="22"/>
          <w:lang w:eastAsia="nl-NL"/>
        </w:rPr>
      </w:pPr>
    </w:p>
    <w:p w:rsidR="007B791B" w:rsidP="00176550" w:rsidRDefault="007B791B" w14:paraId="7F1348F1" w14:textId="21E25112">
      <w:pPr>
        <w:rPr>
          <w:rFonts w:ascii="Arial" w:hAnsi="Arial" w:eastAsia="Times New Roman" w:cs="Arial"/>
          <w:color w:val="000000"/>
          <w:sz w:val="22"/>
          <w:lang w:eastAsia="nl-NL"/>
        </w:rPr>
      </w:pPr>
    </w:p>
    <w:p w:rsidR="007B791B" w:rsidP="00176550" w:rsidRDefault="007B791B" w14:paraId="024CDB69" w14:textId="598A03A4">
      <w:pPr>
        <w:rPr>
          <w:rFonts w:ascii="Arial" w:hAnsi="Arial" w:eastAsia="Times New Roman" w:cs="Arial"/>
          <w:color w:val="000000"/>
          <w:sz w:val="22"/>
          <w:lang w:eastAsia="nl-NL"/>
        </w:rPr>
      </w:pPr>
    </w:p>
    <w:p w:rsidR="007B791B" w:rsidP="00176550" w:rsidRDefault="007B791B" w14:paraId="1EBA82C6" w14:textId="7437A863">
      <w:pPr>
        <w:rPr>
          <w:rFonts w:ascii="Arial" w:hAnsi="Arial" w:eastAsia="Times New Roman" w:cs="Arial"/>
          <w:color w:val="000000"/>
          <w:sz w:val="22"/>
          <w:lang w:eastAsia="nl-NL"/>
        </w:rPr>
      </w:pPr>
    </w:p>
    <w:p w:rsidR="007B791B" w:rsidP="00176550" w:rsidRDefault="007B791B" w14:paraId="1643E297" w14:textId="762200F3">
      <w:pPr>
        <w:rPr>
          <w:rFonts w:ascii="Arial" w:hAnsi="Arial" w:eastAsia="Times New Roman" w:cs="Arial"/>
          <w:color w:val="000000"/>
          <w:sz w:val="22"/>
          <w:lang w:eastAsia="nl-NL"/>
        </w:rPr>
      </w:pPr>
    </w:p>
    <w:p w:rsidR="001A7239" w:rsidP="00176550" w:rsidRDefault="001A7239" w14:paraId="118B7054" w14:textId="17D0A59B">
      <w:pPr>
        <w:rPr>
          <w:rFonts w:ascii="Arial" w:hAnsi="Arial" w:eastAsia="Times New Roman" w:cs="Arial"/>
          <w:color w:val="000000"/>
          <w:sz w:val="22"/>
          <w:lang w:eastAsia="nl-NL"/>
        </w:rPr>
      </w:pPr>
    </w:p>
    <w:p w:rsidR="001A7239" w:rsidP="00176550" w:rsidRDefault="001A7239" w14:paraId="3A6DDCFD" w14:textId="23C399CC">
      <w:pPr>
        <w:rPr>
          <w:rFonts w:ascii="Arial" w:hAnsi="Arial" w:eastAsia="Times New Roman" w:cs="Arial"/>
          <w:color w:val="000000"/>
          <w:sz w:val="22"/>
          <w:lang w:eastAsia="nl-NL"/>
        </w:rPr>
      </w:pPr>
    </w:p>
    <w:p w:rsidR="001A7239" w:rsidP="00176550" w:rsidRDefault="001A7239" w14:paraId="21EFF051" w14:textId="0CE318AA">
      <w:pPr>
        <w:rPr>
          <w:rFonts w:ascii="Arial" w:hAnsi="Arial" w:eastAsia="Times New Roman" w:cs="Arial"/>
          <w:color w:val="000000"/>
          <w:sz w:val="22"/>
          <w:lang w:eastAsia="nl-NL"/>
        </w:rPr>
      </w:pPr>
    </w:p>
    <w:p w:rsidR="001A7239" w:rsidP="00176550" w:rsidRDefault="001A7239" w14:paraId="7F35DEF0" w14:textId="77777777">
      <w:pPr>
        <w:rPr>
          <w:rFonts w:ascii="Arial" w:hAnsi="Arial" w:eastAsia="Times New Roman" w:cs="Arial"/>
          <w:color w:val="000000"/>
          <w:sz w:val="22"/>
          <w:lang w:eastAsia="nl-NL"/>
        </w:rPr>
      </w:pPr>
    </w:p>
    <w:p w:rsidR="00F42FBB" w:rsidP="00176550" w:rsidRDefault="00F42FBB" w14:paraId="3AF4D1B3" w14:textId="77777777">
      <w:pPr>
        <w:pStyle w:val="Default"/>
      </w:pPr>
    </w:p>
    <w:p w:rsidR="00F42FBB" w:rsidP="00176550" w:rsidRDefault="00F42FBB" w14:paraId="5D1D815D" w14:textId="77777777">
      <w:pPr>
        <w:pStyle w:val="Default"/>
        <w:rPr>
          <w:sz w:val="23"/>
          <w:szCs w:val="23"/>
        </w:rPr>
      </w:pPr>
      <w:r>
        <w:rPr>
          <w:b/>
          <w:bCs/>
          <w:sz w:val="23"/>
          <w:szCs w:val="23"/>
        </w:rPr>
        <w:t xml:space="preserve">II. Binnenlandse zaken </w:t>
      </w:r>
    </w:p>
    <w:p w:rsidR="00F42FBB" w:rsidP="00176550" w:rsidRDefault="00F42FBB" w14:paraId="38562BBB" w14:textId="116539D6"/>
    <w:p w:rsidRPr="00B619C3" w:rsidR="008D2A64" w:rsidP="00176550" w:rsidRDefault="008D2A64" w14:paraId="0B72F904" w14:textId="77777777">
      <w:pPr>
        <w:spacing w:after="0" w:line="240" w:lineRule="auto"/>
        <w:rPr>
          <w:rFonts w:eastAsia="Times New Roman" w:cs="Arial"/>
          <w:b/>
          <w:bCs/>
          <w:color w:val="000000"/>
          <w:szCs w:val="18"/>
          <w:lang w:eastAsia="nl-NL"/>
        </w:rPr>
      </w:pPr>
      <w:r w:rsidRPr="00B619C3">
        <w:rPr>
          <w:rFonts w:eastAsia="Times New Roman" w:cs="Arial"/>
          <w:b/>
          <w:bCs/>
          <w:color w:val="000000"/>
          <w:szCs w:val="18"/>
          <w:lang w:eastAsia="nl-NL"/>
        </w:rPr>
        <w:t>Belangrijkste resultaten</w:t>
      </w:r>
      <w:r w:rsidRPr="00B619C3">
        <w:rPr>
          <w:rFonts w:eastAsia="Times New Roman" w:cs="Arial"/>
          <w:b/>
          <w:bCs/>
          <w:color w:val="000000"/>
          <w:szCs w:val="18"/>
          <w:lang w:eastAsia="nl-NL"/>
        </w:rPr>
        <w:br/>
      </w:r>
    </w:p>
    <w:p w:rsidR="008D2A64" w:rsidP="00176550" w:rsidRDefault="00D17994" w14:paraId="736882E8" w14:textId="74BFDB28">
      <w:pPr>
        <w:pStyle w:val="Lijstalinea"/>
        <w:numPr>
          <w:ilvl w:val="0"/>
          <w:numId w:val="11"/>
        </w:numPr>
      </w:pPr>
      <w:r>
        <w:t>D</w:t>
      </w:r>
      <w:r w:rsidR="009D14E3">
        <w:t xml:space="preserve">e Raad </w:t>
      </w:r>
      <w:r>
        <w:t xml:space="preserve">sprak </w:t>
      </w:r>
      <w:r w:rsidR="009D14E3">
        <w:t xml:space="preserve">het belang </w:t>
      </w:r>
      <w:r w:rsidR="00D14BCB">
        <w:t xml:space="preserve">uit </w:t>
      </w:r>
      <w:r w:rsidR="009D14E3">
        <w:t xml:space="preserve">van verkenning van verdere </w:t>
      </w:r>
      <w:r w:rsidR="005F3541">
        <w:t>terugkeer</w:t>
      </w:r>
      <w:r w:rsidR="009D14E3">
        <w:t xml:space="preserve">samenwerking. </w:t>
      </w:r>
    </w:p>
    <w:p w:rsidR="001A7239" w:rsidP="00176550" w:rsidRDefault="005F3541" w14:paraId="6F09FE65" w14:textId="0EF6811F">
      <w:pPr>
        <w:pStyle w:val="Lijstalinea"/>
        <w:numPr>
          <w:ilvl w:val="0"/>
          <w:numId w:val="11"/>
        </w:numPr>
      </w:pPr>
      <w:r>
        <w:t>Er werd tijdens de</w:t>
      </w:r>
      <w:r w:rsidR="00D14BCB">
        <w:t>ze</w:t>
      </w:r>
      <w:r>
        <w:t xml:space="preserve"> JBZ-Raad nog geen besluit genomen over de volledige toepassing Schengenacquis in Bulgarije en Roemenië</w:t>
      </w:r>
      <w:r w:rsidR="00D14BCB">
        <w:t xml:space="preserve"> (zie</w:t>
      </w:r>
      <w:r w:rsidR="00D17994">
        <w:t xml:space="preserve"> verder</w:t>
      </w:r>
      <w:r w:rsidR="00D14BCB">
        <w:t xml:space="preserve"> punt 2).</w:t>
      </w:r>
    </w:p>
    <w:p w:rsidR="00D14BCB" w:rsidP="00176550" w:rsidRDefault="00301467" w14:paraId="085766DE" w14:textId="0F2A521F">
      <w:pPr>
        <w:pStyle w:val="Lijstalinea"/>
        <w:numPr>
          <w:ilvl w:val="0"/>
          <w:numId w:val="11"/>
        </w:numPr>
      </w:pPr>
      <w:r>
        <w:t xml:space="preserve">De Raad werd </w:t>
      </w:r>
      <w:r w:rsidR="00E92912">
        <w:t>geïnformeerd</w:t>
      </w:r>
      <w:r>
        <w:t xml:space="preserve"> dat </w:t>
      </w:r>
      <w:r w:rsidR="00D14BCB">
        <w:t xml:space="preserve">de </w:t>
      </w:r>
      <w:r>
        <w:t>(triloog)</w:t>
      </w:r>
      <w:r w:rsidR="00D14BCB">
        <w:t>onderhandelingen over het asiel- en migratiepacht in volle gang zijn en dat wordt ingezet op spoedige afronding.</w:t>
      </w:r>
    </w:p>
    <w:p w:rsidR="00D14BCB" w:rsidP="00176550" w:rsidRDefault="00D14BCB" w14:paraId="0018C85A" w14:textId="1138C431">
      <w:pPr>
        <w:pStyle w:val="Lijstalinea"/>
        <w:numPr>
          <w:ilvl w:val="0"/>
          <w:numId w:val="11"/>
        </w:numPr>
      </w:pPr>
      <w:r>
        <w:t xml:space="preserve">De Raad sprak af de </w:t>
      </w:r>
      <w:r w:rsidR="00D17994">
        <w:t>risico’s</w:t>
      </w:r>
      <w:r>
        <w:t xml:space="preserve"> voor de interne veiligheid van de EU als gevolg van de situatie in </w:t>
      </w:r>
      <w:r w:rsidR="00D17994">
        <w:t>Oekraïne</w:t>
      </w:r>
      <w:r>
        <w:t xml:space="preserve"> en het Midden-Oosten gezamenlijk te blijven monitoren.</w:t>
      </w:r>
    </w:p>
    <w:p w:rsidR="008D2A64" w:rsidP="00176550" w:rsidRDefault="008D2A64" w14:paraId="5022D22A" w14:textId="77777777">
      <w:pPr>
        <w:pStyle w:val="Default"/>
      </w:pPr>
    </w:p>
    <w:p w:rsidR="008D2A64" w:rsidP="00176550" w:rsidRDefault="009D14E3" w14:paraId="62E56B33" w14:textId="6382AE7C">
      <w:pPr>
        <w:pStyle w:val="Default"/>
        <w:numPr>
          <w:ilvl w:val="0"/>
          <w:numId w:val="19"/>
        </w:numPr>
        <w:rPr>
          <w:sz w:val="18"/>
          <w:szCs w:val="18"/>
        </w:rPr>
      </w:pPr>
      <w:r>
        <w:rPr>
          <w:b/>
          <w:bCs/>
          <w:sz w:val="18"/>
          <w:szCs w:val="18"/>
        </w:rPr>
        <w:t>S</w:t>
      </w:r>
      <w:r w:rsidR="008D2A64">
        <w:rPr>
          <w:b/>
          <w:bCs/>
          <w:sz w:val="18"/>
          <w:szCs w:val="18"/>
        </w:rPr>
        <w:t xml:space="preserve">taat van het Schengengebied </w:t>
      </w:r>
    </w:p>
    <w:p w:rsidR="00006EAE" w:rsidP="00176550" w:rsidRDefault="00006EAE" w14:paraId="12D35DD5" w14:textId="77777777">
      <w:pPr>
        <w:pStyle w:val="Default"/>
        <w:rPr>
          <w:highlight w:val="yellow"/>
        </w:rPr>
      </w:pPr>
    </w:p>
    <w:p w:rsidRPr="00EC6584" w:rsidR="009D14E3" w:rsidP="009D14E3" w:rsidRDefault="009D14E3" w14:paraId="45529197" w14:textId="77777777">
      <w:pPr>
        <w:spacing w:after="0" w:line="252" w:lineRule="auto"/>
        <w:rPr>
          <w:rFonts w:eastAsia="Times New Roman"/>
          <w:lang w:val="nl-BE"/>
        </w:rPr>
      </w:pPr>
      <w:r w:rsidRPr="00401AA2">
        <w:rPr>
          <w:rFonts w:eastAsia="Times New Roman"/>
          <w:lang w:val="nl-BE"/>
        </w:rPr>
        <w:t xml:space="preserve">De Commissie gaf onder dit agendapunt een uitgebreide presentatie over de bevindingen </w:t>
      </w:r>
      <w:r>
        <w:rPr>
          <w:rFonts w:eastAsia="Times New Roman"/>
          <w:lang w:val="nl-BE"/>
        </w:rPr>
        <w:t>uit</w:t>
      </w:r>
      <w:r w:rsidRPr="00401AA2">
        <w:rPr>
          <w:rFonts w:eastAsia="Times New Roman"/>
          <w:lang w:val="nl-BE"/>
        </w:rPr>
        <w:t xml:space="preserve"> Schengenbarometer. </w:t>
      </w:r>
      <w:r>
        <w:rPr>
          <w:rFonts w:eastAsia="Times New Roman"/>
          <w:lang w:val="nl-BE"/>
        </w:rPr>
        <w:t xml:space="preserve">Zowel de irreguliere aankomsten als de secundaire migratiebewegingen in het Schengengebied zijn in januari-november toegenomen ten opzichte van dezelfde periode vorig jaar. Dit zet de asielsystemen van de lidstaten onder druk. De Commissie lichtte enkele kwetsbaarheden in het Schengengebied eruit die - zeker met het oog op die toegenomen druk - snel verbeterd moeten worden, waaronder het te hoge aantal toegangsverschaffingen zonder uitvoering van veiligheidschecks in het Schengen Informatie Systeem en de hoge aantallen asielaanvragen die worden gedaan door personen die op een geldig visum of via visumvrijstelling het Schengengebied binnen reizen. De Commissie stond ook stil bij de verschillen in terugkeerpercentages van de verschillende lidstaten en riep op onderlinge samenwerking te verbeteren. Daarnaast noemde de Commissie verschillende verbeteringen in de terugkeersamenwerking met derde landen. De Commissie schreef deze verbeteringen deels toe aan de toepassing van art 25bis van de Visumcode, maar benadrukte ook het belang van het bieden van legale migratie-alternatieven. De Commissie dankte de lidstaten die aanwezig waren bij de recente ministeriële conferentie over de </w:t>
      </w:r>
      <w:r w:rsidRPr="00EC6584">
        <w:rPr>
          <w:rFonts w:eastAsia="Times New Roman"/>
          <w:i/>
          <w:iCs/>
          <w:lang w:val="nl-BE"/>
        </w:rPr>
        <w:t>EU talent partnerships</w:t>
      </w:r>
      <w:r>
        <w:rPr>
          <w:rFonts w:eastAsia="Times New Roman"/>
          <w:lang w:val="nl-BE"/>
        </w:rPr>
        <w:t xml:space="preserve">, waarop gesproken werd over mogelijke invulling van dergelijke partnerschappen. Nederland is waarnemer bij drie van de </w:t>
      </w:r>
      <w:r>
        <w:rPr>
          <w:rFonts w:eastAsia="Times New Roman"/>
          <w:i/>
          <w:iCs/>
          <w:lang w:val="nl-BE"/>
        </w:rPr>
        <w:t xml:space="preserve">Talent Partnerships </w:t>
      </w:r>
      <w:r>
        <w:rPr>
          <w:rFonts w:eastAsia="Times New Roman"/>
          <w:lang w:val="nl-BE"/>
        </w:rPr>
        <w:t xml:space="preserve">en nam in die hoedanigheid ook deel aan deze conferentie. Tot slot stond de Commissie stil bij de recent opgerichte </w:t>
      </w:r>
      <w:r>
        <w:rPr>
          <w:rFonts w:eastAsia="Times New Roman"/>
          <w:i/>
          <w:iCs/>
          <w:lang w:val="nl-BE"/>
        </w:rPr>
        <w:t xml:space="preserve">Global Alliance </w:t>
      </w:r>
      <w:r>
        <w:rPr>
          <w:rFonts w:eastAsia="Times New Roman"/>
          <w:lang w:val="nl-BE"/>
        </w:rPr>
        <w:t>voor de aanpak van mensensmokkel, en twee Europese wetgevingsvoorstellen inzake mensensmokkel die de Commissie 28 november jl. presenteerde tijdens een internationale conferentie in Brussel. Het Voorzitterschap lichtte vervolgens het verspreide paper over terugkeer toe en benadrukte dat de recente terroristische aanslagen nopen tot effectievere terugkeer van personen die geen legaal verblijf hebben in de EU, in het bijzonder personen die een risico vormen voor de binnenlandse veiligheid en de openbare orde. Het Voorzitterschap acht Europese terugkeerbesluiten daarvoor een noodzakelijke stap,</w:t>
      </w:r>
      <w:r w:rsidRPr="00EF4F6C">
        <w:rPr>
          <w:rFonts w:eastAsia="Times New Roman"/>
          <w:lang w:val="nl-BE"/>
        </w:rPr>
        <w:t xml:space="preserve"> </w:t>
      </w:r>
      <w:r>
        <w:rPr>
          <w:rFonts w:eastAsia="Times New Roman"/>
          <w:lang w:val="nl-BE"/>
        </w:rPr>
        <w:t xml:space="preserve">maar uitte ook begrip voor de benodigde lange termijn voor de daadwerkelijke implementatie van dit voorstel. </w:t>
      </w:r>
    </w:p>
    <w:p w:rsidR="009D14E3" w:rsidP="009D14E3" w:rsidRDefault="009D14E3" w14:paraId="0BA82CCB" w14:textId="77777777">
      <w:pPr>
        <w:spacing w:after="0" w:line="252" w:lineRule="auto"/>
        <w:rPr>
          <w:rFonts w:eastAsia="Times New Roman"/>
          <w:lang w:val="nl-BE"/>
        </w:rPr>
      </w:pPr>
    </w:p>
    <w:p w:rsidR="009D14E3" w:rsidP="009D14E3" w:rsidRDefault="009D14E3" w14:paraId="4DCB208B" w14:textId="77777777">
      <w:pPr>
        <w:spacing w:after="0" w:line="252" w:lineRule="auto"/>
        <w:rPr>
          <w:rFonts w:eastAsia="Times New Roman"/>
          <w:lang w:val="nl-BE"/>
        </w:rPr>
      </w:pPr>
      <w:r>
        <w:rPr>
          <w:rFonts w:eastAsia="Times New Roman"/>
          <w:lang w:val="nl-BE"/>
        </w:rPr>
        <w:t xml:space="preserve">Nederland uitte zijn zorgen over de toegenomen druk op de buitengrenzen, dankte de Commissie voor het expliciet toelichten van de kwetsbaarheden, en riep dringend op tot betere naleving van de regels, inclusief betere opvolging van Schengenevaluaties en Frontex-beoordelingen. Daarnaast riep Nederland op tot snelle afronding van de onderhandelingen over de Schengengrenscode voor effectievere alternatieven voor binnengrenscontroles, en een spoedige start van de gesprekken over het Europese wetgevingspakket voor de aanpak van mensensmokkel. Met betrekking tot terugkeer riep Nederland op tot verbetering van de nationale processen, uitwerking van de door de Commissie aangekondigde terugkeerpilots en een aanscherping van de Terugkeerrichtlijn. </w:t>
      </w:r>
    </w:p>
    <w:p w:rsidR="009D14E3" w:rsidP="009D14E3" w:rsidRDefault="009D14E3" w14:paraId="04AC4233" w14:textId="77777777">
      <w:pPr>
        <w:spacing w:after="0" w:line="252" w:lineRule="auto"/>
        <w:rPr>
          <w:rFonts w:eastAsia="Times New Roman"/>
          <w:lang w:val="nl-BE"/>
        </w:rPr>
      </w:pPr>
    </w:p>
    <w:p w:rsidR="009D14E3" w:rsidP="009D14E3" w:rsidRDefault="009D14E3" w14:paraId="5F745FDD" w14:textId="77777777">
      <w:pPr>
        <w:spacing w:after="0" w:line="252" w:lineRule="auto"/>
        <w:rPr>
          <w:rFonts w:eastAsia="Times New Roman"/>
          <w:lang w:val="nl-BE"/>
        </w:rPr>
      </w:pPr>
      <w:r>
        <w:rPr>
          <w:rFonts w:eastAsia="Times New Roman"/>
          <w:lang w:val="nl-BE"/>
        </w:rPr>
        <w:t xml:space="preserve">In een volledige interventieronde stonden lidstaten stil bij de benodigde verbeteringen op terugkeer, met name waar het personen die een veiligheidsrisico vormen betreft. Meerdere lidstaten gaven aan </w:t>
      </w:r>
      <w:r w:rsidRPr="00401AA2">
        <w:rPr>
          <w:rFonts w:eastAsia="Times New Roman"/>
          <w:lang w:val="nl-BE"/>
        </w:rPr>
        <w:t xml:space="preserve">dat de </w:t>
      </w:r>
      <w:r w:rsidRPr="00EC6584">
        <w:rPr>
          <w:rFonts w:eastAsia="Times New Roman"/>
          <w:lang w:val="nl-BE"/>
        </w:rPr>
        <w:t>raadspositie op herziening van de terugkeerrichtlijn verouderd</w:t>
      </w:r>
      <w:r w:rsidRPr="00401AA2">
        <w:rPr>
          <w:rFonts w:eastAsia="Times New Roman"/>
          <w:lang w:val="nl-BE"/>
        </w:rPr>
        <w:t xml:space="preserve"> is en dat </w:t>
      </w:r>
      <w:r>
        <w:rPr>
          <w:rFonts w:eastAsia="Times New Roman"/>
          <w:lang w:val="nl-BE"/>
        </w:rPr>
        <w:t>die</w:t>
      </w:r>
      <w:r w:rsidRPr="00401AA2">
        <w:rPr>
          <w:rFonts w:eastAsia="Times New Roman"/>
          <w:lang w:val="nl-BE"/>
        </w:rPr>
        <w:t xml:space="preserve"> opnieuw </w:t>
      </w:r>
      <w:r>
        <w:rPr>
          <w:rFonts w:eastAsia="Times New Roman"/>
          <w:lang w:val="nl-BE"/>
        </w:rPr>
        <w:t>bezien moet worden in het licht van de huidige context.</w:t>
      </w:r>
      <w:r w:rsidRPr="00401AA2">
        <w:rPr>
          <w:rFonts w:eastAsia="Times New Roman"/>
          <w:lang w:val="nl-BE"/>
        </w:rPr>
        <w:t xml:space="preserve"> </w:t>
      </w:r>
      <w:r>
        <w:rPr>
          <w:rFonts w:eastAsia="Times New Roman"/>
          <w:lang w:val="nl-BE"/>
        </w:rPr>
        <w:t xml:space="preserve">Het voorstel van het Voorzitterschap voor een EU-terugkeerbesluit werd verdeeld ontvangen. Enkele lidstaten waren positief, maar veel lidstaten zagen operationele en juridische obstakels en benadrukten dat betere benutting van de mogelijkheden binnen het huidig systeem meer kan opleveren, zeker op de korte termijn. Enkele lidstaten lichtten toe hoe de toegenomen (secundaire en ongeregistreerde) migratie hen tot de instelling van binnengrenscontroles had doen overgaan, enkele andere lidstaten riepen juist op deze controles zo snel mogelijk weer op te heffen, met het oog op het goed functioneren van het Schengengebied. Een enkele lidstaat riep op tot het verkennen van verschillende vormen van partnerschappen met derde landen, waaronder een partnerschap gericht op het vaker kunnen toepassen van het veilig derde land-principe bij asielprocedures. </w:t>
      </w:r>
    </w:p>
    <w:p w:rsidR="009D14E3" w:rsidP="009D14E3" w:rsidRDefault="009D14E3" w14:paraId="0E8E8A1D" w14:textId="77777777">
      <w:pPr>
        <w:spacing w:after="0" w:line="252" w:lineRule="auto"/>
        <w:rPr>
          <w:rFonts w:eastAsia="Times New Roman"/>
          <w:lang w:val="nl-BE"/>
        </w:rPr>
      </w:pPr>
    </w:p>
    <w:p w:rsidRPr="009D14E3" w:rsidR="009D14E3" w:rsidP="009D14E3" w:rsidRDefault="009D14E3" w14:paraId="0D55326F" w14:textId="77777777">
      <w:pPr>
        <w:spacing w:after="0" w:line="252" w:lineRule="auto"/>
        <w:rPr>
          <w:rFonts w:eastAsia="Times New Roman"/>
          <w:i/>
          <w:iCs/>
          <w:lang w:val="nl-BE"/>
        </w:rPr>
      </w:pPr>
      <w:r w:rsidRPr="009D14E3">
        <w:rPr>
          <w:rFonts w:eastAsia="Times New Roman"/>
          <w:i/>
          <w:iCs/>
          <w:lang w:val="nl-BE"/>
        </w:rPr>
        <w:t>Toelichting van genomen maatregelen aan de Finse grens</w:t>
      </w:r>
    </w:p>
    <w:p w:rsidR="009D14E3" w:rsidP="009D14E3" w:rsidRDefault="009D14E3" w14:paraId="187C9322" w14:textId="77777777">
      <w:pPr>
        <w:spacing w:after="0" w:line="252" w:lineRule="auto"/>
        <w:rPr>
          <w:rFonts w:eastAsia="Times New Roman"/>
          <w:lang w:val="nl-BE"/>
        </w:rPr>
      </w:pPr>
      <w:r>
        <w:rPr>
          <w:rFonts w:eastAsia="Times New Roman"/>
          <w:lang w:val="nl-BE"/>
        </w:rPr>
        <w:t xml:space="preserve">Finland gaf een uitgebreide toelichting op de maatregelen die het land heeft genomen in reactie op de toename van migranten aan de oostgrens, waarvan het sterke vermoeden bestaat dat deze met hulp van de Russische federatie zich melden. Finland riep op tot een stevig Europees wettelijk kader om deze vormen van instrumentalisering van migranten aan te kunnen pakken. </w:t>
      </w:r>
    </w:p>
    <w:p w:rsidRPr="00176550" w:rsidR="00DF3DEA" w:rsidP="00176550" w:rsidRDefault="00DF3DEA" w14:paraId="7269E2DC" w14:textId="77777777">
      <w:pPr>
        <w:pStyle w:val="Default"/>
        <w:rPr>
          <w:sz w:val="18"/>
          <w:szCs w:val="18"/>
        </w:rPr>
      </w:pPr>
    </w:p>
    <w:p w:rsidRPr="00176550" w:rsidR="00DF3DEA" w:rsidP="00176550" w:rsidRDefault="00DF3DEA" w14:paraId="691C53D2" w14:textId="5615533E">
      <w:pPr>
        <w:pStyle w:val="Default"/>
        <w:rPr>
          <w:sz w:val="18"/>
          <w:szCs w:val="18"/>
        </w:rPr>
      </w:pPr>
      <w:r w:rsidRPr="00176550">
        <w:rPr>
          <w:b/>
          <w:bCs/>
          <w:sz w:val="18"/>
          <w:szCs w:val="18"/>
        </w:rPr>
        <w:t xml:space="preserve">2. Volledige toepassing van de bepalingen van het Schengenacquis in Bulgarije en Roemenië </w:t>
      </w:r>
      <w:r w:rsidR="005F3541">
        <w:rPr>
          <w:b/>
          <w:bCs/>
          <w:sz w:val="18"/>
          <w:szCs w:val="18"/>
        </w:rPr>
        <w:t>– stand van zaken</w:t>
      </w:r>
    </w:p>
    <w:p w:rsidR="005F3541" w:rsidP="005F3541" w:rsidRDefault="005F3541" w14:paraId="761A8065" w14:textId="00008CCB">
      <w:pPr>
        <w:spacing w:line="240" w:lineRule="auto"/>
      </w:pPr>
      <w:r>
        <w:br/>
        <w:t>Tijdens de Schengenraad, als onderdeel van de JBZ-Raad, presenteerde de Commissie de uitkomsten van de recente</w:t>
      </w:r>
      <w:r w:rsidRPr="00034E93">
        <w:rPr>
          <w:i/>
          <w:iCs/>
        </w:rPr>
        <w:t xml:space="preserve"> fact-findingmissie</w:t>
      </w:r>
      <w:r>
        <w:t xml:space="preserve"> naar Bulgarije, die plaatsvond op 23-24 november jl. Deze missie had als doel de huidige toepassing van het volledige Schengenacquis door Bulgarije te verzekeren en zo te bezien of Bulgarije blijft voldoen aan de voorwaarden voor Schengentoetreding. De Commissie lichtte de over het algemeen positieve resultaten toe en concludeerde dat zowel Bulgarije als Roemenië gereed zijn voor toetreding tot het Schengengebied aangezien zij aan de criteria voor toetreding voldoen. Nederland kon vorig jaar reeds instemmen met de Schengentoetreding van Roemenië, z</w:t>
      </w:r>
      <w:r w:rsidRPr="005957D8">
        <w:t>oals toegelicht in de geannoteerde agenda van de JBZ-Raad van 8-9 december 2022</w:t>
      </w:r>
      <w:r>
        <w:t>. Voor de Schengentoetreding van Bulgarije achtte Nederland het destijds te vroeg.</w:t>
      </w:r>
      <w:r>
        <w:rPr>
          <w:rStyle w:val="Voetnootmarkering"/>
        </w:rPr>
        <w:footnoteReference w:id="4"/>
      </w:r>
      <w:r>
        <w:t xml:space="preserve"> Een meerderheid van lidstaten sprak zich daarna uit voor snelle besluitvorming om volwaardig Schengenlidmaatschap van deze lidstaten te realiseren. Een enkele lidstaat gaf aan goede bilaterale gesprekken met Roemenië en Bulgarije te voeren, maar nog niet in te kunnen stemmen met toetreding op dit moment</w:t>
      </w:r>
      <w:bookmarkStart w:name="_Hlk152833510" w:id="1"/>
      <w:r>
        <w:t>. Nederland heeft aangegeven dat het, m</w:t>
      </w:r>
      <w:r w:rsidRPr="08712323">
        <w:t xml:space="preserve">et het oog op </w:t>
      </w:r>
      <w:r>
        <w:t xml:space="preserve">geboekte </w:t>
      </w:r>
      <w:r w:rsidRPr="08712323">
        <w:t xml:space="preserve">voortgang op het terrein van de rechtsstaat en corruptiebestrijding in Bulgarije, het initiatief van de Commissie en </w:t>
      </w:r>
      <w:r>
        <w:t xml:space="preserve">bereidheid van </w:t>
      </w:r>
      <w:r w:rsidRPr="08712323">
        <w:t>Bulga</w:t>
      </w:r>
      <w:r>
        <w:t xml:space="preserve">rije voor een </w:t>
      </w:r>
      <w:r w:rsidRPr="08712323">
        <w:t xml:space="preserve">aanvullende </w:t>
      </w:r>
      <w:r>
        <w:t xml:space="preserve">vrijwillige </w:t>
      </w:r>
      <w:r w:rsidRPr="00B72399">
        <w:rPr>
          <w:i/>
        </w:rPr>
        <w:t>fact-findingmissie</w:t>
      </w:r>
      <w:r>
        <w:t xml:space="preserve"> kon verwelkomen. </w:t>
      </w:r>
      <w:bookmarkEnd w:id="1"/>
      <w:r>
        <w:t xml:space="preserve">Nederland heeft benoemd dat alvorens vervolgstappen worden gezet, het eerst de uitkomsten van de missie wenst te bestuderen. Het Voorzitterschap gaf ten slotte aan dat het nauw zal blijven samenwerken en zich als doel stelt unanimiteit te bereiken voor het einde van dit jaar. </w:t>
      </w:r>
      <w:r>
        <w:br/>
      </w:r>
      <w:r>
        <w:br/>
        <w:t>Met d</w:t>
      </w:r>
      <w:r w:rsidR="00344F78">
        <w:t xml:space="preserve">it verslag </w:t>
      </w:r>
      <w:r>
        <w:t xml:space="preserve">informeert het kabinet uw Kamer over de uitkomsten en appreciatie van de </w:t>
      </w:r>
      <w:r w:rsidRPr="0050167D">
        <w:rPr>
          <w:i/>
          <w:iCs/>
        </w:rPr>
        <w:t>fact-findingmissie</w:t>
      </w:r>
      <w:r>
        <w:rPr>
          <w:i/>
          <w:iCs/>
        </w:rPr>
        <w:t xml:space="preserve"> </w:t>
      </w:r>
      <w:r>
        <w:t xml:space="preserve">in Bulgarije. </w:t>
      </w:r>
      <w:r w:rsidRPr="00B72399">
        <w:t>Zoals eerder met uw Kamer gedeeld</w:t>
      </w:r>
      <w:r>
        <w:t>,</w:t>
      </w:r>
      <w:r w:rsidRPr="00B72399">
        <w:rPr>
          <w:rStyle w:val="Voetnootmarkering"/>
        </w:rPr>
        <w:footnoteReference w:id="5"/>
      </w:r>
      <w:r w:rsidRPr="00B72399">
        <w:t xml:space="preserve"> </w:t>
      </w:r>
      <w:r>
        <w:t xml:space="preserve">hecht het kabinet bij </w:t>
      </w:r>
      <w:r w:rsidRPr="00B72399">
        <w:t>Schengentoetreding</w:t>
      </w:r>
      <w:r>
        <w:t xml:space="preserve"> aan</w:t>
      </w:r>
      <w:r w:rsidRPr="00B72399">
        <w:t xml:space="preserve"> recente informatie over de toepassing van het Schengenacquis, evenals significante voortgang op het gebied van de rechtsstaat</w:t>
      </w:r>
      <w:r>
        <w:t xml:space="preserve"> in Bulgarije en Roemenië</w:t>
      </w:r>
      <w:r w:rsidRPr="00B72399">
        <w:t xml:space="preserve">. </w:t>
      </w:r>
      <w:r w:rsidRPr="005957D8">
        <w:t xml:space="preserve">In haar </w:t>
      </w:r>
      <w:r>
        <w:t xml:space="preserve">jaarlijkse </w:t>
      </w:r>
      <w:r w:rsidRPr="005957D8">
        <w:t>rechtsstaatrapport van 5 juli jl. heeft de Commissie verslag gedaan van de rechtsstatelijke situatie in Bulgarije</w:t>
      </w:r>
      <w:r>
        <w:t xml:space="preserve"> en Roemenië</w:t>
      </w:r>
      <w:r w:rsidRPr="005957D8">
        <w:t xml:space="preserve">. </w:t>
      </w:r>
      <w:r w:rsidR="00A637D5">
        <w:t>Tevens onderschreef het kabinet in</w:t>
      </w:r>
      <w:r w:rsidRPr="005957D8">
        <w:t xml:space="preserve"> de</w:t>
      </w:r>
      <w:r w:rsidR="00A637D5">
        <w:t xml:space="preserve"> </w:t>
      </w:r>
      <w:r w:rsidRPr="005957D8">
        <w:t xml:space="preserve">kabinetsreactie op het rechtsstaatsrapport van 8 september jl. al dat Bulgarije </w:t>
      </w:r>
      <w:r>
        <w:t xml:space="preserve">en Roemenië </w:t>
      </w:r>
      <w:r w:rsidRPr="005957D8">
        <w:t>sinds de laatste CVM-rapportages een aantal belangrijke stappen had gezet en dat de ontwikkelingen over het geheel genomen in de juiste richting bewogen</w:t>
      </w:r>
      <w:r>
        <w:t>.</w:t>
      </w:r>
      <w:r>
        <w:rPr>
          <w:rStyle w:val="Voetnootmarkering"/>
        </w:rPr>
        <w:footnoteReference w:id="6"/>
      </w:r>
      <w:r>
        <w:t xml:space="preserve"> Sindsdien heeft Bulgarije nog verdere voortgang geboekt op het gebied van de rechtsstaat. Dit is bevestigd </w:t>
      </w:r>
      <w:r>
        <w:rPr>
          <w:szCs w:val="18"/>
        </w:rPr>
        <w:t>in een</w:t>
      </w:r>
      <w:r w:rsidRPr="005E2719">
        <w:rPr>
          <w:szCs w:val="18"/>
        </w:rPr>
        <w:t xml:space="preserve"> briefwisseling tussen de Bulgaarse minister-president Denkov en Commissievoorzitter Von der Leyen</w:t>
      </w:r>
      <w:r>
        <w:rPr>
          <w:szCs w:val="18"/>
        </w:rPr>
        <w:t>.</w:t>
      </w:r>
      <w:r>
        <w:t xml:space="preserve"> Uw Kamer is hier nader over geïnformeerd i</w:t>
      </w:r>
      <w:r w:rsidRPr="00B72399">
        <w:t>n de geannoteerde agenda van de JBZ-Raad van 4-5 december jl.</w:t>
      </w:r>
      <w:r w:rsidRPr="00AF6F9B">
        <w:rPr>
          <w:rStyle w:val="Voetnootmarkering"/>
        </w:rPr>
        <w:t xml:space="preserve"> </w:t>
      </w:r>
      <w:r>
        <w:rPr>
          <w:rStyle w:val="Voetnootmarkering"/>
        </w:rPr>
        <w:footnoteReference w:id="7"/>
      </w:r>
      <w:r w:rsidRPr="00B72399">
        <w:t xml:space="preserve"> </w:t>
      </w:r>
      <w:bookmarkStart w:name="_Hlk152847906" w:id="2"/>
      <w:r w:rsidRPr="00B72399">
        <w:t>Het kabinet heeft hierin de vele positieve stappen die door de Bulgaarse regering zijn gezet op het gebied van rechtsstaat en corruptiebestrijding verwelkomd</w:t>
      </w:r>
      <w:bookmarkStart w:name="_Hlk152836865" w:id="3"/>
      <w:r w:rsidRPr="00B72399">
        <w:t xml:space="preserve">. </w:t>
      </w:r>
      <w:bookmarkStart w:name="_Hlk152847701" w:id="4"/>
      <w:bookmarkStart w:name="_Hlk152834394" w:id="5"/>
      <w:r>
        <w:t xml:space="preserve">Naar verwachting kan de </w:t>
      </w:r>
      <w:r w:rsidRPr="005957D8">
        <w:t>grondwetswijziging ten behoeve van de hervorming van de Raad voor de Rechtsspraak</w:t>
      </w:r>
      <w:r>
        <w:t xml:space="preserve"> voor het einde van 2023 worden afgerond. </w:t>
      </w:r>
      <w:r w:rsidRPr="005E2719">
        <w:t xml:space="preserve">De Venetië Commissie is nauw betrokken geweest bij </w:t>
      </w:r>
      <w:r>
        <w:t>dit proces.</w:t>
      </w:r>
      <w:r>
        <w:rPr>
          <w:rStyle w:val="Voetnootmarkering"/>
        </w:rPr>
        <w:footnoteReference w:id="8"/>
      </w:r>
      <w:r w:rsidRPr="005E2719">
        <w:t xml:space="preserve"> </w:t>
      </w:r>
      <w:r w:rsidRPr="00B9388D">
        <w:t xml:space="preserve">Gelet op deze positieve </w:t>
      </w:r>
      <w:r>
        <w:t xml:space="preserve">en duurzame </w:t>
      </w:r>
      <w:r w:rsidRPr="00B9388D">
        <w:t xml:space="preserve">ontwikkelingen op het gebied van de rechtsstaat </w:t>
      </w:r>
      <w:r>
        <w:t xml:space="preserve">in Bulgarije, </w:t>
      </w:r>
      <w:r w:rsidRPr="001B2A7B">
        <w:t>is</w:t>
      </w:r>
      <w:r w:rsidRPr="005957D8">
        <w:t xml:space="preserve"> </w:t>
      </w:r>
      <w:r>
        <w:t xml:space="preserve">aan </w:t>
      </w:r>
      <w:r w:rsidRPr="005957D8">
        <w:t>de voorwaarde van</w:t>
      </w:r>
      <w:r>
        <w:t xml:space="preserve"> </w:t>
      </w:r>
      <w:r w:rsidRPr="005957D8">
        <w:t>significante voortgang op gebied van</w:t>
      </w:r>
      <w:r>
        <w:t xml:space="preserve"> </w:t>
      </w:r>
      <w:r w:rsidRPr="005957D8">
        <w:t>rechtsstaat</w:t>
      </w:r>
      <w:r>
        <w:t xml:space="preserve"> voldaan</w:t>
      </w:r>
      <w:r w:rsidRPr="005957D8">
        <w:t>, mede omdat structurele monitoring voldoende is ondervangen</w:t>
      </w:r>
      <w:r>
        <w:t xml:space="preserve">. </w:t>
      </w:r>
      <w:r w:rsidRPr="00CB1D55">
        <w:rPr>
          <w:rFonts w:eastAsia="Times New Roman"/>
        </w:rPr>
        <w:t>Structurele monitoring blijft noodzakelijk om ervoor te zorgen dat rechtsstaathervormingen volledig, duurzaam en onomkeerbaar worden geïmplementeerd.</w:t>
      </w:r>
      <w:bookmarkEnd w:id="3"/>
      <w:bookmarkEnd w:id="4"/>
      <w:bookmarkEnd w:id="5"/>
      <w:r>
        <w:br/>
      </w:r>
      <w:bookmarkEnd w:id="2"/>
      <w:r>
        <w:br/>
      </w:r>
      <w:r w:rsidRPr="0027445B">
        <w:rPr>
          <w:i/>
          <w:iCs/>
        </w:rPr>
        <w:t>Resultaten fact-findingmissie Bulgarije</w:t>
      </w:r>
      <w:r>
        <w:t xml:space="preserve"> </w:t>
      </w:r>
      <w:r>
        <w:br/>
        <w:t>De</w:t>
      </w:r>
      <w:r w:rsidRPr="00035D68">
        <w:rPr>
          <w:i/>
          <w:iCs/>
        </w:rPr>
        <w:t xml:space="preserve"> fact-findingmissie</w:t>
      </w:r>
      <w:r>
        <w:t xml:space="preserve"> van 23-24 november jl. volgde de methodologie van een reguliere Schengenevaluatie en werd uitgevoerd door een gemengd team bestaande uit experts uit lidstaten, de Europese Commissie en vertegenwoordigers van de EU-agentschappen Frontex, Europol en het Grondrechtenagentschap (FRA). De missie werd g</w:t>
      </w:r>
      <w:r w:rsidRPr="08712323">
        <w:t>ecoördineerd door de Europese Commissie</w:t>
      </w:r>
      <w:r>
        <w:t xml:space="preserve">. </w:t>
      </w:r>
      <w:r w:rsidRPr="08712323">
        <w:t>Er n</w:t>
      </w:r>
      <w:r>
        <w:t>a</w:t>
      </w:r>
      <w:r w:rsidRPr="08712323">
        <w:t xml:space="preserve">men </w:t>
      </w:r>
      <w:r>
        <w:t xml:space="preserve">ook </w:t>
      </w:r>
      <w:r w:rsidRPr="08712323">
        <w:t>Nederlandse experts deel aan de missie.</w:t>
      </w:r>
      <w:r>
        <w:t xml:space="preserve"> </w:t>
      </w:r>
      <w:r w:rsidRPr="08712323">
        <w:t xml:space="preserve">De missie </w:t>
      </w:r>
      <w:r>
        <w:t>was</w:t>
      </w:r>
      <w:r w:rsidRPr="08712323">
        <w:t xml:space="preserve"> breed opgezet</w:t>
      </w:r>
      <w:r>
        <w:t>, waarbij relevante ontwikkelingen op diverse</w:t>
      </w:r>
      <w:r w:rsidRPr="08712323">
        <w:t xml:space="preserve"> beleidsterreinen</w:t>
      </w:r>
      <w:r>
        <w:t xml:space="preserve"> van het Schengenacquis</w:t>
      </w:r>
      <w:r w:rsidRPr="08712323">
        <w:t xml:space="preserve"> (buitengrensbeheer, terugkeer, politiesamenwerking, judiciële samenwerking in strafzaken, grootschalige IT-systemen zoals het Schengeninformatiesysteem, fundamentele rechten en het functioneren van autoriteiten)</w:t>
      </w:r>
      <w:r>
        <w:t xml:space="preserve"> werden getoetst</w:t>
      </w:r>
      <w:r w:rsidRPr="08712323">
        <w:t>.</w:t>
      </w:r>
      <w:r>
        <w:t xml:space="preserve"> Tijdens de missie is een bezoek gebracht aan Sofia, de grens met Turkije en de grens met Servië. Vorig jaar vonden reeds twee gelijksoortige missies plaats. Het doel van deze onderzoeksmissie was dan ook om recente informatie op te leveren over de toepassing van het Schengenacquis door Bulgarije, in aanvulling op de missies van vorig jaar.</w:t>
      </w:r>
    </w:p>
    <w:p w:rsidR="005F3541" w:rsidP="005F3541" w:rsidRDefault="005F3541" w14:paraId="71BC916F" w14:textId="77777777">
      <w:pPr>
        <w:spacing w:line="240" w:lineRule="auto"/>
      </w:pPr>
      <w:r>
        <w:t xml:space="preserve">De Commissie concludeert </w:t>
      </w:r>
      <w:bookmarkStart w:name="_Hlk152834484" w:id="6"/>
      <w:r>
        <w:t xml:space="preserve">dat sinds de twee positieve </w:t>
      </w:r>
      <w:r w:rsidRPr="0050167D">
        <w:rPr>
          <w:i/>
          <w:iCs/>
        </w:rPr>
        <w:t>fact-findingmissie</w:t>
      </w:r>
      <w:r>
        <w:rPr>
          <w:i/>
          <w:iCs/>
        </w:rPr>
        <w:t xml:space="preserve">s </w:t>
      </w:r>
      <w:r>
        <w:t>van vorig jaar er wederom geen tekortkomingen zijn vastgesteld en dat Bulgarije het Schengenacquis nog steeds correct toepast</w:t>
      </w:r>
      <w:bookmarkEnd w:id="6"/>
      <w:r>
        <w:t xml:space="preserve">. In het rapport gaat de Commissie in op de ontwikkelingen op de diverse beleidsterreinen. Zo hebben de Bulgaarse autoriteiten een hoge mate van inzet en toewijding getoond, onder andere door implementatie van het pilot-project dat in maart 2023 is opgezet naar aanleiding van de Conclusies van de Europese Raad van 9 februari 2023, om o.a. asielgrensprocedures te versnellen. De Commissie licht in het rapport toe dat de versterkte inspanningen aan de Bulgaarse grenzen hebben bijgedragen aan het verminderen van de migratiedruk op de Westelijke Balkanroute, die in 2023 met 23% is afgenomen ten opzichte van 2022 (aantal irreguliere grensoverschrijdingen, gemeten t.o.v. zelfde periode januari-september vorig jaar).  Bulgarije heeft actief secundaire bewegingen voorkomen door verbeterde samenwerking met de Turkse autoriteiten en aanvullende politiecontroles in het binnenland, zo stelt de Commissie. Tegelijkertijd concludeert het rapport dat meer maatregelen nodig zijn om de effectieve preventie van secundaire migratie richting Servië te vergroten. Verder </w:t>
      </w:r>
      <w:r w:rsidRPr="00B925C7">
        <w:t>heeft Bulgarije het afgelopen jaar het beheer van de buitengrenzen versterkt door de nationale capaciteiten voor grensbeheer</w:t>
      </w:r>
      <w:r>
        <w:t xml:space="preserve"> uit te breiden, door</w:t>
      </w:r>
      <w:r w:rsidRPr="00B925C7">
        <w:t xml:space="preserve"> toename van het </w:t>
      </w:r>
      <w:r>
        <w:t>beschikbare</w:t>
      </w:r>
      <w:r w:rsidRPr="00B925C7">
        <w:t xml:space="preserve"> </w:t>
      </w:r>
      <w:r>
        <w:t>personeel</w:t>
      </w:r>
      <w:r w:rsidRPr="00B925C7">
        <w:t xml:space="preserve"> voor grenstoezicht </w:t>
      </w:r>
      <w:r>
        <w:t xml:space="preserve">te organiseren </w:t>
      </w:r>
      <w:r w:rsidRPr="00B925C7">
        <w:t>en</w:t>
      </w:r>
      <w:r>
        <w:t xml:space="preserve"> te zorgen voor</w:t>
      </w:r>
      <w:r w:rsidRPr="00B925C7">
        <w:t xml:space="preserve"> </w:t>
      </w:r>
      <w:r>
        <w:t xml:space="preserve">verstevigde Frontex-inzet. Bulgarije heeft met Frontex een </w:t>
      </w:r>
      <w:r w:rsidRPr="0027445B">
        <w:rPr>
          <w:i/>
          <w:iCs/>
        </w:rPr>
        <w:t>roadmap</w:t>
      </w:r>
      <w:r>
        <w:t xml:space="preserve"> opgesteld en geïmplementeerd om de operationele capaciteiten aan de buitengrenzen te versterken (incl. 200 fte van het Frontex </w:t>
      </w:r>
      <w:r w:rsidRPr="00FD3387">
        <w:t>permanent korps</w:t>
      </w:r>
      <w:r>
        <w:t xml:space="preserve">). Bulgarije heeft reeds aanbestedingen gedaan om op korte termijn aanvullende investeringen te doen in het geïntegreerd surveillancesysteem aan de grens. </w:t>
      </w:r>
      <w:r w:rsidRPr="00876933">
        <w:t>Met behulp van deze innovatieve technologieën en versterkt cameratoezicht zal dat volgens de Commissie verder bijdragen aan een efficiënt buitengrensbeheer, tegengaan van irreguliere migrantenstromen en het bestrijden van grensoverschrijdende criminaliteit.</w:t>
      </w:r>
    </w:p>
    <w:p w:rsidR="005F3541" w:rsidP="005F3541" w:rsidRDefault="005F3541" w14:paraId="6A243B25" w14:textId="77777777">
      <w:pPr>
        <w:spacing w:line="240" w:lineRule="auto"/>
      </w:pPr>
      <w:r>
        <w:t xml:space="preserve">Het afgelopen jaar heeft Bulgarije tevens aanzienlijke inspanningen geleverd om het beleid aan te passen om illegaal verblijf tegen te gaan en uitdagingen binnen het Bulgaarse terugkeersysteem aan te pakken. Dit ziet bijvoorbeeld op verbeterde terugkeersamenwerking met landen als Irak en Marokko, maar ook op een versnelde terugkeerprocedure. De grote aantallen waar Bulgarije in terugkeerprocedures mee te maken heeft vragen om effectieve implementatie van bestaande </w:t>
      </w:r>
      <w:r w:rsidRPr="004875C9">
        <w:rPr>
          <w:i/>
          <w:iCs/>
        </w:rPr>
        <w:t xml:space="preserve">contingency-planning </w:t>
      </w:r>
      <w:r>
        <w:t xml:space="preserve">en het toewijzen van tolken en beschikbaarheid van staf ten behoeve van detentie. Aanvullende inzet van Frontex op het vlak van terugkeer (middels een Joint Action plan) zal Bulgaarse terugkeerinspanningen verder versterken. Specifiek beleid voor minderjarigen in detentie is een aandachtspunt. </w:t>
      </w:r>
    </w:p>
    <w:p w:rsidRPr="00B925C7" w:rsidR="005F3541" w:rsidP="005F3541" w:rsidRDefault="005F3541" w14:paraId="48F9067B" w14:textId="3BE75F62">
      <w:pPr>
        <w:spacing w:line="240" w:lineRule="auto"/>
      </w:pPr>
      <w:r w:rsidRPr="004875C9">
        <w:t>De</w:t>
      </w:r>
      <w:r>
        <w:t xml:space="preserve"> Commissie stelt dat de</w:t>
      </w:r>
      <w:r w:rsidRPr="004875C9">
        <w:t xml:space="preserve"> nodige </w:t>
      </w:r>
      <w:r>
        <w:t>processen</w:t>
      </w:r>
      <w:r w:rsidRPr="004875C9">
        <w:t xml:space="preserve"> nog steeds aanwezig</w:t>
      </w:r>
      <w:r>
        <w:t xml:space="preserve"> zijn</w:t>
      </w:r>
      <w:r w:rsidRPr="004875C9">
        <w:t xml:space="preserve"> om de naleving van het beginsel van non-refoulement</w:t>
      </w:r>
      <w:r>
        <w:t xml:space="preserve"> bij grensbeheer</w:t>
      </w:r>
      <w:r w:rsidRPr="004875C9">
        <w:t xml:space="preserve"> te waarborgen en te voorzien i</w:t>
      </w:r>
      <w:r>
        <w:t>n toegang tot asielprocedures</w:t>
      </w:r>
      <w:r w:rsidRPr="004875C9">
        <w:t xml:space="preserve">. </w:t>
      </w:r>
      <w:r>
        <w:t>Verder wordt er door de Bulgaarse autoriteiten inspanning geleverd om h</w:t>
      </w:r>
      <w:r w:rsidRPr="004875C9">
        <w:t xml:space="preserve">et bestaande </w:t>
      </w:r>
      <w:r>
        <w:t>monitorings</w:t>
      </w:r>
      <w:r w:rsidRPr="004875C9">
        <w:t xml:space="preserve">mechanisme voor toezicht op </w:t>
      </w:r>
      <w:r>
        <w:t xml:space="preserve">fundamentele rechten </w:t>
      </w:r>
      <w:r w:rsidRPr="004875C9">
        <w:t xml:space="preserve">aan de buitengrenzen </w:t>
      </w:r>
      <w:r>
        <w:t>(met o.a. UNHCR en Helsinki comité)</w:t>
      </w:r>
      <w:r w:rsidRPr="004875C9">
        <w:t xml:space="preserve"> </w:t>
      </w:r>
      <w:r>
        <w:t xml:space="preserve">te </w:t>
      </w:r>
      <w:r w:rsidRPr="004875C9">
        <w:t>verbeter</w:t>
      </w:r>
      <w:r>
        <w:t xml:space="preserve">en en </w:t>
      </w:r>
      <w:r w:rsidRPr="004875C9">
        <w:t xml:space="preserve">om te zorgen voor een </w:t>
      </w:r>
      <w:r>
        <w:t>structurele</w:t>
      </w:r>
      <w:r w:rsidRPr="004875C9">
        <w:t xml:space="preserve"> </w:t>
      </w:r>
      <w:r>
        <w:t>opvolging</w:t>
      </w:r>
      <w:r w:rsidRPr="004875C9">
        <w:t xml:space="preserve"> van de aanbevelingen</w:t>
      </w:r>
      <w:r>
        <w:t>. Dit proces is gaande.</w:t>
      </w:r>
      <w:r w:rsidR="009B0CEA">
        <w:br/>
      </w:r>
      <w:r>
        <w:br/>
        <w:t xml:space="preserve">De Commissie benoemt voorts dat </w:t>
      </w:r>
      <w:r w:rsidRPr="004875C9">
        <w:t xml:space="preserve">Bulgarije de internationale politiesamenwerking doeltreffend </w:t>
      </w:r>
      <w:r>
        <w:t xml:space="preserve">is </w:t>
      </w:r>
      <w:r w:rsidRPr="004875C9">
        <w:t xml:space="preserve">blijven </w:t>
      </w:r>
      <w:r>
        <w:t>uitvoeren</w:t>
      </w:r>
      <w:r w:rsidRPr="004875C9">
        <w:t xml:space="preserve"> en voldoet aan de eisen van het Schengenacquis op dit gebied. Overeenkomstig de EU-prioriteiten heeft Bulgarije de strijd tegen migrantensmokkel opgevoerd met een versterkt wettelijk en operationeel kader. </w:t>
      </w:r>
      <w:r>
        <w:t>H</w:t>
      </w:r>
      <w:r w:rsidRPr="00876933">
        <w:t xml:space="preserve">et evaluatieteam concludeert ook dat het Bulgaarse anti-corruptieplan voor 2023 voorziet in maatregelen om corruptie risico’s bij grensposten tegen te gaan. </w:t>
      </w:r>
    </w:p>
    <w:p w:rsidR="005F3541" w:rsidP="005F3541" w:rsidRDefault="005F3541" w14:paraId="147A73FA" w14:textId="0D3B4210">
      <w:pPr>
        <w:spacing w:line="240" w:lineRule="auto"/>
      </w:pPr>
      <w:r w:rsidRPr="4F556FAE">
        <w:rPr>
          <w:i/>
          <w:iCs/>
        </w:rPr>
        <w:t>Kabinetsappreciatie</w:t>
      </w:r>
      <w:r w:rsidR="00EB7DF2">
        <w:rPr>
          <w:i/>
          <w:iCs/>
        </w:rPr>
        <w:t xml:space="preserve"> Schengen fact-findingmissie Bulgarije</w:t>
      </w:r>
      <w:r w:rsidRPr="005E2719">
        <w:br/>
      </w:r>
      <w:bookmarkStart w:name="_Hlk152833912" w:id="7"/>
      <w:r w:rsidRPr="4F556FAE">
        <w:t xml:space="preserve">Het kabinet verwelkomt de resultaten van de </w:t>
      </w:r>
      <w:r w:rsidRPr="4F556FAE">
        <w:rPr>
          <w:i/>
          <w:iCs/>
        </w:rPr>
        <w:t>fact-finding</w:t>
      </w:r>
      <w:r w:rsidRPr="00FD3387">
        <w:rPr>
          <w:i/>
        </w:rPr>
        <w:t xml:space="preserve">missies </w:t>
      </w:r>
      <w:r w:rsidRPr="4F556FAE">
        <w:t xml:space="preserve">en kan zich vinden in de conclusies die door de experts van de lidstaten en de Commissie zijn </w:t>
      </w:r>
      <w:r>
        <w:t>vastgesteld</w:t>
      </w:r>
      <w:r w:rsidRPr="4F556FAE">
        <w:t xml:space="preserve">. Het laat zien dat Bulgarije de afgelopen jaren is blijven investeren in </w:t>
      </w:r>
      <w:r>
        <w:t>de correcte toepassing van het volledige Schengenacquis</w:t>
      </w:r>
      <w:r w:rsidRPr="4F556FAE">
        <w:t xml:space="preserve">. </w:t>
      </w:r>
      <w:bookmarkEnd w:id="7"/>
      <w:r w:rsidRPr="4F556FAE">
        <w:t xml:space="preserve">Het kabinet verwelkomt de aanvullende inspanningen om buitengrensbeheer te versterken, onder andere door middel van de verstevigde samenwerking met de Turkse autoriteiten, versterking van de capaciteit van grensautoriteiten en uitbreiding van personele ondersteuning door Frontex. Hetzelfde geldt voor de inzet om secundaire migratie tegen te gaan, door middel van extra politiecontroles in het binnenland. Ook waardeert het kabinet het </w:t>
      </w:r>
      <w:r>
        <w:t xml:space="preserve">doorlopende </w:t>
      </w:r>
      <w:r w:rsidRPr="4F556FAE">
        <w:t xml:space="preserve">commitment van de Bulgaarse autoriteiten voor versterkt grensbeheer, door middel van de pilotprojecten voor terugkeer- en asielgrensprocedures, en de geïntensiveerde samenwerking met Frontex. Het verbeteren van het bestaande monitoringsmechanisme voor toezicht op </w:t>
      </w:r>
      <w:r w:rsidRPr="01E610DC">
        <w:t>fundamentele</w:t>
      </w:r>
      <w:r>
        <w:t xml:space="preserve"> rechten</w:t>
      </w:r>
      <w:r w:rsidRPr="4F556FAE">
        <w:t xml:space="preserve"> is een welkome stap. De structurele opvolging van aanbevelingen verdient blijvende aandacht van de Bulgaarse autoriteiten. Hetzelfde geldt voor het versterken van de nationale terugkeerstructuren en detentiefaciliteiten, waar goede stappen gezet zijn</w:t>
      </w:r>
      <w:r>
        <w:t>,</w:t>
      </w:r>
      <w:r w:rsidRPr="4F556FAE">
        <w:t xml:space="preserve"> </w:t>
      </w:r>
      <w:r>
        <w:t>en blijvende inspanningen nodig zijn</w:t>
      </w:r>
      <w:r w:rsidRPr="4F556FAE">
        <w:t>. Eveneens zal het kabinet elke maatregel die Bulgarije neemt om het buitengrensbeheer verder te versterken en die bijdraagt aan het reduceren van secundaire migratiestromen binnen de Unie verwelkomen. Het kabinet acht het van groot belang dat secundaire migratie blijvend wordt tegengegaan. In dat licht onderstreept het kabinet het belang van stevige buitengrenzen, goede Dublinsamenwerking, screening- en asielgrensprocedures, en andere maatregelen die daaraan bijdragen.</w:t>
      </w:r>
    </w:p>
    <w:p w:rsidRPr="00B72399" w:rsidR="005F3541" w:rsidP="005F3541" w:rsidRDefault="005F3541" w14:paraId="38C008C0" w14:textId="43F205EF">
      <w:pPr>
        <w:spacing w:line="240" w:lineRule="auto"/>
      </w:pPr>
      <w:bookmarkStart w:name="_Hlk152833537" w:id="8"/>
      <w:r w:rsidRPr="00B72399">
        <w:t xml:space="preserve">Al het voorgaande in ogenschouw genomen komt het kabinet tot de conclusie dat Bulgarije aan de gestelde voorwaarden voor Schengentoetreding voldoet, en om die reden kan instemmen met een besluit dat leidt tot de volledige toepassing van het </w:t>
      </w:r>
      <w:r w:rsidRPr="01E610DC">
        <w:t>Schengenacquis</w:t>
      </w:r>
      <w:r w:rsidRPr="00B72399">
        <w:t xml:space="preserve"> </w:t>
      </w:r>
      <w:r>
        <w:t>d</w:t>
      </w:r>
      <w:r w:rsidRPr="00B72399">
        <w:t xml:space="preserve">oor Bulgarije. </w:t>
      </w:r>
      <w:bookmarkStart w:name="_Hlk152833553" w:id="9"/>
      <w:bookmarkStart w:name="_Hlk152843880" w:id="10"/>
      <w:bookmarkEnd w:id="8"/>
      <w:r w:rsidRPr="009B0CEA" w:rsidR="009B0CEA">
        <w:t>Dit is nu herhaaldelijk vastgesteld zodat van duurzame verankering uitgegaan mag worden.</w:t>
      </w:r>
      <w:r w:rsidR="009B0CEA">
        <w:t xml:space="preserve"> </w:t>
      </w:r>
      <w:r w:rsidRPr="00B72399">
        <w:t xml:space="preserve">Zowel op het vlak van grensbeheer als de rechtsstaat blijft structurele monitoring na toetreding evenwel </w:t>
      </w:r>
      <w:bookmarkEnd w:id="9"/>
      <w:r>
        <w:t>wenselijk</w:t>
      </w:r>
      <w:r w:rsidRPr="00B72399">
        <w:t xml:space="preserve">. </w:t>
      </w:r>
      <w:bookmarkEnd w:id="10"/>
      <w:r w:rsidRPr="00B72399">
        <w:t xml:space="preserve">Waar het grensbeheer betreft zal dit, conform de Schengenevaluatieverordening, plaatsvinden middels de reguliere Schengenevaluaties. De verordening voorziet in een volledige evaluatiemissie over alle elementen van het </w:t>
      </w:r>
      <w:r w:rsidRPr="008B4F7D">
        <w:rPr>
          <w:iCs/>
        </w:rPr>
        <w:t>Schengenacquis</w:t>
      </w:r>
      <w:r>
        <w:rPr>
          <w:iCs/>
        </w:rPr>
        <w:t xml:space="preserve"> binnen een jaar na</w:t>
      </w:r>
      <w:r w:rsidRPr="00B72399">
        <w:t xml:space="preserve"> toetreding tot het Schengengebied. Daarna zal Bulgarije – net als andere lidstaten – periodiek worden geëvalueerd. De verordening voorziet tevens in verplichte opvolging van aanbevelingen uit deze evaluaties. Ook wijst het kabinet op de doorlopende kwetsbaarheidsanalyses van Frontex. Ten aanzien van de rechtsstaat zal monitoring plaatsvinden in het kader van het jaarlijkse rechtsstaatrapport. Daarnaast is het voor het kabinet van belang dat de Commissie door de ontwikkeling en versterking van het EU-rechtsstaatinstrumentarium beter in staat is gesteld handhavend op te treden</w:t>
      </w:r>
      <w:r>
        <w:t>.</w:t>
      </w:r>
      <w:r>
        <w:rPr>
          <w:rStyle w:val="Voetnootmarkering"/>
        </w:rPr>
        <w:footnoteReference w:id="9"/>
      </w:r>
      <w:r w:rsidRPr="00B72399">
        <w:t xml:space="preserve"> Het kabinet zal er bij de Commissie op blijven aandringen dat het beschikbare EU-rechtsstaatsinstrumentarium zo volledig en adequaat mogelijk wordt benut. </w:t>
      </w:r>
    </w:p>
    <w:p w:rsidRPr="00176550" w:rsidR="00DF3DEA" w:rsidP="00176550" w:rsidRDefault="00DF3DEA" w14:paraId="068EB8BB" w14:textId="77777777">
      <w:pPr>
        <w:pStyle w:val="Default"/>
        <w:rPr>
          <w:sz w:val="18"/>
          <w:szCs w:val="18"/>
        </w:rPr>
      </w:pPr>
    </w:p>
    <w:p w:rsidRPr="00176550" w:rsidR="00DF3DEA" w:rsidP="00176550" w:rsidRDefault="00DF3DEA" w14:paraId="2C51A318" w14:textId="022F7AC0">
      <w:pPr>
        <w:pStyle w:val="Default"/>
        <w:rPr>
          <w:sz w:val="18"/>
          <w:szCs w:val="18"/>
        </w:rPr>
      </w:pPr>
      <w:r w:rsidRPr="00176550">
        <w:rPr>
          <w:b/>
          <w:bCs/>
          <w:sz w:val="18"/>
          <w:szCs w:val="18"/>
        </w:rPr>
        <w:t xml:space="preserve">3. Asiel- en migratiepact </w:t>
      </w:r>
    </w:p>
    <w:p w:rsidR="005F3541" w:rsidP="005F3541" w:rsidRDefault="005F3541" w14:paraId="78EB0590" w14:textId="77777777">
      <w:pPr>
        <w:rPr>
          <w:lang w:val="nl-BE"/>
        </w:rPr>
      </w:pPr>
      <w:r>
        <w:rPr>
          <w:lang w:val="nl-BE"/>
        </w:rPr>
        <w:br/>
        <w:t xml:space="preserve">Onder dit agendapunt lichtte het Voorzitterschap </w:t>
      </w:r>
      <w:r w:rsidRPr="003A7694">
        <w:rPr>
          <w:lang w:val="nl-BE"/>
        </w:rPr>
        <w:t xml:space="preserve">de ontwikkelingen </w:t>
      </w:r>
      <w:r>
        <w:rPr>
          <w:lang w:val="nl-BE"/>
        </w:rPr>
        <w:t>toe die sinds de JBZ-raad van oktober plaatsvonden in de trilogen met het Europees Parlement (EP) over de verschillende wetsvoorstellen van het Asiel- en Migratiepact. Het Asiel- en Migratiepact beoogt het huidig Gemeenschappelijk Europees Asielsysteem te herzien en te verbeteren. De onderhandelingen tussen Raad en EP zijn de laatste stap in een reeds langlopend Europees wetgevend proces. De inzet van Nederland vindt plaats op basis van de BNC-fiches die in 2020 over deze voorstellen werden opgesteld.</w:t>
      </w:r>
      <w:r>
        <w:rPr>
          <w:rStyle w:val="Voetnootmarkering"/>
          <w:lang w:val="nl-BE"/>
        </w:rPr>
        <w:footnoteReference w:id="10"/>
      </w:r>
      <w:r>
        <w:rPr>
          <w:lang w:val="nl-BE"/>
        </w:rPr>
        <w:t xml:space="preserve"> Het kabinet maakt graag van dit verslag gebruik om uw Kamer te informeren over de stand van de huidige onderhandelingen, een vooruitblik op mogelijke besluitvorming en de Nederlandse inzet. </w:t>
      </w:r>
    </w:p>
    <w:p w:rsidR="005F3541" w:rsidP="005F3541" w:rsidRDefault="005F3541" w14:paraId="6B4152A1" w14:textId="77777777">
      <w:pPr>
        <w:rPr>
          <w:lang w:val="nl-BE"/>
        </w:rPr>
      </w:pPr>
      <w:r>
        <w:rPr>
          <w:lang w:val="nl-BE"/>
        </w:rPr>
        <w:t>Het Voorzitterschap spreekt op regelmatige basis met de rapporteurs van het EP. Op 7 december vond de meest recente triloog op politiek niveau plaats. Over de resultaten van die gesprekken worden binnen de Raad intensieve gesprekken</w:t>
      </w:r>
      <w:r w:rsidRPr="001143B2">
        <w:rPr>
          <w:lang w:val="nl-BE"/>
        </w:rPr>
        <w:t xml:space="preserve"> </w:t>
      </w:r>
      <w:r>
        <w:rPr>
          <w:lang w:val="nl-BE"/>
        </w:rPr>
        <w:t>gevoerd, zowel op technisch niveau in verschillende Radengroepen als op hoogambtelijk niveau in het</w:t>
      </w:r>
      <w:r w:rsidRPr="009E0C91">
        <w:rPr>
          <w:lang w:val="nl-BE"/>
        </w:rPr>
        <w:t xml:space="preserve"> </w:t>
      </w:r>
      <w:r>
        <w:rPr>
          <w:lang w:val="nl-BE"/>
        </w:rPr>
        <w:t>Comité van Permanente Vertegenwoordigers (Coreper)</w:t>
      </w:r>
      <w:r w:rsidRPr="001143B2">
        <w:rPr>
          <w:lang w:val="nl-BE"/>
        </w:rPr>
        <w:t xml:space="preserve">. Het Voorzitterschap is </w:t>
      </w:r>
      <w:r>
        <w:rPr>
          <w:lang w:val="nl-BE"/>
        </w:rPr>
        <w:t xml:space="preserve">nog altijd </w:t>
      </w:r>
      <w:r w:rsidRPr="001143B2">
        <w:rPr>
          <w:lang w:val="nl-BE"/>
        </w:rPr>
        <w:t xml:space="preserve">voornemens om tijdens haar </w:t>
      </w:r>
      <w:r>
        <w:rPr>
          <w:lang w:val="nl-BE"/>
        </w:rPr>
        <w:t>V</w:t>
      </w:r>
      <w:r w:rsidRPr="001143B2">
        <w:rPr>
          <w:lang w:val="nl-BE"/>
        </w:rPr>
        <w:t xml:space="preserve">oorzitterschapsperiode een politiek akkoord </w:t>
      </w:r>
      <w:r>
        <w:rPr>
          <w:lang w:val="nl-BE"/>
        </w:rPr>
        <w:t xml:space="preserve">tussen de Raad en het EP </w:t>
      </w:r>
      <w:r w:rsidRPr="001143B2">
        <w:rPr>
          <w:lang w:val="nl-BE"/>
        </w:rPr>
        <w:t>te bereiken</w:t>
      </w:r>
      <w:r>
        <w:rPr>
          <w:lang w:val="nl-BE"/>
        </w:rPr>
        <w:t xml:space="preserve">. Het plande daarvoor een langdurige triloog met het EP over alle voorstellen op 18 december, zodat op het Coreper van 20 december een politiek akkoord aan de lidstaten kan worden voorgelegd. </w:t>
      </w:r>
      <w:r w:rsidRPr="001143B2">
        <w:rPr>
          <w:lang w:val="nl-BE"/>
        </w:rPr>
        <w:t xml:space="preserve">Bij zowel de </w:t>
      </w:r>
      <w:r>
        <w:rPr>
          <w:lang w:val="nl-BE"/>
        </w:rPr>
        <w:t>Raad</w:t>
      </w:r>
      <w:r w:rsidRPr="001143B2">
        <w:rPr>
          <w:lang w:val="nl-BE"/>
        </w:rPr>
        <w:t xml:space="preserve"> als </w:t>
      </w:r>
      <w:r>
        <w:rPr>
          <w:lang w:val="nl-BE"/>
        </w:rPr>
        <w:t xml:space="preserve">bij </w:t>
      </w:r>
      <w:r w:rsidRPr="001143B2">
        <w:rPr>
          <w:lang w:val="nl-BE"/>
        </w:rPr>
        <w:t xml:space="preserve">het </w:t>
      </w:r>
      <w:r>
        <w:rPr>
          <w:lang w:val="nl-BE"/>
        </w:rPr>
        <w:t>EP</w:t>
      </w:r>
      <w:r w:rsidRPr="001143B2">
        <w:rPr>
          <w:lang w:val="nl-BE"/>
        </w:rPr>
        <w:t xml:space="preserve"> </w:t>
      </w:r>
      <w:r>
        <w:rPr>
          <w:lang w:val="nl-BE"/>
        </w:rPr>
        <w:t>is</w:t>
      </w:r>
      <w:r w:rsidRPr="001143B2">
        <w:rPr>
          <w:lang w:val="nl-BE"/>
        </w:rPr>
        <w:t xml:space="preserve"> er </w:t>
      </w:r>
      <w:r>
        <w:rPr>
          <w:lang w:val="nl-BE"/>
        </w:rPr>
        <w:t>- met het oog op de gedeeld gevoelde noodzaak van een herziening van het Europees asielsysteem -</w:t>
      </w:r>
      <w:r w:rsidRPr="001143B2">
        <w:rPr>
          <w:lang w:val="nl-BE"/>
        </w:rPr>
        <w:t xml:space="preserve"> </w:t>
      </w:r>
      <w:r>
        <w:rPr>
          <w:lang w:val="nl-BE"/>
        </w:rPr>
        <w:t>steun</w:t>
      </w:r>
      <w:r w:rsidRPr="001143B2">
        <w:rPr>
          <w:lang w:val="nl-BE"/>
        </w:rPr>
        <w:t xml:space="preserve"> voor </w:t>
      </w:r>
      <w:r>
        <w:rPr>
          <w:lang w:val="nl-BE"/>
        </w:rPr>
        <w:t xml:space="preserve">een </w:t>
      </w:r>
      <w:r w:rsidRPr="001143B2">
        <w:rPr>
          <w:lang w:val="nl-BE"/>
        </w:rPr>
        <w:t>snelle afronding</w:t>
      </w:r>
      <w:r>
        <w:rPr>
          <w:lang w:val="nl-BE"/>
        </w:rPr>
        <w:t xml:space="preserve">. Tegelijkertijd is op verschillende belangrijke elementen nog geen compromis bereikt. Het is daarom niet duidelijk of het Voorzitterschap haar voorgenomen planning zal halen, of dat de onderhandelingen in januari onder Belgisch Voorzitterschap zullen worden voortgezet. </w:t>
      </w:r>
    </w:p>
    <w:p w:rsidR="005F3541" w:rsidP="005F3541" w:rsidRDefault="005F3541" w14:paraId="440BEB4A" w14:textId="77777777">
      <w:pPr>
        <w:rPr>
          <w:lang w:val="nl-BE"/>
        </w:rPr>
      </w:pPr>
      <w:r>
        <w:rPr>
          <w:lang w:val="nl-BE"/>
        </w:rPr>
        <w:t xml:space="preserve">Het Voorzitterschap </w:t>
      </w:r>
      <w:r w:rsidRPr="001143B2">
        <w:rPr>
          <w:lang w:val="nl-BE"/>
        </w:rPr>
        <w:t xml:space="preserve">heeft in het Coreper </w:t>
      </w:r>
      <w:r>
        <w:rPr>
          <w:lang w:val="nl-BE"/>
        </w:rPr>
        <w:t>met de lidstaten</w:t>
      </w:r>
      <w:r w:rsidRPr="001143B2">
        <w:rPr>
          <w:lang w:val="nl-BE"/>
        </w:rPr>
        <w:t xml:space="preserve"> een document </w:t>
      </w:r>
      <w:r>
        <w:rPr>
          <w:lang w:val="nl-BE"/>
        </w:rPr>
        <w:t>gedeeld</w:t>
      </w:r>
      <w:r w:rsidRPr="001143B2">
        <w:rPr>
          <w:lang w:val="nl-BE"/>
        </w:rPr>
        <w:t xml:space="preserve"> waarin het </w:t>
      </w:r>
      <w:r>
        <w:rPr>
          <w:lang w:val="nl-BE"/>
        </w:rPr>
        <w:t xml:space="preserve">per wetsvoorstel </w:t>
      </w:r>
      <w:r w:rsidRPr="001143B2">
        <w:rPr>
          <w:lang w:val="nl-BE"/>
        </w:rPr>
        <w:t xml:space="preserve">de </w:t>
      </w:r>
      <w:r>
        <w:rPr>
          <w:lang w:val="nl-BE"/>
        </w:rPr>
        <w:t>‘building blocks’</w:t>
      </w:r>
      <w:r w:rsidRPr="001143B2">
        <w:rPr>
          <w:lang w:val="nl-BE"/>
        </w:rPr>
        <w:t xml:space="preserve"> </w:t>
      </w:r>
      <w:r>
        <w:rPr>
          <w:lang w:val="nl-BE"/>
        </w:rPr>
        <w:t>benoemt</w:t>
      </w:r>
      <w:r w:rsidRPr="001143B2">
        <w:rPr>
          <w:lang w:val="nl-BE"/>
        </w:rPr>
        <w:t xml:space="preserve"> </w:t>
      </w:r>
      <w:r>
        <w:rPr>
          <w:lang w:val="nl-BE"/>
        </w:rPr>
        <w:t>die vanaf de zijde van de Raad essentieel zijn voor een eindakkoord</w:t>
      </w:r>
      <w:r>
        <w:rPr>
          <w:rStyle w:val="Voetnootmarkering"/>
          <w:lang w:val="nl-BE"/>
        </w:rPr>
        <w:footnoteReference w:id="11"/>
      </w:r>
      <w:r>
        <w:rPr>
          <w:lang w:val="nl-BE"/>
        </w:rPr>
        <w:t xml:space="preserve">. Het Voorzitterschap ziet dit stuk als een belangrijke basis voor het onderhandelingsmandaat in de gesprekken met het EP. Het kabinet licht in dit verslag graag kort per wetsvoorstel toe welke elementen het Voorzitterschap heeft geïdentificeerd. </w:t>
      </w:r>
    </w:p>
    <w:p w:rsidR="005F3541" w:rsidP="005F3541" w:rsidRDefault="005F3541" w14:paraId="184E5904" w14:textId="77777777">
      <w:pPr>
        <w:rPr>
          <w:lang w:val="nl-BE"/>
        </w:rPr>
      </w:pPr>
      <w:r>
        <w:rPr>
          <w:lang w:val="nl-BE"/>
        </w:rPr>
        <w:t xml:space="preserve">Voor de Eurodac-verordening geldt dat de verplichting behouden moet blijven om alle personen uit alle Eurodac-categorieën (irreguliere aankomsten, asielaanvragen, hervestigingen, SAR-ontschepingen) snel en effectief te registreren. Het Voorzitterschap zet in op handhaving van de huidige bewaartermijn van 10 jaar voor asielaanvragers, en kan in ruil daarvoor een kortere bewaartermijn voor enkele andere registratiecategorieën accepteren. Daarnaast acht het Voorzitterschap de introductie van mogelijkheden die het eenvoudiger maken om personen die een veiligheidsrisico vormen in de Eurodac-database te traceren en te volgen essentieel (met zogenaamde </w:t>
      </w:r>
      <w:r>
        <w:rPr>
          <w:i/>
          <w:iCs/>
          <w:lang w:val="nl-BE"/>
        </w:rPr>
        <w:t>security flags</w:t>
      </w:r>
      <w:r>
        <w:rPr>
          <w:lang w:val="nl-BE"/>
        </w:rPr>
        <w:t xml:space="preserve">), en heeft hierover dan ook geen flexibiliteit getoond richting het EP. Het Voorzitterschap voert over verschillende onderwerpen nog gesprekken met het EP, onder andere over de registratie en bewaartermijn in Eurodac van personen die onder de Tijdelijke Beschermingsrichtlijn vallen en over het regelen van toegang van asielautoriteiten tot het Entry-Exit-systeem. </w:t>
      </w:r>
    </w:p>
    <w:p w:rsidR="005F3541" w:rsidP="005F3541" w:rsidRDefault="005F3541" w14:paraId="10B9ADD8" w14:textId="77777777">
      <w:pPr>
        <w:rPr>
          <w:lang w:val="nl-BE"/>
        </w:rPr>
      </w:pPr>
      <w:r>
        <w:rPr>
          <w:lang w:val="nl-BE"/>
        </w:rPr>
        <w:t xml:space="preserve">Voor wat betreft de Screenings-verordening is als belangrijkste element gemarkeerd dat de – ook voor Nederland essentiële – bindende effectieve uniforme screeningsprocedure aan de buitengrenzen behouden blijft. Op die manier wordt vastgelegd dat iedereen die irregulier aankomt en wordt aangehouden in de EU verplicht wordt gescreend op identiteit, veiligheid en gezondheid, en vervolgens in een kort tijdsbestek wordt doorverwezen naar de juiste vervolgprocedure (veelal asiel of terugkeer). Enige flexibiliteit in de locatie van de screening, directe toegang van de screeningsautoriteiten tot de (veiligheids)databases, en de toepassing van </w:t>
      </w:r>
      <w:r w:rsidRPr="4F4193F5">
        <w:rPr>
          <w:i/>
          <w:iCs/>
          <w:lang w:val="nl-BE"/>
        </w:rPr>
        <w:t>legal fiction of non-entry</w:t>
      </w:r>
      <w:r>
        <w:rPr>
          <w:rStyle w:val="Voetnootmarkering"/>
          <w:lang w:val="nl-BE"/>
        </w:rPr>
        <w:footnoteReference w:id="12"/>
      </w:r>
      <w:r w:rsidRPr="4F4193F5">
        <w:rPr>
          <w:i/>
          <w:iCs/>
          <w:lang w:val="nl-BE"/>
        </w:rPr>
        <w:t xml:space="preserve"> </w:t>
      </w:r>
      <w:r>
        <w:rPr>
          <w:lang w:val="nl-BE"/>
        </w:rPr>
        <w:t xml:space="preserve">zijn daarbij benoemd als belangrijke onderdelen. Tussen het Voorzitterschap en EP vinden nog gesprekken plaats over de voorwaarden en bepalingen rond screening op het grondgebied, indien de migrant niet is gescreend aan de buitengrens. Daarnaast is overeenstemming gevonden over een aanpassing van de maximale duur van de screeningsprocedure. Waar in de Raadspositie was opgenomen dat deze 5, en in uitzonderlijke gevallen 10, dagen mag duren, is een compromis van een vaste termijn van 7 dagen vastgesteld. </w:t>
      </w:r>
    </w:p>
    <w:p w:rsidR="005F3541" w:rsidP="005F3541" w:rsidRDefault="005F3541" w14:paraId="3E4F0492" w14:textId="77777777">
      <w:pPr>
        <w:rPr>
          <w:lang w:val="nl-BE"/>
        </w:rPr>
      </w:pPr>
      <w:r>
        <w:rPr>
          <w:lang w:val="nl-BE"/>
        </w:rPr>
        <w:t xml:space="preserve">De screeningsprocedures moeten ook het voorportaal vormen van de verplichte grensasiel- en grensterugkeerprocedures die in de Asielprocedureverordening (APR) worden afgesproken. Voor Nederland zijn deze procedures de belangrijkste elementen in het Pact. Het Voorzitterschap wenst hierbij – tot tevredenheid van Nederland – nauw vast te houden aan de afspraken die hierover gemaakt werden binnen de Raad. De grensprocedures dienen verplicht te worden toegepast voor personen met een, gelet op hun nationaliteit, kansarm asielverzoek en personen die een veiligheidsrisico vormen. Het Voorzitterschap houdt ook vast aan de in de Raadsposities afgesproken verplichte capaciteit die lidstaten beschikbaar moeten hebben voor de uitvoering van deze procedures (30.000 procedureplekken vanaf inwerkingtreding van de wetgeving). Het Voorzitterschap voert nog gesprekken met het EP over het verplicht afwikkelen van asielverzoeken in de grensprocedure van personen die de autoriteiten proberen te misleiden, en kansarme asielverzoeken van families met kinderen (bijvoorbeeld door afwikkeling van deze asielverzoeken te prioriteren), en de berekening van het inwilligingspercentage. Een ander onderdeel uit de APR dat het Voorzitterschap als essentieel identificeert is de mogelijkheid voor het maken van afspraken met derde landen. Ook daar wenst het kabinet zoveel mogelijk vast te houden aan het Raadsmandaat, ook met betrekking tot het bandencriterium. </w:t>
      </w:r>
    </w:p>
    <w:p w:rsidR="005F3541" w:rsidP="005F3541" w:rsidRDefault="005F3541" w14:paraId="786F2B5A" w14:textId="77777777">
      <w:pPr>
        <w:rPr>
          <w:lang w:val="nl-BE"/>
        </w:rPr>
      </w:pPr>
      <w:r>
        <w:rPr>
          <w:lang w:val="nl-BE"/>
        </w:rPr>
        <w:t>Voor wat de onderhandelingen over de Asiel- en Migratiemanagement-verordening (AMMR, de opvolger van de Dublin-verordening) betreft zet het Voorzitterschap in op een gestroomlijnd Dublin-systeem met langere overdrachtstermijnen als de asielzoeker zich tijdelijk aan het toezicht onttrekt, en eenvoudiger uit te voeren terugname</w:t>
      </w:r>
      <w:r>
        <w:rPr>
          <w:i/>
          <w:iCs/>
          <w:lang w:val="nl-BE"/>
        </w:rPr>
        <w:t>-</w:t>
      </w:r>
      <w:r>
        <w:rPr>
          <w:lang w:val="nl-BE"/>
        </w:rPr>
        <w:t>notificaties bij Dublinoverdrachten. Het Voorzitterschap is tegemoet gekomen aan het verzoek van het EP voor een verantwoordelijkheidscriterium voor diploma’s of onderwijskwalificaties. Ook Nederland kan een dergelijk nieuw criterium steunen. Daarnaast is het Voorzitterschap nog in gesprek met het EP over enkele andere familie-gerelateerde Dublin-elementen en een mogelijke uitbreiding van rechtsmiddelen voor asielzoekers. Nederland volgt op deze punten de onderhandelingen kritisch, met het oog op goed uitvoerbare Dublinregelgeving. Voor Nederland is bijvoorbeeld van belang dat het familiecriterium onder Dublin niet wordt uitgebreid naar broers en zussen. Met betrekking tot het solidariteitsmechanisme houdt het Voorzitterschap nauw vast aan de overeengekomen Raadspositie, waarin verplichte maar flexibele solidariteit het uitgangspunt is, en het schrappen van Dublinoverdrachten als secundaire solidariteitsmaatregel geldt wanneer lidstaten te weinig herplaatsingen toezeggen (</w:t>
      </w:r>
      <w:r w:rsidRPr="00CB1D55">
        <w:rPr>
          <w:i/>
          <w:iCs/>
          <w:lang w:val="nl-BE"/>
        </w:rPr>
        <w:t>pledgen</w:t>
      </w:r>
      <w:r>
        <w:rPr>
          <w:lang w:val="nl-BE"/>
        </w:rPr>
        <w:t xml:space="preserve">). Het EP hecht sterk aan het maken van afspraken over de positie van </w:t>
      </w:r>
      <w:r w:rsidRPr="00CB1D55">
        <w:rPr>
          <w:i/>
          <w:iCs/>
          <w:lang w:val="nl-BE"/>
        </w:rPr>
        <w:t>Search-and-rescue</w:t>
      </w:r>
      <w:r>
        <w:rPr>
          <w:lang w:val="nl-BE"/>
        </w:rPr>
        <w:t xml:space="preserve">-ontscheepten binnen het solidariteitsmechanisme. Het oorspronkelijke EP-voorstel om het first entry-criterium van Dublin niet toe te passen op SAR-ontscheepten kan echter niet op draagvlak binnen de Raad rekenen. Het Voorzitterschap beziet met de lidstaten of en op welke wijze de Raad bereid is op andere wijze aan dit verzoek tegemoet te komen. Nederland zet er op in dat een lidstaat ongeacht de wijze van binnenkomst van een irreguliere migrant aanspraak kan maken op solidariteit als het asielsysteem van een lidstaat onder grote druk staat. </w:t>
      </w:r>
    </w:p>
    <w:p w:rsidR="005F3541" w:rsidP="005F3541" w:rsidRDefault="005F3541" w14:paraId="5BDF257D" w14:textId="77777777">
      <w:pPr>
        <w:rPr>
          <w:lang w:val="nl-BE"/>
        </w:rPr>
      </w:pPr>
      <w:r>
        <w:rPr>
          <w:lang w:val="nl-BE"/>
        </w:rPr>
        <w:t xml:space="preserve">Op de Crisis-verordening zijn de gesprekken het minst ver gevorderd. De inzet van het Voorzitterschap is een mechanisme waarin ook een wettelijk kader wordt geschept voor situaties van instrumentalisering en force majeure, en een breed palet aan mogelijkheden voor solidariteit en tijdelijke derogaties. Het voert gesprekken met het EP over de governance van een dergelijk crisismechanisme (en de rol van de Commissie, de Raad en het EP daarin), mogelijke inperkingen of uitzonderingen op de in de Raadspositie opgenomen derogaties, en uitbreiding van de solidariteitsmogelijkheden. </w:t>
      </w:r>
    </w:p>
    <w:p w:rsidR="005F3541" w:rsidP="005F3541" w:rsidRDefault="005F3541" w14:paraId="1AAE07C0" w14:textId="77777777">
      <w:pPr>
        <w:rPr>
          <w:lang w:val="nl-BE"/>
        </w:rPr>
      </w:pPr>
      <w:r>
        <w:rPr>
          <w:lang w:val="nl-BE"/>
        </w:rPr>
        <w:t xml:space="preserve">Naast de specifieke punten per voorstel voert het Voorzitterschap ook over een aantal horizontale onderwerpen het gesprek met het EP, </w:t>
      </w:r>
      <w:r w:rsidRPr="4F4193F5">
        <w:rPr>
          <w:lang w:val="nl-BE"/>
        </w:rPr>
        <w:t xml:space="preserve">waaronder versterking van de monitoring van fundamentele rechten, waarborgen </w:t>
      </w:r>
      <w:r>
        <w:rPr>
          <w:lang w:val="nl-BE"/>
        </w:rPr>
        <w:t xml:space="preserve">voor kwetsbaren, </w:t>
      </w:r>
      <w:r w:rsidRPr="4F4193F5">
        <w:rPr>
          <w:lang w:val="nl-BE"/>
        </w:rPr>
        <w:t xml:space="preserve">gratis rechtsbijstand in de </w:t>
      </w:r>
      <w:r>
        <w:rPr>
          <w:lang w:val="nl-BE"/>
        </w:rPr>
        <w:t xml:space="preserve">verschillende </w:t>
      </w:r>
      <w:r w:rsidRPr="4F4193F5">
        <w:rPr>
          <w:lang w:val="nl-BE"/>
        </w:rPr>
        <w:t>procedure</w:t>
      </w:r>
      <w:r>
        <w:rPr>
          <w:lang w:val="nl-BE"/>
        </w:rPr>
        <w:t>s (reeds praktijk in Nederland) en automatisch opschortende werking van verschillende beroepsprocedures</w:t>
      </w:r>
      <w:r w:rsidRPr="4F4193F5">
        <w:rPr>
          <w:lang w:val="nl-BE"/>
        </w:rPr>
        <w:t xml:space="preserve">. </w:t>
      </w:r>
    </w:p>
    <w:p w:rsidRPr="00682F59" w:rsidR="005F3541" w:rsidP="005F3541" w:rsidRDefault="005F3541" w14:paraId="216C1456" w14:textId="77777777">
      <w:r w:rsidRPr="00CB1D55">
        <w:t xml:space="preserve">Het kabinet </w:t>
      </w:r>
      <w:r>
        <w:t xml:space="preserve">kan zich vinden in de door het Voorzitterschap geïdentificeerde </w:t>
      </w:r>
      <w:r w:rsidRPr="00CB1D55">
        <w:rPr>
          <w:i/>
          <w:iCs/>
        </w:rPr>
        <w:t>building blocks</w:t>
      </w:r>
      <w:r>
        <w:t xml:space="preserve">. Wat Nederland betreft vormen deze inderdaad de onmisbare onderdelen van een eindakkoord. Nederland </w:t>
      </w:r>
      <w:r w:rsidRPr="00CB1D55">
        <w:t xml:space="preserve">zet zich er </w:t>
      </w:r>
      <w:r>
        <w:t xml:space="preserve">dan ook </w:t>
      </w:r>
      <w:r w:rsidRPr="00CB1D55">
        <w:t xml:space="preserve">actief voor in dat de bereikte resultaten </w:t>
      </w:r>
      <w:r>
        <w:t>in de Raadsposities o</w:t>
      </w:r>
      <w:r w:rsidRPr="00CB1D55">
        <w:t xml:space="preserve">p deze elementen overeind blijven. </w:t>
      </w:r>
      <w:r>
        <w:t>Andere belangrijke aandachtspunten voor Nederland voor een eindakkoord zijn het beh</w:t>
      </w:r>
      <w:r w:rsidRPr="00CB1D55">
        <w:t>oud van de extra waarborgen voor monitoring en naleving van het asielacquis</w:t>
      </w:r>
      <w:r>
        <w:t xml:space="preserve"> (waaronder Dublin) </w:t>
      </w:r>
      <w:r w:rsidRPr="00CB1D55">
        <w:t xml:space="preserve">door alle lidstaten, </w:t>
      </w:r>
      <w:r>
        <w:t xml:space="preserve">inclusief een goed implementatieplan. Daarbij weegt voor het kabinet mee dat bij afronding van het Pact ook de volledige EUAA-verordening in werking zal treden, die het Europees Asielagentschap het mandaat geeft een monitoringsmechanisme op de toepassing van het EU-asielacquis in te stellen, en de Commissie in staat stelt om – ultimo – in te grijpen in een lidstaat die zijn verplichtingen niet naleeft. Daarnaast zet het kabinet zich in op het behoud van </w:t>
      </w:r>
      <w:r w:rsidRPr="00CB1D55">
        <w:t xml:space="preserve">de in de Raadsposities bereikte verbeteringen in het Dublinstelsel, het zoveel mogelijk voorkomen van bepalingen waar prikkels vanuit gaan om kwetsbare migranten vooruit te sturen, duidelijke en goed uitvoerbare regelgeving, en het beperkt houden van administratieve lasten voor lidstaten. Het kabinet </w:t>
      </w:r>
      <w:r>
        <w:t xml:space="preserve">streeft </w:t>
      </w:r>
      <w:r w:rsidRPr="00CB1D55">
        <w:t>op de</w:t>
      </w:r>
      <w:r>
        <w:t>ze</w:t>
      </w:r>
      <w:r w:rsidRPr="00CB1D55">
        <w:t xml:space="preserve"> aandachtspunten ten volle </w:t>
      </w:r>
      <w:r>
        <w:t>naa</w:t>
      </w:r>
      <w:r w:rsidRPr="00CB1D55">
        <w:t>r een zo optimaal mogelijk resultaat. Het kabinet hecht ten zeerste aan afronding van de onderhandelingen op het Asiel- en Migratiepact</w:t>
      </w:r>
      <w:r>
        <w:t xml:space="preserve"> en </w:t>
      </w:r>
      <w:r w:rsidRPr="00CB1D55">
        <w:t xml:space="preserve">zal </w:t>
      </w:r>
      <w:r>
        <w:t>dit</w:t>
      </w:r>
      <w:r w:rsidRPr="00CB1D55">
        <w:t xml:space="preserve"> meenemen in de beoordeling van een eventueel voorstel voor een </w:t>
      </w:r>
      <w:r>
        <w:t>eindakkoord.</w:t>
      </w:r>
    </w:p>
    <w:p w:rsidR="00C93028" w:rsidP="00176550" w:rsidRDefault="00C93028" w14:paraId="573A8982" w14:textId="77777777">
      <w:pPr>
        <w:pStyle w:val="Default"/>
        <w:rPr>
          <w:b/>
          <w:bCs/>
          <w:sz w:val="18"/>
          <w:szCs w:val="18"/>
        </w:rPr>
      </w:pPr>
    </w:p>
    <w:p w:rsidR="00C93028" w:rsidP="00176550" w:rsidRDefault="00C93028" w14:paraId="316F22D8" w14:textId="77777777">
      <w:pPr>
        <w:pStyle w:val="Default"/>
        <w:rPr>
          <w:b/>
          <w:bCs/>
          <w:sz w:val="18"/>
          <w:szCs w:val="18"/>
        </w:rPr>
      </w:pPr>
    </w:p>
    <w:p w:rsidR="00C93028" w:rsidP="00176550" w:rsidRDefault="00C93028" w14:paraId="68F2CC3C" w14:textId="77777777">
      <w:pPr>
        <w:pStyle w:val="Default"/>
        <w:rPr>
          <w:b/>
          <w:bCs/>
          <w:sz w:val="18"/>
          <w:szCs w:val="18"/>
        </w:rPr>
      </w:pPr>
    </w:p>
    <w:p w:rsidR="00C93028" w:rsidP="00176550" w:rsidRDefault="00C93028" w14:paraId="0DF42698" w14:textId="77777777">
      <w:pPr>
        <w:pStyle w:val="Default"/>
        <w:rPr>
          <w:b/>
          <w:bCs/>
          <w:sz w:val="18"/>
          <w:szCs w:val="18"/>
        </w:rPr>
      </w:pPr>
    </w:p>
    <w:p w:rsidR="00DF3DEA" w:rsidP="00176550" w:rsidRDefault="00DF3DEA" w14:paraId="6790EF2F" w14:textId="459205C5">
      <w:pPr>
        <w:pStyle w:val="Default"/>
        <w:rPr>
          <w:sz w:val="18"/>
          <w:szCs w:val="18"/>
        </w:rPr>
      </w:pPr>
      <w:r>
        <w:rPr>
          <w:b/>
          <w:bCs/>
          <w:sz w:val="18"/>
          <w:szCs w:val="18"/>
        </w:rPr>
        <w:t xml:space="preserve">4. Asiel en migratie: externe dimensie </w:t>
      </w:r>
      <w:r>
        <w:rPr>
          <w:sz w:val="18"/>
          <w:szCs w:val="18"/>
        </w:rPr>
        <w:t xml:space="preserve"> </w:t>
      </w:r>
    </w:p>
    <w:p w:rsidR="00DF3DEA" w:rsidP="00176550" w:rsidRDefault="00DF3DEA" w14:paraId="0E6542D2" w14:textId="5CA09916"/>
    <w:p w:rsidRPr="00A92677" w:rsidR="005F3541" w:rsidP="005F3541" w:rsidRDefault="005F3541" w14:paraId="3658689A" w14:textId="77777777">
      <w:pPr>
        <w:rPr>
          <w:lang w:val="nl-BE"/>
        </w:rPr>
      </w:pPr>
      <w:r w:rsidRPr="00A92677">
        <w:rPr>
          <w:lang w:val="nl-BE"/>
        </w:rPr>
        <w:t xml:space="preserve">Het Voorzitterschap stond stil bij de </w:t>
      </w:r>
      <w:r>
        <w:rPr>
          <w:lang w:val="nl-BE"/>
        </w:rPr>
        <w:t>voortgang op de EU-externe dimensie van migratie. Het Voorzitterschap stelde dat meer inzet op preventie en extra financiering nodig is, omdat de migratiedruk is toegenomen ten opzichte van vorig jaar. Het Voorzitterschap riep ook op tot betere samenwerking langs de verschillende migratieroutes, en noemde de harmonisatie van landen met het EU-visumbeleid als een goed voorbeeld daarvan. De Commissie herhaalde kort enkele elementen uit de eerdere interventie in de Schengenraad. De noodzaak van een gezamenlijke aanpak van instrumentalisatie is wat de Commissie betreft hoog. De Commissie is voornemens om in gesprek te blijven met lidstaten over coördinatie en mogelijke uitbreiding van inzet op handel, ontwikkelingssamenwerking en legale migratie voor landen die goed samenwerken op terugkeer. En de Commissie heeft de aanpak van mensensmokkel en verbetering van terugkeer geïntensiveerd. Er waren geen interventies van de lidstaten.</w:t>
      </w:r>
    </w:p>
    <w:p w:rsidR="00DF3DEA" w:rsidP="00176550" w:rsidRDefault="00DF3DEA" w14:paraId="62206104" w14:textId="77777777">
      <w:pPr>
        <w:pStyle w:val="Default"/>
      </w:pPr>
    </w:p>
    <w:p w:rsidRPr="00DF3DEA" w:rsidR="00DF3DEA" w:rsidP="00176550" w:rsidRDefault="00DF3DEA" w14:paraId="6EAEE4D4" w14:textId="1C1EF306">
      <w:pPr>
        <w:pStyle w:val="Default"/>
        <w:rPr>
          <w:sz w:val="18"/>
          <w:szCs w:val="18"/>
        </w:rPr>
      </w:pPr>
      <w:r>
        <w:rPr>
          <w:b/>
          <w:bCs/>
          <w:sz w:val="18"/>
          <w:szCs w:val="18"/>
        </w:rPr>
        <w:t>5</w:t>
      </w:r>
      <w:r w:rsidRPr="00DF3DEA">
        <w:rPr>
          <w:b/>
          <w:bCs/>
          <w:sz w:val="18"/>
          <w:szCs w:val="18"/>
        </w:rPr>
        <w:t xml:space="preserve">. De gevolgen van de situatie in het Midden-Oosten en Oekraïne voor de interne veiligheid van de EU </w:t>
      </w:r>
    </w:p>
    <w:p w:rsidRPr="00DF3DEA" w:rsidR="00DF3DEA" w:rsidP="00176550" w:rsidRDefault="00DF3DEA" w14:paraId="5E839EB3" w14:textId="7A6C2811">
      <w:pPr>
        <w:pStyle w:val="Default"/>
        <w:rPr>
          <w:sz w:val="18"/>
          <w:szCs w:val="18"/>
        </w:rPr>
      </w:pPr>
    </w:p>
    <w:p w:rsidR="00DF3DEA" w:rsidP="00176550" w:rsidRDefault="00382E44" w14:paraId="3BC7FAFC" w14:textId="2918646E">
      <w:pPr>
        <w:pStyle w:val="Default"/>
        <w:rPr>
          <w:sz w:val="18"/>
          <w:szCs w:val="18"/>
        </w:rPr>
      </w:pPr>
      <w:r>
        <w:rPr>
          <w:sz w:val="18"/>
          <w:szCs w:val="18"/>
        </w:rPr>
        <w:t xml:space="preserve">Tijdens de besloten werklunch </w:t>
      </w:r>
      <w:r w:rsidRPr="00382E44">
        <w:rPr>
          <w:sz w:val="18"/>
          <w:szCs w:val="18"/>
        </w:rPr>
        <w:t xml:space="preserve">is gesproken over de strijd in het Midden-Oosten en Oekraïne en de risico’s die daaruit voortvloeien voor onze interne veiligheid. </w:t>
      </w:r>
      <w:r>
        <w:rPr>
          <w:sz w:val="18"/>
          <w:szCs w:val="18"/>
        </w:rPr>
        <w:t>De lidstaten</w:t>
      </w:r>
      <w:r w:rsidRPr="00382E44">
        <w:rPr>
          <w:sz w:val="18"/>
          <w:szCs w:val="18"/>
        </w:rPr>
        <w:t xml:space="preserve"> gaven aan d</w:t>
      </w:r>
      <w:r w:rsidR="00DC7315">
        <w:rPr>
          <w:sz w:val="18"/>
          <w:szCs w:val="18"/>
        </w:rPr>
        <w:t>e risico’s</w:t>
      </w:r>
      <w:r w:rsidRPr="00382E44">
        <w:rPr>
          <w:sz w:val="18"/>
          <w:szCs w:val="18"/>
        </w:rPr>
        <w:t xml:space="preserve"> nauwgezet in de gaten te blijven houden</w:t>
      </w:r>
      <w:r>
        <w:rPr>
          <w:sz w:val="18"/>
          <w:szCs w:val="18"/>
        </w:rPr>
        <w:t xml:space="preserve"> en de samenwerking op te zoeken</w:t>
      </w:r>
      <w:r w:rsidR="00DC7315">
        <w:rPr>
          <w:sz w:val="18"/>
          <w:szCs w:val="18"/>
        </w:rPr>
        <w:t xml:space="preserve"> om deze tegen te gaan</w:t>
      </w:r>
      <w:r>
        <w:rPr>
          <w:sz w:val="18"/>
          <w:szCs w:val="18"/>
        </w:rPr>
        <w:t xml:space="preserve">. </w:t>
      </w:r>
    </w:p>
    <w:p w:rsidRPr="00DF3DEA" w:rsidR="00382E44" w:rsidP="00176550" w:rsidRDefault="00382E44" w14:paraId="7BACF870" w14:textId="77777777">
      <w:pPr>
        <w:pStyle w:val="Default"/>
        <w:rPr>
          <w:sz w:val="18"/>
          <w:szCs w:val="18"/>
        </w:rPr>
      </w:pPr>
    </w:p>
    <w:p w:rsidRPr="00DF3DEA" w:rsidR="00DF3DEA" w:rsidP="00176550" w:rsidRDefault="00DF3DEA" w14:paraId="01F472D6" w14:textId="0E04FC09">
      <w:pPr>
        <w:pStyle w:val="Default"/>
        <w:rPr>
          <w:sz w:val="18"/>
          <w:szCs w:val="18"/>
        </w:rPr>
      </w:pPr>
      <w:r w:rsidRPr="00DF3DEA">
        <w:rPr>
          <w:b/>
          <w:bCs/>
          <w:sz w:val="18"/>
          <w:szCs w:val="18"/>
        </w:rPr>
        <w:t>6. Uitdagingen op het gebied van veiligheid: beoordeling door de Adviesraad v</w:t>
      </w:r>
      <w:r w:rsidR="00E92912">
        <w:rPr>
          <w:b/>
          <w:bCs/>
          <w:sz w:val="18"/>
          <w:szCs w:val="18"/>
        </w:rPr>
        <w:t>an</w:t>
      </w:r>
      <w:r w:rsidRPr="00DF3DEA">
        <w:rPr>
          <w:b/>
          <w:bCs/>
          <w:sz w:val="18"/>
          <w:szCs w:val="18"/>
        </w:rPr>
        <w:t xml:space="preserve"> de Inlichtingendiensten </w:t>
      </w:r>
    </w:p>
    <w:p w:rsidRPr="00DF3DEA" w:rsidR="00DF3DEA" w:rsidP="00176550" w:rsidRDefault="00DF3DEA" w14:paraId="224A1BB9" w14:textId="77777777">
      <w:pPr>
        <w:pStyle w:val="Default"/>
        <w:rPr>
          <w:sz w:val="18"/>
          <w:szCs w:val="18"/>
        </w:rPr>
      </w:pPr>
    </w:p>
    <w:p w:rsidRPr="00DF3DEA" w:rsidR="00DF3DEA" w:rsidP="00176550" w:rsidRDefault="000F601A" w14:paraId="3EDAF76F" w14:textId="273B6CBA">
      <w:pPr>
        <w:rPr>
          <w:szCs w:val="18"/>
        </w:rPr>
      </w:pPr>
      <w:r>
        <w:t xml:space="preserve">In een besloten setting werd </w:t>
      </w:r>
      <w:r>
        <w:rPr>
          <w:rFonts w:eastAsia="Times New Roman"/>
        </w:rPr>
        <w:t xml:space="preserve">door de </w:t>
      </w:r>
      <w:r w:rsidRPr="000F601A">
        <w:rPr>
          <w:rFonts w:eastAsia="Times New Roman"/>
          <w:i/>
          <w:iCs/>
        </w:rPr>
        <w:t>Counter Terrorism Group</w:t>
      </w:r>
      <w:r>
        <w:rPr>
          <w:rFonts w:eastAsia="Times New Roman"/>
        </w:rPr>
        <w:t xml:space="preserve"> een actuele stand van zaken van terrorismebestrijding  toegelicht en werd gewezen op de </w:t>
      </w:r>
      <w:r w:rsidRPr="000F601A">
        <w:rPr>
          <w:rFonts w:eastAsia="Times New Roman"/>
        </w:rPr>
        <w:t>risico’s van radicalisering en technologische ontwikkelingen.</w:t>
      </w:r>
    </w:p>
    <w:p w:rsidRPr="00DF3DEA" w:rsidR="00DF3DEA" w:rsidP="00176550" w:rsidRDefault="008921FA" w14:paraId="71532913" w14:textId="20FD0322">
      <w:pPr>
        <w:pStyle w:val="Default"/>
        <w:rPr>
          <w:sz w:val="18"/>
          <w:szCs w:val="18"/>
        </w:rPr>
      </w:pPr>
      <w:r>
        <w:rPr>
          <w:b/>
          <w:bCs/>
          <w:sz w:val="18"/>
          <w:szCs w:val="18"/>
        </w:rPr>
        <w:t>7</w:t>
      </w:r>
      <w:r w:rsidRPr="00DF3DEA" w:rsidR="00DF3DEA">
        <w:rPr>
          <w:b/>
          <w:bCs/>
          <w:sz w:val="18"/>
          <w:szCs w:val="18"/>
        </w:rPr>
        <w:t xml:space="preserve">. Aanbeveling van de Raad over een blauwdruk inzake kritieke infrastructuur </w:t>
      </w:r>
      <w:r w:rsidRPr="00DF3DEA" w:rsidR="00DF3DEA">
        <w:rPr>
          <w:sz w:val="18"/>
          <w:szCs w:val="18"/>
        </w:rPr>
        <w:t xml:space="preserve"> </w:t>
      </w:r>
    </w:p>
    <w:p w:rsidR="003C6FDA" w:rsidP="00176550" w:rsidRDefault="00480452" w14:paraId="3C745512" w14:textId="65242F4B">
      <w:r>
        <w:br/>
      </w:r>
      <w:r w:rsidR="003C6FDA">
        <w:t>De stand van zaken betreffende de Raadsaanbeveling  voor een blauwdruk inzake kritieke infrastructuur werd door het Voorzitterschap toegelicht. Risico’s voor kritieke infrastructuur zijn toegenomen door o</w:t>
      </w:r>
      <w:r w:rsidR="0078474C">
        <w:t>nder andere</w:t>
      </w:r>
      <w:r w:rsidR="003C6FDA">
        <w:t xml:space="preserve"> klimaatverandering en gewapende conflicten. Onderstreept werd dat door meer gecoördineerde EU-samenwerking beter gereageerd kan worden op crises en dat </w:t>
      </w:r>
      <w:r w:rsidR="0078474C">
        <w:t xml:space="preserve">de </w:t>
      </w:r>
      <w:r w:rsidR="003C6FDA">
        <w:t xml:space="preserve"> blauwdruk hier </w:t>
      </w:r>
      <w:r w:rsidR="0078474C">
        <w:t>e</w:t>
      </w:r>
      <w:r w:rsidR="003C6FDA">
        <w:t>e</w:t>
      </w:r>
      <w:r w:rsidR="0078474C">
        <w:t>n</w:t>
      </w:r>
      <w:r w:rsidR="003C6FDA">
        <w:t xml:space="preserve"> handleiding voor zal bieden. </w:t>
      </w:r>
    </w:p>
    <w:p w:rsidRPr="00DF3DEA" w:rsidR="00DF3DEA" w:rsidP="00176550" w:rsidRDefault="00DF3DEA" w14:paraId="59CC38F3" w14:textId="77777777">
      <w:pPr>
        <w:pStyle w:val="Default"/>
        <w:rPr>
          <w:sz w:val="18"/>
          <w:szCs w:val="18"/>
        </w:rPr>
      </w:pPr>
    </w:p>
    <w:p w:rsidRPr="00DF3DEA" w:rsidR="00DF3DEA" w:rsidP="00176550" w:rsidRDefault="008921FA" w14:paraId="4F27F335" w14:textId="50555F0C">
      <w:pPr>
        <w:pStyle w:val="Default"/>
        <w:numPr>
          <w:ilvl w:val="1"/>
          <w:numId w:val="13"/>
        </w:numPr>
        <w:rPr>
          <w:sz w:val="18"/>
          <w:szCs w:val="18"/>
        </w:rPr>
      </w:pPr>
      <w:r>
        <w:rPr>
          <w:b/>
          <w:bCs/>
          <w:sz w:val="18"/>
          <w:szCs w:val="18"/>
        </w:rPr>
        <w:t>8.</w:t>
      </w:r>
      <w:r w:rsidRPr="00DF3DEA" w:rsidR="00DF3DEA">
        <w:rPr>
          <w:b/>
          <w:bCs/>
          <w:sz w:val="18"/>
          <w:szCs w:val="18"/>
        </w:rPr>
        <w:t xml:space="preserve"> Overige onderwerpen </w:t>
      </w:r>
    </w:p>
    <w:p w:rsidRPr="00DF3DEA" w:rsidR="00DF3DEA" w:rsidP="00176550" w:rsidRDefault="00DF3DEA" w14:paraId="0AC52010" w14:textId="77777777">
      <w:pPr>
        <w:pStyle w:val="Default"/>
        <w:rPr>
          <w:sz w:val="18"/>
          <w:szCs w:val="18"/>
        </w:rPr>
      </w:pPr>
    </w:p>
    <w:p w:rsidRPr="008921FA" w:rsidR="00DF3DEA" w:rsidP="00480452" w:rsidRDefault="00DF3DEA" w14:paraId="476BC221" w14:textId="36ED5651">
      <w:pPr>
        <w:pStyle w:val="Default"/>
        <w:numPr>
          <w:ilvl w:val="0"/>
          <w:numId w:val="18"/>
        </w:numPr>
        <w:ind w:left="0" w:hanging="11"/>
        <w:rPr>
          <w:b/>
          <w:bCs/>
          <w:sz w:val="18"/>
          <w:szCs w:val="18"/>
        </w:rPr>
      </w:pPr>
      <w:r w:rsidRPr="008921FA">
        <w:rPr>
          <w:b/>
          <w:bCs/>
          <w:sz w:val="18"/>
          <w:szCs w:val="18"/>
        </w:rPr>
        <w:t xml:space="preserve">Verordening ter voorkoming en bestrijding van seksueel kindermisbruik </w:t>
      </w:r>
    </w:p>
    <w:p w:rsidR="00DF3DEA" w:rsidP="00176550" w:rsidRDefault="00DF3DEA" w14:paraId="0C034E4C" w14:textId="75584293">
      <w:pPr>
        <w:pStyle w:val="Default"/>
        <w:rPr>
          <w:sz w:val="18"/>
          <w:szCs w:val="18"/>
        </w:rPr>
      </w:pPr>
    </w:p>
    <w:p w:rsidR="00FB388E" w:rsidP="00176550" w:rsidRDefault="00FB388E" w14:paraId="30C2A217" w14:textId="3E9FE3C7">
      <w:r>
        <w:t xml:space="preserve">De Commissie lichtte toe </w:t>
      </w:r>
      <w:r w:rsidR="007B791B">
        <w:t>op korte termijn een voorstel te zullen indienen</w:t>
      </w:r>
      <w:r>
        <w:t xml:space="preserve"> om </w:t>
      </w:r>
      <w:r w:rsidR="00913BEE">
        <w:t xml:space="preserve">de </w:t>
      </w:r>
      <w:r>
        <w:t>tijdelijke regelgeving te verlengen</w:t>
      </w:r>
      <w:r w:rsidR="000F53BC">
        <w:t xml:space="preserve">. </w:t>
      </w:r>
      <w:r w:rsidR="007B791B">
        <w:t>Hierbij gaat het</w:t>
      </w:r>
      <w:r w:rsidR="000F53BC">
        <w:t xml:space="preserve"> o</w:t>
      </w:r>
      <w:r w:rsidR="00156A98">
        <w:t xml:space="preserve">ver </w:t>
      </w:r>
      <w:r w:rsidR="007B791B">
        <w:t xml:space="preserve">het verlengen </w:t>
      </w:r>
      <w:r w:rsidR="00156A98">
        <w:t>van de zo</w:t>
      </w:r>
      <w:r w:rsidR="000F53BC">
        <w:t>geheten derogatiebepaling op de ePrivacy-richtlijn, dat ziet op vrijwillige detectie van online seksueel kindermisbruik door internetdienstverleners. De derogatie voorziet in de waarborgen en voorwaarden die daaraan verbonden zijn. De</w:t>
      </w:r>
      <w:r w:rsidR="00176550">
        <w:t xml:space="preserve"> Commissie</w:t>
      </w:r>
      <w:r>
        <w:t xml:space="preserve"> verwacht dat d</w:t>
      </w:r>
      <w:r w:rsidR="000F53BC">
        <w:t xml:space="preserve">eze verlenging </w:t>
      </w:r>
      <w:r>
        <w:t xml:space="preserve">snel goedgekeurd </w:t>
      </w:r>
      <w:r w:rsidR="00156A98">
        <w:t>kan</w:t>
      </w:r>
      <w:r>
        <w:t xml:space="preserve"> worden door de Raad en het Europees Parlement. Het Voorzitterschap en de Commissie gaven aan dat zij tege</w:t>
      </w:r>
      <w:r w:rsidR="00913BEE">
        <w:t>lijkertijd zullen blijven werken aan een nieuwe compromistekst</w:t>
      </w:r>
      <w:r w:rsidR="00176550">
        <w:t xml:space="preserve"> inzake</w:t>
      </w:r>
      <w:r w:rsidR="00913BEE">
        <w:t xml:space="preserve"> de </w:t>
      </w:r>
      <w:r w:rsidR="00176550">
        <w:t>V</w:t>
      </w:r>
      <w:r w:rsidR="00913BEE">
        <w:t>erordening ter voorkoming en bestrijding seksueel kindermisbruik.</w:t>
      </w:r>
      <w:r>
        <w:t xml:space="preserve"> Het doel blijft </w:t>
      </w:r>
      <w:r w:rsidR="00913BEE">
        <w:t xml:space="preserve">de </w:t>
      </w:r>
      <w:r>
        <w:t xml:space="preserve">bescherming van minderjarigen tegen online misbruik. Meerdere </w:t>
      </w:r>
      <w:r w:rsidR="007B791B">
        <w:t>l</w:t>
      </w:r>
      <w:r>
        <w:t xml:space="preserve">idstaten spraken zich uit </w:t>
      </w:r>
      <w:r w:rsidR="007B791B">
        <w:t xml:space="preserve">als voorstander van </w:t>
      </w:r>
      <w:r>
        <w:t xml:space="preserve"> verlenging van de tijdelijke regeling</w:t>
      </w:r>
      <w:r w:rsidR="00913BEE">
        <w:t xml:space="preserve"> om er voor te zorgen dat er geen leemte voor </w:t>
      </w:r>
      <w:r w:rsidR="00156A98">
        <w:t>internetdienstverleners</w:t>
      </w:r>
      <w:r w:rsidR="00913BEE">
        <w:t xml:space="preserve"> gaat ontstaan. </w:t>
      </w:r>
    </w:p>
    <w:p w:rsidR="003C6FDA" w:rsidP="00176550" w:rsidRDefault="003C6FDA" w14:paraId="7ECA472F" w14:textId="77777777">
      <w:pPr>
        <w:pStyle w:val="Default"/>
        <w:numPr>
          <w:ilvl w:val="1"/>
          <w:numId w:val="13"/>
        </w:numPr>
        <w:rPr>
          <w:sz w:val="18"/>
          <w:szCs w:val="18"/>
        </w:rPr>
      </w:pPr>
    </w:p>
    <w:p w:rsidRPr="00DF3DEA" w:rsidR="00DF3DEA" w:rsidP="00176550" w:rsidRDefault="008921FA" w14:paraId="0AB19633" w14:textId="059D4E1C">
      <w:pPr>
        <w:pStyle w:val="Default"/>
        <w:numPr>
          <w:ilvl w:val="1"/>
          <w:numId w:val="13"/>
        </w:numPr>
        <w:rPr>
          <w:sz w:val="18"/>
          <w:szCs w:val="18"/>
        </w:rPr>
      </w:pPr>
      <w:r>
        <w:rPr>
          <w:b/>
          <w:bCs/>
          <w:sz w:val="18"/>
          <w:szCs w:val="18"/>
        </w:rPr>
        <w:t>b</w:t>
      </w:r>
      <w:r w:rsidRPr="00DF3DEA" w:rsidR="00DF3DEA">
        <w:rPr>
          <w:b/>
          <w:bCs/>
          <w:sz w:val="18"/>
          <w:szCs w:val="18"/>
        </w:rPr>
        <w:t xml:space="preserve">. 2e plenaire vergadering van de ‘High-Level Group’ inzake de toegang tot data voor opsporing </w:t>
      </w:r>
    </w:p>
    <w:p w:rsidRPr="00DF3DEA" w:rsidR="00DF3DEA" w:rsidP="00176550" w:rsidRDefault="00DF3DEA" w14:paraId="59DBE6C9" w14:textId="77777777">
      <w:pPr>
        <w:pStyle w:val="Default"/>
        <w:numPr>
          <w:ilvl w:val="1"/>
          <w:numId w:val="13"/>
        </w:numPr>
        <w:rPr>
          <w:sz w:val="18"/>
          <w:szCs w:val="18"/>
        </w:rPr>
      </w:pPr>
    </w:p>
    <w:p w:rsidRPr="008921FA" w:rsidR="00DF3DEA" w:rsidP="00176550" w:rsidRDefault="008921FA" w14:paraId="54D27A02" w14:textId="55E4A899">
      <w:pPr>
        <w:pStyle w:val="Default"/>
        <w:rPr>
          <w:sz w:val="18"/>
          <w:szCs w:val="18"/>
        </w:rPr>
      </w:pPr>
      <w:r w:rsidRPr="008921FA">
        <w:rPr>
          <w:sz w:val="18"/>
          <w:szCs w:val="18"/>
        </w:rPr>
        <w:t xml:space="preserve">Het Voorzitterschap informeerde de </w:t>
      </w:r>
      <w:r w:rsidR="0018443F">
        <w:rPr>
          <w:sz w:val="18"/>
          <w:szCs w:val="18"/>
        </w:rPr>
        <w:t>JBZ-</w:t>
      </w:r>
      <w:r w:rsidRPr="008921FA">
        <w:rPr>
          <w:sz w:val="18"/>
          <w:szCs w:val="18"/>
        </w:rPr>
        <w:t>Raad over de werkzaamheden van de High Level Group inzake toegang tot data</w:t>
      </w:r>
      <w:r>
        <w:rPr>
          <w:sz w:val="18"/>
          <w:szCs w:val="18"/>
        </w:rPr>
        <w:t xml:space="preserve">. </w:t>
      </w:r>
      <w:r w:rsidRPr="008921FA">
        <w:rPr>
          <w:sz w:val="18"/>
          <w:szCs w:val="18"/>
        </w:rPr>
        <w:t>Toegelicht werd dat de High Level Group een aantal aandachtpunten heeft gesignaleerd</w:t>
      </w:r>
      <w:r w:rsidR="00624648">
        <w:rPr>
          <w:sz w:val="18"/>
          <w:szCs w:val="18"/>
        </w:rPr>
        <w:t xml:space="preserve"> - </w:t>
      </w:r>
      <w:r w:rsidRPr="008921FA">
        <w:rPr>
          <w:sz w:val="18"/>
          <w:szCs w:val="18"/>
        </w:rPr>
        <w:t xml:space="preserve">1) de toegang tot gegevens ontbreekt omdat ze niet bewaard zijn, 2) geen toegang tot gegevens i.v.m. encryptie, 3) regelgeving ontbreekt of is gefragmenteerd en 4) service providers bevinden zich buiten de EU en weigeren </w:t>
      </w:r>
      <w:r w:rsidRPr="008921FA" w:rsidR="00624648">
        <w:rPr>
          <w:sz w:val="18"/>
          <w:szCs w:val="18"/>
        </w:rPr>
        <w:t>medewerking</w:t>
      </w:r>
      <w:r w:rsidRPr="008921FA">
        <w:rPr>
          <w:sz w:val="18"/>
          <w:szCs w:val="18"/>
        </w:rPr>
        <w:t xml:space="preserve"> – en met voorstellen hier</w:t>
      </w:r>
      <w:r w:rsidR="001A7239">
        <w:rPr>
          <w:sz w:val="18"/>
          <w:szCs w:val="18"/>
        </w:rPr>
        <w:t>over</w:t>
      </w:r>
      <w:r w:rsidRPr="008921FA">
        <w:rPr>
          <w:sz w:val="18"/>
          <w:szCs w:val="18"/>
        </w:rPr>
        <w:t xml:space="preserve"> zal komen.  </w:t>
      </w:r>
    </w:p>
    <w:p w:rsidRPr="00DF3DEA" w:rsidR="008921FA" w:rsidP="00176550" w:rsidRDefault="008921FA" w14:paraId="03BEDC3B" w14:textId="77777777">
      <w:pPr>
        <w:pStyle w:val="Default"/>
        <w:rPr>
          <w:sz w:val="18"/>
          <w:szCs w:val="18"/>
        </w:rPr>
      </w:pPr>
    </w:p>
    <w:p w:rsidRPr="00DF3DEA" w:rsidR="00DF3DEA" w:rsidP="00176550" w:rsidRDefault="008921FA" w14:paraId="299F70ED" w14:textId="0AEB45FA">
      <w:pPr>
        <w:pStyle w:val="Default"/>
        <w:numPr>
          <w:ilvl w:val="1"/>
          <w:numId w:val="14"/>
        </w:numPr>
        <w:rPr>
          <w:sz w:val="18"/>
          <w:szCs w:val="18"/>
        </w:rPr>
      </w:pPr>
      <w:r>
        <w:rPr>
          <w:b/>
          <w:bCs/>
          <w:sz w:val="18"/>
          <w:szCs w:val="18"/>
        </w:rPr>
        <w:t xml:space="preserve">c. </w:t>
      </w:r>
      <w:r w:rsidRPr="00DF3DEA" w:rsidR="00DF3DEA">
        <w:rPr>
          <w:b/>
          <w:bCs/>
          <w:sz w:val="18"/>
          <w:szCs w:val="18"/>
        </w:rPr>
        <w:t xml:space="preserve">Bijeenkomst van staten die grenzen aan Rusland en Wit-Rusland, Vilnius, 27 oktober 2023 </w:t>
      </w:r>
    </w:p>
    <w:p w:rsidRPr="00DF3DEA" w:rsidR="00DF3DEA" w:rsidP="00176550" w:rsidRDefault="00DF3DEA" w14:paraId="64BBF189" w14:textId="77777777">
      <w:pPr>
        <w:pStyle w:val="Default"/>
        <w:numPr>
          <w:ilvl w:val="1"/>
          <w:numId w:val="14"/>
        </w:numPr>
        <w:rPr>
          <w:sz w:val="18"/>
          <w:szCs w:val="18"/>
        </w:rPr>
      </w:pPr>
    </w:p>
    <w:p w:rsidR="008921FA" w:rsidP="00176550" w:rsidRDefault="008921FA" w14:paraId="7BFBC59D" w14:textId="6C202739">
      <w:r w:rsidRPr="00E96E45">
        <w:t>L</w:t>
      </w:r>
      <w:r>
        <w:t>itouwen</w:t>
      </w:r>
      <w:r w:rsidRPr="00E96E45">
        <w:t xml:space="preserve"> </w:t>
      </w:r>
      <w:r>
        <w:t>gaf</w:t>
      </w:r>
      <w:r w:rsidRPr="00E96E45">
        <w:t xml:space="preserve"> informatie over </w:t>
      </w:r>
      <w:r>
        <w:t xml:space="preserve">de </w:t>
      </w:r>
      <w:r w:rsidRPr="00E96E45">
        <w:t>bijeenkomst</w:t>
      </w:r>
      <w:r>
        <w:t xml:space="preserve"> van</w:t>
      </w:r>
      <w:r w:rsidRPr="00E96E45">
        <w:t xml:space="preserve"> 27 oktober jl. met </w:t>
      </w:r>
      <w:r>
        <w:t>Oekraïne, Polen, Litouwen, Letland, Estland, Finland en Noorwegen. Er was g</w:t>
      </w:r>
      <w:r w:rsidRPr="00E96E45">
        <w:t>esproken over gedeelde veiligheidsuitdagingen, reactie op hybride dreigingen en instrumentalisering van migrantenstromen. Nauwe samenwerking van deze landen om dreigingen tegen te gaan en gezamenlijk hierop reageren</w:t>
      </w:r>
      <w:r>
        <w:t xml:space="preserve"> stond centraal</w:t>
      </w:r>
      <w:r w:rsidRPr="00E96E45">
        <w:t>. Specifieke</w:t>
      </w:r>
      <w:r>
        <w:t xml:space="preserve"> werd</w:t>
      </w:r>
      <w:r w:rsidRPr="00E96E45">
        <w:t xml:space="preserve"> aandacht </w:t>
      </w:r>
      <w:r>
        <w:t xml:space="preserve">gevraagd </w:t>
      </w:r>
      <w:r w:rsidRPr="00E96E45">
        <w:t xml:space="preserve">voor </w:t>
      </w:r>
      <w:r>
        <w:t xml:space="preserve">de </w:t>
      </w:r>
      <w:r w:rsidRPr="00E96E45">
        <w:t>bescherm</w:t>
      </w:r>
      <w:r>
        <w:t xml:space="preserve">ing </w:t>
      </w:r>
      <w:r w:rsidRPr="00E96E45">
        <w:t xml:space="preserve">van kritieke infrastructuur en </w:t>
      </w:r>
      <w:r>
        <w:t xml:space="preserve">voor de vergroting van het </w:t>
      </w:r>
      <w:r w:rsidRPr="00E96E45">
        <w:t>bewustzijn bij burgers.</w:t>
      </w:r>
    </w:p>
    <w:sectPr w:rsidR="008921FA"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C2272" w14:textId="77777777" w:rsidR="00BD0FE6" w:rsidRDefault="00BD0FE6" w:rsidP="00BD0FE6">
      <w:pPr>
        <w:spacing w:after="0" w:line="240" w:lineRule="auto"/>
      </w:pPr>
      <w:r>
        <w:separator/>
      </w:r>
    </w:p>
  </w:endnote>
  <w:endnote w:type="continuationSeparator" w:id="0">
    <w:p w14:paraId="272A2DAB" w14:textId="77777777" w:rsidR="00BD0FE6" w:rsidRDefault="00BD0FE6" w:rsidP="00BD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28477"/>
      <w:docPartObj>
        <w:docPartGallery w:val="Page Numbers (Bottom of Page)"/>
        <w:docPartUnique/>
      </w:docPartObj>
    </w:sdtPr>
    <w:sdtEndPr/>
    <w:sdtContent>
      <w:p w14:paraId="4F6856AB" w14:textId="1BB08571" w:rsidR="00BD0FE6" w:rsidRDefault="00BD0FE6">
        <w:pPr>
          <w:pStyle w:val="Voettekst"/>
          <w:jc w:val="right"/>
        </w:pPr>
        <w:r>
          <w:fldChar w:fldCharType="begin"/>
        </w:r>
        <w:r>
          <w:instrText>PAGE   \* MERGEFORMAT</w:instrText>
        </w:r>
        <w:r>
          <w:fldChar w:fldCharType="separate"/>
        </w:r>
        <w:r w:rsidR="002D1C2E">
          <w:rPr>
            <w:noProof/>
          </w:rPr>
          <w:t>1</w:t>
        </w:r>
        <w:r>
          <w:fldChar w:fldCharType="end"/>
        </w:r>
      </w:p>
    </w:sdtContent>
  </w:sdt>
  <w:p w14:paraId="490F11F6" w14:textId="77777777" w:rsidR="00BD0FE6" w:rsidRDefault="00BD0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67C8" w14:textId="77777777" w:rsidR="00BD0FE6" w:rsidRDefault="00BD0FE6" w:rsidP="00BD0FE6">
      <w:pPr>
        <w:spacing w:after="0" w:line="240" w:lineRule="auto"/>
      </w:pPr>
      <w:r>
        <w:separator/>
      </w:r>
    </w:p>
  </w:footnote>
  <w:footnote w:type="continuationSeparator" w:id="0">
    <w:p w14:paraId="3CAF7001" w14:textId="77777777" w:rsidR="00BD0FE6" w:rsidRDefault="00BD0FE6" w:rsidP="00BD0FE6">
      <w:pPr>
        <w:spacing w:after="0" w:line="240" w:lineRule="auto"/>
      </w:pPr>
      <w:r>
        <w:continuationSeparator/>
      </w:r>
    </w:p>
  </w:footnote>
  <w:footnote w:id="1">
    <w:p w14:paraId="628FDEDC" w14:textId="5AE2061F" w:rsidR="00B30C7F" w:rsidRDefault="00B30C7F">
      <w:pPr>
        <w:pStyle w:val="Voetnoottekst"/>
      </w:pPr>
      <w:r>
        <w:rPr>
          <w:rStyle w:val="Voetnootmarkering"/>
        </w:rPr>
        <w:footnoteRef/>
      </w:r>
      <w:r>
        <w:t xml:space="preserve"> </w:t>
      </w:r>
      <w:r w:rsidR="007B791B" w:rsidRPr="007B791B">
        <w:rPr>
          <w:sz w:val="18"/>
          <w:szCs w:val="18"/>
        </w:rPr>
        <w:t>Zie BNC-fiche in Kamerstukken II, 2023-24, 22112 nr. 3842.</w:t>
      </w:r>
    </w:p>
  </w:footnote>
  <w:footnote w:id="2">
    <w:p w14:paraId="6D71A56A" w14:textId="09100C54" w:rsidR="00627660" w:rsidRDefault="00627660">
      <w:pPr>
        <w:pStyle w:val="Voetnoottekst"/>
      </w:pPr>
      <w:r>
        <w:rPr>
          <w:rStyle w:val="Voetnootmarkering"/>
        </w:rPr>
        <w:footnoteRef/>
      </w:r>
      <w:r>
        <w:t xml:space="preserve"> </w:t>
      </w:r>
      <w:r w:rsidR="007B791B" w:rsidRPr="007B791B">
        <w:rPr>
          <w:sz w:val="18"/>
          <w:szCs w:val="18"/>
        </w:rPr>
        <w:t>Zie BNC-fiche in Kamerstukken II, 2023-24, 22112 nr. 3842.</w:t>
      </w:r>
    </w:p>
  </w:footnote>
  <w:footnote w:id="3">
    <w:p w14:paraId="0BA34C67" w14:textId="3F78539F" w:rsidR="00FE2689" w:rsidRDefault="00FE2689">
      <w:pPr>
        <w:pStyle w:val="Voetnoottekst"/>
      </w:pPr>
      <w:r>
        <w:rPr>
          <w:rStyle w:val="Voetnootmarkering"/>
        </w:rPr>
        <w:footnoteRef/>
      </w:r>
      <w:r>
        <w:t xml:space="preserve"> </w:t>
      </w:r>
      <w:r w:rsidR="007B791B" w:rsidRPr="007B791B">
        <w:rPr>
          <w:sz w:val="18"/>
          <w:szCs w:val="18"/>
        </w:rPr>
        <w:t>Zie hierover meer in de geannoteerde agenda bij deze JBZ-Raad, Kamerstukken II, Kamerstuk 32317, nr. 862</w:t>
      </w:r>
      <w:r w:rsidR="007B791B">
        <w:rPr>
          <w:sz w:val="18"/>
          <w:szCs w:val="18"/>
        </w:rPr>
        <w:t>.</w:t>
      </w:r>
    </w:p>
  </w:footnote>
  <w:footnote w:id="4">
    <w:p w14:paraId="3A1C79CE" w14:textId="15BF9FD4" w:rsidR="005F3541" w:rsidRPr="00CB1D55" w:rsidRDefault="005F3541" w:rsidP="005F3541">
      <w:pPr>
        <w:pStyle w:val="Voetnoottekst"/>
      </w:pPr>
      <w:r w:rsidRPr="00CB1D55">
        <w:rPr>
          <w:rStyle w:val="Voetnootmarkering"/>
          <w:sz w:val="16"/>
          <w:szCs w:val="16"/>
        </w:rPr>
        <w:footnoteRef/>
      </w:r>
      <w:r w:rsidRPr="00CB1D55">
        <w:rPr>
          <w:sz w:val="16"/>
          <w:szCs w:val="16"/>
        </w:rPr>
        <w:t xml:space="preserve"> </w:t>
      </w:r>
      <w:r>
        <w:rPr>
          <w:sz w:val="16"/>
          <w:szCs w:val="16"/>
        </w:rPr>
        <w:t>Kamerstukken</w:t>
      </w:r>
      <w:r w:rsidRPr="00CB1D55">
        <w:rPr>
          <w:sz w:val="16"/>
          <w:szCs w:val="16"/>
        </w:rPr>
        <w:t xml:space="preserve"> </w:t>
      </w:r>
      <w:r>
        <w:rPr>
          <w:sz w:val="16"/>
          <w:szCs w:val="16"/>
        </w:rPr>
        <w:t xml:space="preserve">II, </w:t>
      </w:r>
      <w:r w:rsidRPr="00CB1D55">
        <w:rPr>
          <w:sz w:val="16"/>
          <w:szCs w:val="16"/>
        </w:rPr>
        <w:t>2022</w:t>
      </w:r>
      <w:r>
        <w:rPr>
          <w:sz w:val="16"/>
          <w:szCs w:val="16"/>
        </w:rPr>
        <w:t>-</w:t>
      </w:r>
      <w:r w:rsidRPr="00CB1D55">
        <w:rPr>
          <w:sz w:val="16"/>
          <w:szCs w:val="16"/>
        </w:rPr>
        <w:t>23, 32 317, nr. 800.</w:t>
      </w:r>
    </w:p>
  </w:footnote>
  <w:footnote w:id="5">
    <w:p w14:paraId="71799552" w14:textId="0A8A14D8" w:rsidR="005F3541" w:rsidRPr="00CB1D55" w:rsidRDefault="005F3541" w:rsidP="005F3541">
      <w:pPr>
        <w:pStyle w:val="Voetnoottekst"/>
        <w:rPr>
          <w:sz w:val="16"/>
          <w:szCs w:val="16"/>
        </w:rPr>
      </w:pPr>
      <w:r w:rsidRPr="00CB1D55">
        <w:rPr>
          <w:rStyle w:val="Voetnootmarkering"/>
          <w:sz w:val="16"/>
          <w:szCs w:val="16"/>
        </w:rPr>
        <w:footnoteRef/>
      </w:r>
      <w:r w:rsidRPr="00CB1D55">
        <w:rPr>
          <w:sz w:val="16"/>
          <w:szCs w:val="16"/>
        </w:rPr>
        <w:t xml:space="preserve"> Zie bijvoorbeeld </w:t>
      </w:r>
      <w:r>
        <w:rPr>
          <w:sz w:val="16"/>
          <w:szCs w:val="16"/>
        </w:rPr>
        <w:t>Kamerstukken II, 2022-23</w:t>
      </w:r>
      <w:r w:rsidRPr="00CB1D55">
        <w:rPr>
          <w:sz w:val="16"/>
          <w:szCs w:val="16"/>
        </w:rPr>
        <w:t xml:space="preserve">, 32 317, nr. 800. </w:t>
      </w:r>
    </w:p>
  </w:footnote>
  <w:footnote w:id="6">
    <w:p w14:paraId="6062618C" w14:textId="0BF907BE" w:rsidR="005F3541" w:rsidRPr="00CB1D55" w:rsidRDefault="005F3541" w:rsidP="005F3541">
      <w:pPr>
        <w:pStyle w:val="Voetnoottekst"/>
        <w:rPr>
          <w:sz w:val="16"/>
          <w:szCs w:val="16"/>
        </w:rPr>
      </w:pPr>
      <w:r w:rsidRPr="00CB1D55">
        <w:rPr>
          <w:rStyle w:val="Voetnootmarkering"/>
          <w:sz w:val="16"/>
          <w:szCs w:val="16"/>
        </w:rPr>
        <w:footnoteRef/>
      </w:r>
      <w:r w:rsidRPr="00CB1D55">
        <w:rPr>
          <w:sz w:val="16"/>
          <w:szCs w:val="16"/>
        </w:rPr>
        <w:t xml:space="preserve"> </w:t>
      </w:r>
      <w:r>
        <w:rPr>
          <w:sz w:val="16"/>
          <w:szCs w:val="16"/>
        </w:rPr>
        <w:t xml:space="preserve">Kamerstukken II, </w:t>
      </w:r>
      <w:r w:rsidRPr="00CB1D55">
        <w:rPr>
          <w:sz w:val="16"/>
          <w:szCs w:val="16"/>
        </w:rPr>
        <w:t>2022-</w:t>
      </w:r>
      <w:r>
        <w:rPr>
          <w:sz w:val="16"/>
          <w:szCs w:val="16"/>
        </w:rPr>
        <w:t>2</w:t>
      </w:r>
      <w:r w:rsidRPr="00CB1D55">
        <w:rPr>
          <w:sz w:val="16"/>
          <w:szCs w:val="16"/>
        </w:rPr>
        <w:t>3, 21501-02 nr. 2772</w:t>
      </w:r>
      <w:r>
        <w:rPr>
          <w:sz w:val="16"/>
          <w:szCs w:val="16"/>
        </w:rPr>
        <w:t>.</w:t>
      </w:r>
      <w:r w:rsidRPr="00CB1D55">
        <w:rPr>
          <w:sz w:val="16"/>
          <w:szCs w:val="16"/>
        </w:rPr>
        <w:t xml:space="preserve"> </w:t>
      </w:r>
    </w:p>
  </w:footnote>
  <w:footnote w:id="7">
    <w:p w14:paraId="39453451" w14:textId="5ECD7B1E" w:rsidR="005F3541" w:rsidRPr="00CB1D55" w:rsidRDefault="005F3541" w:rsidP="005F3541">
      <w:pPr>
        <w:pStyle w:val="Voetnoottekst"/>
        <w:rPr>
          <w:sz w:val="16"/>
          <w:szCs w:val="16"/>
        </w:rPr>
      </w:pPr>
      <w:r w:rsidRPr="00CB1D55">
        <w:rPr>
          <w:rStyle w:val="Voetnootmarkering"/>
          <w:sz w:val="16"/>
          <w:szCs w:val="16"/>
        </w:rPr>
        <w:footnoteRef/>
      </w:r>
      <w:r w:rsidRPr="00CB1D55">
        <w:rPr>
          <w:sz w:val="16"/>
          <w:szCs w:val="16"/>
        </w:rPr>
        <w:t xml:space="preserve"> </w:t>
      </w:r>
      <w:r>
        <w:rPr>
          <w:sz w:val="16"/>
          <w:szCs w:val="16"/>
        </w:rPr>
        <w:t>Kamerstukken II,</w:t>
      </w:r>
      <w:r w:rsidRPr="00CB1D55">
        <w:rPr>
          <w:sz w:val="16"/>
          <w:szCs w:val="16"/>
        </w:rPr>
        <w:t xml:space="preserve"> 2022–2023, 32317, nr. 862. </w:t>
      </w:r>
    </w:p>
  </w:footnote>
  <w:footnote w:id="8">
    <w:p w14:paraId="2EF4D5F4" w14:textId="77777777" w:rsidR="005F3541" w:rsidRPr="00CB1D55" w:rsidRDefault="005F3541" w:rsidP="005F3541">
      <w:pPr>
        <w:pStyle w:val="Voetnoottekst"/>
      </w:pPr>
      <w:r w:rsidRPr="00CB1D55">
        <w:rPr>
          <w:rStyle w:val="Voetnootmarkering"/>
          <w:sz w:val="16"/>
          <w:szCs w:val="16"/>
        </w:rPr>
        <w:footnoteRef/>
      </w:r>
      <w:r w:rsidRPr="00CB1D55">
        <w:rPr>
          <w:sz w:val="16"/>
          <w:szCs w:val="16"/>
        </w:rPr>
        <w:t xml:space="preserve"> Zie opinie Venetië Commissie, C DL-AD(2023)039-e.</w:t>
      </w:r>
    </w:p>
  </w:footnote>
  <w:footnote w:id="9">
    <w:p w14:paraId="01C0B2E8" w14:textId="795D9F89" w:rsidR="005F3541" w:rsidRPr="00CB1D55" w:rsidRDefault="005F3541" w:rsidP="005F3541">
      <w:pPr>
        <w:pStyle w:val="Voetnoottekst"/>
        <w:rPr>
          <w:sz w:val="16"/>
          <w:szCs w:val="16"/>
        </w:rPr>
      </w:pPr>
      <w:r w:rsidRPr="00CB1D55">
        <w:rPr>
          <w:rStyle w:val="Voetnootmarkering"/>
          <w:sz w:val="16"/>
          <w:szCs w:val="16"/>
        </w:rPr>
        <w:footnoteRef/>
      </w:r>
      <w:r w:rsidRPr="00CB1D55">
        <w:rPr>
          <w:sz w:val="16"/>
          <w:szCs w:val="16"/>
        </w:rPr>
        <w:t xml:space="preserve"> </w:t>
      </w:r>
      <w:r>
        <w:rPr>
          <w:sz w:val="16"/>
          <w:szCs w:val="16"/>
        </w:rPr>
        <w:t>Kamerstukken II,</w:t>
      </w:r>
      <w:r w:rsidRPr="00CB1D55">
        <w:rPr>
          <w:sz w:val="16"/>
          <w:szCs w:val="16"/>
        </w:rPr>
        <w:t xml:space="preserve"> 2022</w:t>
      </w:r>
      <w:r>
        <w:rPr>
          <w:sz w:val="16"/>
          <w:szCs w:val="16"/>
        </w:rPr>
        <w:t>-</w:t>
      </w:r>
      <w:r w:rsidRPr="00CB1D55">
        <w:rPr>
          <w:sz w:val="16"/>
          <w:szCs w:val="16"/>
        </w:rPr>
        <w:t>23, 21501-02 nr. 2772</w:t>
      </w:r>
    </w:p>
  </w:footnote>
  <w:footnote w:id="10">
    <w:p w14:paraId="7B5DF31D" w14:textId="58750DAE" w:rsidR="005F3541" w:rsidRPr="00CB1D55" w:rsidRDefault="005F3541" w:rsidP="005F3541">
      <w:pPr>
        <w:pStyle w:val="Voetnoottekst"/>
        <w:rPr>
          <w:sz w:val="16"/>
          <w:szCs w:val="16"/>
        </w:rPr>
      </w:pPr>
      <w:r w:rsidRPr="00CB1D55">
        <w:rPr>
          <w:rStyle w:val="Voetnootmarkering"/>
          <w:sz w:val="16"/>
          <w:szCs w:val="16"/>
        </w:rPr>
        <w:footnoteRef/>
      </w:r>
      <w:r w:rsidRPr="00CB1D55">
        <w:rPr>
          <w:sz w:val="16"/>
          <w:szCs w:val="16"/>
        </w:rPr>
        <w:t xml:space="preserve"> </w:t>
      </w:r>
      <w:r w:rsidRPr="005E2605">
        <w:rPr>
          <w:sz w:val="16"/>
          <w:szCs w:val="16"/>
        </w:rPr>
        <w:t xml:space="preserve">Kamerstukken </w:t>
      </w:r>
      <w:r>
        <w:rPr>
          <w:sz w:val="16"/>
          <w:szCs w:val="16"/>
        </w:rPr>
        <w:t xml:space="preserve">II, </w:t>
      </w:r>
      <w:r w:rsidRPr="005E2605">
        <w:rPr>
          <w:sz w:val="16"/>
          <w:szCs w:val="16"/>
        </w:rPr>
        <w:t>202</w:t>
      </w:r>
      <w:r>
        <w:rPr>
          <w:sz w:val="16"/>
          <w:szCs w:val="16"/>
        </w:rPr>
        <w:t>0-</w:t>
      </w:r>
      <w:r w:rsidRPr="005E2605">
        <w:rPr>
          <w:sz w:val="16"/>
          <w:szCs w:val="16"/>
        </w:rPr>
        <w:t xml:space="preserve">21, </w:t>
      </w:r>
      <w:r w:rsidRPr="00CB1D55">
        <w:rPr>
          <w:sz w:val="16"/>
          <w:szCs w:val="16"/>
        </w:rPr>
        <w:t xml:space="preserve">22 112, </w:t>
      </w:r>
      <w:r>
        <w:rPr>
          <w:sz w:val="16"/>
          <w:szCs w:val="16"/>
        </w:rPr>
        <w:t>n</w:t>
      </w:r>
      <w:r w:rsidRPr="00CB1D55">
        <w:rPr>
          <w:sz w:val="16"/>
          <w:szCs w:val="16"/>
        </w:rPr>
        <w:t>r. 2957</w:t>
      </w:r>
    </w:p>
  </w:footnote>
  <w:footnote w:id="11">
    <w:p w14:paraId="5E44A6A1" w14:textId="77777777" w:rsidR="005F3541" w:rsidRPr="00CB1D55" w:rsidRDefault="005F3541" w:rsidP="005F3541">
      <w:pPr>
        <w:pStyle w:val="Voetnoottekst"/>
      </w:pPr>
      <w:r w:rsidRPr="00CB1D55">
        <w:rPr>
          <w:rStyle w:val="Voetnootmarkering"/>
          <w:sz w:val="16"/>
          <w:szCs w:val="16"/>
        </w:rPr>
        <w:footnoteRef/>
      </w:r>
      <w:r w:rsidRPr="00682F59">
        <w:rPr>
          <w:sz w:val="16"/>
          <w:szCs w:val="16"/>
        </w:rPr>
        <w:t xml:space="preserve"> </w:t>
      </w:r>
      <w:r w:rsidRPr="00CB1D55">
        <w:rPr>
          <w:sz w:val="16"/>
          <w:szCs w:val="16"/>
        </w:rPr>
        <w:t xml:space="preserve">Vindbaar op EU </w:t>
      </w:r>
      <w:r w:rsidRPr="005E2605">
        <w:rPr>
          <w:sz w:val="16"/>
          <w:szCs w:val="16"/>
        </w:rPr>
        <w:t>D</w:t>
      </w:r>
      <w:r w:rsidRPr="00CB1D55">
        <w:rPr>
          <w:sz w:val="16"/>
          <w:szCs w:val="16"/>
        </w:rPr>
        <w:t>elegates Portal met documentnummer 16291/23</w:t>
      </w:r>
    </w:p>
  </w:footnote>
  <w:footnote w:id="12">
    <w:p w14:paraId="0AB95B83" w14:textId="77777777" w:rsidR="005F3541" w:rsidRPr="00FF5A69" w:rsidRDefault="005F3541" w:rsidP="005F3541">
      <w:pPr>
        <w:pStyle w:val="Voetnoottekst"/>
      </w:pPr>
      <w:r>
        <w:rPr>
          <w:rStyle w:val="Voetnootmarkering"/>
        </w:rPr>
        <w:footnoteRef/>
      </w:r>
      <w:r w:rsidRPr="00CB1D55">
        <w:t xml:space="preserve"> </w:t>
      </w:r>
      <w:r w:rsidRPr="00FF5A69">
        <w:rPr>
          <w:sz w:val="16"/>
          <w:lang w:val="nl-BE"/>
        </w:rPr>
        <w:t>Een juridische fictie waarmee wordt geregeld dat een persoon uit een derde land gedurende de screening</w:t>
      </w:r>
      <w:r>
        <w:rPr>
          <w:sz w:val="16"/>
          <w:lang w:val="nl-BE"/>
        </w:rPr>
        <w:t>sprocedure</w:t>
      </w:r>
      <w:r w:rsidRPr="00FF5A69">
        <w:rPr>
          <w:sz w:val="16"/>
          <w:lang w:val="nl-BE"/>
        </w:rPr>
        <w:t xml:space="preserve"> nog geen formele (juridische) toegang tot het EU-grondgebied krijgt, onder andere zodat er meer bevoegdheden zijn voor een lidstaat om de bewegingsvrijheid van de migrant tijdens de screening te beperken.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601F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7BDB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60D1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4151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47DA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4CE5D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0FD94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1200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1A0A84"/>
    <w:multiLevelType w:val="hybridMultilevel"/>
    <w:tmpl w:val="2CCC1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B740F0"/>
    <w:multiLevelType w:val="hybridMultilevel"/>
    <w:tmpl w:val="ED26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76269F"/>
    <w:multiLevelType w:val="hybridMultilevel"/>
    <w:tmpl w:val="7FDCB1E2"/>
    <w:lvl w:ilvl="0" w:tplc="22E65C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9C7569"/>
    <w:multiLevelType w:val="hybridMultilevel"/>
    <w:tmpl w:val="24BCB5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38F0522"/>
    <w:multiLevelType w:val="hybridMultilevel"/>
    <w:tmpl w:val="2EF28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1E2678"/>
    <w:multiLevelType w:val="hybridMultilevel"/>
    <w:tmpl w:val="58646A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1C3F48"/>
    <w:multiLevelType w:val="hybridMultilevel"/>
    <w:tmpl w:val="370415D8"/>
    <w:lvl w:ilvl="0" w:tplc="7BCCDE68">
      <w:start w:val="1"/>
      <w:numFmt w:val="decimal"/>
      <w:lvlText w:val="%1."/>
      <w:lvlJc w:val="left"/>
      <w:pPr>
        <w:ind w:left="0" w:firstLine="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726A0A"/>
    <w:multiLevelType w:val="hybridMultilevel"/>
    <w:tmpl w:val="92622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BAA7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E866AF"/>
    <w:multiLevelType w:val="hybridMultilevel"/>
    <w:tmpl w:val="5E7AEF40"/>
    <w:lvl w:ilvl="0" w:tplc="C21AE89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300B4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9E4B4C"/>
    <w:multiLevelType w:val="hybridMultilevel"/>
    <w:tmpl w:val="65EEC9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CE23B3D"/>
    <w:multiLevelType w:val="hybridMultilevel"/>
    <w:tmpl w:val="A82AC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15"/>
  </w:num>
  <w:num w:numId="4">
    <w:abstractNumId w:val="2"/>
  </w:num>
  <w:num w:numId="5">
    <w:abstractNumId w:val="16"/>
  </w:num>
  <w:num w:numId="6">
    <w:abstractNumId w:val="4"/>
  </w:num>
  <w:num w:numId="7">
    <w:abstractNumId w:val="6"/>
  </w:num>
  <w:num w:numId="8">
    <w:abstractNumId w:val="5"/>
  </w:num>
  <w:num w:numId="9">
    <w:abstractNumId w:val="3"/>
  </w:num>
  <w:num w:numId="10">
    <w:abstractNumId w:val="18"/>
  </w:num>
  <w:num w:numId="11">
    <w:abstractNumId w:val="12"/>
  </w:num>
  <w:num w:numId="12">
    <w:abstractNumId w:val="17"/>
  </w:num>
  <w:num w:numId="13">
    <w:abstractNumId w:val="0"/>
  </w:num>
  <w:num w:numId="14">
    <w:abstractNumId w:val="1"/>
  </w:num>
  <w:num w:numId="15">
    <w:abstractNumId w:val="7"/>
  </w:num>
  <w:num w:numId="16">
    <w:abstractNumId w:val="11"/>
  </w:num>
  <w:num w:numId="17">
    <w:abstractNumId w:val="19"/>
  </w:num>
  <w:num w:numId="18">
    <w:abstractNumId w:val="13"/>
  </w:num>
  <w:num w:numId="19">
    <w:abstractNumId w:val="14"/>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E6"/>
    <w:rsid w:val="00003040"/>
    <w:rsid w:val="000047B6"/>
    <w:rsid w:val="00006EAE"/>
    <w:rsid w:val="00041DE9"/>
    <w:rsid w:val="000841F2"/>
    <w:rsid w:val="000F2769"/>
    <w:rsid w:val="000F53BC"/>
    <w:rsid w:val="000F601A"/>
    <w:rsid w:val="00117601"/>
    <w:rsid w:val="00136D07"/>
    <w:rsid w:val="00156A98"/>
    <w:rsid w:val="00176550"/>
    <w:rsid w:val="0018443F"/>
    <w:rsid w:val="001A7239"/>
    <w:rsid w:val="001E6A24"/>
    <w:rsid w:val="002D1C2E"/>
    <w:rsid w:val="002F7A36"/>
    <w:rsid w:val="00301467"/>
    <w:rsid w:val="00331A00"/>
    <w:rsid w:val="00344F78"/>
    <w:rsid w:val="00382E44"/>
    <w:rsid w:val="003B49FA"/>
    <w:rsid w:val="003C6FDA"/>
    <w:rsid w:val="00480452"/>
    <w:rsid w:val="004A04AE"/>
    <w:rsid w:val="0055552C"/>
    <w:rsid w:val="005A150F"/>
    <w:rsid w:val="005D3B4D"/>
    <w:rsid w:val="005F3541"/>
    <w:rsid w:val="00607703"/>
    <w:rsid w:val="00624648"/>
    <w:rsid w:val="00627660"/>
    <w:rsid w:val="00647EF6"/>
    <w:rsid w:val="006F0B2D"/>
    <w:rsid w:val="007778E1"/>
    <w:rsid w:val="0078474C"/>
    <w:rsid w:val="007B791B"/>
    <w:rsid w:val="007F617E"/>
    <w:rsid w:val="00884EA6"/>
    <w:rsid w:val="00887016"/>
    <w:rsid w:val="008921FA"/>
    <w:rsid w:val="008D2A64"/>
    <w:rsid w:val="008F2040"/>
    <w:rsid w:val="00913BEE"/>
    <w:rsid w:val="009323CB"/>
    <w:rsid w:val="0093671A"/>
    <w:rsid w:val="00951CB2"/>
    <w:rsid w:val="00953FE2"/>
    <w:rsid w:val="009812D2"/>
    <w:rsid w:val="009B0CEA"/>
    <w:rsid w:val="009D14E3"/>
    <w:rsid w:val="00A637D5"/>
    <w:rsid w:val="00AD0302"/>
    <w:rsid w:val="00B06701"/>
    <w:rsid w:val="00B30C7F"/>
    <w:rsid w:val="00B619C3"/>
    <w:rsid w:val="00BC4C76"/>
    <w:rsid w:val="00BD0FE6"/>
    <w:rsid w:val="00C93028"/>
    <w:rsid w:val="00D11A30"/>
    <w:rsid w:val="00D14BCB"/>
    <w:rsid w:val="00D17994"/>
    <w:rsid w:val="00D33457"/>
    <w:rsid w:val="00D44FA3"/>
    <w:rsid w:val="00D51103"/>
    <w:rsid w:val="00DC7315"/>
    <w:rsid w:val="00DD7BD2"/>
    <w:rsid w:val="00DF3DEA"/>
    <w:rsid w:val="00E11491"/>
    <w:rsid w:val="00E23BB5"/>
    <w:rsid w:val="00E659BA"/>
    <w:rsid w:val="00E7627C"/>
    <w:rsid w:val="00E92912"/>
    <w:rsid w:val="00EB7DF2"/>
    <w:rsid w:val="00EC1E13"/>
    <w:rsid w:val="00EF56E0"/>
    <w:rsid w:val="00F3275F"/>
    <w:rsid w:val="00F42FBB"/>
    <w:rsid w:val="00F54A07"/>
    <w:rsid w:val="00FB388E"/>
    <w:rsid w:val="00FD2F2B"/>
    <w:rsid w:val="00FD75E3"/>
    <w:rsid w:val="00FE2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D0F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BD0FE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D0FE6"/>
    <w:rPr>
      <w:lang w:val="nl-NL"/>
    </w:rPr>
  </w:style>
  <w:style w:type="paragraph" w:styleId="Voettekst">
    <w:name w:val="footer"/>
    <w:basedOn w:val="Standaard"/>
    <w:link w:val="VoettekstChar"/>
    <w:uiPriority w:val="99"/>
    <w:unhideWhenUsed/>
    <w:rsid w:val="00BD0FE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D0FE6"/>
    <w:rPr>
      <w:lang w:val="nl-NL"/>
    </w:rPr>
  </w:style>
  <w:style w:type="paragraph" w:styleId="Lijstalinea">
    <w:name w:val="List Paragraph"/>
    <w:basedOn w:val="Standaard"/>
    <w:uiPriority w:val="34"/>
    <w:qFormat/>
    <w:rsid w:val="004A04AE"/>
    <w:pPr>
      <w:ind w:left="720"/>
      <w:contextualSpacing/>
    </w:pPr>
  </w:style>
  <w:style w:type="paragraph" w:styleId="Voetnoottekst">
    <w:name w:val="footnote text"/>
    <w:basedOn w:val="Standaard"/>
    <w:link w:val="VoetnoottekstChar"/>
    <w:semiHidden/>
    <w:unhideWhenUsed/>
    <w:rsid w:val="00B30C7F"/>
    <w:pPr>
      <w:spacing w:after="0" w:line="240" w:lineRule="auto"/>
    </w:pPr>
    <w:rPr>
      <w:sz w:val="20"/>
      <w:szCs w:val="20"/>
    </w:rPr>
  </w:style>
  <w:style w:type="character" w:customStyle="1" w:styleId="VoetnoottekstChar">
    <w:name w:val="Voetnoottekst Char"/>
    <w:basedOn w:val="Standaardalinea-lettertype"/>
    <w:link w:val="Voetnoottekst"/>
    <w:semiHidden/>
    <w:rsid w:val="00B30C7F"/>
    <w:rPr>
      <w:sz w:val="20"/>
      <w:szCs w:val="20"/>
      <w:lang w:val="nl-NL"/>
    </w:rPr>
  </w:style>
  <w:style w:type="character" w:styleId="Voetnootmarkering">
    <w:name w:val="footnote reference"/>
    <w:basedOn w:val="Standaardalinea-lettertype"/>
    <w:semiHidden/>
    <w:unhideWhenUsed/>
    <w:rsid w:val="00B30C7F"/>
    <w:rPr>
      <w:vertAlign w:val="superscript"/>
    </w:rPr>
  </w:style>
  <w:style w:type="paragraph" w:customStyle="1" w:styleId="Default">
    <w:name w:val="Default"/>
    <w:rsid w:val="00D44FA3"/>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F3541"/>
    <w:rPr>
      <w:sz w:val="16"/>
      <w:szCs w:val="16"/>
    </w:rPr>
  </w:style>
  <w:style w:type="paragraph" w:styleId="Tekstopmerking">
    <w:name w:val="annotation text"/>
    <w:basedOn w:val="Standaard"/>
    <w:link w:val="TekstopmerkingChar"/>
    <w:uiPriority w:val="99"/>
    <w:unhideWhenUsed/>
    <w:rsid w:val="005F3541"/>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5F35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78065">
      <w:bodyDiv w:val="1"/>
      <w:marLeft w:val="0"/>
      <w:marRight w:val="0"/>
      <w:marTop w:val="0"/>
      <w:marBottom w:val="0"/>
      <w:divBdr>
        <w:top w:val="none" w:sz="0" w:space="0" w:color="auto"/>
        <w:left w:val="none" w:sz="0" w:space="0" w:color="auto"/>
        <w:bottom w:val="none" w:sz="0" w:space="0" w:color="auto"/>
        <w:right w:val="none" w:sz="0" w:space="0" w:color="auto"/>
      </w:divBdr>
    </w:div>
    <w:div w:id="8469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7222</ap:Words>
  <ap:Characters>39722</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2023-12-15T14:52:00.0000000Z</dcterms:created>
  <dcterms:modified xsi:type="dcterms:W3CDTF">2023-12-15T14:52:00.0000000Z</dcterms:modified>
  <version/>
  <category/>
</coreProperties>
</file>