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E6AB6" w:rsidR="000E6AB6" w:rsidP="000E6AB6" w:rsidRDefault="000E6AB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nl-NL"/>
        </w:rPr>
      </w:pPr>
      <w:bookmarkStart w:name="_GoBack" w:id="0"/>
      <w:bookmarkEnd w:id="0"/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b/>
          <w:bCs/>
          <w:sz w:val="18"/>
          <w:szCs w:val="18"/>
          <w:lang w:eastAsia="nl-NL"/>
        </w:rPr>
      </w:pPr>
      <w:r w:rsidRPr="000E6AB6">
        <w:rPr>
          <w:rFonts w:ascii="Verdana" w:hAnsi="Verdana" w:eastAsia="Calibri" w:cs="Times New Roman"/>
          <w:color w:val="1F497D"/>
          <w:sz w:val="18"/>
          <w:szCs w:val="18"/>
        </w:rPr>
        <w:t xml:space="preserve">            </w:t>
      </w:r>
      <w:r w:rsidRPr="000E6AB6">
        <w:rPr>
          <w:rFonts w:ascii="Verdana" w:hAnsi="Verdana" w:eastAsia="Calibri" w:cs="Times New Roman"/>
          <w:b/>
          <w:bCs/>
          <w:sz w:val="18"/>
          <w:szCs w:val="18"/>
          <w:lang w:eastAsia="nl-NL"/>
        </w:rPr>
        <w:t xml:space="preserve">Lijst van nieuwe EU-voorstellen (oudere lijsten zijn </w:t>
      </w:r>
      <w:hyperlink w:history="1" r:id="rId5">
        <w:r w:rsidRPr="000E6AB6">
          <w:rPr>
            <w:rFonts w:ascii="Verdana" w:hAnsi="Verdana" w:eastAsia="Calibri" w:cs="Times New Roman"/>
            <w:b/>
            <w:bCs/>
            <w:color w:val="0000FF"/>
            <w:sz w:val="18"/>
            <w:szCs w:val="18"/>
            <w:u w:val="single"/>
            <w:lang w:eastAsia="nl-NL"/>
          </w:rPr>
          <w:t>hier</w:t>
        </w:r>
      </w:hyperlink>
      <w:r w:rsidRPr="000E6AB6">
        <w:rPr>
          <w:rFonts w:ascii="Verdana" w:hAnsi="Verdana" w:eastAsia="Calibri" w:cs="Times New Roman"/>
          <w:b/>
          <w:bCs/>
          <w:sz w:val="18"/>
          <w:szCs w:val="18"/>
          <w:lang w:eastAsia="nl-NL"/>
        </w:rPr>
        <w:t xml:space="preserve"> te vinden)</w:t>
      </w: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b/>
          <w:bCs/>
          <w:sz w:val="18"/>
          <w:szCs w:val="18"/>
          <w:lang w:eastAsia="nl-NL"/>
        </w:rPr>
      </w:pP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  <w:lang w:eastAsia="nl-NL"/>
        </w:rPr>
      </w:pPr>
      <w:r w:rsidRPr="000E6AB6">
        <w:rPr>
          <w:rFonts w:ascii="Verdana" w:hAnsi="Verdana" w:eastAsia="Calibri" w:cs="Times New Roman"/>
          <w:sz w:val="18"/>
          <w:szCs w:val="18"/>
          <w:lang w:eastAsia="nl-NL"/>
        </w:rPr>
        <w:t>De</w:t>
      </w:r>
      <w:r w:rsidRPr="000E6AB6">
        <w:rPr>
          <w:rFonts w:ascii="Verdana" w:hAnsi="Verdana" w:eastAsia="Calibri" w:cs="Times New Roman"/>
          <w:b/>
          <w:bCs/>
          <w:sz w:val="18"/>
          <w:szCs w:val="18"/>
          <w:lang w:eastAsia="nl-NL"/>
        </w:rPr>
        <w:t xml:space="preserve"> </w:t>
      </w:r>
      <w:r w:rsidRPr="000E6AB6">
        <w:rPr>
          <w:rFonts w:ascii="Verdana" w:hAnsi="Verdana" w:eastAsia="Calibri" w:cs="Times New Roman"/>
          <w:sz w:val="18"/>
          <w:szCs w:val="18"/>
          <w:lang w:eastAsia="nl-NL"/>
        </w:rPr>
        <w:t xml:space="preserve">Europese Commissie heeft in de periode tussen </w:t>
      </w:r>
      <w:r w:rsidRPr="000E6AB6">
        <w:rPr>
          <w:rFonts w:ascii="Verdana" w:hAnsi="Verdana" w:eastAsia="Calibri" w:cs="Times New Roman"/>
          <w:b/>
          <w:bCs/>
          <w:sz w:val="18"/>
          <w:szCs w:val="18"/>
          <w:lang w:eastAsia="nl-NL"/>
        </w:rPr>
        <w:t xml:space="preserve">19 oktober </w:t>
      </w:r>
      <w:r w:rsidR="009B28BF">
        <w:rPr>
          <w:rFonts w:ascii="Verdana" w:hAnsi="Verdana" w:eastAsia="Calibri" w:cs="Times New Roman"/>
          <w:b/>
          <w:bCs/>
          <w:sz w:val="18"/>
          <w:szCs w:val="18"/>
          <w:lang w:eastAsia="nl-NL"/>
        </w:rPr>
        <w:t xml:space="preserve">en 14 december </w:t>
      </w:r>
      <w:r w:rsidRPr="000E6AB6">
        <w:rPr>
          <w:rFonts w:ascii="Verdana" w:hAnsi="Verdana" w:eastAsia="Calibri" w:cs="Times New Roman"/>
          <w:b/>
          <w:bCs/>
          <w:sz w:val="18"/>
          <w:szCs w:val="18"/>
          <w:lang w:eastAsia="nl-NL"/>
        </w:rPr>
        <w:t>2023</w:t>
      </w:r>
      <w:r w:rsidR="009B28BF">
        <w:rPr>
          <w:rFonts w:ascii="Verdana" w:hAnsi="Verdana" w:eastAsia="Calibri" w:cs="Times New Roman"/>
          <w:sz w:val="18"/>
          <w:szCs w:val="18"/>
          <w:lang w:eastAsia="nl-NL"/>
        </w:rPr>
        <w:t xml:space="preserve"> </w:t>
      </w:r>
      <w:r w:rsidRPr="000E6AB6">
        <w:rPr>
          <w:rFonts w:ascii="Verdana" w:hAnsi="Verdana" w:eastAsia="Calibri" w:cs="Times New Roman"/>
          <w:sz w:val="18"/>
          <w:szCs w:val="18"/>
          <w:lang w:eastAsia="nl-NL"/>
        </w:rPr>
        <w:t xml:space="preserve">de volgende voorstellen voor Europese wetgeving, besluiten en andere beleidsvormende documenten aan de Tweede Kamer gestuurd: </w:t>
      </w: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  <w:lang w:eastAsia="nl-NL"/>
        </w:rPr>
      </w:pPr>
    </w:p>
    <w:p w:rsidRPr="000E6AB6" w:rsidR="000E6AB6" w:rsidP="000E6AB6" w:rsidRDefault="000E6AB6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eastAsia="Calibri" w:cs="Times New Roman"/>
          <w:b/>
          <w:bCs/>
          <w:sz w:val="18"/>
          <w:szCs w:val="18"/>
        </w:rPr>
      </w:pPr>
      <w:r w:rsidRPr="000E6AB6">
        <w:rPr>
          <w:rFonts w:ascii="Verdana" w:hAnsi="Verdana" w:eastAsia="Calibri" w:cs="Times New Roman"/>
          <w:b/>
          <w:bCs/>
          <w:sz w:val="18"/>
          <w:szCs w:val="18"/>
        </w:rPr>
        <w:t>Nieuw voorgestelde EU-wetgeving</w:t>
      </w:r>
      <w:r w:rsidRPr="000E6AB6">
        <w:rPr>
          <w:rFonts w:ascii="Verdana" w:hAnsi="Verdana" w:eastAsia="Calibri" w:cs="Times New Roman"/>
          <w:sz w:val="18"/>
          <w:szCs w:val="18"/>
        </w:rPr>
        <w:br/>
        <w:t>(Verordeningen, richtlijnen en wetgevende besluiten)</w:t>
      </w: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  <w:lang w:eastAsia="nl-NL"/>
        </w:rPr>
      </w:pPr>
    </w:p>
    <w:p w:rsidRPr="009B28BF" w:rsidR="00824993" w:rsidP="009B28BF" w:rsidRDefault="00824993">
      <w:pPr>
        <w:spacing w:before="100" w:beforeAutospacing="1" w:after="100" w:afterAutospacing="1" w:line="240" w:lineRule="auto"/>
        <w:rPr>
          <w:rFonts w:ascii="Calibri" w:hAnsi="Calibri" w:eastAsia="Calibri" w:cs="Calibri"/>
          <w:sz w:val="24"/>
          <w:szCs w:val="24"/>
          <w:lang w:eastAsia="nl-NL"/>
        </w:rPr>
      </w:pPr>
    </w:p>
    <w:p w:rsidRPr="000E6AB6" w:rsidR="000E6AB6" w:rsidP="000E6AB6" w:rsidRDefault="000E6AB6">
      <w:pPr>
        <w:spacing w:after="0" w:line="240" w:lineRule="auto"/>
        <w:ind w:left="709"/>
        <w:rPr>
          <w:rFonts w:ascii="Verdana" w:hAnsi="Verdana" w:eastAsia="Calibri" w:cs="Times New Roman"/>
          <w:sz w:val="18"/>
          <w:szCs w:val="18"/>
        </w:rPr>
      </w:pPr>
    </w:p>
    <w:p w:rsidRPr="000E6AB6" w:rsidR="000E6AB6" w:rsidP="000E6AB6" w:rsidRDefault="000E6AB6">
      <w:pPr>
        <w:spacing w:after="0" w:line="240" w:lineRule="auto"/>
        <w:ind w:left="709"/>
        <w:rPr>
          <w:rFonts w:ascii="Verdana" w:hAnsi="Verdana" w:eastAsia="Calibri" w:cs="Times New Roman"/>
          <w:sz w:val="18"/>
          <w:szCs w:val="18"/>
          <w:lang w:eastAsia="nl-NL"/>
        </w:rPr>
      </w:pPr>
    </w:p>
    <w:p w:rsidRPr="000E6AB6" w:rsidR="000E6AB6" w:rsidP="000E6AB6" w:rsidRDefault="000E6AB6">
      <w:pPr>
        <w:spacing w:after="0" w:line="240" w:lineRule="auto"/>
        <w:ind w:left="709"/>
        <w:rPr>
          <w:rFonts w:ascii="Verdana" w:hAnsi="Verdana" w:eastAsia="Calibri" w:cs="Times New Roman"/>
          <w:sz w:val="18"/>
          <w:szCs w:val="18"/>
          <w:lang w:eastAsia="nl-NL"/>
        </w:rPr>
      </w:pPr>
    </w:p>
    <w:p w:rsidRPr="000E6AB6" w:rsidR="000E6AB6" w:rsidP="000E6AB6" w:rsidRDefault="000E6AB6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eastAsia="Calibri" w:cs="Times New Roman"/>
          <w:b/>
          <w:bCs/>
          <w:sz w:val="18"/>
          <w:szCs w:val="18"/>
        </w:rPr>
      </w:pPr>
      <w:r w:rsidRPr="000E6AB6">
        <w:rPr>
          <w:rFonts w:ascii="Verdana" w:hAnsi="Verdana" w:eastAsia="Calibri" w:cs="Times New Roman"/>
          <w:b/>
          <w:bCs/>
          <w:sz w:val="18"/>
          <w:szCs w:val="18"/>
        </w:rPr>
        <w:t xml:space="preserve">Nieuwe EU-documenten van niet-wetgevende aard </w:t>
      </w:r>
      <w:r w:rsidRPr="000E6AB6">
        <w:rPr>
          <w:rFonts w:ascii="Verdana" w:hAnsi="Verdana" w:eastAsia="Calibri" w:cs="Times New Roman"/>
          <w:sz w:val="18"/>
          <w:szCs w:val="18"/>
        </w:rPr>
        <w:br/>
        <w:t>(Mededelingen, aanbevelingen, actieplannen, consultaties, etc.)</w:t>
      </w: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132"/>
        <w:gridCol w:w="6314"/>
      </w:tblGrid>
      <w:tr w:rsidRPr="00371303" w:rsidR="00371303" w:rsidTr="00371303">
        <w:tc>
          <w:tcPr>
            <w:tcW w:w="529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71303" w:rsidR="00371303" w:rsidP="00371303" w:rsidRDefault="00371303">
            <w:pPr>
              <w:numPr>
                <w:ilvl w:val="0"/>
                <w:numId w:val="2"/>
              </w:numPr>
              <w:spacing w:after="240" w:line="240" w:lineRule="auto"/>
              <w:ind w:left="312"/>
              <w:contextualSpacing/>
              <w:rPr>
                <w:rFonts w:ascii="Verdana" w:hAnsi="Verdana" w:eastAsia="Calibri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71303" w:rsidR="00371303" w:rsidP="00371303" w:rsidRDefault="00371303">
            <w:pPr>
              <w:spacing w:after="240" w:line="240" w:lineRule="auto"/>
              <w:rPr>
                <w:rFonts w:ascii="Verdana" w:hAnsi="Verdana" w:eastAsia="Calibri" w:cs="Calibri"/>
                <w:sz w:val="18"/>
                <w:szCs w:val="18"/>
              </w:rPr>
            </w:pPr>
            <w:r w:rsidRPr="00371303">
              <w:rPr>
                <w:rFonts w:ascii="Verdana" w:hAnsi="Verdana" w:eastAsia="Calibri" w:cs="Calibri"/>
                <w:sz w:val="18"/>
                <w:szCs w:val="18"/>
              </w:rPr>
              <w:t>Titel</w:t>
            </w:r>
          </w:p>
        </w:tc>
        <w:tc>
          <w:tcPr>
            <w:tcW w:w="6314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71303" w:rsidR="00371303" w:rsidP="00371303" w:rsidRDefault="00371303">
            <w:pPr>
              <w:shd w:val="clear" w:color="auto" w:fill="FFFFFF"/>
              <w:spacing w:after="75" w:line="240" w:lineRule="auto"/>
              <w:rPr>
                <w:rFonts w:ascii="Verdana" w:hAnsi="Verdana" w:eastAsia="Calibri" w:cs="Calibri"/>
                <w:sz w:val="18"/>
                <w:szCs w:val="18"/>
                <w:lang w:val="en-US"/>
              </w:rPr>
            </w:pPr>
            <w:r w:rsidRPr="00371303">
              <w:rPr>
                <w:rFonts w:ascii="Verdana" w:hAnsi="Verdana" w:eastAsia="Calibri" w:cs="Calibri"/>
                <w:sz w:val="18"/>
                <w:szCs w:val="18"/>
                <w:lang w:val="en-US"/>
              </w:rPr>
              <w:t xml:space="preserve">Proposal for a DIRECTIVE OF THE EUROPEAN PARLIAMENT AND OF THE COUNCIL extending Directive [XXXX] to third country nationals legally residing in a Member State </w:t>
            </w:r>
            <w:hyperlink w:history="1" r:id="rId6">
              <w:r w:rsidRPr="00371303">
                <w:rPr>
                  <w:rFonts w:ascii="Verdana" w:hAnsi="Verdana" w:eastAsia="Calibri" w:cs="Calibri"/>
                  <w:color w:val="0563C1"/>
                  <w:sz w:val="18"/>
                  <w:szCs w:val="18"/>
                  <w:u w:val="single"/>
                  <w:lang w:val="en-US"/>
                </w:rPr>
                <w:t>COM(2023)698</w:t>
              </w:r>
            </w:hyperlink>
          </w:p>
        </w:tc>
      </w:tr>
      <w:tr w:rsidRPr="00371303" w:rsidR="00371303" w:rsidTr="00371303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371303" w:rsidR="00371303" w:rsidP="00371303" w:rsidRDefault="00371303">
            <w:pPr>
              <w:spacing w:after="0" w:line="240" w:lineRule="auto"/>
              <w:rPr>
                <w:rFonts w:ascii="Verdana" w:hAnsi="Verdana" w:eastAsia="Calibri" w:cs="Times New Roman"/>
                <w:sz w:val="18"/>
                <w:szCs w:val="18"/>
              </w:rPr>
            </w:pP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71303" w:rsidR="00371303" w:rsidP="00371303" w:rsidRDefault="00371303">
            <w:pPr>
              <w:spacing w:after="240" w:line="240" w:lineRule="auto"/>
              <w:rPr>
                <w:rFonts w:ascii="Verdana" w:hAnsi="Verdana" w:eastAsia="Calibri" w:cs="Calibri"/>
                <w:sz w:val="18"/>
                <w:szCs w:val="18"/>
              </w:rPr>
            </w:pPr>
            <w:r w:rsidRPr="00371303">
              <w:rPr>
                <w:rFonts w:ascii="Verdana" w:hAnsi="Verdana" w:eastAsia="Calibri" w:cs="Calibri"/>
                <w:sz w:val="18"/>
                <w:szCs w:val="18"/>
              </w:rPr>
              <w:t>Voorstel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71303" w:rsidR="00371303" w:rsidP="00371303" w:rsidRDefault="00522D53">
            <w:pPr>
              <w:spacing w:after="240" w:line="240" w:lineRule="auto"/>
              <w:rPr>
                <w:rFonts w:ascii="Verdana" w:hAnsi="Verdana" w:eastAsia="Calibri" w:cs="Calibri"/>
                <w:bCs/>
                <w:sz w:val="18"/>
                <w:szCs w:val="18"/>
              </w:rPr>
            </w:pPr>
            <w:r w:rsidRPr="00522D53">
              <w:rPr>
                <w:rFonts w:ascii="Verdana" w:hAnsi="Verdana" w:eastAsia="Calibri" w:cs="Calibri"/>
                <w:bCs/>
                <w:sz w:val="18"/>
                <w:szCs w:val="18"/>
              </w:rPr>
              <w:t>Voor kennisgeving aannemen</w:t>
            </w:r>
            <w:r w:rsidR="009603B0">
              <w:rPr>
                <w:rFonts w:ascii="Verdana" w:hAnsi="Verdana" w:eastAsia="Calibri" w:cs="Calibri"/>
                <w:bCs/>
                <w:sz w:val="18"/>
                <w:szCs w:val="18"/>
              </w:rPr>
              <w:t>.</w:t>
            </w:r>
          </w:p>
        </w:tc>
      </w:tr>
      <w:tr w:rsidRPr="00371303" w:rsidR="00371303" w:rsidTr="00371303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371303" w:rsidR="00371303" w:rsidP="00371303" w:rsidRDefault="00371303">
            <w:pPr>
              <w:spacing w:after="0" w:line="240" w:lineRule="auto"/>
              <w:rPr>
                <w:rFonts w:ascii="Verdana" w:hAnsi="Verdana" w:eastAsia="Calibri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71303" w:rsidR="00371303" w:rsidP="00371303" w:rsidRDefault="00371303">
            <w:pPr>
              <w:spacing w:after="240" w:line="240" w:lineRule="auto"/>
              <w:rPr>
                <w:rFonts w:ascii="Verdana" w:hAnsi="Verdana" w:eastAsia="Calibri" w:cs="Calibri"/>
                <w:i/>
                <w:iCs/>
                <w:sz w:val="18"/>
                <w:szCs w:val="18"/>
              </w:rPr>
            </w:pPr>
            <w:r w:rsidRPr="00371303">
              <w:rPr>
                <w:rFonts w:ascii="Verdana" w:hAnsi="Verdana" w:eastAsia="Calibri" w:cs="Calibri"/>
                <w:i/>
                <w:iCs/>
                <w:sz w:val="18"/>
                <w:szCs w:val="18"/>
              </w:rPr>
              <w:t>Noot</w:t>
            </w:r>
          </w:p>
        </w:tc>
        <w:tc>
          <w:tcPr>
            <w:tcW w:w="6314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71303" w:rsidR="00371303" w:rsidP="00522D53" w:rsidRDefault="00371303">
            <w:pPr>
              <w:spacing w:after="240" w:line="240" w:lineRule="auto"/>
              <w:jc w:val="both"/>
              <w:rPr>
                <w:rFonts w:ascii="Verdana" w:hAnsi="Verdana" w:eastAsia="Calibri" w:cs="Calibri"/>
                <w:i/>
                <w:iCs/>
                <w:sz w:val="18"/>
                <w:szCs w:val="18"/>
              </w:rPr>
            </w:pPr>
            <w:r w:rsidRPr="00012B40">
              <w:rPr>
                <w:rFonts w:ascii="Verdana" w:hAnsi="Verdana" w:eastAsia="Calibri" w:cs="Calibri"/>
                <w:bCs/>
                <w:i/>
                <w:sz w:val="18"/>
                <w:szCs w:val="18"/>
              </w:rPr>
              <w:t>Het voorstel breidt de richtlijn voor een Europese Gehandicaptenkaart voor burgers uit de EU-lidstaten uit naar onderdanen van derde landen met een handicap.</w:t>
            </w:r>
            <w:r w:rsidRPr="00012B40" w:rsidR="00522D53">
              <w:rPr>
                <w:rFonts w:ascii="Verdana" w:hAnsi="Verdana" w:eastAsia="Calibri" w:cs="Calibri"/>
                <w:bCs/>
                <w:i/>
                <w:sz w:val="18"/>
                <w:szCs w:val="18"/>
              </w:rPr>
              <w:t xml:space="preserve"> Hiermee kunnen derde</w:t>
            </w:r>
            <w:r w:rsidRPr="00012B40">
              <w:rPr>
                <w:rFonts w:ascii="Verdana" w:hAnsi="Verdana" w:eastAsia="Calibri" w:cs="Calibri"/>
                <w:bCs/>
                <w:i/>
                <w:sz w:val="18"/>
                <w:szCs w:val="18"/>
              </w:rPr>
              <w:t xml:space="preserve">landers die legaal op Europees grondgebied verblijven en </w:t>
            </w:r>
            <w:r w:rsidRPr="00012B40" w:rsidR="00522D53">
              <w:rPr>
                <w:rFonts w:ascii="Verdana" w:hAnsi="Verdana" w:eastAsia="Calibri" w:cs="Calibri"/>
                <w:bCs/>
                <w:i/>
                <w:sz w:val="18"/>
                <w:szCs w:val="18"/>
              </w:rPr>
              <w:t xml:space="preserve">beschikken over </w:t>
            </w:r>
            <w:r w:rsidRPr="00012B40">
              <w:rPr>
                <w:rFonts w:ascii="Verdana" w:hAnsi="Verdana" w:eastAsia="Calibri" w:cs="Calibri"/>
                <w:bCs/>
                <w:i/>
                <w:sz w:val="18"/>
                <w:szCs w:val="18"/>
              </w:rPr>
              <w:t>e</w:t>
            </w:r>
            <w:r w:rsidRPr="00012B40" w:rsidR="00522D53">
              <w:rPr>
                <w:rFonts w:ascii="Verdana" w:hAnsi="Verdana" w:eastAsia="Calibri" w:cs="Calibri"/>
                <w:bCs/>
                <w:i/>
                <w:sz w:val="18"/>
                <w:szCs w:val="18"/>
              </w:rPr>
              <w:t>en erkende gehandicaptenstatus dezelfde rechten hebben als inwoners van de lidst</w:t>
            </w:r>
            <w:r w:rsidR="00953EE1">
              <w:rPr>
                <w:rFonts w:ascii="Verdana" w:hAnsi="Verdana" w:eastAsia="Calibri" w:cs="Calibri"/>
                <w:bCs/>
                <w:i/>
                <w:sz w:val="18"/>
                <w:szCs w:val="18"/>
              </w:rPr>
              <w:t>aat met een gehandicaptenstatus</w:t>
            </w:r>
            <w:r w:rsidR="009603B0">
              <w:rPr>
                <w:rFonts w:ascii="Verdana" w:hAnsi="Verdana" w:eastAsia="Calibri" w:cs="Calibri"/>
                <w:bCs/>
                <w:i/>
                <w:sz w:val="18"/>
                <w:szCs w:val="18"/>
              </w:rPr>
              <w:t>.</w:t>
            </w:r>
            <w:r w:rsidRPr="00012B40" w:rsidR="00522D53">
              <w:rPr>
                <w:rFonts w:ascii="Verdana" w:hAnsi="Verdana" w:eastAsia="Calibri" w:cs="Calibri"/>
                <w:bCs/>
                <w:i/>
                <w:sz w:val="18"/>
                <w:szCs w:val="18"/>
              </w:rPr>
              <w:t xml:space="preserve"> </w:t>
            </w:r>
          </w:p>
        </w:tc>
      </w:tr>
    </w:tbl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134"/>
        <w:gridCol w:w="6378"/>
      </w:tblGrid>
      <w:tr w:rsidRPr="009B28BF" w:rsidR="00824993" w:rsidTr="00EA5CE8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2D53" w:rsidR="00824993" w:rsidP="00824993" w:rsidRDefault="00522D53">
            <w:pPr>
              <w:rPr>
                <w:rFonts w:ascii="Verdana" w:hAnsi="Verdana"/>
                <w:sz w:val="18"/>
                <w:szCs w:val="18"/>
              </w:rPr>
            </w:pPr>
            <w:r w:rsidRPr="00522D53">
              <w:rPr>
                <w:rFonts w:ascii="Verdana" w:hAnsi="Verdana"/>
                <w:sz w:val="18"/>
                <w:szCs w:val="18"/>
              </w:rPr>
              <w:t>2.</w:t>
            </w:r>
            <w:r w:rsidRPr="00522D53" w:rsidR="00824993">
              <w:rPr>
                <w:rFonts w:ascii="Verdana" w:hAnsi="Verdana"/>
                <w:sz w:val="18"/>
                <w:szCs w:val="18"/>
              </w:rPr>
              <w:t>   </w:t>
            </w: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2D53" w:rsidR="00824993" w:rsidP="00824993" w:rsidRDefault="00824993">
            <w:pPr>
              <w:rPr>
                <w:rFonts w:ascii="Verdana" w:hAnsi="Verdana"/>
                <w:sz w:val="18"/>
                <w:szCs w:val="18"/>
              </w:rPr>
            </w:pPr>
            <w:r w:rsidRPr="00522D53">
              <w:rPr>
                <w:rFonts w:ascii="Verdana" w:hAnsi="Verdana"/>
                <w:sz w:val="18"/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2D53" w:rsidR="00824993" w:rsidP="00824993" w:rsidRDefault="00824993">
            <w:pPr>
              <w:rPr>
                <w:rFonts w:ascii="Verdana" w:hAnsi="Verdana"/>
                <w:sz w:val="18"/>
                <w:szCs w:val="18"/>
              </w:rPr>
            </w:pPr>
            <w:r w:rsidRPr="00522D53">
              <w:rPr>
                <w:rFonts w:ascii="Verdana" w:hAnsi="Verdana"/>
                <w:sz w:val="18"/>
                <w:szCs w:val="18"/>
              </w:rPr>
              <w:t xml:space="preserve">Health </w:t>
            </w:r>
            <w:proofErr w:type="spellStart"/>
            <w:r w:rsidRPr="00522D53">
              <w:rPr>
                <w:rFonts w:ascii="Verdana" w:hAnsi="Verdana"/>
                <w:sz w:val="18"/>
                <w:szCs w:val="18"/>
              </w:rPr>
              <w:t>Emergency</w:t>
            </w:r>
            <w:proofErr w:type="spellEnd"/>
            <w:r w:rsidRPr="00522D5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22D53">
              <w:rPr>
                <w:rFonts w:ascii="Verdana" w:hAnsi="Verdana"/>
                <w:sz w:val="18"/>
                <w:szCs w:val="18"/>
              </w:rPr>
              <w:t>Preparedness</w:t>
            </w:r>
            <w:proofErr w:type="spellEnd"/>
            <w:r w:rsidRPr="00522D5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22D53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522D53">
              <w:rPr>
                <w:rFonts w:ascii="Verdana" w:hAnsi="Verdana"/>
                <w:sz w:val="18"/>
                <w:szCs w:val="18"/>
              </w:rPr>
              <w:t xml:space="preserve"> Response </w:t>
            </w:r>
            <w:proofErr w:type="spellStart"/>
            <w:r w:rsidRPr="00522D53">
              <w:rPr>
                <w:rFonts w:ascii="Verdana" w:hAnsi="Verdana"/>
                <w:sz w:val="18"/>
                <w:szCs w:val="18"/>
              </w:rPr>
              <w:t>Authority</w:t>
            </w:r>
            <w:proofErr w:type="spellEnd"/>
            <w:r w:rsidRPr="00522D53">
              <w:rPr>
                <w:rFonts w:ascii="Verdana" w:hAnsi="Verdana"/>
                <w:sz w:val="18"/>
                <w:szCs w:val="18"/>
              </w:rPr>
              <w:t xml:space="preserve"> (HERA) – review - </w:t>
            </w:r>
            <w:hyperlink w:history="1" r:id="rId7">
              <w:r w:rsidRPr="00522D53">
                <w:rPr>
                  <w:rFonts w:ascii="Verdana" w:hAnsi="Verdana"/>
                  <w:color w:val="0000FF"/>
                  <w:sz w:val="18"/>
                  <w:szCs w:val="18"/>
                  <w:u w:val="single"/>
                </w:rPr>
                <w:t>Raadpleging</w:t>
              </w:r>
            </w:hyperlink>
          </w:p>
        </w:tc>
      </w:tr>
      <w:tr w:rsidRPr="009B28BF" w:rsidR="00824993" w:rsidTr="00EA5CE8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522D53" w:rsidR="00824993" w:rsidP="00824993" w:rsidRDefault="008249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2D53" w:rsidR="00824993" w:rsidP="00371303" w:rsidRDefault="00824993">
            <w:pPr>
              <w:rPr>
                <w:rFonts w:ascii="Verdana" w:hAnsi="Verdana"/>
                <w:sz w:val="18"/>
                <w:szCs w:val="18"/>
              </w:rPr>
            </w:pPr>
            <w:r w:rsidRPr="00522D53">
              <w:rPr>
                <w:rFonts w:ascii="Verdana" w:hAnsi="Verdana"/>
                <w:sz w:val="18"/>
                <w:szCs w:val="18"/>
              </w:rPr>
              <w:t>Voor</w:t>
            </w:r>
            <w:r w:rsidRPr="00522D53" w:rsidR="00371303">
              <w:rPr>
                <w:rFonts w:ascii="Verdana" w:hAnsi="Verdana"/>
                <w:sz w:val="18"/>
                <w:szCs w:val="18"/>
              </w:rPr>
              <w:t>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2D53" w:rsidR="00824993" w:rsidP="00824993" w:rsidRDefault="00522D53">
            <w:pPr>
              <w:rPr>
                <w:rFonts w:ascii="Verdana" w:hAnsi="Verdana"/>
                <w:sz w:val="18"/>
                <w:szCs w:val="18"/>
              </w:rPr>
            </w:pPr>
            <w:r w:rsidRPr="00522D53">
              <w:rPr>
                <w:rFonts w:ascii="Verdana" w:hAnsi="Verdana"/>
                <w:sz w:val="18"/>
                <w:szCs w:val="18"/>
              </w:rPr>
              <w:t>Voor kennisgeving aannemen.</w:t>
            </w:r>
          </w:p>
        </w:tc>
      </w:tr>
      <w:tr w:rsidRPr="009B28BF" w:rsidR="00824993" w:rsidTr="00EA5CE8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522D53" w:rsidR="00824993" w:rsidP="00824993" w:rsidRDefault="008249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12B40" w:rsidR="00824993" w:rsidP="00824993" w:rsidRDefault="00371303">
            <w:pPr>
              <w:rPr>
                <w:rFonts w:ascii="Verdana" w:hAnsi="Verdana"/>
                <w:i/>
                <w:sz w:val="18"/>
                <w:szCs w:val="18"/>
              </w:rPr>
            </w:pPr>
            <w:r w:rsidRPr="00012B40">
              <w:rPr>
                <w:rFonts w:ascii="Verdana" w:hAnsi="Verdana"/>
                <w:i/>
                <w:sz w:val="18"/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12B40" w:rsidR="00824993" w:rsidP="00012B40" w:rsidRDefault="00012B40">
            <w:pPr>
              <w:rPr>
                <w:rFonts w:ascii="Verdana" w:hAnsi="Verdana"/>
                <w:i/>
                <w:sz w:val="18"/>
                <w:szCs w:val="18"/>
              </w:rPr>
            </w:pPr>
            <w:r w:rsidRPr="00012B40">
              <w:rPr>
                <w:rFonts w:ascii="Verdana" w:hAnsi="Verdana"/>
                <w:i/>
                <w:sz w:val="18"/>
                <w:szCs w:val="18"/>
              </w:rPr>
              <w:t>Met de raadpleging roept de Europese Commissie op om feedback te leveren op</w:t>
            </w:r>
            <w:r w:rsidRPr="00012B40" w:rsidR="00522D53">
              <w:rPr>
                <w:rFonts w:ascii="Verdana" w:hAnsi="Verdana"/>
                <w:i/>
                <w:sz w:val="18"/>
                <w:szCs w:val="18"/>
              </w:rPr>
              <w:t xml:space="preserve"> de in 2021 opgerichte </w:t>
            </w:r>
            <w:r w:rsidR="00953EE1">
              <w:rPr>
                <w:rFonts w:ascii="Verdana" w:hAnsi="Verdana"/>
                <w:i/>
                <w:sz w:val="18"/>
                <w:szCs w:val="18"/>
              </w:rPr>
              <w:t>HERA</w:t>
            </w:r>
            <w:r w:rsidR="009603B0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</w:tbl>
    <w:p w:rsidRPr="009B28BF" w:rsidR="00824993" w:rsidP="00824993" w:rsidRDefault="00824993">
      <w:pPr>
        <w:rPr>
          <w:rFonts w:ascii="Calibri" w:hAnsi="Calibri" w:cs="Calibri"/>
          <w:lang w:eastAsia="nl-N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9B28BF" w:rsidR="00824993" w:rsidTr="00EA5CE8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28BF" w:rsidR="00824993" w:rsidP="00824993" w:rsidRDefault="00522D5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82499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B28BF" w:rsidR="00824993" w:rsidP="00824993" w:rsidRDefault="00824993">
            <w:pPr>
              <w:rPr>
                <w:rFonts w:ascii="Verdana" w:hAnsi="Verdana"/>
                <w:sz w:val="18"/>
                <w:szCs w:val="18"/>
                <w:lang w:eastAsia="nl-NL"/>
              </w:rPr>
            </w:pPr>
            <w:r w:rsidRPr="009B28BF">
              <w:rPr>
                <w:rFonts w:ascii="Verdana" w:hAnsi="Verdana"/>
                <w:sz w:val="18"/>
                <w:szCs w:val="18"/>
                <w:lang w:eastAsia="nl-NL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B28BF" w:rsidR="00824993" w:rsidP="00824993" w:rsidRDefault="00824993">
            <w:pPr>
              <w:rPr>
                <w:rFonts w:ascii="Verdana" w:hAnsi="Verdana"/>
                <w:sz w:val="18"/>
                <w:szCs w:val="18"/>
                <w:lang w:eastAsia="nl-NL"/>
              </w:rPr>
            </w:pPr>
            <w:r w:rsidRPr="009B28BF">
              <w:rPr>
                <w:rFonts w:ascii="Verdana" w:hAnsi="Verdana"/>
                <w:sz w:val="18"/>
                <w:szCs w:val="18"/>
                <w:lang w:eastAsia="nl-NL"/>
              </w:rPr>
              <w:t xml:space="preserve">COMMUNICATION FROM THE COMMISSION TO THE EUROPEAN PARLIAMENT, THE COUNCIL, THE EUROPEAN ECONOMIC AND SOCIAL COMMITTEE AND THE COMMITTEE OF THE REGIONS </w:t>
            </w:r>
            <w:proofErr w:type="spellStart"/>
            <w:r w:rsidRPr="009B28BF">
              <w:rPr>
                <w:rFonts w:ascii="Verdana" w:hAnsi="Verdana"/>
                <w:sz w:val="18"/>
                <w:szCs w:val="18"/>
                <w:lang w:eastAsia="nl-NL"/>
              </w:rPr>
              <w:t>Addressing</w:t>
            </w:r>
            <w:proofErr w:type="spellEnd"/>
            <w:r w:rsidRPr="009B28BF">
              <w:rPr>
                <w:rFonts w:ascii="Verdana" w:hAnsi="Verdana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9B28BF">
              <w:rPr>
                <w:rFonts w:ascii="Verdana" w:hAnsi="Verdana"/>
                <w:sz w:val="18"/>
                <w:szCs w:val="18"/>
                <w:lang w:eastAsia="nl-NL"/>
              </w:rPr>
              <w:t>medicine</w:t>
            </w:r>
            <w:proofErr w:type="spellEnd"/>
            <w:r w:rsidRPr="009B28BF">
              <w:rPr>
                <w:rFonts w:ascii="Verdana" w:hAnsi="Verdana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9B28BF">
              <w:rPr>
                <w:rFonts w:ascii="Verdana" w:hAnsi="Verdana"/>
                <w:sz w:val="18"/>
                <w:szCs w:val="18"/>
                <w:lang w:eastAsia="nl-NL"/>
              </w:rPr>
              <w:t>shortages</w:t>
            </w:r>
            <w:proofErr w:type="spellEnd"/>
            <w:r w:rsidRPr="009B28BF">
              <w:rPr>
                <w:rFonts w:ascii="Verdana" w:hAnsi="Verdana"/>
                <w:sz w:val="18"/>
                <w:szCs w:val="18"/>
                <w:lang w:eastAsia="nl-NL"/>
              </w:rPr>
              <w:t xml:space="preserve"> in </w:t>
            </w:r>
            <w:proofErr w:type="spellStart"/>
            <w:r w:rsidRPr="009B28BF">
              <w:rPr>
                <w:rFonts w:ascii="Verdana" w:hAnsi="Verdana"/>
                <w:sz w:val="18"/>
                <w:szCs w:val="18"/>
                <w:lang w:eastAsia="nl-NL"/>
              </w:rPr>
              <w:t>the</w:t>
            </w:r>
            <w:proofErr w:type="spellEnd"/>
            <w:r w:rsidRPr="009B28BF">
              <w:rPr>
                <w:rFonts w:ascii="Verdana" w:hAnsi="Verdana"/>
                <w:sz w:val="18"/>
                <w:szCs w:val="18"/>
                <w:lang w:eastAsia="nl-NL"/>
              </w:rPr>
              <w:t xml:space="preserve"> EU </w:t>
            </w:r>
            <w:hyperlink w:history="1" r:id="rId8">
              <w:r w:rsidRPr="009B28BF">
                <w:rPr>
                  <w:rFonts w:ascii="Verdana" w:hAnsi="Verdana"/>
                  <w:color w:val="0000FF"/>
                  <w:sz w:val="18"/>
                  <w:szCs w:val="18"/>
                  <w:u w:val="single"/>
                  <w:lang w:eastAsia="nl-NL"/>
                </w:rPr>
                <w:t>COM(2023)672</w:t>
              </w:r>
            </w:hyperlink>
          </w:p>
        </w:tc>
      </w:tr>
      <w:tr w:rsidRPr="009B28BF" w:rsidR="00824993" w:rsidTr="00EA5CE8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9B28BF" w:rsidR="00824993" w:rsidP="00824993" w:rsidRDefault="008249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B28BF" w:rsidR="00824993" w:rsidP="00371303" w:rsidRDefault="00824993">
            <w:pPr>
              <w:rPr>
                <w:rFonts w:ascii="Verdana" w:hAnsi="Verdana"/>
                <w:sz w:val="18"/>
                <w:szCs w:val="18"/>
                <w:lang w:eastAsia="nl-NL"/>
              </w:rPr>
            </w:pPr>
            <w:r w:rsidRPr="009B28BF">
              <w:rPr>
                <w:rFonts w:ascii="Verdana" w:hAnsi="Verdana"/>
                <w:sz w:val="18"/>
                <w:szCs w:val="18"/>
                <w:lang w:eastAsia="nl-NL"/>
              </w:rPr>
              <w:t>Voor</w:t>
            </w:r>
            <w:r w:rsidR="00371303">
              <w:rPr>
                <w:rFonts w:ascii="Verdana" w:hAnsi="Verdana"/>
                <w:sz w:val="18"/>
                <w:szCs w:val="18"/>
                <w:lang w:eastAsia="nl-NL"/>
              </w:rPr>
              <w:t>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12B40" w:rsidR="00824993" w:rsidP="00824993" w:rsidRDefault="00012B40">
            <w:pPr>
              <w:rPr>
                <w:rFonts w:ascii="Verdana" w:hAnsi="Verdana"/>
                <w:bCs/>
                <w:sz w:val="18"/>
                <w:szCs w:val="18"/>
                <w:lang w:eastAsia="nl-NL"/>
              </w:rPr>
            </w:pPr>
            <w:r w:rsidRPr="00012B40">
              <w:rPr>
                <w:rFonts w:ascii="Verdana" w:hAnsi="Verdana"/>
                <w:bCs/>
                <w:sz w:val="18"/>
                <w:szCs w:val="18"/>
                <w:lang w:eastAsia="nl-NL"/>
              </w:rPr>
              <w:t xml:space="preserve">Behandelen bij schriftelijk overleg over het BNC-fiche op 17 januari. </w:t>
            </w:r>
          </w:p>
        </w:tc>
      </w:tr>
      <w:tr w:rsidRPr="009B28BF" w:rsidR="00824993" w:rsidTr="00EA5CE8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9B28BF" w:rsidR="00824993" w:rsidP="00824993" w:rsidRDefault="008249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71303" w:rsidR="00824993" w:rsidP="00824993" w:rsidRDefault="00371303">
            <w:pPr>
              <w:rPr>
                <w:rFonts w:ascii="Verdana" w:hAnsi="Verdana"/>
                <w:i/>
                <w:sz w:val="18"/>
                <w:szCs w:val="18"/>
                <w:lang w:eastAsia="nl-NL"/>
              </w:rPr>
            </w:pPr>
            <w:r w:rsidRPr="00371303">
              <w:rPr>
                <w:rFonts w:ascii="Verdana" w:hAnsi="Verdana"/>
                <w:i/>
                <w:sz w:val="18"/>
                <w:szCs w:val="18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53EE1" w:rsidR="00824993" w:rsidP="00824993" w:rsidRDefault="00953EE1">
            <w:pPr>
              <w:rPr>
                <w:rFonts w:ascii="Verdana" w:hAnsi="Verdana"/>
                <w:i/>
                <w:sz w:val="18"/>
                <w:szCs w:val="18"/>
                <w:lang w:eastAsia="nl-NL"/>
              </w:rPr>
            </w:pPr>
            <w:r w:rsidRPr="00953EE1">
              <w:rPr>
                <w:rFonts w:ascii="Verdana" w:hAnsi="Verdana"/>
                <w:i/>
                <w:sz w:val="18"/>
                <w:szCs w:val="18"/>
                <w:lang w:eastAsia="nl-NL"/>
              </w:rPr>
              <w:t>Het voorstel betreft een mededeling over maatregelen om op EU-niveau tekorten van geneesmiddele</w:t>
            </w: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>n te voorkomen en in te perken</w:t>
            </w:r>
            <w:r w:rsidR="009603B0">
              <w:rPr>
                <w:rFonts w:ascii="Verdana" w:hAnsi="Verdana"/>
                <w:i/>
                <w:sz w:val="18"/>
                <w:szCs w:val="18"/>
                <w:lang w:eastAsia="nl-NL"/>
              </w:rPr>
              <w:t>.</w:t>
            </w:r>
          </w:p>
        </w:tc>
      </w:tr>
    </w:tbl>
    <w:p w:rsidRPr="000E6AB6" w:rsidR="000E6AB6" w:rsidP="00824993" w:rsidRDefault="000E6AB6">
      <w:pPr>
        <w:rPr>
          <w:rFonts w:ascii="Verdana" w:hAnsi="Verdana"/>
          <w:sz w:val="18"/>
          <w:szCs w:val="18"/>
        </w:rPr>
      </w:pPr>
    </w:p>
    <w:p w:rsidRPr="000E6AB6" w:rsidR="000E6AB6" w:rsidP="00824993" w:rsidRDefault="000E6AB6">
      <w:pPr>
        <w:rPr>
          <w:rFonts w:ascii="Verdana" w:hAnsi="Verdana"/>
          <w:sz w:val="18"/>
          <w:szCs w:val="18"/>
        </w:rPr>
      </w:pPr>
    </w:p>
    <w:p w:rsidR="00BC109A" w:rsidRDefault="00BC109A"/>
    <w:sectPr w:rsidR="00BC109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B6"/>
    <w:rsid w:val="00012B40"/>
    <w:rsid w:val="000E6AB6"/>
    <w:rsid w:val="00352D66"/>
    <w:rsid w:val="00371303"/>
    <w:rsid w:val="004C42A7"/>
    <w:rsid w:val="00522D53"/>
    <w:rsid w:val="00824993"/>
    <w:rsid w:val="00953EE1"/>
    <w:rsid w:val="009603B0"/>
    <w:rsid w:val="009B28BF"/>
    <w:rsid w:val="00A81528"/>
    <w:rsid w:val="00BC109A"/>
    <w:rsid w:val="00E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7DA65-CC5E-4445-80D5-14D18139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NL/TXT/?uri=COM%3A2023%3A672%3AFIN&amp;qid=1698303435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law/better-regulation/have-your-say/initiatives/14035-Health-Emergency-Preparedness-and-Response-Authority-HERA-review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NL/TXT/?uri=CELEX%3A52023PC0698&amp;qid=1700050849525" TargetMode="External"/><Relationship Id="rId5" Type="http://schemas.openxmlformats.org/officeDocument/2006/relationships/hyperlink" Target="https://teamsites/commissie/euza/Nieuwe%20Voorstellen/Forms/AllItems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344</ap:Words>
  <ap:Characters>1893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2023-12-14T08:23:00.0000000Z</dcterms:created>
  <dcterms:modified xsi:type="dcterms:W3CDTF">2023-12-14T08:23:00.0000000Z</dcterms:modified>
  <version/>
  <category/>
</coreProperties>
</file>