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9859DA" w:rsidTr="009859DA" w14:paraId="5BAD246A" w14:textId="77777777">
        <w:sdt>
          <w:sdtPr>
            <w:tag w:val="bmZaakNummerAdvies"/>
            <w:id w:val="-602332890"/>
            <w:lock w:val="sdtLocked"/>
            <w:placeholder>
              <w:docPart w:val="DefaultPlaceholder_-1854013440"/>
            </w:placeholder>
          </w:sdtPr>
          <w:sdtEndPr/>
          <w:sdtContent>
            <w:tc>
              <w:tcPr>
                <w:tcW w:w="4251" w:type="dxa"/>
              </w:tcPr>
              <w:p w:rsidR="009859DA" w:rsidRDefault="009859DA" w14:paraId="385DA7E0" w14:textId="33BE8168">
                <w:r>
                  <w:t>No. W12.23.00173/III</w:t>
                </w:r>
              </w:p>
            </w:tc>
          </w:sdtContent>
        </w:sdt>
        <w:sdt>
          <w:sdtPr>
            <w:tag w:val="bmDatumAdvies"/>
            <w:id w:val="-1006744566"/>
            <w:lock w:val="sdtLocked"/>
            <w:placeholder>
              <w:docPart w:val="DefaultPlaceholder_-1854013440"/>
            </w:placeholder>
          </w:sdtPr>
          <w:sdtEndPr/>
          <w:sdtContent>
            <w:tc>
              <w:tcPr>
                <w:tcW w:w="4252" w:type="dxa"/>
              </w:tcPr>
              <w:p w:rsidR="009859DA" w:rsidRDefault="009859DA" w14:paraId="7BFE0906" w14:textId="33A3A330">
                <w:r>
                  <w:t>'s-Gravenhage, 20 september 2023</w:t>
                </w:r>
              </w:p>
            </w:tc>
          </w:sdtContent>
        </w:sdt>
      </w:tr>
    </w:tbl>
    <w:p w:rsidR="009859DA" w:rsidRDefault="009859DA" w14:paraId="1FEC76B8" w14:textId="77777777"/>
    <w:p w:rsidR="009859DA" w:rsidRDefault="009859DA" w14:paraId="229A1BCE" w14:textId="77777777"/>
    <w:p w:rsidR="00920A73" w:rsidRDefault="00150876" w14:paraId="6FBE5FEF" w14:textId="05D6E0E2">
      <w:sdt>
        <w:sdtPr>
          <w:tag w:val="bmAanhef"/>
          <w:id w:val="1999997848"/>
          <w:lock w:val="sdtLocked"/>
          <w:placeholder>
            <w:docPart w:val="DefaultPlaceholder_-1854013440"/>
          </w:placeholder>
        </w:sdtPr>
        <w:sdtEndPr/>
        <w:sdtContent>
          <w:r w:rsidR="009859DA">
            <w:rPr>
              <w:color w:val="000000"/>
            </w:rPr>
            <w:t>Bij Kabinetsmissive van 11 juli 2023, no.2023001687, heeft Uwe Majesteit, op voordracht van de Minister van Sociale Zaken en Werkgelegenheid, bij de Afdeling advisering van de Raad van State ter overweging aanhangig gemaakt het voorstel van wet houdende wijziging van de Wet tegemoetkomingen loondomein teneinde het lage inkomensvoordeel te laten vervallen en in verband met enkele andere wijzigingen, met memorie van toelichting.</w:t>
          </w:r>
        </w:sdtContent>
      </w:sdt>
    </w:p>
    <w:p w:rsidR="00920A73" w:rsidRDefault="00920A73" w14:paraId="6FBE5FF0" w14:textId="77777777"/>
    <w:sdt>
      <w:sdtPr>
        <w:tag w:val="bmVrijeTekst1"/>
        <w:id w:val="-1456872622"/>
        <w:lock w:val="sdtLocked"/>
        <w:placeholder>
          <w:docPart w:val="DefaultPlaceholder_-1854013440"/>
        </w:placeholder>
      </w:sdtPr>
      <w:sdtEndPr/>
      <w:sdtContent>
        <w:p w:rsidR="00C11F42" w:rsidRDefault="004A50F7" w14:paraId="2602F4CF" w14:textId="3C0F4C11">
          <w:r>
            <w:t xml:space="preserve">Het wetsvoorstel voorziet in de afschaffing van het lage-inkomensvoordeel </w:t>
          </w:r>
          <w:r w:rsidR="0082051F">
            <w:t xml:space="preserve">(LIV) </w:t>
          </w:r>
          <w:r w:rsidR="00DF4794">
            <w:t>voor werkgevers. Daarnaast voorziet het voorstel in een wijziging van het loonkostenvoordeel</w:t>
          </w:r>
          <w:r w:rsidR="007625D0">
            <w:t xml:space="preserve"> </w:t>
          </w:r>
          <w:r w:rsidR="00B10CE2">
            <w:t>‘</w:t>
          </w:r>
          <w:r w:rsidR="007625D0">
            <w:t>herplaatsen arbeidsgehandicapte werknemer’</w:t>
          </w:r>
          <w:r w:rsidR="009A4244">
            <w:t xml:space="preserve">. Hierdoor </w:t>
          </w:r>
          <w:r w:rsidR="00493FCA">
            <w:t xml:space="preserve">zullen meer werknemers met een arbeidshandicap onder de doelgroep </w:t>
          </w:r>
          <w:r w:rsidR="00C11F42">
            <w:t>van dit loonkostenvoordeel vallen.</w:t>
          </w:r>
        </w:p>
        <w:p w:rsidR="00C11F42" w:rsidRDefault="00C11F42" w14:paraId="71F0C10C" w14:textId="77777777"/>
        <w:p w:rsidR="006B300B" w:rsidRDefault="00C11F42" w14:paraId="68E12C9E" w14:textId="6B824A1A">
          <w:r>
            <w:t xml:space="preserve">De Afdeling advisering van de Raad van State </w:t>
          </w:r>
          <w:r w:rsidR="00B10CE2">
            <w:t>merk</w:t>
          </w:r>
          <w:r w:rsidR="00D37F22">
            <w:t xml:space="preserve">t </w:t>
          </w:r>
          <w:r w:rsidR="00FF7A1F">
            <w:t>op</w:t>
          </w:r>
          <w:r w:rsidR="002C7B4F">
            <w:t xml:space="preserve"> dat de verhouding van de afschaffing van het LIV tot het eigendomsrecht</w:t>
          </w:r>
          <w:r w:rsidR="008864EA">
            <w:t xml:space="preserve"> </w:t>
          </w:r>
          <w:r w:rsidR="002C7B4F">
            <w:t xml:space="preserve">nadere motivering behoeft. In verband hiermee is aanpassing van de toelichting </w:t>
          </w:r>
          <w:r w:rsidR="00F86E63">
            <w:t xml:space="preserve">nodig. </w:t>
          </w:r>
        </w:p>
        <w:p w:rsidR="00F86E63" w:rsidRDefault="00F86E63" w14:paraId="3B8532F2" w14:textId="77777777"/>
        <w:p w:rsidR="00F86E63" w:rsidRDefault="00F86E63" w14:paraId="5B5EA947" w14:textId="3083B41C">
          <w:r>
            <w:t xml:space="preserve">1. </w:t>
          </w:r>
          <w:r>
            <w:tab/>
          </w:r>
          <w:r>
            <w:rPr>
              <w:u w:val="single"/>
            </w:rPr>
            <w:t>Inleiding</w:t>
          </w:r>
        </w:p>
        <w:p w:rsidR="00F86E63" w:rsidRDefault="00F86E63" w14:paraId="5781F530" w14:textId="5565B32C"/>
        <w:p w:rsidR="00F86E63" w:rsidRDefault="00D75109" w14:paraId="4DEE2718" w14:textId="0AE7F295">
          <w:r>
            <w:t>Het wetsvoorstel regelt onder andere d</w:t>
          </w:r>
          <w:r w:rsidR="003D548C">
            <w:t>e afschaffing van het LIV. Het LIV</w:t>
          </w:r>
          <w:r w:rsidR="001E40AF">
            <w:t xml:space="preserve"> is een tegemoetkoming in de loonkosten voor werkgevers die werknemers met een inkomen op of net boven het wettelijk minimumloon in dienst hebben.</w:t>
          </w:r>
          <w:r w:rsidR="001E40AF">
            <w:rPr>
              <w:rStyle w:val="Voetnootmarkering"/>
            </w:rPr>
            <w:footnoteReference w:id="2"/>
          </w:r>
          <w:r w:rsidR="001E40AF">
            <w:t xml:space="preserve"> </w:t>
          </w:r>
          <w:r w:rsidR="003D6E15">
            <w:t>Daarnaast moet</w:t>
          </w:r>
          <w:r w:rsidR="004D5885">
            <w:t xml:space="preserve">en </w:t>
          </w:r>
          <w:r w:rsidR="003D6E15">
            <w:t>voor de w</w:t>
          </w:r>
          <w:r w:rsidR="00E9405E">
            <w:t xml:space="preserve">erknemer </w:t>
          </w:r>
          <w:r w:rsidR="004D5885">
            <w:t xml:space="preserve">per jaar </w:t>
          </w:r>
          <w:r w:rsidR="00C57AFA">
            <w:t xml:space="preserve">minimaal 1248 </w:t>
          </w:r>
          <w:proofErr w:type="spellStart"/>
          <w:r w:rsidR="004D5885">
            <w:t>verloonde</w:t>
          </w:r>
          <w:proofErr w:type="spellEnd"/>
          <w:r w:rsidR="004D5885">
            <w:t xml:space="preserve"> uren in de loonaangifte zijn opgenomen. </w:t>
          </w:r>
          <w:r w:rsidR="00EA4B64">
            <w:t>Het</w:t>
          </w:r>
          <w:r w:rsidR="0093366F">
            <w:t xml:space="preserve"> LIV wordt automatisch uitbetaald in het jaar </w:t>
          </w:r>
          <w:r w:rsidR="00C60865">
            <w:t>volgend op</w:t>
          </w:r>
          <w:r w:rsidR="00E471EE">
            <w:t xml:space="preserve"> het jaar </w:t>
          </w:r>
          <w:r w:rsidR="0093366F">
            <w:t xml:space="preserve">waarop het </w:t>
          </w:r>
          <w:r w:rsidR="00E471EE">
            <w:t>LIV</w:t>
          </w:r>
          <w:r w:rsidR="0093366F">
            <w:t xml:space="preserve"> betrekking heeft. </w:t>
          </w:r>
          <w:r w:rsidRPr="00750036" w:rsidR="00750036">
            <w:t xml:space="preserve">Het UWV berekent </w:t>
          </w:r>
          <w:r w:rsidR="00712D15">
            <w:t>de hoogte van h</w:t>
          </w:r>
          <w:r w:rsidRPr="00750036" w:rsidR="00750036">
            <w:t xml:space="preserve">et LIV aan de hand van de ingediende aangiften loonheffingen. </w:t>
          </w:r>
          <w:r w:rsidR="00BF7E51">
            <w:t xml:space="preserve">De Belastingdienst </w:t>
          </w:r>
          <w:r w:rsidR="00990172">
            <w:t xml:space="preserve">geeft op basis daarvan een </w:t>
          </w:r>
          <w:r w:rsidRPr="00750036" w:rsidR="00750036">
            <w:t>beschikking af.</w:t>
          </w:r>
        </w:p>
        <w:p w:rsidR="00990172" w:rsidRDefault="00990172" w14:paraId="677D95F6" w14:textId="77777777"/>
        <w:p w:rsidR="00A3347A" w:rsidRDefault="00733452" w14:paraId="2F9D10F9" w14:textId="27810BDD">
          <w:r>
            <w:t xml:space="preserve">Uit evaluaties </w:t>
          </w:r>
          <w:r w:rsidR="00F62372">
            <w:t>blijkt dat het LIV</w:t>
          </w:r>
          <w:r>
            <w:t xml:space="preserve"> </w:t>
          </w:r>
          <w:r w:rsidRPr="001C049F" w:rsidR="001C049F">
            <w:t xml:space="preserve">maar in beperkte mate bijdraagt aan </w:t>
          </w:r>
          <w:r w:rsidR="003D543C">
            <w:t xml:space="preserve">de beoogde stimulering </w:t>
          </w:r>
          <w:r w:rsidRPr="001C049F" w:rsidR="001C049F">
            <w:t>van werkgevers om mensen met een laag inkomen in dienst te nemen en te houden</w:t>
          </w:r>
          <w:r w:rsidR="00FC3E37">
            <w:t>.</w:t>
          </w:r>
          <w:r w:rsidR="00FC3E37">
            <w:rPr>
              <w:rStyle w:val="Voetnootmarkering"/>
            </w:rPr>
            <w:footnoteReference w:id="3"/>
          </w:r>
          <w:r w:rsidR="00FC3E37">
            <w:t xml:space="preserve"> </w:t>
          </w:r>
          <w:r w:rsidR="00CB7C7E">
            <w:t>E</w:t>
          </w:r>
          <w:r w:rsidR="00230D5B">
            <w:t xml:space="preserve">erder </w:t>
          </w:r>
          <w:r w:rsidR="00DC1B28">
            <w:t xml:space="preserve">heeft </w:t>
          </w:r>
          <w:r w:rsidR="00311791">
            <w:t xml:space="preserve">het </w:t>
          </w:r>
          <w:r w:rsidR="000A182B">
            <w:t xml:space="preserve">kabinet </w:t>
          </w:r>
          <w:r w:rsidR="00F62372">
            <w:t>Rutte-III</w:t>
          </w:r>
          <w:r w:rsidR="00F2053F">
            <w:t xml:space="preserve"> </w:t>
          </w:r>
          <w:r w:rsidR="00DC1B28">
            <w:t>afgesproken het LIV als zodanig af te schaffen</w:t>
          </w:r>
          <w:r w:rsidR="0061038C">
            <w:t xml:space="preserve">, </w:t>
          </w:r>
          <w:r w:rsidR="00F6073B">
            <w:t xml:space="preserve">als uitwerking van </w:t>
          </w:r>
          <w:r w:rsidR="00767CC8">
            <w:t xml:space="preserve">de afspraken in </w:t>
          </w:r>
          <w:r w:rsidR="00F6073B">
            <w:t xml:space="preserve">het pensioenakkoord </w:t>
          </w:r>
          <w:r w:rsidR="00B618A4">
            <w:t>met werkgevers</w:t>
          </w:r>
          <w:r w:rsidR="0061038C">
            <w:t xml:space="preserve">. Vervolgens </w:t>
          </w:r>
          <w:r w:rsidR="000850FE">
            <w:t>is</w:t>
          </w:r>
          <w:r w:rsidR="00A01900">
            <w:t xml:space="preserve"> ook</w:t>
          </w:r>
          <w:r w:rsidR="000850FE">
            <w:t xml:space="preserve"> in het coalitieakkoord van </w:t>
          </w:r>
          <w:r w:rsidR="000A182B">
            <w:t>kabinet Rutte-IV</w:t>
          </w:r>
          <w:r w:rsidR="00230D5B">
            <w:t xml:space="preserve"> afgesproken het LIV af te schaffen. </w:t>
          </w:r>
          <w:r w:rsidR="00BB09AF">
            <w:t xml:space="preserve">Een deel van de vrijkomende middelen </w:t>
          </w:r>
          <w:r w:rsidR="00C417EA">
            <w:t xml:space="preserve">zullen worden aangewend om de gevolgen van het afschaffen van het LIV </w:t>
          </w:r>
          <w:r w:rsidR="0023186E">
            <w:t>te verzachten.</w:t>
          </w:r>
          <w:r w:rsidR="00A3347A">
            <w:rPr>
              <w:rStyle w:val="Voetnootmarkering"/>
            </w:rPr>
            <w:footnoteReference w:id="4"/>
          </w:r>
        </w:p>
        <w:p w:rsidR="00F86E63" w:rsidRDefault="00F86E63" w14:paraId="449BC85C" w14:textId="77777777"/>
        <w:p w:rsidR="009859DA" w:rsidRDefault="009859DA" w14:paraId="5F3A669C" w14:textId="77777777">
          <w:r>
            <w:br w:type="page"/>
          </w:r>
        </w:p>
        <w:p w:rsidR="00F86E63" w:rsidRDefault="00F86E63" w14:paraId="53B2591D" w14:textId="6EAF897D">
          <w:r>
            <w:lastRenderedPageBreak/>
            <w:t xml:space="preserve">2. </w:t>
          </w:r>
          <w:r>
            <w:tab/>
          </w:r>
          <w:r>
            <w:rPr>
              <w:u w:val="single"/>
            </w:rPr>
            <w:t>Verhouding tot het eigendomsrecht</w:t>
          </w:r>
        </w:p>
        <w:p w:rsidR="00F86E63" w:rsidRDefault="00F86E63" w14:paraId="137442E4" w14:textId="77777777"/>
        <w:p w:rsidR="005058B4" w:rsidRDefault="00336A93" w14:paraId="554AB585" w14:textId="2FA9DEB5">
          <w:r>
            <w:t xml:space="preserve">De toelichting </w:t>
          </w:r>
          <w:r w:rsidR="00820861">
            <w:t xml:space="preserve">stelt dat </w:t>
          </w:r>
          <w:r w:rsidR="00CA2CA1">
            <w:t>het LIV wordt gezien als eigendomsrecht in de zin van artikel 1 van het Eerste Protocol</w:t>
          </w:r>
          <w:r w:rsidR="00AC0501">
            <w:t xml:space="preserve"> </w:t>
          </w:r>
          <w:r w:rsidR="005579FB">
            <w:t>bij het Europees Verdrag voor de Rechten van de Mens</w:t>
          </w:r>
          <w:r w:rsidR="00B302B2">
            <w:t xml:space="preserve"> </w:t>
          </w:r>
          <w:r w:rsidR="00B14F31">
            <w:t xml:space="preserve">(EVRM) </w:t>
          </w:r>
          <w:r w:rsidR="00B302B2">
            <w:t>en dat afschaffing ervan daarom een inbreuk op dat eigendomsrecht</w:t>
          </w:r>
          <w:r w:rsidR="00B63395">
            <w:t xml:space="preserve"> is</w:t>
          </w:r>
          <w:r w:rsidR="005579FB">
            <w:t>.</w:t>
          </w:r>
          <w:r w:rsidR="002C28ED">
            <w:rPr>
              <w:rStyle w:val="Voetnootmarkering"/>
            </w:rPr>
            <w:footnoteReference w:id="5"/>
          </w:r>
          <w:r w:rsidR="006431F8">
            <w:t xml:space="preserve"> Verder vermeldt de toelichting dat de regering van mening is dat deze inbreuk op het eigendomsrecht gerechtvaardigd is. </w:t>
          </w:r>
          <w:r w:rsidR="005058B4">
            <w:t>Hiervoo</w:t>
          </w:r>
          <w:r w:rsidR="00CD3E3B">
            <w:t>r geeft de toelichting</w:t>
          </w:r>
          <w:r w:rsidR="005058B4">
            <w:t xml:space="preserve"> verschillende argumenten</w:t>
          </w:r>
          <w:r w:rsidR="00E61860">
            <w:t xml:space="preserve">, maar </w:t>
          </w:r>
          <w:r w:rsidR="00460D4E">
            <w:t xml:space="preserve">een uitdrukkelijke toetsing aan de voorwaarden </w:t>
          </w:r>
          <w:r w:rsidR="007111F5">
            <w:t>die</w:t>
          </w:r>
          <w:r w:rsidR="00460D4E">
            <w:t xml:space="preserve"> het </w:t>
          </w:r>
          <w:r w:rsidR="000064DE">
            <w:t xml:space="preserve">Europees Hof van de Rechten van de Mens </w:t>
          </w:r>
          <w:r w:rsidR="007D48FD">
            <w:t xml:space="preserve">(EHRM) </w:t>
          </w:r>
          <w:r w:rsidR="007111F5">
            <w:t xml:space="preserve">stelt, </w:t>
          </w:r>
          <w:r w:rsidR="00460D4E">
            <w:t>ontbreekt.</w:t>
          </w:r>
          <w:r w:rsidR="007D48FD">
            <w:t xml:space="preserve"> </w:t>
          </w:r>
        </w:p>
        <w:p w:rsidR="005058B4" w:rsidRDefault="005058B4" w14:paraId="36AE12D0" w14:textId="77777777"/>
        <w:p w:rsidR="002127FB" w:rsidRDefault="005058B4" w14:paraId="40811604" w14:textId="6B2165F4">
          <w:r>
            <w:t xml:space="preserve">De Afdeling </w:t>
          </w:r>
          <w:r w:rsidR="002127FB">
            <w:t xml:space="preserve">merkt op dat in de toelichting niet wordt gemotiveerd waarom sprake </w:t>
          </w:r>
          <w:r w:rsidR="00AC2E7D">
            <w:t>zou zijn</w:t>
          </w:r>
          <w:r w:rsidR="002127FB">
            <w:t xml:space="preserve"> van eigendom in de zin van artikel 1 Eerste Protocol EVRM. Deze voorvraag moet echter eerst worden beantwoord voordat een toetsing</w:t>
          </w:r>
          <w:r w:rsidR="00D03334">
            <w:t xml:space="preserve"> plaatsvindt van de gerechtvaardigdheid van </w:t>
          </w:r>
          <w:r w:rsidR="005246B1">
            <w:t>de</w:t>
          </w:r>
          <w:r w:rsidR="00D03334">
            <w:t xml:space="preserve"> eventuele inmenging.</w:t>
          </w:r>
          <w:r w:rsidR="00C72351">
            <w:t xml:space="preserve"> Daarbij wijst de Afdeling op het volgende.</w:t>
          </w:r>
        </w:p>
        <w:p w:rsidR="002127FB" w:rsidRDefault="002127FB" w14:paraId="60EC3DDA" w14:textId="77777777"/>
        <w:p w:rsidR="006B300B" w:rsidRDefault="002127FB" w14:paraId="59F58B76" w14:textId="73DF9540">
          <w:r>
            <w:t>V</w:t>
          </w:r>
          <w:r w:rsidR="00DA24C5">
            <w:t>an</w:t>
          </w:r>
          <w:r w:rsidR="0047455B">
            <w:t xml:space="preserve"> </w:t>
          </w:r>
          <w:r w:rsidR="00AD2AC4">
            <w:t xml:space="preserve">eigendom in de zin van </w:t>
          </w:r>
          <w:r w:rsidR="00720488">
            <w:t>a</w:t>
          </w:r>
          <w:r w:rsidR="00FC57F1">
            <w:t xml:space="preserve">rtikel </w:t>
          </w:r>
          <w:r w:rsidR="00B14F31">
            <w:t xml:space="preserve">1 </w:t>
          </w:r>
          <w:r w:rsidR="007B0717">
            <w:t xml:space="preserve">Eerste Protocol EVRM </w:t>
          </w:r>
          <w:r>
            <w:t xml:space="preserve">kan </w:t>
          </w:r>
          <w:r w:rsidR="00EB0393">
            <w:t xml:space="preserve">onder meer sprake zijn als </w:t>
          </w:r>
          <w:r w:rsidR="00AE3AA9">
            <w:t>wordt voldaan</w:t>
          </w:r>
          <w:r w:rsidR="00654B13">
            <w:t xml:space="preserve"> aan </w:t>
          </w:r>
          <w:r w:rsidR="00F369F0">
            <w:t xml:space="preserve">de voorwaarden </w:t>
          </w:r>
          <w:r w:rsidR="00864DE9">
            <w:t xml:space="preserve">van een nationale </w:t>
          </w:r>
          <w:r w:rsidR="00C62624">
            <w:t xml:space="preserve">wettelijke </w:t>
          </w:r>
          <w:r w:rsidR="00864DE9">
            <w:t>regeling om</w:t>
          </w:r>
          <w:r w:rsidR="00AE3AA9">
            <w:t xml:space="preserve"> aanspraak te maken op</w:t>
          </w:r>
          <w:r w:rsidR="00AB2903">
            <w:t xml:space="preserve"> een geldbedrag</w:t>
          </w:r>
          <w:r w:rsidR="00864DE9">
            <w:t>.</w:t>
          </w:r>
          <w:r w:rsidR="00EB0393">
            <w:t xml:space="preserve"> </w:t>
          </w:r>
          <w:r w:rsidR="005C7753">
            <w:t xml:space="preserve">Dit kan bijvoorbeeld </w:t>
          </w:r>
          <w:r w:rsidR="008F009D">
            <w:t xml:space="preserve">gaan om </w:t>
          </w:r>
          <w:r w:rsidR="005C7753">
            <w:t xml:space="preserve">een </w:t>
          </w:r>
          <w:r w:rsidR="00451F09">
            <w:t>belastingteruggave</w:t>
          </w:r>
          <w:r w:rsidR="0028348D">
            <w:rPr>
              <w:rStyle w:val="Voetnootmarkering"/>
            </w:rPr>
            <w:footnoteReference w:id="6"/>
          </w:r>
          <w:r w:rsidR="00451F09">
            <w:t xml:space="preserve"> of</w:t>
          </w:r>
          <w:r w:rsidR="00AE3AA9">
            <w:t xml:space="preserve"> een</w:t>
          </w:r>
          <w:r w:rsidR="00451F09">
            <w:t xml:space="preserve"> </w:t>
          </w:r>
          <w:r>
            <w:t xml:space="preserve">toegekende </w:t>
          </w:r>
          <w:r w:rsidR="00451F09">
            <w:t>subsidie</w:t>
          </w:r>
          <w:r w:rsidR="00DB580B">
            <w:rPr>
              <w:rStyle w:val="Voetnootmarkering"/>
            </w:rPr>
            <w:footnoteReference w:id="7"/>
          </w:r>
          <w:r w:rsidR="00DA7615">
            <w:t>.</w:t>
          </w:r>
          <w:r w:rsidR="00504B89">
            <w:t xml:space="preserve"> </w:t>
          </w:r>
          <w:r w:rsidR="00244262">
            <w:t>Onder</w:t>
          </w:r>
          <w:r w:rsidR="003875EE">
            <w:t xml:space="preserve"> de reikwijdte van artikel 1 Eerste Protocol EVRM </w:t>
          </w:r>
          <w:r w:rsidR="00244262">
            <w:t>vallen daarnaast</w:t>
          </w:r>
          <w:r w:rsidR="0029296B">
            <w:t xml:space="preserve"> gevallen waarin sprake is van gerechtvaardigde verwachtingen dat eigendom zal worden verworven</w:t>
          </w:r>
          <w:r w:rsidR="002B607E">
            <w:t xml:space="preserve">. </w:t>
          </w:r>
          <w:r w:rsidR="00A661A1">
            <w:t>Hierbij geldt in algemene zin dat ee</w:t>
          </w:r>
          <w:r w:rsidR="007B2A35">
            <w:t xml:space="preserve">n gerechtvaardigde </w:t>
          </w:r>
          <w:r w:rsidR="00174FA2">
            <w:t xml:space="preserve">verwachting moet zijn </w:t>
          </w:r>
          <w:r w:rsidR="007B2A35">
            <w:t xml:space="preserve">gebaseerd </w:t>
          </w:r>
          <w:r w:rsidR="00174FA2">
            <w:t>op een wettelijke bepaling of een ‘</w:t>
          </w:r>
          <w:proofErr w:type="spellStart"/>
          <w:r w:rsidR="00174FA2">
            <w:t>legal</w:t>
          </w:r>
          <w:proofErr w:type="spellEnd"/>
          <w:r w:rsidR="00174FA2">
            <w:t xml:space="preserve"> act’, zoals een rechterlijke uitspraak</w:t>
          </w:r>
          <w:r w:rsidR="00DA7615">
            <w:rPr>
              <w:rStyle w:val="Voetnootmarkering"/>
            </w:rPr>
            <w:footnoteReference w:id="8"/>
          </w:r>
          <w:r w:rsidR="00174FA2">
            <w:t xml:space="preserve"> of een </w:t>
          </w:r>
          <w:r w:rsidR="007B2A35">
            <w:t>schriftelijke beslissing</w:t>
          </w:r>
          <w:r w:rsidR="00174FA2">
            <w:t xml:space="preserve"> van de overheid</w:t>
          </w:r>
          <w:r w:rsidR="004E6372">
            <w:rPr>
              <w:rStyle w:val="Voetnootmarkering"/>
            </w:rPr>
            <w:footnoteReference w:id="9"/>
          </w:r>
          <w:r w:rsidR="001F7994">
            <w:t>.</w:t>
          </w:r>
          <w:r w:rsidR="00A7233F">
            <w:t xml:space="preserve"> </w:t>
          </w:r>
        </w:p>
        <w:p w:rsidR="00174FA2" w:rsidRDefault="00174FA2" w14:paraId="53EB56CC" w14:textId="77777777"/>
        <w:p w:rsidR="00DE7A20" w:rsidRDefault="007E7A3F" w14:paraId="68D4B717" w14:textId="44E0DCE1">
          <w:r>
            <w:t>H</w:t>
          </w:r>
          <w:r w:rsidR="00E55C36">
            <w:t xml:space="preserve">et LIV </w:t>
          </w:r>
          <w:r w:rsidR="002050CD">
            <w:t>is een geldelijke</w:t>
          </w:r>
          <w:r>
            <w:t xml:space="preserve"> </w:t>
          </w:r>
          <w:r w:rsidR="001D6DC8">
            <w:t xml:space="preserve">tegemoetkoming </w:t>
          </w:r>
          <w:r w:rsidR="002050CD">
            <w:t>die</w:t>
          </w:r>
          <w:r>
            <w:t xml:space="preserve"> jaarlijks </w:t>
          </w:r>
          <w:r w:rsidR="002050CD">
            <w:t xml:space="preserve">wordt </w:t>
          </w:r>
          <w:r>
            <w:t xml:space="preserve">toegekend </w:t>
          </w:r>
          <w:r w:rsidR="00824E3B">
            <w:t>op basis van een nieuwe toetsing aan de voorwaarden.</w:t>
          </w:r>
          <w:r>
            <w:t xml:space="preserve"> </w:t>
          </w:r>
          <w:r w:rsidR="00161196">
            <w:t>Uit de toelichting blijkt dat het LIV per 1 januari 2025 zal worden afgeschaft.</w:t>
          </w:r>
          <w:r w:rsidR="002A21FD">
            <w:rPr>
              <w:rStyle w:val="Voetnootmarkering"/>
            </w:rPr>
            <w:footnoteReference w:id="10"/>
          </w:r>
          <w:r w:rsidR="00B7502E">
            <w:t xml:space="preserve"> Dit betekent dat </w:t>
          </w:r>
          <w:r w:rsidR="0029258F">
            <w:t xml:space="preserve">op het moment van de besluitvorming over het voorstel </w:t>
          </w:r>
          <w:r w:rsidR="00EB20AB">
            <w:t xml:space="preserve">nog niet </w:t>
          </w:r>
          <w:r w:rsidR="0029258F">
            <w:t>is</w:t>
          </w:r>
          <w:r w:rsidR="00EB20AB">
            <w:t xml:space="preserve"> voldaan a</w:t>
          </w:r>
          <w:r w:rsidR="00581464">
            <w:t xml:space="preserve">an de </w:t>
          </w:r>
          <w:r w:rsidR="00B7502E">
            <w:t>voorwaarden waaraan werkgevers moeten voldoen om over 2025 e</w:t>
          </w:r>
          <w:r w:rsidR="00581464">
            <w:t xml:space="preserve">n de jaren daarna </w:t>
          </w:r>
          <w:r w:rsidR="00B75ECB">
            <w:t xml:space="preserve">aanspraak te maken </w:t>
          </w:r>
          <w:r w:rsidR="00EB20AB">
            <w:t>op het LIV.</w:t>
          </w:r>
          <w:r w:rsidR="00B77B72">
            <w:t xml:space="preserve"> Van bestaand eigendom in de zin van artikel 1 Eerste Protocol EVRM </w:t>
          </w:r>
          <w:r w:rsidR="00832A63">
            <w:t>kan</w:t>
          </w:r>
          <w:r w:rsidR="00B77B72">
            <w:t xml:space="preserve"> daarom geen sprake</w:t>
          </w:r>
          <w:r w:rsidR="00832A63">
            <w:t xml:space="preserve"> zijn</w:t>
          </w:r>
          <w:r w:rsidR="00B77B72">
            <w:t xml:space="preserve">. Voor zover </w:t>
          </w:r>
          <w:r w:rsidR="00832A63">
            <w:t xml:space="preserve">de regering zich op het standpunt stelt dat werkgevers </w:t>
          </w:r>
          <w:r w:rsidR="00DE7A20">
            <w:t xml:space="preserve">de </w:t>
          </w:r>
          <w:r w:rsidR="00832A63">
            <w:t>gerechtvaardigde verwachting</w:t>
          </w:r>
          <w:r w:rsidR="00DE7A20">
            <w:t xml:space="preserve"> </w:t>
          </w:r>
          <w:r w:rsidR="00AA465F">
            <w:t xml:space="preserve">kunnen </w:t>
          </w:r>
          <w:r w:rsidR="00DE7A20">
            <w:t>hebb</w:t>
          </w:r>
          <w:r w:rsidR="00832A63">
            <w:t xml:space="preserve">en </w:t>
          </w:r>
          <w:r w:rsidR="00DE7A20">
            <w:t xml:space="preserve">dat zij ook na 2024 aanspraak zouden kunnen maken op het LIV, </w:t>
          </w:r>
          <w:r w:rsidR="000C601B">
            <w:t xml:space="preserve">merkt de </w:t>
          </w:r>
          <w:r w:rsidR="000C601B">
            <w:lastRenderedPageBreak/>
            <w:t xml:space="preserve">Afdeling op dat </w:t>
          </w:r>
          <w:r w:rsidR="00E77AB5">
            <w:t xml:space="preserve">de regering </w:t>
          </w:r>
          <w:r w:rsidR="00B70CC9">
            <w:t>dit standpunt</w:t>
          </w:r>
          <w:r w:rsidR="000E4548">
            <w:t>,</w:t>
          </w:r>
          <w:r w:rsidR="00B56B1D">
            <w:t xml:space="preserve"> </w:t>
          </w:r>
          <w:r w:rsidR="00DE7A20">
            <w:t xml:space="preserve">mede gelet op de rechtspraak van het </w:t>
          </w:r>
          <w:r w:rsidR="00ED0D18">
            <w:t>EHRM</w:t>
          </w:r>
          <w:r w:rsidR="00DE7A20">
            <w:t xml:space="preserve">, nader </w:t>
          </w:r>
          <w:r w:rsidR="00906833">
            <w:t xml:space="preserve">dient te </w:t>
          </w:r>
          <w:r w:rsidR="000E4548">
            <w:t>motiveren</w:t>
          </w:r>
          <w:r w:rsidR="00ED0D18">
            <w:t>.</w:t>
          </w:r>
          <w:r w:rsidR="00465EB8">
            <w:t xml:space="preserve"> </w:t>
          </w:r>
        </w:p>
        <w:p w:rsidR="004230D9" w:rsidRDefault="004230D9" w14:paraId="3A467B53" w14:textId="77777777"/>
        <w:p w:rsidR="00920A73" w:rsidRDefault="00DE7A20" w14:paraId="6FBE5FF1" w14:textId="23EC0E7C">
          <w:r>
            <w:t xml:space="preserve">De Afdeling adviseert </w:t>
          </w:r>
          <w:r w:rsidR="00B70CC9">
            <w:t xml:space="preserve">in de toelichting nader te motiveren </w:t>
          </w:r>
          <w:r w:rsidR="000E6B6D">
            <w:t>in hoeverre</w:t>
          </w:r>
          <w:r w:rsidR="00DA576D">
            <w:t xml:space="preserve"> </w:t>
          </w:r>
          <w:r w:rsidR="00B1427F">
            <w:t xml:space="preserve">sprake is van </w:t>
          </w:r>
          <w:r w:rsidR="00BA6A0C">
            <w:t xml:space="preserve">een </w:t>
          </w:r>
          <w:r w:rsidR="00365A47">
            <w:t>inmenging in</w:t>
          </w:r>
          <w:r w:rsidR="00BA6A0C">
            <w:t xml:space="preserve"> het </w:t>
          </w:r>
          <w:r w:rsidR="00B1427F">
            <w:t>eigendom</w:t>
          </w:r>
          <w:r w:rsidR="00A85030">
            <w:t>srecht</w:t>
          </w:r>
          <w:r w:rsidR="00B1427F">
            <w:t xml:space="preserve"> in de zin van artikel 1 Eerste Protocol EVRM</w:t>
          </w:r>
          <w:r w:rsidR="00717FFA">
            <w:t>.</w:t>
          </w:r>
          <w:r w:rsidR="009A4244">
            <w:t xml:space="preserve"> </w:t>
          </w:r>
        </w:p>
      </w:sdtContent>
    </w:sdt>
    <w:p w:rsidR="00C64A39" w:rsidRDefault="00C64A39" w14:paraId="22C6E4EE" w14:textId="2849AAB1"/>
    <w:sdt>
      <w:sdtPr>
        <w:tag w:val="bmDictum"/>
        <w:id w:val="1473330498"/>
        <w:lock w:val="sdtLocked"/>
        <w:placeholder>
          <w:docPart w:val="DefaultPlaceholder_-1854013440"/>
        </w:placeholder>
      </w:sdtPr>
      <w:sdtEndPr/>
      <w:sdtContent>
        <w:p w:rsidR="0058771B" w:rsidRDefault="00C77815" w14:paraId="2D261E3F" w14:textId="6872D02A">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0058771B" w:rsidSect="009859DA">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9C383" w14:textId="77777777" w:rsidR="002A4C3C" w:rsidRDefault="002A4C3C">
      <w:r>
        <w:separator/>
      </w:r>
    </w:p>
  </w:endnote>
  <w:endnote w:type="continuationSeparator" w:id="0">
    <w:p w14:paraId="0BE953D0" w14:textId="77777777" w:rsidR="002A4C3C" w:rsidRDefault="002A4C3C">
      <w:r>
        <w:continuationSeparator/>
      </w:r>
    </w:p>
  </w:endnote>
  <w:endnote w:type="continuationNotice" w:id="1">
    <w:p w14:paraId="07E78FEB" w14:textId="77777777" w:rsidR="002A4C3C" w:rsidRDefault="002A4C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E5FF6" w14:textId="77777777" w:rsidR="00920A73" w:rsidRDefault="00920A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120AA4" w14:paraId="6FBE5FF9" w14:textId="77777777" w:rsidTr="00920A73">
      <w:tc>
        <w:tcPr>
          <w:tcW w:w="4815" w:type="dxa"/>
        </w:tcPr>
        <w:p w14:paraId="6FBE5FF7" w14:textId="77777777" w:rsidR="00920A73" w:rsidRDefault="00920A73" w:rsidP="00920A73">
          <w:pPr>
            <w:pStyle w:val="Voettekst"/>
          </w:pPr>
        </w:p>
      </w:tc>
      <w:tc>
        <w:tcPr>
          <w:tcW w:w="4247" w:type="dxa"/>
        </w:tcPr>
        <w:p w14:paraId="6FBE5FF8" w14:textId="77777777" w:rsidR="00920A73" w:rsidRDefault="00920A73" w:rsidP="00920A73">
          <w:pPr>
            <w:pStyle w:val="Voettekst"/>
            <w:jc w:val="right"/>
          </w:pPr>
        </w:p>
      </w:tc>
    </w:tr>
  </w:tbl>
  <w:p w14:paraId="6FBE5FFA" w14:textId="77777777" w:rsidR="00920A73" w:rsidRDefault="00920A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CCD1D" w14:textId="31C64626" w:rsidR="009859DA" w:rsidRPr="009859DA" w:rsidRDefault="009859DA">
    <w:pPr>
      <w:pStyle w:val="Voettekst"/>
      <w:rPr>
        <w:rFonts w:ascii="Bembo" w:hAnsi="Bembo"/>
        <w:sz w:val="32"/>
      </w:rPr>
    </w:pPr>
    <w:r w:rsidRPr="009859DA">
      <w:rPr>
        <w:rFonts w:ascii="Bembo" w:hAnsi="Bembo"/>
        <w:sz w:val="32"/>
      </w:rPr>
      <w:t>AAN DE KONING</w:t>
    </w:r>
  </w:p>
  <w:p w14:paraId="4F578C90" w14:textId="77777777" w:rsidR="009859DA" w:rsidRDefault="009859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03974" w14:textId="77777777" w:rsidR="002A4C3C" w:rsidRDefault="002A4C3C">
      <w:r>
        <w:separator/>
      </w:r>
    </w:p>
  </w:footnote>
  <w:footnote w:type="continuationSeparator" w:id="0">
    <w:p w14:paraId="228C1F6E" w14:textId="77777777" w:rsidR="002A4C3C" w:rsidRDefault="002A4C3C">
      <w:r>
        <w:continuationSeparator/>
      </w:r>
    </w:p>
  </w:footnote>
  <w:footnote w:type="continuationNotice" w:id="1">
    <w:p w14:paraId="02AF29C7" w14:textId="77777777" w:rsidR="002A4C3C" w:rsidRDefault="002A4C3C"/>
  </w:footnote>
  <w:footnote w:id="2">
    <w:p w14:paraId="15599F74" w14:textId="5C0A4E02" w:rsidR="001E40AF" w:rsidRDefault="001E40AF">
      <w:pPr>
        <w:pStyle w:val="Voetnoottekst"/>
      </w:pPr>
      <w:r>
        <w:rPr>
          <w:rStyle w:val="Voetnootmarkering"/>
        </w:rPr>
        <w:footnoteRef/>
      </w:r>
      <w:r>
        <w:t xml:space="preserve"> Memorie van toelichting, paragraaf 2.1.</w:t>
      </w:r>
      <w:r w:rsidR="00BE0FAC">
        <w:t xml:space="preserve"> </w:t>
      </w:r>
      <w:r w:rsidR="00933487">
        <w:t>Zie ook a</w:t>
      </w:r>
      <w:r w:rsidR="003B7267">
        <w:t>r</w:t>
      </w:r>
      <w:r w:rsidR="00BE0FAC">
        <w:t>tikel 3.1</w:t>
      </w:r>
      <w:r w:rsidR="00933487">
        <w:t>, eerste lid, van de</w:t>
      </w:r>
      <w:r w:rsidR="00BE0FAC">
        <w:t xml:space="preserve"> Wet </w:t>
      </w:r>
      <w:r w:rsidR="003B7267">
        <w:t xml:space="preserve">tegemoetkomingen </w:t>
      </w:r>
      <w:r w:rsidR="00BE0FAC">
        <w:t>loondomein.</w:t>
      </w:r>
    </w:p>
  </w:footnote>
  <w:footnote w:id="3">
    <w:p w14:paraId="265FEE79" w14:textId="77777777" w:rsidR="00FC3E37" w:rsidRDefault="00FC3E37" w:rsidP="00FC3E37">
      <w:pPr>
        <w:pStyle w:val="Voetnoottekst"/>
      </w:pPr>
      <w:r>
        <w:rPr>
          <w:rStyle w:val="Voetnootmarkering"/>
        </w:rPr>
        <w:footnoteRef/>
      </w:r>
      <w:r>
        <w:t xml:space="preserve"> Memorie van toelichting, paragraaf 1.1 en 3.1.</w:t>
      </w:r>
    </w:p>
  </w:footnote>
  <w:footnote w:id="4">
    <w:p w14:paraId="4AE2B975" w14:textId="6F18EAB8" w:rsidR="00A3347A" w:rsidRDefault="00A3347A">
      <w:pPr>
        <w:pStyle w:val="Voetnoottekst"/>
      </w:pPr>
      <w:r>
        <w:rPr>
          <w:rStyle w:val="Voetnootmarkering"/>
        </w:rPr>
        <w:footnoteRef/>
      </w:r>
      <w:r>
        <w:t xml:space="preserve"> Zie memorie van toelichting, paragraaf 3.2.2.</w:t>
      </w:r>
    </w:p>
  </w:footnote>
  <w:footnote w:id="5">
    <w:p w14:paraId="22473B6B" w14:textId="5A0211D7" w:rsidR="002C28ED" w:rsidRDefault="002C28ED">
      <w:pPr>
        <w:pStyle w:val="Voetnoottekst"/>
      </w:pPr>
      <w:r>
        <w:rPr>
          <w:rStyle w:val="Voetnootmarkering"/>
        </w:rPr>
        <w:footnoteRef/>
      </w:r>
      <w:r>
        <w:t xml:space="preserve"> Memorie van toelichting, paragraaf 3.2.2.</w:t>
      </w:r>
    </w:p>
  </w:footnote>
  <w:footnote w:id="6">
    <w:p w14:paraId="126242F3" w14:textId="47496D89" w:rsidR="0028348D" w:rsidRDefault="0028348D">
      <w:pPr>
        <w:pStyle w:val="Voetnoottekst"/>
      </w:pPr>
      <w:r>
        <w:rPr>
          <w:rStyle w:val="Voetnootmarkering"/>
        </w:rPr>
        <w:footnoteRef/>
      </w:r>
      <w:r>
        <w:t xml:space="preserve"> EHRM 9 januari 2007, </w:t>
      </w:r>
      <w:proofErr w:type="spellStart"/>
      <w:r>
        <w:t>Intersplav</w:t>
      </w:r>
      <w:proofErr w:type="spellEnd"/>
      <w:r>
        <w:t xml:space="preserve"> t. Oekraïne, ECLI:CE:ECHR:2007:0109JUD000080302, par</w:t>
      </w:r>
      <w:r w:rsidR="005B0329">
        <w:t>agraaf</w:t>
      </w:r>
      <w:r>
        <w:t xml:space="preserve"> 31. </w:t>
      </w:r>
    </w:p>
  </w:footnote>
  <w:footnote w:id="7">
    <w:p w14:paraId="2A1D1BDF" w14:textId="41121820" w:rsidR="00DB580B" w:rsidRDefault="00DB580B" w:rsidP="00DB580B">
      <w:pPr>
        <w:pStyle w:val="Voetnoottekst"/>
      </w:pPr>
      <w:r>
        <w:rPr>
          <w:rStyle w:val="Voetnootmarkering"/>
        </w:rPr>
        <w:footnoteRef/>
      </w:r>
      <w:r w:rsidRPr="00936642">
        <w:t xml:space="preserve"> EHRM 18 mei 2010, </w:t>
      </w:r>
      <w:proofErr w:type="spellStart"/>
      <w:r w:rsidRPr="00936642">
        <w:t>Plalam</w:t>
      </w:r>
      <w:proofErr w:type="spellEnd"/>
      <w:r w:rsidRPr="00936642">
        <w:t xml:space="preserve"> S.P.A. t. Italië, ECLI:CE:ECHR:2010:0518JUD001602102, AB 2010/189, </w:t>
      </w:r>
      <w:proofErr w:type="spellStart"/>
      <w:r w:rsidRPr="00936642">
        <w:t>m.nt</w:t>
      </w:r>
      <w:proofErr w:type="spellEnd"/>
      <w:r w:rsidRPr="00936642">
        <w:t xml:space="preserve">. </w:t>
      </w:r>
      <w:r>
        <w:t xml:space="preserve">T. </w:t>
      </w:r>
      <w:proofErr w:type="spellStart"/>
      <w:r>
        <w:t>Barkhuysen</w:t>
      </w:r>
      <w:proofErr w:type="spellEnd"/>
      <w:r>
        <w:t xml:space="preserve"> en W. den Ouden.</w:t>
      </w:r>
    </w:p>
  </w:footnote>
  <w:footnote w:id="8">
    <w:p w14:paraId="61888649" w14:textId="3AFEE8BF" w:rsidR="00DA7615" w:rsidRDefault="00DA7615">
      <w:pPr>
        <w:pStyle w:val="Voetnoottekst"/>
      </w:pPr>
      <w:r>
        <w:rPr>
          <w:rStyle w:val="Voetnootmarkering"/>
        </w:rPr>
        <w:footnoteRef/>
      </w:r>
      <w:r>
        <w:t xml:space="preserve"> EHRM 13 december 2016, </w:t>
      </w:r>
      <w:proofErr w:type="spellStart"/>
      <w:r>
        <w:t>Bélané</w:t>
      </w:r>
      <w:proofErr w:type="spellEnd"/>
      <w:r>
        <w:t xml:space="preserve"> </w:t>
      </w:r>
      <w:proofErr w:type="spellStart"/>
      <w:r>
        <w:t>Nagy</w:t>
      </w:r>
      <w:proofErr w:type="spellEnd"/>
      <w:r>
        <w:t xml:space="preserve"> t. Hongarije, ECLI:CE:ECHR:2016:1213JUD005308013, par</w:t>
      </w:r>
      <w:r w:rsidR="005B0329">
        <w:t>agraaf</w:t>
      </w:r>
      <w:r>
        <w:t xml:space="preserve"> 75. </w:t>
      </w:r>
    </w:p>
  </w:footnote>
  <w:footnote w:id="9">
    <w:p w14:paraId="3ADF601A" w14:textId="5CC1F6E0" w:rsidR="004E6372" w:rsidRDefault="004E6372" w:rsidP="004E6372">
      <w:pPr>
        <w:pStyle w:val="Voetnoottekst"/>
      </w:pPr>
      <w:r>
        <w:rPr>
          <w:rStyle w:val="Voetnootmarkering"/>
        </w:rPr>
        <w:footnoteRef/>
      </w:r>
      <w:r>
        <w:t xml:space="preserve"> EHRM 26 april 2018, </w:t>
      </w:r>
      <w:proofErr w:type="spellStart"/>
      <w:r>
        <w:t>Čakarević</w:t>
      </w:r>
      <w:proofErr w:type="spellEnd"/>
      <w:r>
        <w:t xml:space="preserve"> t. Kroatië, ECLI:CE:ECHR:2018:0426JUD004892113, par</w:t>
      </w:r>
      <w:r w:rsidR="005B0329">
        <w:t>agraaf</w:t>
      </w:r>
      <w:r>
        <w:t xml:space="preserve"> 56. </w:t>
      </w:r>
    </w:p>
  </w:footnote>
  <w:footnote w:id="10">
    <w:p w14:paraId="4679455F" w14:textId="2EEFBC32" w:rsidR="002A21FD" w:rsidRDefault="002A21FD">
      <w:pPr>
        <w:pStyle w:val="Voetnoottekst"/>
      </w:pPr>
      <w:r>
        <w:rPr>
          <w:rStyle w:val="Voetnootmarkering"/>
        </w:rPr>
        <w:footnoteRef/>
      </w:r>
      <w:r>
        <w:t xml:space="preserve"> Memorie van toelichting, paragraaf 3.</w:t>
      </w:r>
      <w:r w:rsidR="00D50BA6">
        <w:t>2.</w:t>
      </w:r>
      <w:r>
        <w:t>1</w:t>
      </w:r>
      <w:r w:rsidR="00E5013D">
        <w:t xml:space="preserve"> en</w:t>
      </w:r>
      <w:r>
        <w:t xml:space="preserve"> de artikelsgewijze toelichting op artikel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E5FF4" w14:textId="77777777" w:rsidR="00920A73" w:rsidRDefault="00920A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E5FF5" w14:textId="77777777" w:rsidR="00920A73" w:rsidRDefault="00D75291" w:rsidP="00920A73">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E5FFB" w14:textId="77777777" w:rsidR="00920A73" w:rsidRDefault="00D75291" w:rsidP="00920A73">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6FBE5FFC" w14:textId="77777777" w:rsidR="00920A73" w:rsidRDefault="00D75291">
    <w:pPr>
      <w:pStyle w:val="Koptekst"/>
    </w:pPr>
    <w:r>
      <w:rPr>
        <w:noProof/>
      </w:rPr>
      <w:drawing>
        <wp:anchor distT="0" distB="0" distL="114300" distR="114300" simplePos="0" relativeHeight="251658240" behindDoc="1" locked="0" layoutInCell="1" allowOverlap="1" wp14:anchorId="6FBE6007" wp14:editId="6FBE6008">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A4"/>
    <w:rsid w:val="000064DE"/>
    <w:rsid w:val="00012898"/>
    <w:rsid w:val="00025C3A"/>
    <w:rsid w:val="00031D99"/>
    <w:rsid w:val="00035587"/>
    <w:rsid w:val="00036058"/>
    <w:rsid w:val="00046553"/>
    <w:rsid w:val="000504F0"/>
    <w:rsid w:val="00052CAE"/>
    <w:rsid w:val="00060C04"/>
    <w:rsid w:val="00066E7B"/>
    <w:rsid w:val="00071364"/>
    <w:rsid w:val="000850FE"/>
    <w:rsid w:val="00085B15"/>
    <w:rsid w:val="0009013F"/>
    <w:rsid w:val="000950EA"/>
    <w:rsid w:val="00096E3F"/>
    <w:rsid w:val="000A182B"/>
    <w:rsid w:val="000A4AAD"/>
    <w:rsid w:val="000B161E"/>
    <w:rsid w:val="000B5321"/>
    <w:rsid w:val="000C1F81"/>
    <w:rsid w:val="000C601B"/>
    <w:rsid w:val="000C7C5B"/>
    <w:rsid w:val="000C7C66"/>
    <w:rsid w:val="000D5FE5"/>
    <w:rsid w:val="000E1D0F"/>
    <w:rsid w:val="000E4548"/>
    <w:rsid w:val="000E6143"/>
    <w:rsid w:val="000E6B6D"/>
    <w:rsid w:val="000F228F"/>
    <w:rsid w:val="00100CB8"/>
    <w:rsid w:val="00102825"/>
    <w:rsid w:val="001034AD"/>
    <w:rsid w:val="00104BB6"/>
    <w:rsid w:val="0011097B"/>
    <w:rsid w:val="00117B5C"/>
    <w:rsid w:val="00120AA4"/>
    <w:rsid w:val="00122678"/>
    <w:rsid w:val="001503BE"/>
    <w:rsid w:val="00150876"/>
    <w:rsid w:val="00153B5F"/>
    <w:rsid w:val="00161196"/>
    <w:rsid w:val="0016467E"/>
    <w:rsid w:val="00174FA2"/>
    <w:rsid w:val="00180A29"/>
    <w:rsid w:val="00184E87"/>
    <w:rsid w:val="001869D4"/>
    <w:rsid w:val="001A072D"/>
    <w:rsid w:val="001B2D44"/>
    <w:rsid w:val="001B5665"/>
    <w:rsid w:val="001C049F"/>
    <w:rsid w:val="001C1972"/>
    <w:rsid w:val="001C357D"/>
    <w:rsid w:val="001C66FC"/>
    <w:rsid w:val="001C7D6A"/>
    <w:rsid w:val="001D342E"/>
    <w:rsid w:val="001D6DC8"/>
    <w:rsid w:val="001E40AF"/>
    <w:rsid w:val="001F7994"/>
    <w:rsid w:val="002050CD"/>
    <w:rsid w:val="0021174C"/>
    <w:rsid w:val="002127FB"/>
    <w:rsid w:val="00216742"/>
    <w:rsid w:val="00221292"/>
    <w:rsid w:val="00230D5B"/>
    <w:rsid w:val="0023186E"/>
    <w:rsid w:val="00244262"/>
    <w:rsid w:val="00263F60"/>
    <w:rsid w:val="00264537"/>
    <w:rsid w:val="00276ECD"/>
    <w:rsid w:val="0028348D"/>
    <w:rsid w:val="0029258F"/>
    <w:rsid w:val="0029296B"/>
    <w:rsid w:val="002A21FD"/>
    <w:rsid w:val="002A4C3C"/>
    <w:rsid w:val="002B2074"/>
    <w:rsid w:val="002B607E"/>
    <w:rsid w:val="002B77ED"/>
    <w:rsid w:val="002C28ED"/>
    <w:rsid w:val="002C7B4F"/>
    <w:rsid w:val="002C7D78"/>
    <w:rsid w:val="002D65D5"/>
    <w:rsid w:val="002E15DF"/>
    <w:rsid w:val="002F6FEB"/>
    <w:rsid w:val="00300ACA"/>
    <w:rsid w:val="00300E81"/>
    <w:rsid w:val="00302A8A"/>
    <w:rsid w:val="00306C35"/>
    <w:rsid w:val="00311791"/>
    <w:rsid w:val="00322AC2"/>
    <w:rsid w:val="00336A93"/>
    <w:rsid w:val="00337ABA"/>
    <w:rsid w:val="003433D1"/>
    <w:rsid w:val="003441D6"/>
    <w:rsid w:val="00350637"/>
    <w:rsid w:val="0035470B"/>
    <w:rsid w:val="00355DEF"/>
    <w:rsid w:val="00360FEC"/>
    <w:rsid w:val="0036540C"/>
    <w:rsid w:val="00365A47"/>
    <w:rsid w:val="00373EF3"/>
    <w:rsid w:val="00376789"/>
    <w:rsid w:val="0038334D"/>
    <w:rsid w:val="00383BCE"/>
    <w:rsid w:val="00383D87"/>
    <w:rsid w:val="00385A9E"/>
    <w:rsid w:val="003875EE"/>
    <w:rsid w:val="003903C0"/>
    <w:rsid w:val="003A450F"/>
    <w:rsid w:val="003B7267"/>
    <w:rsid w:val="003C3387"/>
    <w:rsid w:val="003C3C50"/>
    <w:rsid w:val="003C7138"/>
    <w:rsid w:val="003D12EB"/>
    <w:rsid w:val="003D543C"/>
    <w:rsid w:val="003D548C"/>
    <w:rsid w:val="003D6E15"/>
    <w:rsid w:val="003E35EC"/>
    <w:rsid w:val="003F30F6"/>
    <w:rsid w:val="004063E4"/>
    <w:rsid w:val="004065BD"/>
    <w:rsid w:val="004230D9"/>
    <w:rsid w:val="00423148"/>
    <w:rsid w:val="00427D66"/>
    <w:rsid w:val="00431EE7"/>
    <w:rsid w:val="00441F55"/>
    <w:rsid w:val="00442B76"/>
    <w:rsid w:val="004464B8"/>
    <w:rsid w:val="00451F09"/>
    <w:rsid w:val="00460D4E"/>
    <w:rsid w:val="00465EB8"/>
    <w:rsid w:val="0047455B"/>
    <w:rsid w:val="0047736A"/>
    <w:rsid w:val="00482A0D"/>
    <w:rsid w:val="004832E5"/>
    <w:rsid w:val="00484DE1"/>
    <w:rsid w:val="00493FCA"/>
    <w:rsid w:val="00495219"/>
    <w:rsid w:val="00495DF7"/>
    <w:rsid w:val="0049725C"/>
    <w:rsid w:val="004A50F7"/>
    <w:rsid w:val="004C4B5B"/>
    <w:rsid w:val="004D5885"/>
    <w:rsid w:val="004E1D3B"/>
    <w:rsid w:val="004E2AA9"/>
    <w:rsid w:val="004E6372"/>
    <w:rsid w:val="00504B89"/>
    <w:rsid w:val="005058B4"/>
    <w:rsid w:val="00507DA3"/>
    <w:rsid w:val="005246B1"/>
    <w:rsid w:val="00536EAF"/>
    <w:rsid w:val="005461BA"/>
    <w:rsid w:val="00554F34"/>
    <w:rsid w:val="005579FB"/>
    <w:rsid w:val="005646E6"/>
    <w:rsid w:val="00581464"/>
    <w:rsid w:val="00581B9A"/>
    <w:rsid w:val="00582BC7"/>
    <w:rsid w:val="0058771B"/>
    <w:rsid w:val="005A16C4"/>
    <w:rsid w:val="005B0329"/>
    <w:rsid w:val="005B2C89"/>
    <w:rsid w:val="005B3088"/>
    <w:rsid w:val="005B6C48"/>
    <w:rsid w:val="005C7753"/>
    <w:rsid w:val="005E3552"/>
    <w:rsid w:val="005E3D95"/>
    <w:rsid w:val="005F08DF"/>
    <w:rsid w:val="005F6360"/>
    <w:rsid w:val="0061038C"/>
    <w:rsid w:val="00610B26"/>
    <w:rsid w:val="006200CF"/>
    <w:rsid w:val="00625A43"/>
    <w:rsid w:val="00634DB8"/>
    <w:rsid w:val="0063567E"/>
    <w:rsid w:val="0063568F"/>
    <w:rsid w:val="006431F8"/>
    <w:rsid w:val="00644B94"/>
    <w:rsid w:val="00645947"/>
    <w:rsid w:val="006524DB"/>
    <w:rsid w:val="00654B13"/>
    <w:rsid w:val="006635BD"/>
    <w:rsid w:val="006651F8"/>
    <w:rsid w:val="00666BB6"/>
    <w:rsid w:val="00670D6B"/>
    <w:rsid w:val="006754C8"/>
    <w:rsid w:val="006768D5"/>
    <w:rsid w:val="00677E1D"/>
    <w:rsid w:val="00680AA6"/>
    <w:rsid w:val="006849AA"/>
    <w:rsid w:val="00694187"/>
    <w:rsid w:val="00694370"/>
    <w:rsid w:val="006A1710"/>
    <w:rsid w:val="006A33BD"/>
    <w:rsid w:val="006A717A"/>
    <w:rsid w:val="006B300B"/>
    <w:rsid w:val="006D08C1"/>
    <w:rsid w:val="006D3085"/>
    <w:rsid w:val="006D7CC5"/>
    <w:rsid w:val="006E3489"/>
    <w:rsid w:val="00706282"/>
    <w:rsid w:val="007073ED"/>
    <w:rsid w:val="007111F5"/>
    <w:rsid w:val="00712D15"/>
    <w:rsid w:val="00717FFA"/>
    <w:rsid w:val="00720488"/>
    <w:rsid w:val="00720FEA"/>
    <w:rsid w:val="00721949"/>
    <w:rsid w:val="00730397"/>
    <w:rsid w:val="00733452"/>
    <w:rsid w:val="007348EC"/>
    <w:rsid w:val="00742A4B"/>
    <w:rsid w:val="00750036"/>
    <w:rsid w:val="007521E4"/>
    <w:rsid w:val="007625D0"/>
    <w:rsid w:val="00767CC8"/>
    <w:rsid w:val="007728D3"/>
    <w:rsid w:val="00776CF7"/>
    <w:rsid w:val="00780D18"/>
    <w:rsid w:val="007820ED"/>
    <w:rsid w:val="007840D8"/>
    <w:rsid w:val="00791D60"/>
    <w:rsid w:val="0079469A"/>
    <w:rsid w:val="007B0717"/>
    <w:rsid w:val="007B2A35"/>
    <w:rsid w:val="007C20DC"/>
    <w:rsid w:val="007C4D75"/>
    <w:rsid w:val="007D0A01"/>
    <w:rsid w:val="007D0EEC"/>
    <w:rsid w:val="007D0F93"/>
    <w:rsid w:val="007D48FD"/>
    <w:rsid w:val="007D4F14"/>
    <w:rsid w:val="007E0596"/>
    <w:rsid w:val="007E1A65"/>
    <w:rsid w:val="007E7A3F"/>
    <w:rsid w:val="007F1C17"/>
    <w:rsid w:val="007F389C"/>
    <w:rsid w:val="007F4631"/>
    <w:rsid w:val="007F6550"/>
    <w:rsid w:val="007F69F0"/>
    <w:rsid w:val="007F7BDB"/>
    <w:rsid w:val="008005A5"/>
    <w:rsid w:val="008020E1"/>
    <w:rsid w:val="0081051E"/>
    <w:rsid w:val="0082051F"/>
    <w:rsid w:val="00820861"/>
    <w:rsid w:val="00824E3B"/>
    <w:rsid w:val="00826A4D"/>
    <w:rsid w:val="00832A63"/>
    <w:rsid w:val="0084413B"/>
    <w:rsid w:val="00853D40"/>
    <w:rsid w:val="00861E2C"/>
    <w:rsid w:val="00864DE9"/>
    <w:rsid w:val="00877A06"/>
    <w:rsid w:val="00880283"/>
    <w:rsid w:val="008864EA"/>
    <w:rsid w:val="008876CB"/>
    <w:rsid w:val="00887808"/>
    <w:rsid w:val="00897324"/>
    <w:rsid w:val="008B4A78"/>
    <w:rsid w:val="008C5773"/>
    <w:rsid w:val="008C6C7A"/>
    <w:rsid w:val="008D3B3C"/>
    <w:rsid w:val="008F009D"/>
    <w:rsid w:val="008F5B3A"/>
    <w:rsid w:val="009029D4"/>
    <w:rsid w:val="00905661"/>
    <w:rsid w:val="00906833"/>
    <w:rsid w:val="00914B24"/>
    <w:rsid w:val="00920A73"/>
    <w:rsid w:val="009253A9"/>
    <w:rsid w:val="00925626"/>
    <w:rsid w:val="00933487"/>
    <w:rsid w:val="00933547"/>
    <w:rsid w:val="0093366F"/>
    <w:rsid w:val="00936642"/>
    <w:rsid w:val="00952E8B"/>
    <w:rsid w:val="00956D96"/>
    <w:rsid w:val="00960D16"/>
    <w:rsid w:val="009621DA"/>
    <w:rsid w:val="009645D9"/>
    <w:rsid w:val="00980FA9"/>
    <w:rsid w:val="0098569B"/>
    <w:rsid w:val="009859DA"/>
    <w:rsid w:val="00985E22"/>
    <w:rsid w:val="009871BE"/>
    <w:rsid w:val="00990040"/>
    <w:rsid w:val="00990172"/>
    <w:rsid w:val="009946D6"/>
    <w:rsid w:val="009A10D1"/>
    <w:rsid w:val="009A4244"/>
    <w:rsid w:val="009A60F0"/>
    <w:rsid w:val="009B419C"/>
    <w:rsid w:val="009C15DF"/>
    <w:rsid w:val="009C2D6B"/>
    <w:rsid w:val="009D19A8"/>
    <w:rsid w:val="009E625D"/>
    <w:rsid w:val="009F582C"/>
    <w:rsid w:val="009F72D8"/>
    <w:rsid w:val="00A01900"/>
    <w:rsid w:val="00A10C03"/>
    <w:rsid w:val="00A1351A"/>
    <w:rsid w:val="00A3347A"/>
    <w:rsid w:val="00A40C18"/>
    <w:rsid w:val="00A50466"/>
    <w:rsid w:val="00A54C7E"/>
    <w:rsid w:val="00A5612B"/>
    <w:rsid w:val="00A57C2A"/>
    <w:rsid w:val="00A60851"/>
    <w:rsid w:val="00A61EAF"/>
    <w:rsid w:val="00A626F8"/>
    <w:rsid w:val="00A63C27"/>
    <w:rsid w:val="00A661A1"/>
    <w:rsid w:val="00A7233F"/>
    <w:rsid w:val="00A74FF1"/>
    <w:rsid w:val="00A75165"/>
    <w:rsid w:val="00A77C6D"/>
    <w:rsid w:val="00A81A72"/>
    <w:rsid w:val="00A825F7"/>
    <w:rsid w:val="00A85030"/>
    <w:rsid w:val="00A87A07"/>
    <w:rsid w:val="00A93EF1"/>
    <w:rsid w:val="00AA25D9"/>
    <w:rsid w:val="00AA465F"/>
    <w:rsid w:val="00AB0B09"/>
    <w:rsid w:val="00AB1192"/>
    <w:rsid w:val="00AB2903"/>
    <w:rsid w:val="00AB36A2"/>
    <w:rsid w:val="00AC00C1"/>
    <w:rsid w:val="00AC0501"/>
    <w:rsid w:val="00AC2E7D"/>
    <w:rsid w:val="00AD0364"/>
    <w:rsid w:val="00AD19FE"/>
    <w:rsid w:val="00AD2AC4"/>
    <w:rsid w:val="00AD49D8"/>
    <w:rsid w:val="00AD4FDB"/>
    <w:rsid w:val="00AD7E1C"/>
    <w:rsid w:val="00AE3984"/>
    <w:rsid w:val="00AE3AA9"/>
    <w:rsid w:val="00AE7EAD"/>
    <w:rsid w:val="00B03FDB"/>
    <w:rsid w:val="00B05554"/>
    <w:rsid w:val="00B10CE2"/>
    <w:rsid w:val="00B1427F"/>
    <w:rsid w:val="00B14F31"/>
    <w:rsid w:val="00B230DB"/>
    <w:rsid w:val="00B302B2"/>
    <w:rsid w:val="00B319DD"/>
    <w:rsid w:val="00B3436D"/>
    <w:rsid w:val="00B44FF2"/>
    <w:rsid w:val="00B56B1D"/>
    <w:rsid w:val="00B57329"/>
    <w:rsid w:val="00B60117"/>
    <w:rsid w:val="00B618A4"/>
    <w:rsid w:val="00B63395"/>
    <w:rsid w:val="00B70CC9"/>
    <w:rsid w:val="00B7502E"/>
    <w:rsid w:val="00B75ECB"/>
    <w:rsid w:val="00B76081"/>
    <w:rsid w:val="00B77B72"/>
    <w:rsid w:val="00B81529"/>
    <w:rsid w:val="00B84B8C"/>
    <w:rsid w:val="00B90382"/>
    <w:rsid w:val="00B95758"/>
    <w:rsid w:val="00B96437"/>
    <w:rsid w:val="00BA0E4C"/>
    <w:rsid w:val="00BA6A0C"/>
    <w:rsid w:val="00BB09AF"/>
    <w:rsid w:val="00BB0BC1"/>
    <w:rsid w:val="00BE0FAC"/>
    <w:rsid w:val="00BF1443"/>
    <w:rsid w:val="00BF71D8"/>
    <w:rsid w:val="00BF7E51"/>
    <w:rsid w:val="00C04120"/>
    <w:rsid w:val="00C11F42"/>
    <w:rsid w:val="00C20EB8"/>
    <w:rsid w:val="00C26F98"/>
    <w:rsid w:val="00C354BF"/>
    <w:rsid w:val="00C417EA"/>
    <w:rsid w:val="00C444D3"/>
    <w:rsid w:val="00C52EC1"/>
    <w:rsid w:val="00C56FDC"/>
    <w:rsid w:val="00C57AFA"/>
    <w:rsid w:val="00C60865"/>
    <w:rsid w:val="00C62624"/>
    <w:rsid w:val="00C64A39"/>
    <w:rsid w:val="00C72351"/>
    <w:rsid w:val="00C77815"/>
    <w:rsid w:val="00C80FEB"/>
    <w:rsid w:val="00C86285"/>
    <w:rsid w:val="00C87291"/>
    <w:rsid w:val="00CA2CA1"/>
    <w:rsid w:val="00CA42F5"/>
    <w:rsid w:val="00CA4849"/>
    <w:rsid w:val="00CB7C7E"/>
    <w:rsid w:val="00CC5500"/>
    <w:rsid w:val="00CC5C6C"/>
    <w:rsid w:val="00CD3E3B"/>
    <w:rsid w:val="00CD70D6"/>
    <w:rsid w:val="00CE2DE6"/>
    <w:rsid w:val="00CE7060"/>
    <w:rsid w:val="00D005C4"/>
    <w:rsid w:val="00D007C0"/>
    <w:rsid w:val="00D03242"/>
    <w:rsid w:val="00D03334"/>
    <w:rsid w:val="00D078F7"/>
    <w:rsid w:val="00D15352"/>
    <w:rsid w:val="00D21E5C"/>
    <w:rsid w:val="00D32FB7"/>
    <w:rsid w:val="00D37F22"/>
    <w:rsid w:val="00D50BA6"/>
    <w:rsid w:val="00D61B7A"/>
    <w:rsid w:val="00D64791"/>
    <w:rsid w:val="00D67B4D"/>
    <w:rsid w:val="00D73541"/>
    <w:rsid w:val="00D75109"/>
    <w:rsid w:val="00D75291"/>
    <w:rsid w:val="00D9046B"/>
    <w:rsid w:val="00D92F9E"/>
    <w:rsid w:val="00DA0986"/>
    <w:rsid w:val="00DA24C5"/>
    <w:rsid w:val="00DA576D"/>
    <w:rsid w:val="00DA7336"/>
    <w:rsid w:val="00DA7615"/>
    <w:rsid w:val="00DB580B"/>
    <w:rsid w:val="00DB7BE9"/>
    <w:rsid w:val="00DC1B28"/>
    <w:rsid w:val="00DD567E"/>
    <w:rsid w:val="00DE5A95"/>
    <w:rsid w:val="00DE6B0B"/>
    <w:rsid w:val="00DE74D7"/>
    <w:rsid w:val="00DE7A20"/>
    <w:rsid w:val="00DF4794"/>
    <w:rsid w:val="00E3306F"/>
    <w:rsid w:val="00E471EE"/>
    <w:rsid w:val="00E5013D"/>
    <w:rsid w:val="00E55C36"/>
    <w:rsid w:val="00E61860"/>
    <w:rsid w:val="00E626AC"/>
    <w:rsid w:val="00E63AE5"/>
    <w:rsid w:val="00E76FE9"/>
    <w:rsid w:val="00E77AB5"/>
    <w:rsid w:val="00E80432"/>
    <w:rsid w:val="00E8385F"/>
    <w:rsid w:val="00E84E49"/>
    <w:rsid w:val="00E91E92"/>
    <w:rsid w:val="00E9405E"/>
    <w:rsid w:val="00E94716"/>
    <w:rsid w:val="00EA4B64"/>
    <w:rsid w:val="00EA6B53"/>
    <w:rsid w:val="00EB0393"/>
    <w:rsid w:val="00EB0EBF"/>
    <w:rsid w:val="00EB20AB"/>
    <w:rsid w:val="00EB4F94"/>
    <w:rsid w:val="00EB7DE2"/>
    <w:rsid w:val="00ED0590"/>
    <w:rsid w:val="00ED0D18"/>
    <w:rsid w:val="00EE177E"/>
    <w:rsid w:val="00EE37EF"/>
    <w:rsid w:val="00EF0380"/>
    <w:rsid w:val="00F00111"/>
    <w:rsid w:val="00F07E51"/>
    <w:rsid w:val="00F156F8"/>
    <w:rsid w:val="00F157F0"/>
    <w:rsid w:val="00F2053F"/>
    <w:rsid w:val="00F20C37"/>
    <w:rsid w:val="00F369F0"/>
    <w:rsid w:val="00F44D01"/>
    <w:rsid w:val="00F45435"/>
    <w:rsid w:val="00F6073B"/>
    <w:rsid w:val="00F607C9"/>
    <w:rsid w:val="00F62372"/>
    <w:rsid w:val="00F65EEB"/>
    <w:rsid w:val="00F65FA2"/>
    <w:rsid w:val="00F7187B"/>
    <w:rsid w:val="00F84887"/>
    <w:rsid w:val="00F86E63"/>
    <w:rsid w:val="00F9160C"/>
    <w:rsid w:val="00F95463"/>
    <w:rsid w:val="00F97C9C"/>
    <w:rsid w:val="00FB1C5A"/>
    <w:rsid w:val="00FC0547"/>
    <w:rsid w:val="00FC3E37"/>
    <w:rsid w:val="00FC57F1"/>
    <w:rsid w:val="00FD0BEE"/>
    <w:rsid w:val="00FD4161"/>
    <w:rsid w:val="00FF7A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E5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581B9A"/>
    <w:rPr>
      <w:color w:val="808080"/>
    </w:rPr>
  </w:style>
  <w:style w:type="paragraph" w:styleId="Revisie">
    <w:name w:val="Revision"/>
    <w:hidden/>
    <w:uiPriority w:val="99"/>
    <w:semiHidden/>
    <w:rsid w:val="00D32FB7"/>
    <w:rPr>
      <w:rFonts w:ascii="Univers" w:hAnsi="Univers"/>
      <w:sz w:val="22"/>
      <w:szCs w:val="24"/>
    </w:rPr>
  </w:style>
  <w:style w:type="paragraph" w:styleId="Lijstalinea">
    <w:name w:val="List Paragraph"/>
    <w:basedOn w:val="Standaard"/>
    <w:uiPriority w:val="34"/>
    <w:qFormat/>
    <w:rsid w:val="00F86E63"/>
    <w:pPr>
      <w:ind w:left="720"/>
      <w:contextualSpacing/>
    </w:pPr>
  </w:style>
  <w:style w:type="paragraph" w:styleId="Voetnoottekst">
    <w:name w:val="footnote text"/>
    <w:basedOn w:val="Standaard"/>
    <w:link w:val="VoetnoottekstChar"/>
    <w:uiPriority w:val="99"/>
    <w:semiHidden/>
    <w:unhideWhenUsed/>
    <w:rsid w:val="002C28ED"/>
    <w:rPr>
      <w:sz w:val="20"/>
      <w:szCs w:val="20"/>
    </w:rPr>
  </w:style>
  <w:style w:type="character" w:customStyle="1" w:styleId="VoetnoottekstChar">
    <w:name w:val="Voetnoottekst Char"/>
    <w:basedOn w:val="Standaardalinea-lettertype"/>
    <w:link w:val="Voetnoottekst"/>
    <w:uiPriority w:val="99"/>
    <w:semiHidden/>
    <w:rsid w:val="002C28ED"/>
    <w:rPr>
      <w:rFonts w:ascii="Univers" w:hAnsi="Univers"/>
    </w:rPr>
  </w:style>
  <w:style w:type="character" w:styleId="Voetnootmarkering">
    <w:name w:val="footnote reference"/>
    <w:basedOn w:val="Standaardalinea-lettertype"/>
    <w:uiPriority w:val="99"/>
    <w:semiHidden/>
    <w:unhideWhenUsed/>
    <w:rsid w:val="002C28ED"/>
    <w:rPr>
      <w:vertAlign w:val="superscript"/>
    </w:rPr>
  </w:style>
  <w:style w:type="character" w:styleId="Verwijzingopmerking">
    <w:name w:val="annotation reference"/>
    <w:basedOn w:val="Standaardalinea-lettertype"/>
    <w:uiPriority w:val="99"/>
    <w:semiHidden/>
    <w:unhideWhenUsed/>
    <w:rsid w:val="00610B26"/>
    <w:rPr>
      <w:sz w:val="16"/>
      <w:szCs w:val="16"/>
    </w:rPr>
  </w:style>
  <w:style w:type="paragraph" w:styleId="Tekstopmerking">
    <w:name w:val="annotation text"/>
    <w:basedOn w:val="Standaard"/>
    <w:link w:val="TekstopmerkingChar"/>
    <w:uiPriority w:val="99"/>
    <w:unhideWhenUsed/>
    <w:rsid w:val="00610B26"/>
    <w:rPr>
      <w:sz w:val="20"/>
      <w:szCs w:val="20"/>
    </w:rPr>
  </w:style>
  <w:style w:type="character" w:customStyle="1" w:styleId="TekstopmerkingChar">
    <w:name w:val="Tekst opmerking Char"/>
    <w:basedOn w:val="Standaardalinea-lettertype"/>
    <w:link w:val="Tekstopmerking"/>
    <w:uiPriority w:val="99"/>
    <w:rsid w:val="00610B26"/>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610B26"/>
    <w:rPr>
      <w:b/>
      <w:bCs/>
    </w:rPr>
  </w:style>
  <w:style w:type="character" w:customStyle="1" w:styleId="OnderwerpvanopmerkingChar">
    <w:name w:val="Onderwerp van opmerking Char"/>
    <w:basedOn w:val="TekstopmerkingChar"/>
    <w:link w:val="Onderwerpvanopmerking"/>
    <w:uiPriority w:val="99"/>
    <w:semiHidden/>
    <w:rsid w:val="00610B26"/>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480B71E5-8390-4AA6-8FFC-70B20D7A8003}"/>
      </w:docPartPr>
      <w:docPartBody>
        <w:p w:rsidR="003D0CDA" w:rsidRDefault="00A67F26">
          <w:r w:rsidRPr="00364DF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F26"/>
    <w:rsid w:val="003D0CDA"/>
    <w:rsid w:val="00A67F26"/>
    <w:rsid w:val="00B93EED"/>
    <w:rsid w:val="00E02A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67F2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769</ap:Words>
  <ap:Characters>4241</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2023-09-21T10:56:00.0000000Z</dcterms:created>
  <dcterms:modified xsi:type="dcterms:W3CDTF">2023-10-27T09:28:00.0000000Z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W12.23.00173/III</vt:lpwstr>
  </property>
  <property fmtid="{D5CDD505-2E9C-101B-9397-08002B2CF9AE}" pid="5" name="zaaktype">
    <vt:lpwstr>WET</vt:lpwstr>
  </property>
  <property fmtid="{D5CDD505-2E9C-101B-9397-08002B2CF9AE}" pid="6" name="ContentTypeId">
    <vt:lpwstr>0x010100FA5A77795FEADA4EA512273036134446002C1454C1F5978940ADF92C21972E064F</vt:lpwstr>
  </property>
  <property fmtid="{D5CDD505-2E9C-101B-9397-08002B2CF9AE}" pid="7" name="Bestemming">
    <vt:lpwstr>2;#Corsa|a7721b99-8166-4953-a37e-7c8574fb4b8b</vt:lpwstr>
  </property>
  <property fmtid="{D5CDD505-2E9C-101B-9397-08002B2CF9AE}" pid="8" name="_dlc_DocIdItemGuid">
    <vt:lpwstr>6a890505-d02f-4351-a406-798fe87d117a</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