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842329" w:rsidP="00842329" w:rsidRDefault="00842329" w14:paraId="2090809E" w14:textId="77777777">
      <w:pPr>
        <w:pStyle w:val="PlatteTekst"/>
        <w:rPr>
          <w:szCs w:val="18"/>
        </w:rPr>
        <w:sectPr w:rsidRPr="002B3C7E" w:rsidR="00842329" w:rsidSect="00F119E8">
          <w:headerReference w:type="default" r:id="rId12"/>
          <w:footerReference w:type="default" r:id="rId13"/>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1" behindDoc="0" locked="0" layoutInCell="1" allowOverlap="1" wp14:editId="79A63F1D" wp14:anchorId="1140AFD5">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E5A" w:rsidP="00842329" w:rsidRDefault="007C3E5A" w14:paraId="628D06F6" w14:textId="77777777">
                            <w:pPr>
                              <w:pStyle w:val="Huisstijl-Agendatitel"/>
                              <w:ind w:left="0" w:firstLine="0"/>
                              <w:jc w:val="right"/>
                            </w:pPr>
                            <w:r>
                              <w:t>Commissie EZK</w:t>
                            </w:r>
                          </w:p>
                          <w:p w:rsidR="007C3E5A" w:rsidP="00842329" w:rsidRDefault="007C3E5A" w14:paraId="5750EEF2" w14:textId="77777777">
                            <w:pPr>
                              <w:pStyle w:val="Huisstijl-Agendatitel"/>
                              <w:ind w:left="0" w:firstLine="0"/>
                              <w:jc w:val="right"/>
                            </w:pPr>
                          </w:p>
                          <w:p w:rsidR="007C3E5A" w:rsidP="00842329" w:rsidRDefault="007C3E5A" w14:paraId="56EBA31D" w14:textId="77777777">
                            <w:pPr>
                              <w:pStyle w:val="Huisstijl-Agendatitel"/>
                              <w:ind w:left="0" w:firstLine="0"/>
                              <w:jc w:val="right"/>
                            </w:pPr>
                          </w:p>
                          <w:p w:rsidR="007C3E5A" w:rsidP="00842329" w:rsidRDefault="00323A7C" w14:paraId="28DD6A46" w14:textId="124B9F1E">
                            <w:pPr>
                              <w:pStyle w:val="Huisstijl-Agendatitel"/>
                              <w:ind w:left="0" w:firstLine="0"/>
                              <w:jc w:val="right"/>
                            </w:pPr>
                            <w:r>
                              <w:t>18 oktober</w:t>
                            </w:r>
                            <w:r w:rsidR="007C3E5A">
                              <w:t xml:space="preserve"> 2023</w:t>
                            </w:r>
                          </w:p>
                          <w:p w:rsidR="007C3E5A" w:rsidP="00842329" w:rsidRDefault="007C3E5A" w14:paraId="5142D7FF" w14:textId="77777777">
                            <w:pPr>
                              <w:pStyle w:val="Huisstijl-Agendatitel"/>
                              <w:ind w:left="0" w:firstLine="0"/>
                            </w:pPr>
                          </w:p>
                          <w:p w:rsidR="007C3E5A" w:rsidP="00842329" w:rsidRDefault="007C3E5A" w14:paraId="0C651FF1" w14:textId="77777777">
                            <w:pPr>
                              <w:pStyle w:val="Huisstijl-AgendagegevensW1"/>
                            </w:pPr>
                            <w:r>
                              <w:tab/>
                              <w:t xml:space="preserve"> </w:t>
                            </w:r>
                          </w:p>
                          <w:p w:rsidR="007C3E5A" w:rsidP="00842329" w:rsidRDefault="007C3E5A" w14:paraId="1E870CE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40AFD5">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7C3E5A" w:rsidP="00842329" w:rsidRDefault="007C3E5A" w14:paraId="628D06F6" w14:textId="77777777">
                      <w:pPr>
                        <w:pStyle w:val="Huisstijl-Agendatitel"/>
                        <w:ind w:left="0" w:firstLine="0"/>
                        <w:jc w:val="right"/>
                      </w:pPr>
                      <w:r>
                        <w:t>Commissie EZK</w:t>
                      </w:r>
                    </w:p>
                    <w:p w:rsidR="007C3E5A" w:rsidP="00842329" w:rsidRDefault="007C3E5A" w14:paraId="5750EEF2" w14:textId="77777777">
                      <w:pPr>
                        <w:pStyle w:val="Huisstijl-Agendatitel"/>
                        <w:ind w:left="0" w:firstLine="0"/>
                        <w:jc w:val="right"/>
                      </w:pPr>
                    </w:p>
                    <w:p w:rsidR="007C3E5A" w:rsidP="00842329" w:rsidRDefault="007C3E5A" w14:paraId="56EBA31D" w14:textId="77777777">
                      <w:pPr>
                        <w:pStyle w:val="Huisstijl-Agendatitel"/>
                        <w:ind w:left="0" w:firstLine="0"/>
                        <w:jc w:val="right"/>
                      </w:pPr>
                    </w:p>
                    <w:p w:rsidR="007C3E5A" w:rsidP="00842329" w:rsidRDefault="00323A7C" w14:paraId="28DD6A46" w14:textId="124B9F1E">
                      <w:pPr>
                        <w:pStyle w:val="Huisstijl-Agendatitel"/>
                        <w:ind w:left="0" w:firstLine="0"/>
                        <w:jc w:val="right"/>
                      </w:pPr>
                      <w:r>
                        <w:t>18 oktober</w:t>
                      </w:r>
                      <w:r w:rsidR="007C3E5A">
                        <w:t xml:space="preserve"> 2023</w:t>
                      </w:r>
                    </w:p>
                    <w:p w:rsidR="007C3E5A" w:rsidP="00842329" w:rsidRDefault="007C3E5A" w14:paraId="5142D7FF" w14:textId="77777777">
                      <w:pPr>
                        <w:pStyle w:val="Huisstijl-Agendatitel"/>
                        <w:ind w:left="0" w:firstLine="0"/>
                      </w:pPr>
                    </w:p>
                    <w:p w:rsidR="007C3E5A" w:rsidP="00842329" w:rsidRDefault="007C3E5A" w14:paraId="0C651FF1" w14:textId="77777777">
                      <w:pPr>
                        <w:pStyle w:val="Huisstijl-AgendagegevensW1"/>
                      </w:pPr>
                      <w:r>
                        <w:tab/>
                        <w:t xml:space="preserve"> </w:t>
                      </w:r>
                    </w:p>
                    <w:p w:rsidR="007C3E5A" w:rsidP="00842329" w:rsidRDefault="007C3E5A" w14:paraId="1E870CE9"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8240" behindDoc="0" locked="0" layoutInCell="1" allowOverlap="1" wp14:editId="4434978C" wp14:anchorId="79D0395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E5A" w:rsidP="00842329" w:rsidRDefault="007C3E5A" w14:paraId="12E9547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9D03956">
                <v:path arrowok="t"/>
                <v:textbox inset="0,0,0,0">
                  <w:txbxContent>
                    <w:p w:rsidR="007C3E5A" w:rsidP="00842329" w:rsidRDefault="007C3E5A" w14:paraId="12E9547A" w14:textId="77777777"/>
                  </w:txbxContent>
                </v:textbox>
                <w10:wrap anchory="page"/>
              </v:shape>
            </w:pict>
          </mc:Fallback>
        </mc:AlternateContent>
      </w:r>
    </w:p>
    <w:p w:rsidR="00842329" w:rsidP="530D8C2E" w:rsidRDefault="530D8C2E" w14:paraId="1C5A8D5C" w14:textId="77777777">
      <w:pPr>
        <w:rPr>
          <w:b/>
          <w:bCs/>
          <w:sz w:val="22"/>
        </w:rPr>
      </w:pPr>
      <w:r w:rsidRPr="530D8C2E">
        <w:rPr>
          <w:b/>
          <w:bCs/>
          <w:sz w:val="22"/>
        </w:rPr>
        <w:t xml:space="preserve">Lijst van nieuwe EU-voorstellen </w:t>
      </w:r>
    </w:p>
    <w:p w:rsidRPr="00E02D08" w:rsidR="00842329" w:rsidP="00842329" w:rsidRDefault="00842329" w14:paraId="58EDCF5F" w14:textId="77777777">
      <w:pPr>
        <w:rPr>
          <w:b/>
          <w:sz w:val="22"/>
          <w:szCs w:val="18"/>
        </w:rPr>
      </w:pPr>
    </w:p>
    <w:p w:rsidRPr="00E02D08" w:rsidR="00842329" w:rsidP="530D8C2E" w:rsidRDefault="00842329" w14:paraId="36395E42" w14:textId="699B3E60">
      <w:pPr>
        <w:rPr>
          <w:sz w:val="16"/>
          <w:szCs w:val="16"/>
        </w:rPr>
      </w:pPr>
      <w:r w:rsidRPr="00E02D08">
        <w:rPr>
          <w:sz w:val="16"/>
          <w:szCs w:val="16"/>
        </w:rPr>
        <w:t>De</w:t>
      </w:r>
      <w:r w:rsidRPr="0B5D9360">
        <w:rPr>
          <w:b/>
          <w:bCs/>
          <w:sz w:val="16"/>
          <w:szCs w:val="16"/>
        </w:rPr>
        <w:t xml:space="preserve"> </w:t>
      </w:r>
      <w:r w:rsidRPr="00E02D08">
        <w:rPr>
          <w:sz w:val="16"/>
          <w:szCs w:val="16"/>
        </w:rPr>
        <w:t xml:space="preserve">Europese Commissie heeft in de periode tussen </w:t>
      </w:r>
      <w:r w:rsidR="004E284F">
        <w:rPr>
          <w:b/>
          <w:bCs/>
          <w:sz w:val="16"/>
          <w:szCs w:val="16"/>
        </w:rPr>
        <w:t>2</w:t>
      </w:r>
      <w:r w:rsidR="00323A7C">
        <w:rPr>
          <w:b/>
          <w:bCs/>
          <w:sz w:val="16"/>
          <w:szCs w:val="16"/>
        </w:rPr>
        <w:t>1</w:t>
      </w:r>
      <w:r w:rsidR="00B86C37">
        <w:rPr>
          <w:b/>
          <w:bCs/>
          <w:sz w:val="16"/>
          <w:szCs w:val="16"/>
        </w:rPr>
        <w:t xml:space="preserve"> september </w:t>
      </w:r>
      <w:r w:rsidR="00323A7C">
        <w:rPr>
          <w:b/>
          <w:bCs/>
          <w:sz w:val="16"/>
          <w:szCs w:val="16"/>
        </w:rPr>
        <w:t xml:space="preserve">en 18 oktober </w:t>
      </w:r>
      <w:r w:rsidRPr="530D8C2E">
        <w:rPr>
          <w:b/>
          <w:bCs/>
          <w:sz w:val="16"/>
          <w:szCs w:val="16"/>
        </w:rPr>
        <w:t>2023</w:t>
      </w:r>
      <w:r>
        <w:rPr>
          <w:sz w:val="16"/>
          <w:szCs w:val="16"/>
        </w:rPr>
        <w:t xml:space="preserve"> </w:t>
      </w:r>
      <w:r w:rsidRPr="00E02D08">
        <w:rPr>
          <w:sz w:val="16"/>
          <w:szCs w:val="16"/>
        </w:rPr>
        <w:t>de volgende voor de</w:t>
      </w:r>
      <w:r>
        <w:rPr>
          <w:sz w:val="16"/>
          <w:szCs w:val="16"/>
        </w:rPr>
        <w:t>ze</w:t>
      </w:r>
      <w:r w:rsidRPr="00E02D08">
        <w:rPr>
          <w:sz w:val="16"/>
          <w:szCs w:val="16"/>
        </w:rPr>
        <w:t xml:space="preserve"> </w:t>
      </w:r>
      <w:r w:rsidRPr="00405747">
        <w:rPr>
          <w:sz w:val="16"/>
          <w:szCs w:val="16"/>
        </w:rPr>
        <w:t>vaste commissie</w:t>
      </w:r>
      <w:r w:rsidRPr="0B5D9360">
        <w:rPr>
          <w:b/>
          <w:bCs/>
          <w:sz w:val="16"/>
          <w:szCs w:val="16"/>
        </w:rPr>
        <w:t xml:space="preserve"> </w:t>
      </w:r>
      <w:r w:rsidRPr="00E02D08">
        <w:rPr>
          <w:sz w:val="16"/>
          <w:szCs w:val="16"/>
        </w:rPr>
        <w:t>relevante voorstellen voor Europese wetgeving, besluiten en andere beleidsvormende documenten aan de Tweede Kamer gestuurd</w:t>
      </w:r>
      <w:r>
        <w:rPr>
          <w:rStyle w:val="Voetnootmarkering"/>
          <w:sz w:val="16"/>
          <w:szCs w:val="16"/>
        </w:rPr>
        <w:footnoteReference w:id="2"/>
      </w:r>
      <w:r w:rsidRPr="00E02D08">
        <w:rPr>
          <w:sz w:val="16"/>
          <w:szCs w:val="16"/>
        </w:rPr>
        <w:t xml:space="preserve">: </w:t>
      </w:r>
    </w:p>
    <w:p w:rsidR="00842329" w:rsidP="00842329" w:rsidRDefault="00842329" w14:paraId="6BF362ED" w14:textId="77777777">
      <w:pPr>
        <w:rPr>
          <w:szCs w:val="18"/>
        </w:rPr>
      </w:pPr>
    </w:p>
    <w:p w:rsidRPr="000A4E0B" w:rsidR="530D8C2E" w:rsidP="530D8C2E" w:rsidRDefault="530D8C2E" w14:paraId="3249AE23" w14:textId="16296289">
      <w:pPr>
        <w:pStyle w:val="Lijstalinea"/>
        <w:numPr>
          <w:ilvl w:val="0"/>
          <w:numId w:val="1"/>
        </w:numPr>
        <w:rPr>
          <w:b/>
          <w:bCs/>
        </w:rPr>
      </w:pPr>
      <w:r w:rsidRPr="530D8C2E">
        <w:rPr>
          <w:b/>
          <w:bCs/>
        </w:rPr>
        <w:t>Nieuw voorgestelde EU-wetgeving</w:t>
      </w:r>
      <w:r w:rsidR="00842329">
        <w:br/>
      </w:r>
      <w:r>
        <w:t>(Verordeningen, richtlijnen en wetgevende besluiten)</w:t>
      </w:r>
    </w:p>
    <w:p w:rsidR="00721113" w:rsidP="530D8C2E" w:rsidRDefault="00721113" w14:paraId="2C8D7E7C" w14:textId="169E9931">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EF6EAC" w:rsidR="00EE2AC5" w:rsidTr="00CE0371" w14:paraId="3377339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EE2AC5" w:rsidP="00CE0371" w:rsidRDefault="00EE2AC5" w14:paraId="370E7EF3"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EE2AC5" w:rsidP="00CE0371" w:rsidRDefault="00EE2AC5" w14:paraId="4228F61C"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EE2AC5" w:rsidR="00EE2AC5" w:rsidP="00EE2AC5" w:rsidRDefault="00EE2AC5" w14:paraId="56643D4A" w14:textId="77777777">
            <w:pPr>
              <w:shd w:val="clear" w:color="auto" w:fill="FFFFFF"/>
              <w:spacing w:after="75"/>
              <w:rPr>
                <w:szCs w:val="18"/>
                <w:lang w:val="en-GB" w:eastAsia="nl-NL"/>
              </w:rPr>
            </w:pPr>
            <w:r w:rsidRPr="00EE2AC5">
              <w:rPr>
                <w:szCs w:val="18"/>
                <w:lang w:val="en-GB" w:eastAsia="nl-NL"/>
              </w:rPr>
              <w:t>Proposal for a REGULATION OF THE EUROPEAN PARLIAMENT AND OF THE COUNCIL repealing Regulation (EU) No 524/2013 and amending Regulations (EU) 2017/2394 and (EU) 2018/1724 with regards to the discontinuation of the European ODR Platform</w:t>
            </w:r>
          </w:p>
          <w:p w:rsidRPr="00EF6EAC" w:rsidR="00EE2AC5" w:rsidP="00EE2AC5" w:rsidRDefault="00EE2AC5" w14:paraId="3876751A" w14:textId="5E901107">
            <w:pPr>
              <w:shd w:val="clear" w:color="auto" w:fill="FFFFFF"/>
              <w:rPr>
                <w:szCs w:val="18"/>
              </w:rPr>
            </w:pPr>
            <w:hyperlink w:history="1" r:id="rId14">
              <w:r w:rsidRPr="00EE2AC5">
                <w:rPr>
                  <w:color w:val="0000FF"/>
                  <w:szCs w:val="18"/>
                  <w:u w:val="single"/>
                  <w:lang w:eastAsia="nl-NL"/>
                </w:rPr>
                <w:t>COM(</w:t>
              </w:r>
              <w:r w:rsidRPr="00EE2AC5">
                <w:rPr>
                  <w:color w:val="0000FF"/>
                  <w:szCs w:val="18"/>
                  <w:u w:val="single"/>
                  <w:lang w:eastAsia="nl-NL"/>
                </w:rPr>
                <w:t>2</w:t>
              </w:r>
              <w:r w:rsidRPr="00EE2AC5">
                <w:rPr>
                  <w:color w:val="0000FF"/>
                  <w:szCs w:val="18"/>
                  <w:u w:val="single"/>
                  <w:lang w:eastAsia="nl-NL"/>
                </w:rPr>
                <w:t>023)647</w:t>
              </w:r>
            </w:hyperlink>
          </w:p>
        </w:tc>
      </w:tr>
      <w:tr w:rsidRPr="00C64D1B" w:rsidR="00EE2AC5" w:rsidTr="00CE0371" w14:paraId="67EDC545" w14:textId="77777777">
        <w:tc>
          <w:tcPr>
            <w:tcW w:w="0" w:type="auto"/>
            <w:vMerge/>
            <w:tcBorders>
              <w:top w:val="single" w:color="D9D9D9" w:sz="8" w:space="0"/>
              <w:left w:val="single" w:color="D9D9D9" w:sz="8" w:space="0"/>
              <w:bottom w:val="single" w:color="D9D9D9" w:sz="8" w:space="0"/>
              <w:right w:val="nil"/>
            </w:tcBorders>
            <w:vAlign w:val="center"/>
            <w:hideMark/>
          </w:tcPr>
          <w:p w:rsidRPr="00EF6EAC" w:rsidR="00EE2AC5" w:rsidP="00CE0371" w:rsidRDefault="00EE2AC5" w14:paraId="7F04380B" w14:textId="77777777">
            <w:pPr>
              <w:rPr>
                <w:rFonts w:eastAsiaTheme="minorHAnsi"/>
                <w:szCs w:val="18"/>
              </w:rPr>
            </w:pPr>
          </w:p>
        </w:tc>
        <w:tc>
          <w:tcPr>
            <w:tcW w:w="1134" w:type="dxa"/>
            <w:tcMar>
              <w:top w:w="0" w:type="dxa"/>
              <w:left w:w="108" w:type="dxa"/>
              <w:bottom w:w="0" w:type="dxa"/>
              <w:right w:w="108" w:type="dxa"/>
            </w:tcMar>
            <w:hideMark/>
          </w:tcPr>
          <w:p w:rsidRPr="00EF6EAC" w:rsidR="00EE2AC5" w:rsidP="00CE0371" w:rsidRDefault="00EE2AC5" w14:paraId="5FE703AB" w14:textId="77777777">
            <w:pPr>
              <w:rPr>
                <w:szCs w:val="18"/>
              </w:rPr>
            </w:pPr>
          </w:p>
          <w:p w:rsidR="00EE2AC5" w:rsidP="00CE0371" w:rsidRDefault="00EE2AC5" w14:paraId="3C8492C2"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EE2AC5" w:rsidP="00CE0371" w:rsidRDefault="00EE2AC5" w14:paraId="44FEFBEF" w14:textId="77777777">
            <w:pPr>
              <w:rPr>
                <w:bCs/>
                <w:szCs w:val="18"/>
              </w:rPr>
            </w:pPr>
          </w:p>
          <w:p w:rsidRPr="00C64D1B" w:rsidR="00EE2AC5" w:rsidP="00736EBC" w:rsidRDefault="00736EBC" w14:paraId="0513E967" w14:textId="62AAB445">
            <w:pPr>
              <w:rPr>
                <w:bCs/>
                <w:szCs w:val="18"/>
              </w:rPr>
            </w:pPr>
            <w:r>
              <w:t>BNC-fiche</w:t>
            </w:r>
            <w:r w:rsidR="00BF0692">
              <w:t xml:space="preserve"> na ontvangst agenderen voor eerstvolgend</w:t>
            </w:r>
            <w:r>
              <w:t xml:space="preserve"> CD/SO over de Raad voor Concurrentievermogen.</w:t>
            </w:r>
          </w:p>
        </w:tc>
      </w:tr>
      <w:tr w:rsidRPr="00EC4AD9" w:rsidR="00EE2AC5" w:rsidTr="00CE0371" w14:paraId="06985835" w14:textId="77777777">
        <w:tc>
          <w:tcPr>
            <w:tcW w:w="0" w:type="auto"/>
            <w:vMerge/>
            <w:tcBorders>
              <w:top w:val="single" w:color="D9D9D9" w:sz="8" w:space="0"/>
              <w:left w:val="single" w:color="D9D9D9" w:sz="8" w:space="0"/>
              <w:bottom w:val="single" w:color="D9D9D9" w:sz="8" w:space="0"/>
              <w:right w:val="nil"/>
            </w:tcBorders>
            <w:vAlign w:val="center"/>
            <w:hideMark/>
          </w:tcPr>
          <w:p w:rsidR="00EE2AC5" w:rsidP="00CE0371" w:rsidRDefault="00EE2AC5" w14:paraId="27B5D26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EE2AC5" w:rsidP="00CE0371" w:rsidRDefault="00EE2AC5" w14:paraId="05551681" w14:textId="77777777">
            <w:pPr>
              <w:rPr>
                <w:szCs w:val="18"/>
              </w:rPr>
            </w:pPr>
          </w:p>
          <w:p w:rsidRPr="002D25C3" w:rsidR="00EE2AC5" w:rsidP="00CE0371" w:rsidRDefault="00EE2AC5" w14:paraId="2C4D13FA" w14:textId="77777777">
            <w:pPr>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EE2AC5" w:rsidP="00CE0371" w:rsidRDefault="00EE2AC5" w14:paraId="240431BE" w14:textId="77777777">
            <w:pPr>
              <w:spacing w:line="259" w:lineRule="auto"/>
            </w:pPr>
          </w:p>
          <w:p w:rsidR="00B302C1" w:rsidP="00736EBC" w:rsidRDefault="00B302C1" w14:paraId="1E4BCD15" w14:textId="6D63C621">
            <w:pPr>
              <w:spacing w:line="259" w:lineRule="auto"/>
              <w:rPr>
                <w:color w:val="333333"/>
                <w:szCs w:val="18"/>
                <w:shd w:val="clear" w:color="auto" w:fill="FFFFFF"/>
              </w:rPr>
            </w:pPr>
            <w:r w:rsidRPr="00E8265E">
              <w:rPr>
                <w:color w:val="333333"/>
                <w:szCs w:val="18"/>
                <w:shd w:val="clear" w:color="auto" w:fill="FFFFFF"/>
              </w:rPr>
              <w:t xml:space="preserve">In haar </w:t>
            </w:r>
            <w:hyperlink w:history="1" r:id="rId15">
              <w:r w:rsidRPr="00E8265E">
                <w:rPr>
                  <w:rStyle w:val="Hyperlink"/>
                  <w:szCs w:val="18"/>
                  <w:shd w:val="clear" w:color="auto" w:fill="FFFFFF"/>
                </w:rPr>
                <w:t>mededeling</w:t>
              </w:r>
            </w:hyperlink>
            <w:r w:rsidR="00BD25A8">
              <w:rPr>
                <w:color w:val="333333"/>
                <w:szCs w:val="18"/>
                <w:shd w:val="clear" w:color="auto" w:fill="FFFFFF"/>
              </w:rPr>
              <w:t xml:space="preserve"> over het concurrentievermogen van de EU op de lange termijn kondigt de EC aan om EU-wetgeving actief te screenen op haar geschiktheid voor het beoogde doel</w:t>
            </w:r>
            <w:r w:rsidR="003D392C">
              <w:rPr>
                <w:color w:val="333333"/>
                <w:szCs w:val="18"/>
                <w:shd w:val="clear" w:color="auto" w:fill="FFFFFF"/>
              </w:rPr>
              <w:t xml:space="preserve"> (‘fit for purpose’)</w:t>
            </w:r>
            <w:r w:rsidR="00BD25A8">
              <w:rPr>
                <w:color w:val="333333"/>
                <w:szCs w:val="18"/>
                <w:shd w:val="clear" w:color="auto" w:fill="FFFFFF"/>
              </w:rPr>
              <w:t xml:space="preserve">, met name om de kosten voor bedrijven en overheden terug te dringen. Het doel is daarbij om de </w:t>
            </w:r>
            <w:r w:rsidR="00AB2D7C">
              <w:rPr>
                <w:color w:val="333333"/>
                <w:szCs w:val="18"/>
                <w:shd w:val="clear" w:color="auto" w:fill="FFFFFF"/>
              </w:rPr>
              <w:t>rapporteringsverplichtingen</w:t>
            </w:r>
            <w:r w:rsidR="00BD25A8">
              <w:rPr>
                <w:color w:val="333333"/>
                <w:szCs w:val="18"/>
                <w:shd w:val="clear" w:color="auto" w:fill="FFFFFF"/>
              </w:rPr>
              <w:t xml:space="preserve"> met 25% te </w:t>
            </w:r>
            <w:r w:rsidR="008B7FDA">
              <w:rPr>
                <w:color w:val="333333"/>
                <w:szCs w:val="18"/>
                <w:shd w:val="clear" w:color="auto" w:fill="FFFFFF"/>
              </w:rPr>
              <w:t>beperken</w:t>
            </w:r>
            <w:r w:rsidR="00BD25A8">
              <w:rPr>
                <w:color w:val="333333"/>
                <w:szCs w:val="18"/>
                <w:shd w:val="clear" w:color="auto" w:fill="FFFFFF"/>
              </w:rPr>
              <w:t xml:space="preserve">.  </w:t>
            </w:r>
            <w:r w:rsidRPr="00E8265E">
              <w:rPr>
                <w:color w:val="333333"/>
                <w:szCs w:val="18"/>
                <w:shd w:val="clear" w:color="auto" w:fill="FFFFFF"/>
              </w:rPr>
              <w:t xml:space="preserve"> </w:t>
            </w:r>
          </w:p>
          <w:p w:rsidR="00BD25A8" w:rsidP="00736EBC" w:rsidRDefault="00BD25A8" w14:paraId="673E24AF" w14:textId="77777777">
            <w:pPr>
              <w:spacing w:line="259" w:lineRule="auto"/>
              <w:rPr>
                <w:szCs w:val="18"/>
              </w:rPr>
            </w:pPr>
          </w:p>
          <w:p w:rsidRPr="00EC4AD9" w:rsidR="000D21B7" w:rsidP="00BF0692" w:rsidRDefault="00B302C1" w14:paraId="4FF50A48" w14:textId="39AA67F4">
            <w:pPr>
              <w:spacing w:line="259" w:lineRule="auto"/>
              <w:rPr>
                <w:szCs w:val="18"/>
              </w:rPr>
            </w:pPr>
            <w:r>
              <w:rPr>
                <w:szCs w:val="18"/>
              </w:rPr>
              <w:t xml:space="preserve">Met dit voorstel wil de EC </w:t>
            </w:r>
            <w:r w:rsidRPr="00EC4AD9" w:rsidR="00EC4AD9">
              <w:rPr>
                <w:szCs w:val="18"/>
              </w:rPr>
              <w:t xml:space="preserve">de </w:t>
            </w:r>
            <w:r w:rsidR="00EC4AD9">
              <w:rPr>
                <w:szCs w:val="18"/>
              </w:rPr>
              <w:t>ODR-verordening</w:t>
            </w:r>
            <w:r w:rsidR="000D21B7">
              <w:rPr>
                <w:szCs w:val="18"/>
              </w:rPr>
              <w:t xml:space="preserve"> voor onlinebeslechting van consumentengeschillen </w:t>
            </w:r>
            <w:r>
              <w:rPr>
                <w:szCs w:val="18"/>
              </w:rPr>
              <w:t>in</w:t>
            </w:r>
            <w:r w:rsidR="00EC4AD9">
              <w:rPr>
                <w:szCs w:val="18"/>
              </w:rPr>
              <w:t>trekken, waardoor het ODR-platform wordt stopgezet en de</w:t>
            </w:r>
            <w:r w:rsidR="00BF0692">
              <w:rPr>
                <w:szCs w:val="18"/>
              </w:rPr>
              <w:t xml:space="preserve"> bijbehorende</w:t>
            </w:r>
            <w:r w:rsidR="00EC4AD9">
              <w:rPr>
                <w:szCs w:val="18"/>
              </w:rPr>
              <w:t xml:space="preserve"> verplichting</w:t>
            </w:r>
            <w:r w:rsidR="00BF0692">
              <w:rPr>
                <w:szCs w:val="18"/>
              </w:rPr>
              <w:t>en</w:t>
            </w:r>
            <w:r w:rsidR="00EC4AD9">
              <w:rPr>
                <w:szCs w:val="18"/>
              </w:rPr>
              <w:t xml:space="preserve"> voor onlinebedrij</w:t>
            </w:r>
            <w:r w:rsidR="00B30D7E">
              <w:rPr>
                <w:szCs w:val="18"/>
              </w:rPr>
              <w:t>ven worden</w:t>
            </w:r>
            <w:r w:rsidR="00EC4AD9">
              <w:rPr>
                <w:szCs w:val="18"/>
              </w:rPr>
              <w:t xml:space="preserve"> opgeheven</w:t>
            </w:r>
            <w:r w:rsidR="00BF0692">
              <w:rPr>
                <w:szCs w:val="18"/>
              </w:rPr>
              <w:t>.</w:t>
            </w:r>
            <w:r w:rsidR="00EC4AD9">
              <w:rPr>
                <w:szCs w:val="18"/>
              </w:rPr>
              <w:t xml:space="preserve"> </w:t>
            </w:r>
          </w:p>
        </w:tc>
      </w:tr>
    </w:tbl>
    <w:p w:rsidRPr="00EC4AD9" w:rsidR="00EE2AC5" w:rsidP="00EE2AC5" w:rsidRDefault="00EE2AC5" w14:paraId="051FB886" w14:textId="21284CA8">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EE2AC5" w:rsidR="00EE2AC5" w:rsidTr="00CE0371" w14:paraId="0831583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C4AD9" w:rsidR="00EE2AC5" w:rsidP="00CE0371" w:rsidRDefault="00EE2AC5" w14:paraId="2CF6A1F5"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EE2AC5" w:rsidP="00CE0371" w:rsidRDefault="00EE2AC5" w14:paraId="0CAFED1A"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EE2AC5" w:rsidR="00EE2AC5" w:rsidP="00EE2AC5" w:rsidRDefault="00EE2AC5" w14:paraId="143D2140" w14:textId="3108B696">
            <w:pPr>
              <w:shd w:val="clear" w:color="auto" w:fill="FFFFFF"/>
              <w:spacing w:after="75"/>
              <w:rPr>
                <w:rFonts w:eastAsiaTheme="minorHAnsi"/>
                <w:szCs w:val="18"/>
                <w:lang w:val="en-GB"/>
              </w:rPr>
            </w:pPr>
            <w:r w:rsidRPr="00EE2AC5">
              <w:rPr>
                <w:szCs w:val="18"/>
                <w:lang w:val="en-GB"/>
              </w:rPr>
              <w:t xml:space="preserve">Proposal for a DIRECTIVE OF THE EUROPEAN PARLIAMENT AND OF THE COUNCIL amending Directive 2013/11/EU on alternative dispute resolution for consumer disputes, as well as Directives (EU) 2015/2302, (EU) 2019/2161 and (EU) 2020/1828 </w:t>
            </w:r>
            <w:hyperlink w:history="1" r:id="rId16">
              <w:r w:rsidRPr="00EE2AC5">
                <w:rPr>
                  <w:rStyle w:val="Hyperlink"/>
                  <w:szCs w:val="18"/>
                  <w:lang w:val="en-GB"/>
                </w:rPr>
                <w:t>COM(2023)649</w:t>
              </w:r>
            </w:hyperlink>
          </w:p>
        </w:tc>
      </w:tr>
      <w:tr w:rsidRPr="00C64D1B" w:rsidR="00EE2AC5" w:rsidTr="00CE0371" w14:paraId="44614B64" w14:textId="77777777">
        <w:tc>
          <w:tcPr>
            <w:tcW w:w="0" w:type="auto"/>
            <w:vMerge/>
            <w:tcBorders>
              <w:top w:val="single" w:color="D9D9D9" w:sz="8" w:space="0"/>
              <w:left w:val="single" w:color="D9D9D9" w:sz="8" w:space="0"/>
              <w:bottom w:val="single" w:color="D9D9D9" w:sz="8" w:space="0"/>
              <w:right w:val="nil"/>
            </w:tcBorders>
            <w:vAlign w:val="center"/>
            <w:hideMark/>
          </w:tcPr>
          <w:p w:rsidRPr="00EE2AC5" w:rsidR="00EE2AC5" w:rsidP="00CE0371" w:rsidRDefault="00EE2AC5" w14:paraId="6811DFCA" w14:textId="77777777">
            <w:pPr>
              <w:rPr>
                <w:rFonts w:eastAsiaTheme="minorHAnsi"/>
                <w:szCs w:val="18"/>
                <w:lang w:val="en-GB"/>
              </w:rPr>
            </w:pPr>
          </w:p>
        </w:tc>
        <w:tc>
          <w:tcPr>
            <w:tcW w:w="1134" w:type="dxa"/>
            <w:tcMar>
              <w:top w:w="0" w:type="dxa"/>
              <w:left w:w="108" w:type="dxa"/>
              <w:bottom w:w="0" w:type="dxa"/>
              <w:right w:w="108" w:type="dxa"/>
            </w:tcMar>
            <w:hideMark/>
          </w:tcPr>
          <w:p w:rsidRPr="00EE2AC5" w:rsidR="00EE2AC5" w:rsidP="00CE0371" w:rsidRDefault="00EE2AC5" w14:paraId="10C32FDD" w14:textId="77777777">
            <w:pPr>
              <w:rPr>
                <w:szCs w:val="18"/>
                <w:lang w:val="en-GB"/>
              </w:rPr>
            </w:pPr>
          </w:p>
          <w:p w:rsidR="00EE2AC5" w:rsidP="00CE0371" w:rsidRDefault="00EE2AC5" w14:paraId="2B0FDED8"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EE2AC5" w:rsidP="00CE0371" w:rsidRDefault="00EE2AC5" w14:paraId="1AE4C8BB" w14:textId="77777777">
            <w:pPr>
              <w:rPr>
                <w:bCs/>
                <w:szCs w:val="18"/>
              </w:rPr>
            </w:pPr>
          </w:p>
          <w:p w:rsidRPr="00C64D1B" w:rsidR="00EE2AC5" w:rsidP="00E72D62" w:rsidRDefault="00820128" w14:paraId="55F5739E" w14:textId="7A60852F">
            <w:pPr>
              <w:rPr>
                <w:bCs/>
                <w:szCs w:val="18"/>
              </w:rPr>
            </w:pPr>
            <w:r>
              <w:t xml:space="preserve">BNC-fiche na ontvangst </w:t>
            </w:r>
            <w:r w:rsidR="00656931">
              <w:t>agenderen voor eerstvolgend</w:t>
            </w:r>
            <w:r>
              <w:t xml:space="preserve"> CD/SO over de Raad voor Concurrentievermogen.</w:t>
            </w:r>
          </w:p>
        </w:tc>
      </w:tr>
      <w:tr w:rsidRPr="00E4070C" w:rsidR="00EE2AC5" w:rsidTr="00CE0371" w14:paraId="6581B655" w14:textId="77777777">
        <w:tc>
          <w:tcPr>
            <w:tcW w:w="0" w:type="auto"/>
            <w:vMerge/>
            <w:tcBorders>
              <w:top w:val="single" w:color="D9D9D9" w:sz="8" w:space="0"/>
              <w:left w:val="single" w:color="D9D9D9" w:sz="8" w:space="0"/>
              <w:bottom w:val="single" w:color="D9D9D9" w:sz="8" w:space="0"/>
              <w:right w:val="nil"/>
            </w:tcBorders>
            <w:vAlign w:val="center"/>
            <w:hideMark/>
          </w:tcPr>
          <w:p w:rsidR="00EE2AC5" w:rsidP="00CE0371" w:rsidRDefault="00EE2AC5" w14:paraId="639610BF"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EE2AC5" w:rsidP="00CE0371" w:rsidRDefault="00EE2AC5" w14:paraId="0F0D4BED" w14:textId="77777777">
            <w:pPr>
              <w:rPr>
                <w:szCs w:val="18"/>
              </w:rPr>
            </w:pPr>
          </w:p>
          <w:p w:rsidRPr="002D25C3" w:rsidR="00EE2AC5" w:rsidP="00CE0371" w:rsidRDefault="00EE2AC5" w14:paraId="0C268317" w14:textId="77777777">
            <w:pPr>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EE2AC5" w:rsidP="00CE0371" w:rsidRDefault="00EE2AC5" w14:paraId="3C7FC17A" w14:textId="77777777">
            <w:pPr>
              <w:spacing w:line="259" w:lineRule="auto"/>
            </w:pPr>
          </w:p>
          <w:p w:rsidRPr="00E4070C" w:rsidR="00EE2AC5" w:rsidP="00CE0371" w:rsidRDefault="00CF6EBB" w14:paraId="0C2E4109" w14:textId="0ABA2696">
            <w:pPr>
              <w:spacing w:line="259" w:lineRule="auto"/>
              <w:rPr>
                <w:szCs w:val="18"/>
              </w:rPr>
            </w:pPr>
            <w:r>
              <w:rPr>
                <w:color w:val="333333"/>
                <w:szCs w:val="18"/>
                <w:shd w:val="clear" w:color="auto" w:fill="FFFFFF"/>
              </w:rPr>
              <w:t>D</w:t>
            </w:r>
            <w:r w:rsidRPr="007B7A43">
              <w:rPr>
                <w:color w:val="333333"/>
                <w:szCs w:val="18"/>
                <w:shd w:val="clear" w:color="auto" w:fill="FFFFFF"/>
              </w:rPr>
              <w:t>e richtlijn ADR-consumenten regelt dat consumenten op vrijwillige basis klachten tegen ondernemers kunnen voorleggen aan partijen die onafhankelijke procedures voor alternatieve geschillenbeslechting aanbieden</w:t>
            </w:r>
            <w:r>
              <w:rPr>
                <w:color w:val="333333"/>
                <w:szCs w:val="18"/>
                <w:shd w:val="clear" w:color="auto" w:fill="FFFFFF"/>
              </w:rPr>
              <w:t xml:space="preserve">. </w:t>
            </w:r>
            <w:r w:rsidR="00E01BDC">
              <w:rPr>
                <w:szCs w:val="18"/>
              </w:rPr>
              <w:t xml:space="preserve">Het doel van dit voorstel is de huidige benadering van minimale harmonisatie te handhaven en deze te </w:t>
            </w:r>
            <w:r w:rsidR="00656931">
              <w:rPr>
                <w:szCs w:val="18"/>
              </w:rPr>
              <w:t xml:space="preserve">enkel </w:t>
            </w:r>
            <w:r w:rsidR="00E01BDC">
              <w:rPr>
                <w:szCs w:val="18"/>
              </w:rPr>
              <w:t xml:space="preserve">wijzigen om beter geschikt te maken voor de moderne consumentenmarkten.   </w:t>
            </w:r>
          </w:p>
        </w:tc>
      </w:tr>
    </w:tbl>
    <w:p w:rsidR="00EE2AC5" w:rsidP="530D8C2E" w:rsidRDefault="00EE2AC5" w14:paraId="1650E4FF" w14:textId="46EF218E">
      <w:pPr>
        <w:rPr>
          <w:szCs w:val="18"/>
        </w:rPr>
      </w:pPr>
    </w:p>
    <w:p w:rsidR="00EE2AC5" w:rsidP="530D8C2E" w:rsidRDefault="00EE2AC5" w14:paraId="111275B7" w14:textId="77777777">
      <w:pPr>
        <w:rPr>
          <w:szCs w:val="18"/>
        </w:rPr>
      </w:pPr>
    </w:p>
    <w:p w:rsidRPr="00A3203B" w:rsidR="00842329" w:rsidP="530D8C2E" w:rsidRDefault="530D8C2E" w14:paraId="7A697CF1" w14:textId="6C1717F8">
      <w:pPr>
        <w:pStyle w:val="Lijstalinea"/>
        <w:numPr>
          <w:ilvl w:val="0"/>
          <w:numId w:val="1"/>
        </w:numPr>
        <w:rPr>
          <w:b/>
          <w:bCs/>
        </w:rPr>
      </w:pPr>
      <w:r w:rsidRPr="530D8C2E">
        <w:rPr>
          <w:b/>
          <w:bCs/>
        </w:rPr>
        <w:lastRenderedPageBreak/>
        <w:t xml:space="preserve">Nieuwe EU-documenten van niet-wetgevende aard </w:t>
      </w:r>
      <w:r w:rsidR="00842329">
        <w:br/>
      </w:r>
      <w:r>
        <w:t>(Mededelingen, aanbevelingen, actieplannen, consultaties, etc.)</w:t>
      </w:r>
    </w:p>
    <w:p w:rsidRPr="00A3203B" w:rsidR="00851143" w:rsidP="00851143" w:rsidRDefault="00851143" w14:paraId="2BA7B7DA" w14:textId="77777777">
      <w:pPr>
        <w:rPr>
          <w:b/>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EF6EAC" w:rsidR="00851143" w:rsidTr="00CE0371" w14:paraId="33738071"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851143" w:rsidP="00CE0371" w:rsidRDefault="00851143" w14:paraId="5C44E13D" w14:textId="77777777">
            <w:pPr>
              <w:pStyle w:val="Lijstalinea"/>
              <w:numPr>
                <w:ilvl w:val="0"/>
                <w:numId w:val="2"/>
              </w:numPr>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851143" w:rsidP="00CE0371" w:rsidRDefault="00851143" w14:paraId="5981C018" w14:textId="77777777">
            <w:pPr>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EF6EAC" w:rsidR="00851143" w:rsidP="00CE0371" w:rsidRDefault="00EF6EAC" w14:paraId="61B337E0" w14:textId="21FEBD79">
            <w:pPr>
              <w:shd w:val="clear" w:color="auto" w:fill="FFFFFF"/>
              <w:rPr>
                <w:szCs w:val="18"/>
              </w:rPr>
            </w:pPr>
            <w:r w:rsidRPr="00EF6EAC">
              <w:rPr>
                <w:rFonts w:cs="Segoe UI"/>
                <w:bCs/>
                <w:color w:val="333333"/>
                <w:szCs w:val="18"/>
                <w:shd w:val="clear" w:color="auto" w:fill="FFFFFF"/>
              </w:rPr>
              <w:t>MEDEDELING VAN DE COMMISSIE AAN HET EUROPEES PARLEMENT, DE EUROPESE RAAD, DE RAAD, HET EUROPEES ECONOMISCH EN SOCIAAL COMITÉ EN HET COMITÉ VAN DE REGIO’S Naar een meer veerkrachtig, concurrerend en duurzaam Europa</w:t>
            </w:r>
            <w:r>
              <w:rPr>
                <w:rFonts w:cs="Segoe UI"/>
                <w:bCs/>
                <w:color w:val="333333"/>
                <w:szCs w:val="18"/>
                <w:shd w:val="clear" w:color="auto" w:fill="FFFFFF"/>
              </w:rPr>
              <w:t xml:space="preserve"> </w:t>
            </w:r>
            <w:hyperlink w:history="1" r:id="rId17">
              <w:r w:rsidRPr="00EF6EAC" w:rsidR="00851143">
                <w:rPr>
                  <w:rStyle w:val="Hyperlink"/>
                  <w:szCs w:val="18"/>
                </w:rPr>
                <w:t>COM(2023)55</w:t>
              </w:r>
              <w:r w:rsidRPr="00EF6EAC" w:rsidR="00851143">
                <w:rPr>
                  <w:rStyle w:val="Hyperlink"/>
                  <w:szCs w:val="18"/>
                </w:rPr>
                <w:t>8</w:t>
              </w:r>
            </w:hyperlink>
          </w:p>
        </w:tc>
      </w:tr>
      <w:tr w:rsidR="00851143" w:rsidTr="00CE0371" w14:paraId="2D62B9E2" w14:textId="77777777">
        <w:tc>
          <w:tcPr>
            <w:tcW w:w="0" w:type="auto"/>
            <w:vMerge/>
            <w:tcBorders>
              <w:top w:val="single" w:color="D9D9D9" w:sz="8" w:space="0"/>
              <w:left w:val="single" w:color="D9D9D9" w:sz="8" w:space="0"/>
              <w:bottom w:val="single" w:color="D9D9D9" w:sz="8" w:space="0"/>
              <w:right w:val="nil"/>
            </w:tcBorders>
            <w:vAlign w:val="center"/>
            <w:hideMark/>
          </w:tcPr>
          <w:p w:rsidRPr="00EF6EAC" w:rsidR="00851143" w:rsidP="00CE0371" w:rsidRDefault="00851143" w14:paraId="71133063" w14:textId="77777777">
            <w:pPr>
              <w:rPr>
                <w:rFonts w:eastAsiaTheme="minorHAnsi"/>
                <w:szCs w:val="18"/>
              </w:rPr>
            </w:pPr>
          </w:p>
        </w:tc>
        <w:tc>
          <w:tcPr>
            <w:tcW w:w="1134" w:type="dxa"/>
            <w:tcMar>
              <w:top w:w="0" w:type="dxa"/>
              <w:left w:w="108" w:type="dxa"/>
              <w:bottom w:w="0" w:type="dxa"/>
              <w:right w:w="108" w:type="dxa"/>
            </w:tcMar>
            <w:hideMark/>
          </w:tcPr>
          <w:p w:rsidRPr="00EF6EAC" w:rsidR="00851143" w:rsidP="00CE0371" w:rsidRDefault="00851143" w14:paraId="08342ECB" w14:textId="77777777">
            <w:pPr>
              <w:rPr>
                <w:szCs w:val="18"/>
              </w:rPr>
            </w:pPr>
          </w:p>
          <w:p w:rsidR="00851143" w:rsidP="00CE0371" w:rsidRDefault="00851143" w14:paraId="54F3D9B7" w14:textId="77777777">
            <w:pPr>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851143" w:rsidP="00CE0371" w:rsidRDefault="00851143" w14:paraId="29F4359F" w14:textId="77777777">
            <w:pPr>
              <w:rPr>
                <w:bCs/>
                <w:szCs w:val="18"/>
              </w:rPr>
            </w:pPr>
          </w:p>
          <w:p w:rsidRPr="00C64D1B" w:rsidR="00851143" w:rsidP="00CE0371" w:rsidRDefault="00E4070C" w14:paraId="18B9DD12" w14:textId="60F7D36C">
            <w:pPr>
              <w:rPr>
                <w:bCs/>
                <w:szCs w:val="18"/>
              </w:rPr>
            </w:pPr>
            <w:r>
              <w:t xml:space="preserve">BNC-fiche na ontvangst </w:t>
            </w:r>
            <w:r w:rsidR="006E3BF0">
              <w:t>agenderen voor eerstvolgend</w:t>
            </w:r>
            <w:r>
              <w:t xml:space="preserve"> CD/SO over de Raad voor Concurrentievermogen.</w:t>
            </w:r>
          </w:p>
        </w:tc>
      </w:tr>
      <w:tr w:rsidR="00851143" w:rsidTr="00CE0371" w14:paraId="54E5B103" w14:textId="77777777">
        <w:tc>
          <w:tcPr>
            <w:tcW w:w="0" w:type="auto"/>
            <w:vMerge/>
            <w:tcBorders>
              <w:top w:val="single" w:color="D9D9D9" w:sz="8" w:space="0"/>
              <w:left w:val="single" w:color="D9D9D9" w:sz="8" w:space="0"/>
              <w:bottom w:val="single" w:color="D9D9D9" w:sz="8" w:space="0"/>
              <w:right w:val="nil"/>
            </w:tcBorders>
            <w:vAlign w:val="center"/>
            <w:hideMark/>
          </w:tcPr>
          <w:p w:rsidR="00851143" w:rsidP="00CE0371" w:rsidRDefault="00851143" w14:paraId="3F81CB6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851143" w:rsidP="00CE0371" w:rsidRDefault="00851143" w14:paraId="7163E528" w14:textId="77777777">
            <w:pPr>
              <w:rPr>
                <w:szCs w:val="18"/>
              </w:rPr>
            </w:pPr>
          </w:p>
          <w:p w:rsidRPr="002D25C3" w:rsidR="00851143" w:rsidP="00CE0371" w:rsidRDefault="00851143" w14:paraId="205B3415" w14:textId="77777777">
            <w:pPr>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851143" w:rsidP="00CE0371" w:rsidRDefault="00851143" w14:paraId="7498DBF7" w14:textId="77777777">
            <w:pPr>
              <w:spacing w:line="259" w:lineRule="auto"/>
            </w:pPr>
          </w:p>
          <w:p w:rsidRPr="00E4070C" w:rsidR="00EE6F15" w:rsidP="006E3BF0" w:rsidRDefault="00E4070C" w14:paraId="65E9C98A" w14:textId="20DD2482">
            <w:pPr>
              <w:spacing w:line="259" w:lineRule="auto"/>
              <w:rPr>
                <w:szCs w:val="18"/>
              </w:rPr>
            </w:pPr>
            <w:r>
              <w:rPr>
                <w:rFonts w:cs="Arial"/>
                <w:color w:val="000000"/>
                <w:szCs w:val="18"/>
              </w:rPr>
              <w:t xml:space="preserve">Deze mededeling is door de </w:t>
            </w:r>
            <w:r w:rsidR="006E3BF0">
              <w:rPr>
                <w:rFonts w:cs="Arial"/>
                <w:color w:val="000000"/>
                <w:szCs w:val="18"/>
              </w:rPr>
              <w:t>EC</w:t>
            </w:r>
            <w:r w:rsidRPr="00E4070C">
              <w:rPr>
                <w:rFonts w:cs="Arial"/>
                <w:color w:val="000000"/>
                <w:szCs w:val="18"/>
              </w:rPr>
              <w:t xml:space="preserve"> </w:t>
            </w:r>
            <w:r>
              <w:rPr>
                <w:rFonts w:cs="Arial"/>
                <w:color w:val="000000"/>
                <w:szCs w:val="18"/>
              </w:rPr>
              <w:t>gepresenteerd voorafgaand aan het</w:t>
            </w:r>
            <w:r w:rsidRPr="00E4070C">
              <w:rPr>
                <w:rFonts w:cs="Arial"/>
                <w:color w:val="000000"/>
                <w:szCs w:val="18"/>
              </w:rPr>
              <w:t xml:space="preserve"> debat van de </w:t>
            </w:r>
            <w:r>
              <w:rPr>
                <w:rFonts w:cs="Arial"/>
                <w:color w:val="000000"/>
                <w:szCs w:val="18"/>
              </w:rPr>
              <w:t>Europese regerings</w:t>
            </w:r>
            <w:r w:rsidRPr="00E4070C">
              <w:rPr>
                <w:rFonts w:cs="Arial"/>
                <w:color w:val="000000"/>
                <w:szCs w:val="18"/>
              </w:rPr>
              <w:t xml:space="preserve">leiders </w:t>
            </w:r>
            <w:r>
              <w:rPr>
                <w:rFonts w:cs="Arial"/>
                <w:color w:val="000000"/>
                <w:szCs w:val="18"/>
              </w:rPr>
              <w:t xml:space="preserve">begin oktober </w:t>
            </w:r>
            <w:r w:rsidRPr="00E4070C">
              <w:rPr>
                <w:rFonts w:cs="Arial"/>
                <w:color w:val="000000"/>
                <w:szCs w:val="18"/>
              </w:rPr>
              <w:t>over de toekomstgerichte aanpak van de open strategi</w:t>
            </w:r>
            <w:r w:rsidR="006E3BF0">
              <w:rPr>
                <w:rFonts w:cs="Arial"/>
                <w:color w:val="000000"/>
                <w:szCs w:val="18"/>
              </w:rPr>
              <w:t>sche autonomie van de EU en</w:t>
            </w:r>
            <w:r w:rsidRPr="00E4070C">
              <w:rPr>
                <w:rFonts w:cs="Arial"/>
                <w:color w:val="000000"/>
                <w:szCs w:val="18"/>
              </w:rPr>
              <w:t xml:space="preserve"> pr</w:t>
            </w:r>
            <w:r w:rsidR="006E3BF0">
              <w:rPr>
                <w:rFonts w:cs="Arial"/>
                <w:color w:val="000000"/>
                <w:szCs w:val="18"/>
              </w:rPr>
              <w:t>ioritaire beleidsdoelstellingen</w:t>
            </w:r>
            <w:r w:rsidRPr="00E4070C">
              <w:rPr>
                <w:rFonts w:cs="Arial"/>
                <w:color w:val="000000"/>
                <w:szCs w:val="18"/>
              </w:rPr>
              <w:t xml:space="preserve"> de komende jaren. </w:t>
            </w:r>
            <w:r>
              <w:rPr>
                <w:rFonts w:cs="Arial"/>
                <w:color w:val="000000"/>
                <w:szCs w:val="18"/>
              </w:rPr>
              <w:t>Hierin wordt</w:t>
            </w:r>
            <w:r w:rsidRPr="00E4070C">
              <w:rPr>
                <w:rFonts w:cs="Arial"/>
                <w:color w:val="000000"/>
                <w:szCs w:val="18"/>
              </w:rPr>
              <w:t xml:space="preserve"> de balans op</w:t>
            </w:r>
            <w:r>
              <w:rPr>
                <w:rFonts w:cs="Arial"/>
                <w:color w:val="000000"/>
                <w:szCs w:val="18"/>
              </w:rPr>
              <w:t>gemaakt</w:t>
            </w:r>
            <w:r w:rsidRPr="00E4070C">
              <w:rPr>
                <w:rFonts w:cs="Arial"/>
                <w:color w:val="000000"/>
                <w:szCs w:val="18"/>
              </w:rPr>
              <w:t xml:space="preserve"> van de </w:t>
            </w:r>
            <w:r>
              <w:rPr>
                <w:rFonts w:cs="Arial"/>
                <w:color w:val="000000"/>
                <w:szCs w:val="18"/>
              </w:rPr>
              <w:t xml:space="preserve">resultaten en de </w:t>
            </w:r>
            <w:r w:rsidRPr="00E4070C">
              <w:rPr>
                <w:rFonts w:cs="Arial"/>
                <w:color w:val="000000"/>
                <w:szCs w:val="18"/>
              </w:rPr>
              <w:t>uitdagingen voor een veerkrachtigere, concurrerendere en duurzamere econo</w:t>
            </w:r>
            <w:r>
              <w:rPr>
                <w:rFonts w:cs="Arial"/>
                <w:color w:val="000000"/>
                <w:szCs w:val="18"/>
              </w:rPr>
              <w:t>mie</w:t>
            </w:r>
            <w:r w:rsidRPr="00E4070C">
              <w:rPr>
                <w:rFonts w:cs="Arial"/>
                <w:color w:val="000000"/>
                <w:szCs w:val="18"/>
              </w:rPr>
              <w:t>.</w:t>
            </w:r>
          </w:p>
        </w:tc>
      </w:tr>
    </w:tbl>
    <w:p w:rsidR="00851143" w:rsidP="00A3203B" w:rsidRDefault="00851143" w14:paraId="5E636C27" w14:textId="66D2CFB2"/>
    <w:tbl>
      <w:tblPr>
        <w:tblW w:w="0" w:type="auto"/>
        <w:tblCellMar>
          <w:left w:w="0" w:type="dxa"/>
          <w:right w:w="0" w:type="dxa"/>
        </w:tblCellMar>
        <w:tblLook w:val="04A0" w:firstRow="1" w:lastRow="0" w:firstColumn="1" w:lastColumn="0" w:noHBand="0" w:noVBand="1"/>
      </w:tblPr>
      <w:tblGrid>
        <w:gridCol w:w="382"/>
        <w:gridCol w:w="911"/>
        <w:gridCol w:w="257"/>
        <w:gridCol w:w="6425"/>
      </w:tblGrid>
      <w:tr w:rsidRPr="00721113" w:rsidR="00851143" w:rsidTr="0089266F" w14:paraId="7C6E78AA" w14:textId="77777777">
        <w:tc>
          <w:tcPr>
            <w:tcW w:w="382"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851143" w:rsidP="009A2D04" w:rsidRDefault="00851143" w14:paraId="630B2609" w14:textId="77777777">
            <w:pPr>
              <w:pStyle w:val="Lijstalinea"/>
              <w:numPr>
                <w:ilvl w:val="0"/>
                <w:numId w:val="2"/>
              </w:numPr>
              <w:spacing w:after="240"/>
              <w:ind w:left="312"/>
              <w:rPr>
                <w:rFonts w:eastAsiaTheme="minorHAnsi"/>
              </w:rPr>
            </w:pPr>
          </w:p>
        </w:tc>
        <w:tc>
          <w:tcPr>
            <w:tcW w:w="911" w:type="dxa"/>
            <w:tcBorders>
              <w:top w:val="single" w:color="D9D9D9" w:sz="8" w:space="0"/>
              <w:left w:val="nil"/>
              <w:bottom w:val="nil"/>
              <w:right w:val="nil"/>
            </w:tcBorders>
          </w:tcPr>
          <w:p w:rsidR="00851143" w:rsidP="009A2D04" w:rsidRDefault="00EE2AC5" w14:paraId="1619DECB" w14:textId="0CBEE152">
            <w:pPr>
              <w:spacing w:after="240"/>
              <w:rPr>
                <w:szCs w:val="18"/>
              </w:rPr>
            </w:pPr>
            <w:r>
              <w:rPr>
                <w:szCs w:val="18"/>
              </w:rPr>
              <w:t>Titel</w:t>
            </w:r>
          </w:p>
        </w:tc>
        <w:tc>
          <w:tcPr>
            <w:tcW w:w="257" w:type="dxa"/>
            <w:tcBorders>
              <w:top w:val="single" w:color="D9D9D9" w:sz="8" w:space="0"/>
              <w:left w:val="nil"/>
              <w:bottom w:val="nil"/>
              <w:right w:val="nil"/>
            </w:tcBorders>
            <w:tcMar>
              <w:top w:w="0" w:type="dxa"/>
              <w:left w:w="108" w:type="dxa"/>
              <w:bottom w:w="0" w:type="dxa"/>
              <w:right w:w="108" w:type="dxa"/>
            </w:tcMar>
            <w:hideMark/>
          </w:tcPr>
          <w:p w:rsidR="00851143" w:rsidP="009A2D04" w:rsidRDefault="00851143" w14:paraId="3DBF09CD" w14:textId="0C1495AE">
            <w:pPr>
              <w:spacing w:after="240"/>
              <w:rPr>
                <w:szCs w:val="18"/>
              </w:rPr>
            </w:pPr>
          </w:p>
        </w:tc>
        <w:tc>
          <w:tcPr>
            <w:tcW w:w="6425" w:type="dxa"/>
            <w:tcBorders>
              <w:top w:val="single" w:color="D9D9D9" w:sz="8" w:space="0"/>
              <w:left w:val="nil"/>
              <w:bottom w:val="nil"/>
              <w:right w:val="single" w:color="D9D9D9" w:sz="8" w:space="0"/>
            </w:tcBorders>
            <w:tcMar>
              <w:top w:w="0" w:type="dxa"/>
              <w:left w:w="108" w:type="dxa"/>
              <w:bottom w:w="0" w:type="dxa"/>
              <w:right w:w="108" w:type="dxa"/>
            </w:tcMar>
            <w:hideMark/>
          </w:tcPr>
          <w:p w:rsidRPr="008B0792" w:rsidR="00851143" w:rsidP="00323A7C" w:rsidRDefault="00851143" w14:paraId="7B7359F9" w14:textId="77777777">
            <w:pPr>
              <w:rPr>
                <w:szCs w:val="18"/>
                <w:lang w:val="en-US"/>
              </w:rPr>
            </w:pPr>
            <w:r w:rsidRPr="00246CE8">
              <w:rPr>
                <w:szCs w:val="18"/>
                <w:lang w:val="en-US"/>
              </w:rPr>
              <w:t>REPORT FROM THE COMMISSION TO THE COUNCIL AND THE EUROPEAN PARLIAMENT reviewing the application of Regulation (EU) 2017/1938</w:t>
            </w:r>
            <w:r>
              <w:rPr>
                <w:szCs w:val="18"/>
                <w:lang w:val="en-US"/>
              </w:rPr>
              <w:t xml:space="preserve"> </w:t>
            </w:r>
            <w:r w:rsidRPr="00FC5733">
              <w:rPr>
                <w:color w:val="000000"/>
                <w:shd w:val="clear" w:color="auto" w:fill="FFFFFF"/>
                <w:lang w:val="en-US"/>
              </w:rPr>
              <w:t>on measures to safeguard the security of gas supply</w:t>
            </w:r>
            <w:r w:rsidRPr="00246CE8">
              <w:rPr>
                <w:szCs w:val="18"/>
                <w:lang w:val="en-US"/>
              </w:rPr>
              <w:t xml:space="preserve"> </w:t>
            </w:r>
            <w:hyperlink w:history="1" r:id="rId18">
              <w:r w:rsidRPr="00246CE8">
                <w:rPr>
                  <w:rStyle w:val="Hyperlink"/>
                  <w:szCs w:val="18"/>
                  <w:lang w:val="en-US"/>
                </w:rPr>
                <w:t>COM(2023)572</w:t>
              </w:r>
            </w:hyperlink>
          </w:p>
          <w:p w:rsidRPr="00301D7F" w:rsidR="00851143" w:rsidP="00323A7C" w:rsidRDefault="00851143" w14:paraId="2C6A132D" w14:textId="29D214C4">
            <w:pPr>
              <w:rPr>
                <w:color w:val="0000FF"/>
                <w:szCs w:val="18"/>
                <w:u w:val="single"/>
                <w:lang w:val="en-US"/>
              </w:rPr>
            </w:pPr>
          </w:p>
        </w:tc>
      </w:tr>
      <w:tr w:rsidR="00851143" w:rsidTr="0089266F" w14:paraId="5753ADD2" w14:textId="77777777">
        <w:tc>
          <w:tcPr>
            <w:tcW w:w="382" w:type="dxa"/>
            <w:vMerge/>
            <w:tcBorders>
              <w:top w:val="single" w:color="D9D9D9" w:sz="8" w:space="0"/>
              <w:left w:val="single" w:color="D9D9D9" w:sz="8" w:space="0"/>
              <w:bottom w:val="single" w:color="D9D9D9" w:sz="8" w:space="0"/>
              <w:right w:val="nil"/>
            </w:tcBorders>
            <w:vAlign w:val="center"/>
            <w:hideMark/>
          </w:tcPr>
          <w:p w:rsidRPr="00FC5733" w:rsidR="00851143" w:rsidP="009A2D04" w:rsidRDefault="00851143" w14:paraId="3518115D" w14:textId="77777777">
            <w:pPr>
              <w:rPr>
                <w:rFonts w:eastAsiaTheme="minorHAnsi"/>
                <w:szCs w:val="18"/>
                <w:lang w:val="en-US"/>
              </w:rPr>
            </w:pPr>
          </w:p>
        </w:tc>
        <w:tc>
          <w:tcPr>
            <w:tcW w:w="911" w:type="dxa"/>
          </w:tcPr>
          <w:p w:rsidR="00851143" w:rsidP="009A2D04" w:rsidRDefault="00EE2AC5" w14:paraId="44DA3730" w14:textId="79F21F7F">
            <w:pPr>
              <w:spacing w:after="240"/>
              <w:rPr>
                <w:szCs w:val="18"/>
              </w:rPr>
            </w:pPr>
            <w:r>
              <w:rPr>
                <w:szCs w:val="18"/>
              </w:rPr>
              <w:t>Voorstel</w:t>
            </w:r>
          </w:p>
        </w:tc>
        <w:tc>
          <w:tcPr>
            <w:tcW w:w="257" w:type="dxa"/>
            <w:tcMar>
              <w:top w:w="0" w:type="dxa"/>
              <w:left w:w="108" w:type="dxa"/>
              <w:bottom w:w="0" w:type="dxa"/>
              <w:right w:w="108" w:type="dxa"/>
            </w:tcMar>
            <w:hideMark/>
          </w:tcPr>
          <w:p w:rsidR="00851143" w:rsidP="009A2D04" w:rsidRDefault="00851143" w14:paraId="775EDD25" w14:textId="190F45B6">
            <w:pPr>
              <w:spacing w:after="240"/>
              <w:rPr>
                <w:szCs w:val="18"/>
              </w:rPr>
            </w:pPr>
          </w:p>
        </w:tc>
        <w:tc>
          <w:tcPr>
            <w:tcW w:w="6425" w:type="dxa"/>
            <w:tcBorders>
              <w:top w:val="nil"/>
              <w:left w:val="nil"/>
              <w:bottom w:val="nil"/>
              <w:right w:val="single" w:color="D9D9D9" w:sz="8" w:space="0"/>
            </w:tcBorders>
            <w:tcMar>
              <w:top w:w="0" w:type="dxa"/>
              <w:left w:w="108" w:type="dxa"/>
              <w:bottom w:w="0" w:type="dxa"/>
              <w:right w:w="108" w:type="dxa"/>
            </w:tcMar>
            <w:hideMark/>
          </w:tcPr>
          <w:p w:rsidRPr="00A3203B" w:rsidR="00851143" w:rsidP="009A2D04" w:rsidRDefault="00851143" w14:paraId="0D56D5C5" w14:textId="3680B4A6">
            <w:pPr>
              <w:spacing w:after="240"/>
              <w:rPr>
                <w:bCs/>
                <w:szCs w:val="18"/>
              </w:rPr>
            </w:pPr>
            <w:r>
              <w:rPr>
                <w:bCs/>
                <w:szCs w:val="18"/>
              </w:rPr>
              <w:t>Ter informatie</w:t>
            </w:r>
          </w:p>
        </w:tc>
      </w:tr>
      <w:tr w:rsidR="00851143" w:rsidTr="0089266F" w14:paraId="334D9818" w14:textId="77777777">
        <w:tc>
          <w:tcPr>
            <w:tcW w:w="382" w:type="dxa"/>
            <w:vMerge/>
            <w:tcBorders>
              <w:top w:val="single" w:color="D9D9D9" w:sz="8" w:space="0"/>
              <w:left w:val="single" w:color="D9D9D9" w:sz="8" w:space="0"/>
              <w:bottom w:val="single" w:color="D9D9D9" w:sz="8" w:space="0"/>
              <w:right w:val="nil"/>
            </w:tcBorders>
            <w:vAlign w:val="center"/>
            <w:hideMark/>
          </w:tcPr>
          <w:p w:rsidR="00851143" w:rsidP="009A2D04" w:rsidRDefault="00851143" w14:paraId="40404787" w14:textId="77777777">
            <w:pPr>
              <w:rPr>
                <w:rFonts w:eastAsiaTheme="minorHAnsi"/>
                <w:szCs w:val="18"/>
              </w:rPr>
            </w:pPr>
          </w:p>
        </w:tc>
        <w:tc>
          <w:tcPr>
            <w:tcW w:w="911" w:type="dxa"/>
            <w:tcBorders>
              <w:top w:val="nil"/>
              <w:left w:val="nil"/>
              <w:bottom w:val="single" w:color="D9D9D9" w:sz="8" w:space="0"/>
              <w:right w:val="nil"/>
            </w:tcBorders>
          </w:tcPr>
          <w:p w:rsidRPr="002D25C3" w:rsidR="00851143" w:rsidP="009A2D04" w:rsidRDefault="00EE2AC5" w14:paraId="1F18E2C0" w14:textId="3942C7B4">
            <w:pPr>
              <w:spacing w:after="240"/>
              <w:rPr>
                <w:szCs w:val="18"/>
              </w:rPr>
            </w:pPr>
            <w:r w:rsidRPr="002D25C3">
              <w:rPr>
                <w:szCs w:val="18"/>
              </w:rPr>
              <w:t>Noot</w:t>
            </w:r>
          </w:p>
        </w:tc>
        <w:tc>
          <w:tcPr>
            <w:tcW w:w="257" w:type="dxa"/>
            <w:tcBorders>
              <w:top w:val="nil"/>
              <w:left w:val="nil"/>
              <w:bottom w:val="single" w:color="D9D9D9" w:sz="8" w:space="0"/>
              <w:right w:val="nil"/>
            </w:tcBorders>
            <w:tcMar>
              <w:top w:w="0" w:type="dxa"/>
              <w:left w:w="108" w:type="dxa"/>
              <w:bottom w:w="0" w:type="dxa"/>
              <w:right w:w="108" w:type="dxa"/>
            </w:tcMar>
            <w:hideMark/>
          </w:tcPr>
          <w:p w:rsidRPr="002D25C3" w:rsidR="00851143" w:rsidP="009A2D04" w:rsidRDefault="00851143" w14:paraId="7D04D1A4" w14:textId="71CF5026">
            <w:pPr>
              <w:spacing w:after="240"/>
              <w:rPr>
                <w:szCs w:val="18"/>
                <w:highlight w:val="yellow"/>
              </w:rPr>
            </w:pPr>
          </w:p>
        </w:tc>
        <w:tc>
          <w:tcPr>
            <w:tcW w:w="6425" w:type="dxa"/>
            <w:tcBorders>
              <w:top w:val="nil"/>
              <w:left w:val="nil"/>
              <w:bottom w:val="single" w:color="D9D9D9" w:sz="8" w:space="0"/>
              <w:right w:val="single" w:color="D9D9D9" w:sz="8" w:space="0"/>
            </w:tcBorders>
            <w:tcMar>
              <w:top w:w="0" w:type="dxa"/>
              <w:left w:w="108" w:type="dxa"/>
              <w:bottom w:w="0" w:type="dxa"/>
              <w:right w:w="108" w:type="dxa"/>
            </w:tcMar>
            <w:hideMark/>
          </w:tcPr>
          <w:p w:rsidRPr="00A3203B" w:rsidR="00851143" w:rsidP="005A22D8" w:rsidRDefault="00851143" w14:paraId="3CEB8B59" w14:textId="5D5F96CA">
            <w:pPr>
              <w:spacing w:after="160" w:line="259" w:lineRule="auto"/>
              <w:rPr>
                <w:szCs w:val="18"/>
              </w:rPr>
            </w:pPr>
            <w:r>
              <w:rPr>
                <w:color w:val="000000"/>
                <w:shd w:val="clear" w:color="auto" w:fill="FFFFFF"/>
              </w:rPr>
              <w:t>Met de vaststelling van dit verslag wordt beoogd te voldoen aan de wettelijke vereisten van artikel 17 van de verordening inzake gasleveringszekerheid. In het verslag wordt gewezen op een aantal mogelijke verbeteringen in de architectuur van de EU voor de gasleveringszekerheid. </w:t>
            </w:r>
          </w:p>
        </w:tc>
      </w:tr>
    </w:tbl>
    <w:p w:rsidR="00924F90" w:rsidP="00C64D1B" w:rsidRDefault="00924F90" w14:paraId="710CFFD0" w14:textId="2A25B370">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22CB0" w:rsidR="00AB2D8C" w:rsidTr="0086619E" w14:paraId="5D3927D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B2D8C" w:rsidP="0086619E" w:rsidRDefault="00AB2D8C" w14:paraId="0E9D888F"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AB2D8C" w:rsidP="0086619E" w:rsidRDefault="00AB2D8C" w14:paraId="4C8C7D83"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22CB0" w:rsidR="00301D7F" w:rsidP="00323A7C" w:rsidRDefault="00947B22" w14:paraId="44B7E0D5" w14:textId="1C4170C9">
            <w:pPr>
              <w:rPr>
                <w:szCs w:val="18"/>
              </w:rPr>
            </w:pPr>
            <w:r w:rsidRPr="00947B22">
              <w:rPr>
                <w:szCs w:val="18"/>
                <w:lang w:val="en-US"/>
              </w:rPr>
              <w:t xml:space="preserve">REPORT FROM THE COMMISSION TO THE COUNCIL on the main findings of the review of Council Regulation (EU) 2022/2576 of 19 December 2022, in view of the general situation of the gas supply to the Union. </w:t>
            </w:r>
            <w:hyperlink w:history="1" r:id="rId19">
              <w:r>
                <w:rPr>
                  <w:rStyle w:val="Hyperlink"/>
                  <w:szCs w:val="18"/>
                </w:rPr>
                <w:t>COM(2023)547</w:t>
              </w:r>
            </w:hyperlink>
          </w:p>
        </w:tc>
      </w:tr>
      <w:tr w:rsidR="00AB2D8C" w:rsidTr="0086619E" w14:paraId="24F2AB55"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AB2D8C" w:rsidP="0086619E" w:rsidRDefault="00AB2D8C" w14:paraId="74BA427C" w14:textId="77777777">
            <w:pPr>
              <w:rPr>
                <w:rFonts w:eastAsiaTheme="minorHAnsi"/>
                <w:szCs w:val="18"/>
              </w:rPr>
            </w:pPr>
          </w:p>
        </w:tc>
        <w:tc>
          <w:tcPr>
            <w:tcW w:w="1134" w:type="dxa"/>
            <w:tcMar>
              <w:top w:w="0" w:type="dxa"/>
              <w:left w:w="108" w:type="dxa"/>
              <w:bottom w:w="0" w:type="dxa"/>
              <w:right w:w="108" w:type="dxa"/>
            </w:tcMar>
            <w:hideMark/>
          </w:tcPr>
          <w:p w:rsidR="00947B22" w:rsidP="0086619E" w:rsidRDefault="00947B22" w14:paraId="65788F89" w14:textId="77777777">
            <w:pPr>
              <w:spacing w:after="240"/>
              <w:rPr>
                <w:szCs w:val="18"/>
              </w:rPr>
            </w:pPr>
          </w:p>
          <w:p w:rsidR="00AB2D8C" w:rsidP="0086619E" w:rsidRDefault="00947B22" w14:paraId="28959804" w14:textId="58E6E448">
            <w:pPr>
              <w:spacing w:after="240"/>
              <w:rPr>
                <w:szCs w:val="18"/>
              </w:rPr>
            </w:pPr>
            <w:r>
              <w:rPr>
                <w:szCs w:val="18"/>
              </w:rPr>
              <w:t>Voors</w:t>
            </w:r>
            <w:r w:rsidR="00AB2D8C">
              <w:rPr>
                <w:szCs w:val="18"/>
              </w:rPr>
              <w:t>tel</w:t>
            </w:r>
          </w:p>
        </w:tc>
        <w:tc>
          <w:tcPr>
            <w:tcW w:w="6378" w:type="dxa"/>
            <w:tcBorders>
              <w:top w:val="nil"/>
              <w:left w:val="nil"/>
              <w:bottom w:val="nil"/>
              <w:right w:val="single" w:color="D9D9D9" w:sz="8" w:space="0"/>
            </w:tcBorders>
            <w:tcMar>
              <w:top w:w="0" w:type="dxa"/>
              <w:left w:w="108" w:type="dxa"/>
              <w:bottom w:w="0" w:type="dxa"/>
              <w:right w:w="108" w:type="dxa"/>
            </w:tcMar>
            <w:hideMark/>
          </w:tcPr>
          <w:p w:rsidR="00AB2D8C" w:rsidP="0086619E" w:rsidRDefault="00AB2D8C" w14:paraId="03B838B1" w14:textId="77777777">
            <w:pPr>
              <w:spacing w:after="240"/>
              <w:rPr>
                <w:bCs/>
                <w:szCs w:val="18"/>
              </w:rPr>
            </w:pPr>
          </w:p>
          <w:p w:rsidRPr="00C64D1B" w:rsidR="00947B22" w:rsidP="0086619E" w:rsidRDefault="00947B22" w14:paraId="0DF5ACCB" w14:textId="4195D808">
            <w:pPr>
              <w:spacing w:after="240"/>
              <w:rPr>
                <w:bCs/>
                <w:szCs w:val="18"/>
              </w:rPr>
            </w:pPr>
            <w:r>
              <w:rPr>
                <w:bCs/>
                <w:szCs w:val="18"/>
              </w:rPr>
              <w:t>Ter informatie</w:t>
            </w:r>
          </w:p>
        </w:tc>
      </w:tr>
      <w:tr w:rsidR="00AB2D8C" w:rsidTr="0086619E" w14:paraId="538DD7A4" w14:textId="77777777">
        <w:tc>
          <w:tcPr>
            <w:tcW w:w="0" w:type="auto"/>
            <w:vMerge/>
            <w:tcBorders>
              <w:top w:val="single" w:color="D9D9D9" w:sz="8" w:space="0"/>
              <w:left w:val="single" w:color="D9D9D9" w:sz="8" w:space="0"/>
              <w:bottom w:val="single" w:color="D9D9D9" w:sz="8" w:space="0"/>
              <w:right w:val="nil"/>
            </w:tcBorders>
            <w:vAlign w:val="center"/>
            <w:hideMark/>
          </w:tcPr>
          <w:p w:rsidR="00AB2D8C" w:rsidP="0086619E" w:rsidRDefault="00AB2D8C" w14:paraId="0CA3AF9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AB2D8C" w:rsidP="0086619E" w:rsidRDefault="00AB2D8C" w14:paraId="7E93701E"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F3BFF" w:rsidR="007F3BFF" w:rsidP="007F3BFF" w:rsidRDefault="0019356F" w14:paraId="696D0D53" w14:textId="61681B18">
            <w:pPr>
              <w:pStyle w:val="Standaard2"/>
              <w:shd w:val="clear" w:color="auto" w:fill="FFFFFF"/>
              <w:spacing w:before="0" w:beforeAutospacing="0" w:after="0" w:afterAutospacing="0"/>
              <w:rPr>
                <w:rFonts w:ascii="Verdana" w:hAnsi="Verdana"/>
                <w:sz w:val="18"/>
                <w:szCs w:val="18"/>
              </w:rPr>
            </w:pPr>
            <w:r w:rsidRPr="007F3BFF">
              <w:rPr>
                <w:rFonts w:ascii="Verdana" w:hAnsi="Verdana"/>
                <w:sz w:val="18"/>
                <w:szCs w:val="18"/>
              </w:rPr>
              <w:t xml:space="preserve">In het </w:t>
            </w:r>
            <w:r w:rsidRPr="007F3BFF">
              <w:rPr>
                <w:rFonts w:ascii="Verdana" w:hAnsi="Verdana"/>
                <w:sz w:val="18"/>
                <w:szCs w:val="18"/>
                <w:shd w:val="clear" w:color="auto" w:fill="FFFFFF"/>
              </w:rPr>
              <w:t xml:space="preserve">verslag </w:t>
            </w:r>
            <w:r w:rsidR="007F3BFF">
              <w:rPr>
                <w:rFonts w:ascii="Verdana" w:hAnsi="Verdana"/>
                <w:sz w:val="18"/>
                <w:szCs w:val="18"/>
              </w:rPr>
              <w:t xml:space="preserve">geeft de Commissie aan </w:t>
            </w:r>
            <w:r w:rsidRPr="007F3BFF" w:rsidR="007F3BFF">
              <w:rPr>
                <w:rFonts w:ascii="Verdana" w:hAnsi="Verdana"/>
                <w:sz w:val="18"/>
                <w:szCs w:val="18"/>
              </w:rPr>
              <w:t>dat de bepalingen van de verordening een belangrijke bijdrage hebben geleverd aan een stabielere gasmarkt en een toereikende gasvoorziening voor de EU, en dat de verordening een belangrijk onderdeel is van het EU-instrumentarium voor de voorzieningszekerheid.</w:t>
            </w:r>
            <w:r w:rsidR="007F3BFF">
              <w:rPr>
                <w:rFonts w:ascii="Verdana" w:hAnsi="Verdana"/>
                <w:sz w:val="18"/>
                <w:szCs w:val="18"/>
              </w:rPr>
              <w:t xml:space="preserve"> Mogelijk zal</w:t>
            </w:r>
            <w:r w:rsidRPr="007F3BFF" w:rsidR="007F3BFF">
              <w:rPr>
                <w:rFonts w:ascii="Verdana" w:hAnsi="Verdana"/>
                <w:sz w:val="18"/>
                <w:szCs w:val="18"/>
              </w:rPr>
              <w:t xml:space="preserve"> een aantal of alle maatregelen van de verordening voor verlenging </w:t>
            </w:r>
            <w:r w:rsidR="007F3BFF">
              <w:rPr>
                <w:rFonts w:ascii="Verdana" w:hAnsi="Verdana"/>
                <w:sz w:val="18"/>
                <w:szCs w:val="18"/>
              </w:rPr>
              <w:t>worden voordragen. Tevens wordt erover nagedacht</w:t>
            </w:r>
            <w:r w:rsidRPr="007F3BFF" w:rsidR="007F3BFF">
              <w:rPr>
                <w:rFonts w:ascii="Verdana" w:hAnsi="Verdana"/>
                <w:sz w:val="18"/>
                <w:szCs w:val="18"/>
              </w:rPr>
              <w:t xml:space="preserve"> hoe sommige van deze maatregelen structureler kunnen worden ingebed.</w:t>
            </w:r>
          </w:p>
          <w:p w:rsidRPr="004650CD" w:rsidR="00AB2D8C" w:rsidP="007F3BFF" w:rsidRDefault="00AB2D8C" w14:paraId="7941274E" w14:textId="65D56D9E">
            <w:pPr>
              <w:spacing w:after="160" w:line="259" w:lineRule="auto"/>
              <w:rPr>
                <w:szCs w:val="18"/>
              </w:rPr>
            </w:pPr>
          </w:p>
        </w:tc>
      </w:tr>
    </w:tbl>
    <w:p w:rsidR="00AB2D8C" w:rsidP="00C64D1B" w:rsidRDefault="00AB2D8C" w14:paraId="557C0FC5" w14:textId="7E4483E5">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22CB0" w:rsidR="0065133B" w:rsidTr="00E16DF8" w14:paraId="1F5C433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65133B" w:rsidP="00E16DF8" w:rsidRDefault="0065133B" w14:paraId="4934943B"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65133B" w:rsidP="00E16DF8" w:rsidRDefault="0065133B" w14:paraId="01276A0A"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5133B" w:rsidR="0065133B" w:rsidP="00E16DF8" w:rsidRDefault="0065133B" w14:paraId="601BA380" w14:textId="77724997">
            <w:pPr>
              <w:rPr>
                <w:bCs/>
              </w:rPr>
            </w:pPr>
            <w:r>
              <w:rPr>
                <w:szCs w:val="18"/>
              </w:rPr>
              <w:t xml:space="preserve">Voorschriften energie-etikettering verwarmingsketels voor vaste brandstoffen (herziening) </w:t>
            </w:r>
            <w:hyperlink w:history="1" r:id="rId20">
              <w:r>
                <w:rPr>
                  <w:rStyle w:val="Hyperlink"/>
                  <w:szCs w:val="18"/>
                </w:rPr>
                <w:t>Raadpleging</w:t>
              </w:r>
            </w:hyperlink>
          </w:p>
        </w:tc>
      </w:tr>
      <w:tr w:rsidR="0065133B" w:rsidTr="00E16DF8" w14:paraId="1F1A565A"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65133B" w:rsidP="00E16DF8" w:rsidRDefault="0065133B" w14:paraId="318C4305" w14:textId="77777777">
            <w:pPr>
              <w:rPr>
                <w:rFonts w:eastAsiaTheme="minorHAnsi"/>
                <w:szCs w:val="18"/>
              </w:rPr>
            </w:pPr>
          </w:p>
        </w:tc>
        <w:tc>
          <w:tcPr>
            <w:tcW w:w="1134" w:type="dxa"/>
            <w:tcMar>
              <w:top w:w="0" w:type="dxa"/>
              <w:left w:w="108" w:type="dxa"/>
              <w:bottom w:w="0" w:type="dxa"/>
              <w:right w:w="108" w:type="dxa"/>
            </w:tcMar>
            <w:hideMark/>
          </w:tcPr>
          <w:p w:rsidR="0065133B" w:rsidP="00E16DF8" w:rsidRDefault="0065133B" w14:paraId="6CF3D1B5" w14:textId="77777777">
            <w:pPr>
              <w:spacing w:after="240"/>
              <w:rPr>
                <w:szCs w:val="18"/>
              </w:rPr>
            </w:pPr>
          </w:p>
          <w:p w:rsidR="0065133B" w:rsidP="00E16DF8" w:rsidRDefault="0065133B" w14:paraId="60C1041D"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65133B" w:rsidP="00E16DF8" w:rsidRDefault="0065133B" w14:paraId="67C7B402" w14:textId="77777777">
            <w:pPr>
              <w:spacing w:after="240"/>
              <w:rPr>
                <w:bCs/>
                <w:szCs w:val="18"/>
              </w:rPr>
            </w:pPr>
          </w:p>
          <w:p w:rsidRPr="00C64D1B" w:rsidR="0065133B" w:rsidP="00E16DF8" w:rsidRDefault="0065133B" w14:paraId="7351AB02" w14:textId="77777777">
            <w:pPr>
              <w:spacing w:after="240"/>
              <w:rPr>
                <w:bCs/>
                <w:szCs w:val="18"/>
              </w:rPr>
            </w:pPr>
            <w:r>
              <w:rPr>
                <w:bCs/>
                <w:szCs w:val="18"/>
              </w:rPr>
              <w:t>Ter informatie</w:t>
            </w:r>
          </w:p>
        </w:tc>
      </w:tr>
      <w:tr w:rsidR="0065133B" w:rsidTr="00E16DF8" w14:paraId="796D33EE" w14:textId="77777777">
        <w:tc>
          <w:tcPr>
            <w:tcW w:w="0" w:type="auto"/>
            <w:vMerge/>
            <w:tcBorders>
              <w:top w:val="single" w:color="D9D9D9" w:sz="8" w:space="0"/>
              <w:left w:val="single" w:color="D9D9D9" w:sz="8" w:space="0"/>
              <w:bottom w:val="single" w:color="D9D9D9" w:sz="8" w:space="0"/>
              <w:right w:val="nil"/>
            </w:tcBorders>
            <w:vAlign w:val="center"/>
            <w:hideMark/>
          </w:tcPr>
          <w:p w:rsidR="0065133B" w:rsidP="00E16DF8" w:rsidRDefault="0065133B" w14:paraId="506F807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65133B" w:rsidP="00E16DF8" w:rsidRDefault="0065133B" w14:paraId="609FC019"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A59A1" w:rsidR="0065133B" w:rsidP="00FA59A1" w:rsidRDefault="00FA59A1" w14:paraId="6B9976BD" w14:textId="0A4B000C">
            <w:pPr>
              <w:pStyle w:val="Normaalweb"/>
              <w:shd w:val="clear" w:color="auto" w:fill="FFFFFF"/>
              <w:rPr>
                <w:rFonts w:ascii="Verdana" w:hAnsi="Verdana" w:cs="Arial"/>
                <w:sz w:val="18"/>
                <w:szCs w:val="18"/>
              </w:rPr>
            </w:pPr>
            <w:r w:rsidRPr="00FA59A1">
              <w:rPr>
                <w:rFonts w:ascii="Verdana" w:hAnsi="Verdana"/>
                <w:sz w:val="18"/>
                <w:szCs w:val="18"/>
              </w:rPr>
              <w:t xml:space="preserve">Tot 21 december 2023 loopt er een openbare raadpleging. </w:t>
            </w:r>
            <w:r w:rsidRPr="00FA59A1">
              <w:rPr>
                <w:rFonts w:ascii="Verdana" w:hAnsi="Verdana" w:cs="Arial"/>
                <w:sz w:val="18"/>
                <w:szCs w:val="18"/>
              </w:rPr>
              <w:t xml:space="preserve">De EU </w:t>
            </w:r>
            <w:r>
              <w:rPr>
                <w:rFonts w:ascii="Verdana" w:hAnsi="Verdana" w:cs="Arial"/>
                <w:sz w:val="18"/>
                <w:szCs w:val="18"/>
              </w:rPr>
              <w:t>wil</w:t>
            </w:r>
            <w:r w:rsidRPr="00FA59A1">
              <w:rPr>
                <w:rFonts w:ascii="Verdana" w:hAnsi="Verdana" w:cs="Arial"/>
                <w:sz w:val="18"/>
                <w:szCs w:val="18"/>
              </w:rPr>
              <w:t xml:space="preserve"> de bestaande regels inzake energie-etikettering voor verwarmingsketels voor vaste brandstoffen herzien op basis van de energie-efficiëntie van die ketels.</w:t>
            </w:r>
            <w:r>
              <w:rPr>
                <w:rFonts w:ascii="Verdana" w:hAnsi="Verdana" w:cs="Arial"/>
                <w:sz w:val="18"/>
                <w:szCs w:val="18"/>
              </w:rPr>
              <w:t xml:space="preserve"> </w:t>
            </w:r>
          </w:p>
        </w:tc>
      </w:tr>
    </w:tbl>
    <w:p w:rsidR="00EE2AC5" w:rsidP="00FB49F8" w:rsidRDefault="00EE2AC5" w14:paraId="1D9E9CE4" w14:textId="0AFB9D14">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65133B" w:rsidR="00EE2AC5" w:rsidTr="00CE0371" w14:paraId="74C152E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EE2AC5" w:rsidP="00CE0371" w:rsidRDefault="00EE2AC5" w14:paraId="28B255B2"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EE2AC5" w:rsidP="00CE0371" w:rsidRDefault="00EE2AC5" w14:paraId="5C8E4A3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5133B" w:rsidR="00EE2AC5" w:rsidP="00CE0371" w:rsidRDefault="00D4157A" w14:paraId="59C1A41A" w14:textId="193EE69E">
            <w:pPr>
              <w:rPr>
                <w:bCs/>
              </w:rPr>
            </w:pPr>
            <w:r>
              <w:rPr>
                <w:szCs w:val="18"/>
              </w:rPr>
              <w:t xml:space="preserve">Voorstel voor een BESLUIT VAN DE RAAD betreffende het namens de Europese Unie in het Gemengd Comité van de EER in te nemen standpunt over een wijziging van bijlage IV (Energie) bij de EER-overeenkomst (EPBD: vergelijkend methodologisch kader) </w:t>
            </w:r>
            <w:hyperlink w:history="1" r:id="rId21">
              <w:r>
                <w:rPr>
                  <w:rStyle w:val="Hyperlink"/>
                  <w:szCs w:val="18"/>
                </w:rPr>
                <w:t>COM(2023)585</w:t>
              </w:r>
            </w:hyperlink>
          </w:p>
        </w:tc>
      </w:tr>
      <w:tr w:rsidRPr="00C64D1B" w:rsidR="00EE2AC5" w:rsidTr="00CE0371" w14:paraId="3685911F"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EE2AC5" w:rsidP="00CE0371" w:rsidRDefault="00EE2AC5" w14:paraId="379689D7" w14:textId="77777777">
            <w:pPr>
              <w:rPr>
                <w:rFonts w:eastAsiaTheme="minorHAnsi"/>
                <w:szCs w:val="18"/>
              </w:rPr>
            </w:pPr>
          </w:p>
        </w:tc>
        <w:tc>
          <w:tcPr>
            <w:tcW w:w="1134" w:type="dxa"/>
            <w:tcMar>
              <w:top w:w="0" w:type="dxa"/>
              <w:left w:w="108" w:type="dxa"/>
              <w:bottom w:w="0" w:type="dxa"/>
              <w:right w:w="108" w:type="dxa"/>
            </w:tcMar>
            <w:hideMark/>
          </w:tcPr>
          <w:p w:rsidR="00EE2AC5" w:rsidP="00CE0371" w:rsidRDefault="00EE2AC5" w14:paraId="2532C4D0" w14:textId="77777777">
            <w:pPr>
              <w:spacing w:after="240"/>
              <w:rPr>
                <w:szCs w:val="18"/>
              </w:rPr>
            </w:pPr>
          </w:p>
          <w:p w:rsidR="00EE2AC5" w:rsidP="00CE0371" w:rsidRDefault="00EE2AC5" w14:paraId="27B532E2"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EE2AC5" w:rsidP="00CE0371" w:rsidRDefault="00EE2AC5" w14:paraId="6D6DE157" w14:textId="77777777">
            <w:pPr>
              <w:spacing w:after="240"/>
              <w:rPr>
                <w:bCs/>
                <w:szCs w:val="18"/>
              </w:rPr>
            </w:pPr>
          </w:p>
          <w:p w:rsidRPr="00C64D1B" w:rsidR="00EE2AC5" w:rsidP="00CE0371" w:rsidRDefault="000E3810" w14:paraId="2B6AAD42" w14:textId="7360FCDE">
            <w:pPr>
              <w:spacing w:after="240"/>
              <w:rPr>
                <w:bCs/>
                <w:szCs w:val="18"/>
              </w:rPr>
            </w:pPr>
            <w:r>
              <w:rPr>
                <w:bCs/>
                <w:szCs w:val="18"/>
              </w:rPr>
              <w:t>Ter informatie</w:t>
            </w:r>
          </w:p>
        </w:tc>
      </w:tr>
      <w:tr w:rsidRPr="00FA59A1" w:rsidR="00EE2AC5" w:rsidTr="00CE0371" w14:paraId="067C339B" w14:textId="77777777">
        <w:tc>
          <w:tcPr>
            <w:tcW w:w="0" w:type="auto"/>
            <w:vMerge/>
            <w:tcBorders>
              <w:top w:val="single" w:color="D9D9D9" w:sz="8" w:space="0"/>
              <w:left w:val="single" w:color="D9D9D9" w:sz="8" w:space="0"/>
              <w:bottom w:val="single" w:color="D9D9D9" w:sz="8" w:space="0"/>
              <w:right w:val="nil"/>
            </w:tcBorders>
            <w:vAlign w:val="center"/>
            <w:hideMark/>
          </w:tcPr>
          <w:p w:rsidR="00EE2AC5" w:rsidP="00CE0371" w:rsidRDefault="00EE2AC5" w14:paraId="3D1D2B6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F515EC" w:rsidR="00EE2AC5" w:rsidP="00CE0371" w:rsidRDefault="00EE2AC5" w14:paraId="2317D448" w14:textId="77777777">
            <w:pPr>
              <w:spacing w:after="240"/>
              <w:rPr>
                <w:color w:val="000000" w:themeColor="text1"/>
                <w:szCs w:val="18"/>
                <w:highlight w:val="yellow"/>
              </w:rPr>
            </w:pPr>
            <w:r w:rsidRPr="00F515EC">
              <w:rPr>
                <w:color w:val="000000" w:themeColor="text1"/>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8D4239" w:rsidR="00EE2AC5" w:rsidP="00CE0371" w:rsidRDefault="00D60F1B" w14:paraId="45F29648" w14:textId="0E1096E9">
            <w:pPr>
              <w:pStyle w:val="Normaalweb"/>
              <w:shd w:val="clear" w:color="auto" w:fill="FFFFFF"/>
              <w:rPr>
                <w:rFonts w:ascii="Verdana" w:hAnsi="Verdana"/>
                <w:color w:val="000000" w:themeColor="text1"/>
                <w:sz w:val="18"/>
                <w:szCs w:val="18"/>
                <w:shd w:val="clear" w:color="auto" w:fill="FFFFFF"/>
              </w:rPr>
            </w:pPr>
            <w:r w:rsidRPr="00D60F1B">
              <w:rPr>
                <w:rFonts w:ascii="Verdana" w:hAnsi="Verdana"/>
                <w:color w:val="000000" w:themeColor="text1"/>
                <w:sz w:val="18"/>
                <w:szCs w:val="18"/>
                <w:shd w:val="clear" w:color="auto" w:fill="FFFFFF"/>
              </w:rPr>
              <w:t>Het doel van de beoogde handeling is Gedelegeerde Verordening (EU) nr. 244/2012 van de Commissie tot aanvulling van Richtlijn 2010/31/EU betreffende de energieprestatie van gebouwen door het vaststellen van een vergelijkend methodologisch kader voor het berekenen van kostenoptimale niveaus van minimum</w:t>
            </w:r>
            <w:r w:rsidR="008D4239">
              <w:rPr>
                <w:rFonts w:ascii="Verdana" w:hAnsi="Verdana"/>
                <w:color w:val="000000" w:themeColor="text1"/>
                <w:sz w:val="18"/>
                <w:szCs w:val="18"/>
                <w:shd w:val="clear" w:color="auto" w:fill="FFFFFF"/>
              </w:rPr>
              <w:t>-</w:t>
            </w:r>
            <w:r w:rsidRPr="00D60F1B">
              <w:rPr>
                <w:rFonts w:ascii="Verdana" w:hAnsi="Verdana"/>
                <w:color w:val="000000" w:themeColor="text1"/>
                <w:sz w:val="18"/>
                <w:szCs w:val="18"/>
                <w:shd w:val="clear" w:color="auto" w:fill="FFFFFF"/>
              </w:rPr>
              <w:t>energieprestatie-eisen voor gebouwen en onderdelen van gebouwen</w:t>
            </w:r>
            <w:r w:rsidRPr="00D60F1B">
              <w:rPr>
                <w:rStyle w:val="footnotereference"/>
                <w:rFonts w:ascii="Verdana" w:hAnsi="Verdana"/>
                <w:color w:val="000000" w:themeColor="text1"/>
                <w:sz w:val="18"/>
                <w:szCs w:val="18"/>
                <w:shd w:val="clear" w:color="auto" w:fill="FFFFFF"/>
              </w:rPr>
              <w:t> </w:t>
            </w:r>
            <w:r w:rsidRPr="00D60F1B">
              <w:rPr>
                <w:rFonts w:ascii="Verdana" w:hAnsi="Verdana"/>
                <w:color w:val="000000" w:themeColor="text1"/>
                <w:sz w:val="18"/>
                <w:szCs w:val="18"/>
                <w:shd w:val="clear" w:color="auto" w:fill="FFFFFF"/>
              </w:rPr>
              <w:t>in de EER-overeenkomst op te nemen.</w:t>
            </w:r>
          </w:p>
        </w:tc>
      </w:tr>
    </w:tbl>
    <w:p w:rsidR="00EE2AC5" w:rsidP="00FB49F8" w:rsidRDefault="00EE2AC5" w14:paraId="4C3E53FF" w14:textId="07E87B9D">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D4157A" w:rsidR="00EE2AC5" w:rsidTr="00CE0371" w14:paraId="2780583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EE2AC5" w:rsidP="00CE0371" w:rsidRDefault="00EE2AC5" w14:paraId="07D8DD67"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B7A43" w:rsidR="00EE2AC5" w:rsidP="00CE0371" w:rsidRDefault="00EE2AC5" w14:paraId="25B26560" w14:textId="77777777">
            <w:pPr>
              <w:spacing w:after="240"/>
              <w:rPr>
                <w:szCs w:val="18"/>
              </w:rPr>
            </w:pPr>
            <w:r w:rsidRPr="007B7A43">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B7A43" w:rsidR="00EE2AC5" w:rsidP="00CE0371" w:rsidRDefault="00D4157A" w14:paraId="47E7ED1D" w14:textId="6BF118B8">
            <w:pPr>
              <w:rPr>
                <w:bCs/>
                <w:szCs w:val="18"/>
                <w:lang w:val="en-GB"/>
              </w:rPr>
            </w:pPr>
            <w:r w:rsidRPr="007B7A43">
              <w:rPr>
                <w:szCs w:val="18"/>
                <w:lang w:val="en-GB"/>
              </w:rPr>
              <w:t xml:space="preserve">REPORT FROM THE COMMISSION TO THE EUROPEAN PARLIAMENT, THE COUNCIL AND THE EUROPEAN ECONOMIC AND SOCIAL COMMITTEE on the application of Directive 2013/11/EU of the European Parliament and of the Council on alternative dispute resolution for consumer disputes </w:t>
            </w:r>
            <w:r w:rsidRPr="007B7A43" w:rsidR="007B7A43">
              <w:rPr>
                <w:szCs w:val="18"/>
                <w:lang w:val="en-GB"/>
              </w:rPr>
              <w:t xml:space="preserve">(ADR Directive) </w:t>
            </w:r>
            <w:r w:rsidRPr="007B7A43">
              <w:rPr>
                <w:szCs w:val="18"/>
                <w:lang w:val="en-GB"/>
              </w:rPr>
              <w:t xml:space="preserve">and Regulation (EU) No 524/2013 of the European Parliament and of the Council on online dispute resolution for consumer disputes </w:t>
            </w:r>
            <w:hyperlink w:history="1" r:id="rId22">
              <w:r w:rsidRPr="007B7A43">
                <w:rPr>
                  <w:rStyle w:val="Hyperlink"/>
                  <w:szCs w:val="18"/>
                  <w:lang w:val="en-GB"/>
                </w:rPr>
                <w:t>COM(2023)648</w:t>
              </w:r>
            </w:hyperlink>
          </w:p>
        </w:tc>
      </w:tr>
      <w:tr w:rsidRPr="00C64D1B" w:rsidR="00EE2AC5" w:rsidTr="00CE0371" w14:paraId="62C5BB77" w14:textId="77777777">
        <w:tc>
          <w:tcPr>
            <w:tcW w:w="0" w:type="auto"/>
            <w:vMerge/>
            <w:tcBorders>
              <w:top w:val="single" w:color="D9D9D9" w:sz="8" w:space="0"/>
              <w:left w:val="single" w:color="D9D9D9" w:sz="8" w:space="0"/>
              <w:bottom w:val="single" w:color="D9D9D9" w:sz="8" w:space="0"/>
              <w:right w:val="nil"/>
            </w:tcBorders>
            <w:vAlign w:val="center"/>
            <w:hideMark/>
          </w:tcPr>
          <w:p w:rsidRPr="00D4157A" w:rsidR="00EE2AC5" w:rsidP="00CE0371" w:rsidRDefault="00EE2AC5" w14:paraId="01C3FD70" w14:textId="77777777">
            <w:pPr>
              <w:rPr>
                <w:rFonts w:eastAsiaTheme="minorHAnsi"/>
                <w:szCs w:val="18"/>
                <w:lang w:val="en-GB"/>
              </w:rPr>
            </w:pPr>
          </w:p>
        </w:tc>
        <w:tc>
          <w:tcPr>
            <w:tcW w:w="1134" w:type="dxa"/>
            <w:tcMar>
              <w:top w:w="0" w:type="dxa"/>
              <w:left w:w="108" w:type="dxa"/>
              <w:bottom w:w="0" w:type="dxa"/>
              <w:right w:w="108" w:type="dxa"/>
            </w:tcMar>
            <w:hideMark/>
          </w:tcPr>
          <w:p w:rsidR="00AA625C" w:rsidP="00CE0371" w:rsidRDefault="00AA625C" w14:paraId="5DB2BAA8" w14:textId="77777777">
            <w:pPr>
              <w:spacing w:after="240"/>
              <w:rPr>
                <w:szCs w:val="18"/>
              </w:rPr>
            </w:pPr>
          </w:p>
          <w:p w:rsidRPr="007B7A43" w:rsidR="00EE2AC5" w:rsidP="00CE0371" w:rsidRDefault="00EE2AC5" w14:paraId="2AAB4727" w14:textId="6585EBC4">
            <w:pPr>
              <w:spacing w:after="240"/>
              <w:rPr>
                <w:szCs w:val="18"/>
              </w:rPr>
            </w:pPr>
            <w:r w:rsidRPr="007B7A43">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B7A43" w:rsidR="00EE2AC5" w:rsidP="00CE0371" w:rsidRDefault="00EE2AC5" w14:paraId="07D56B2E" w14:textId="77777777">
            <w:pPr>
              <w:spacing w:after="240"/>
              <w:rPr>
                <w:bCs/>
                <w:szCs w:val="18"/>
              </w:rPr>
            </w:pPr>
          </w:p>
          <w:p w:rsidRPr="007B7A43" w:rsidR="00EE2AC5" w:rsidP="00CE0371" w:rsidRDefault="006C3F53" w14:paraId="217D662E" w14:textId="15CA9457">
            <w:pPr>
              <w:spacing w:after="240"/>
              <w:rPr>
                <w:bCs/>
                <w:szCs w:val="18"/>
              </w:rPr>
            </w:pPr>
            <w:r w:rsidRPr="007B7A43">
              <w:rPr>
                <w:bCs/>
                <w:szCs w:val="18"/>
              </w:rPr>
              <w:t xml:space="preserve">Ter informatie. </w:t>
            </w:r>
          </w:p>
        </w:tc>
      </w:tr>
      <w:tr w:rsidRPr="007B7A43" w:rsidR="00EE2AC5" w:rsidTr="00CE0371" w14:paraId="6A7448DE" w14:textId="77777777">
        <w:tc>
          <w:tcPr>
            <w:tcW w:w="0" w:type="auto"/>
            <w:vMerge/>
            <w:tcBorders>
              <w:top w:val="single" w:color="D9D9D9" w:sz="8" w:space="0"/>
              <w:left w:val="single" w:color="D9D9D9" w:sz="8" w:space="0"/>
              <w:bottom w:val="single" w:color="D9D9D9" w:sz="8" w:space="0"/>
              <w:right w:val="nil"/>
            </w:tcBorders>
            <w:vAlign w:val="center"/>
            <w:hideMark/>
          </w:tcPr>
          <w:p w:rsidR="00EE2AC5" w:rsidP="00CE0371" w:rsidRDefault="00EE2AC5" w14:paraId="56B5AC6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B7A43" w:rsidR="00EE2AC5" w:rsidP="00CE0371" w:rsidRDefault="00EE2AC5" w14:paraId="12A2F183" w14:textId="77777777">
            <w:pPr>
              <w:spacing w:after="240"/>
              <w:rPr>
                <w:szCs w:val="18"/>
                <w:highlight w:val="yellow"/>
              </w:rPr>
            </w:pPr>
            <w:r w:rsidRPr="007B7A4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B7A43" w:rsidR="00EE2AC5" w:rsidP="00854162" w:rsidRDefault="007B7A43" w14:paraId="01FD38AF" w14:textId="5FD6FE4F">
            <w:pPr>
              <w:pStyle w:val="Normaalweb"/>
              <w:shd w:val="clear" w:color="auto" w:fill="FFFFFF"/>
              <w:rPr>
                <w:color w:val="333333"/>
                <w:sz w:val="18"/>
                <w:szCs w:val="18"/>
                <w:shd w:val="clear" w:color="auto" w:fill="FFFFFF"/>
              </w:rPr>
            </w:pPr>
            <w:r w:rsidRPr="007B7A43">
              <w:rPr>
                <w:rFonts w:ascii="Verdana" w:hAnsi="Verdana"/>
                <w:color w:val="333333"/>
                <w:sz w:val="18"/>
                <w:szCs w:val="18"/>
                <w:shd w:val="clear" w:color="auto" w:fill="FFFFFF"/>
              </w:rPr>
              <w:t>Het betreft een verslag over de toepassing van de richtlijn ADR-consumenten, die regelt dat consumenten op vrijwillige basis klachten tegen ondernemers kunnen voorleggen aan partijen die onafhankelijke procedures voor alternatieve geschillenbeslechting aanbieden, en de verordening betreffende onlinebeslechting van consumentengeschillen</w:t>
            </w:r>
            <w:r w:rsidR="008F7595">
              <w:rPr>
                <w:rFonts w:ascii="Verdana" w:hAnsi="Verdana"/>
                <w:color w:val="333333"/>
                <w:sz w:val="18"/>
                <w:szCs w:val="18"/>
                <w:shd w:val="clear" w:color="auto" w:fill="FFFFFF"/>
              </w:rPr>
              <w:t xml:space="preserve"> </w:t>
            </w:r>
            <w:r w:rsidR="00854162">
              <w:rPr>
                <w:rFonts w:ascii="Verdana" w:hAnsi="Verdana"/>
                <w:color w:val="333333"/>
                <w:sz w:val="18"/>
                <w:szCs w:val="18"/>
                <w:shd w:val="clear" w:color="auto" w:fill="FFFFFF"/>
              </w:rPr>
              <w:t>(</w:t>
            </w:r>
            <w:r w:rsidR="00BD25A8">
              <w:rPr>
                <w:rFonts w:ascii="Verdana" w:hAnsi="Verdana"/>
                <w:color w:val="333333"/>
                <w:sz w:val="18"/>
                <w:szCs w:val="18"/>
                <w:shd w:val="clear" w:color="auto" w:fill="FFFFFF"/>
              </w:rPr>
              <w:t>z</w:t>
            </w:r>
            <w:r w:rsidR="00854162">
              <w:rPr>
                <w:rFonts w:ascii="Verdana" w:hAnsi="Verdana"/>
                <w:color w:val="333333"/>
                <w:sz w:val="18"/>
                <w:szCs w:val="18"/>
                <w:shd w:val="clear" w:color="auto" w:fill="FFFFFF"/>
              </w:rPr>
              <w:t xml:space="preserve">ie </w:t>
            </w:r>
            <w:r w:rsidR="00BD25A8">
              <w:rPr>
                <w:rFonts w:ascii="Verdana" w:hAnsi="Verdana"/>
                <w:color w:val="333333"/>
                <w:sz w:val="18"/>
                <w:szCs w:val="18"/>
                <w:shd w:val="clear" w:color="auto" w:fill="FFFFFF"/>
              </w:rPr>
              <w:t xml:space="preserve">ook </w:t>
            </w:r>
            <w:r w:rsidR="00854162">
              <w:rPr>
                <w:rFonts w:ascii="Verdana" w:hAnsi="Verdana"/>
                <w:color w:val="333333"/>
                <w:sz w:val="18"/>
                <w:szCs w:val="18"/>
                <w:shd w:val="clear" w:color="auto" w:fill="FFFFFF"/>
              </w:rPr>
              <w:t>voorstellen 1 +2)</w:t>
            </w:r>
            <w:r w:rsidR="00BD25A8">
              <w:rPr>
                <w:rFonts w:ascii="Verdana" w:hAnsi="Verdana"/>
                <w:color w:val="333333"/>
                <w:sz w:val="18"/>
                <w:szCs w:val="18"/>
                <w:shd w:val="clear" w:color="auto" w:fill="FFFFFF"/>
              </w:rPr>
              <w:t>.</w:t>
            </w:r>
            <w:r w:rsidR="008F7595">
              <w:rPr>
                <w:rFonts w:ascii="Verdana" w:hAnsi="Verdana"/>
                <w:color w:val="333333"/>
                <w:sz w:val="18"/>
                <w:szCs w:val="18"/>
                <w:shd w:val="clear" w:color="auto" w:fill="FFFFFF"/>
              </w:rPr>
              <w:t xml:space="preserve"> </w:t>
            </w:r>
            <w:r w:rsidRPr="007B7A43">
              <w:rPr>
                <w:rFonts w:ascii="Verdana" w:hAnsi="Verdana"/>
                <w:color w:val="333333"/>
                <w:sz w:val="18"/>
                <w:szCs w:val="18"/>
                <w:shd w:val="clear" w:color="auto" w:fill="FFFFFF"/>
              </w:rPr>
              <w:t xml:space="preserve">  </w:t>
            </w:r>
            <w:r w:rsidRPr="007B7A43">
              <w:rPr>
                <w:color w:val="333333"/>
                <w:sz w:val="18"/>
                <w:szCs w:val="18"/>
                <w:shd w:val="clear" w:color="auto" w:fill="FFFFFF"/>
              </w:rPr>
              <w:t xml:space="preserve">  </w:t>
            </w:r>
          </w:p>
        </w:tc>
      </w:tr>
    </w:tbl>
    <w:p w:rsidRPr="007B7A43" w:rsidR="00EE2AC5" w:rsidP="00FB49F8" w:rsidRDefault="00EE2AC5" w14:paraId="0C835E37" w14:textId="53DDD2A8">
      <w:pPr>
        <w:rPr>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65133B" w:rsidR="00EE2AC5" w:rsidTr="00CE0371" w14:paraId="6F2D682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B7A43" w:rsidR="00EE2AC5" w:rsidP="00CE0371" w:rsidRDefault="00EE2AC5" w14:paraId="7F726360"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EE2AC5" w:rsidP="00CE0371" w:rsidRDefault="00EE2AC5" w14:paraId="625B45B2"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5133B" w:rsidR="00EE2AC5" w:rsidP="00CE0371" w:rsidRDefault="00D4157A" w14:paraId="628DA630" w14:textId="5E88BC9A">
            <w:pPr>
              <w:rPr>
                <w:bCs/>
              </w:rPr>
            </w:pPr>
            <w:r>
              <w:rPr>
                <w:szCs w:val="18"/>
              </w:rPr>
              <w:t xml:space="preserve">Voorstel voor een BESLUIT VAN HET EUROPEES PARLEMENT EN DE RAAD tot wijziging van Richtlijn 2013/34/EU wat betreft de termijnen voor het vaststellen van standaarden voor duurzaamheidsrapportage voor bepaalde sectoren en voor bepaalde ondernemingen uit derde landen </w:t>
            </w:r>
            <w:hyperlink w:history="1" r:id="rId23">
              <w:r>
                <w:rPr>
                  <w:rStyle w:val="Hyperlink"/>
                  <w:szCs w:val="18"/>
                </w:rPr>
                <w:t>COM(2023)596</w:t>
              </w:r>
            </w:hyperlink>
          </w:p>
        </w:tc>
      </w:tr>
      <w:tr w:rsidRPr="00C64D1B" w:rsidR="00EE2AC5" w:rsidTr="00CE0371" w14:paraId="096FA64A" w14:textId="77777777">
        <w:tc>
          <w:tcPr>
            <w:tcW w:w="0" w:type="auto"/>
            <w:vMerge/>
            <w:tcBorders>
              <w:top w:val="single" w:color="D9D9D9" w:sz="8" w:space="0"/>
              <w:left w:val="single" w:color="D9D9D9" w:sz="8" w:space="0"/>
              <w:bottom w:val="single" w:color="D9D9D9" w:sz="8" w:space="0"/>
              <w:right w:val="nil"/>
            </w:tcBorders>
            <w:vAlign w:val="center"/>
            <w:hideMark/>
          </w:tcPr>
          <w:p w:rsidRPr="00022CB0" w:rsidR="00EE2AC5" w:rsidP="00CE0371" w:rsidRDefault="00EE2AC5" w14:paraId="3C02D0BB" w14:textId="77777777">
            <w:pPr>
              <w:rPr>
                <w:rFonts w:eastAsiaTheme="minorHAnsi"/>
                <w:szCs w:val="18"/>
              </w:rPr>
            </w:pPr>
          </w:p>
        </w:tc>
        <w:tc>
          <w:tcPr>
            <w:tcW w:w="1134" w:type="dxa"/>
            <w:tcMar>
              <w:top w:w="0" w:type="dxa"/>
              <w:left w:w="108" w:type="dxa"/>
              <w:bottom w:w="0" w:type="dxa"/>
              <w:right w:w="108" w:type="dxa"/>
            </w:tcMar>
            <w:hideMark/>
          </w:tcPr>
          <w:p w:rsidR="00EE2AC5" w:rsidP="00CE0371" w:rsidRDefault="00EE2AC5" w14:paraId="530E60F0" w14:textId="77777777">
            <w:pPr>
              <w:spacing w:after="240"/>
              <w:rPr>
                <w:szCs w:val="18"/>
              </w:rPr>
            </w:pPr>
          </w:p>
          <w:p w:rsidR="00EE2AC5" w:rsidP="00CE0371" w:rsidRDefault="00EE2AC5" w14:paraId="69A9AA35"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EE2AC5" w:rsidP="00CE0371" w:rsidRDefault="00EE2AC5" w14:paraId="2CF396FC" w14:textId="77777777">
            <w:pPr>
              <w:spacing w:after="240"/>
              <w:rPr>
                <w:bCs/>
                <w:szCs w:val="18"/>
              </w:rPr>
            </w:pPr>
          </w:p>
          <w:p w:rsidRPr="00C64D1B" w:rsidR="00EE2AC5" w:rsidP="00CE0371" w:rsidRDefault="008027C1" w14:paraId="17F41253" w14:textId="2AE32FE9">
            <w:pPr>
              <w:spacing w:after="240"/>
              <w:rPr>
                <w:bCs/>
                <w:szCs w:val="18"/>
              </w:rPr>
            </w:pPr>
            <w:r>
              <w:rPr>
                <w:bCs/>
                <w:szCs w:val="18"/>
              </w:rPr>
              <w:t xml:space="preserve">Ter informatie. </w:t>
            </w:r>
          </w:p>
        </w:tc>
      </w:tr>
      <w:tr w:rsidRPr="00FA59A1" w:rsidR="00EE2AC5" w:rsidTr="00CE0371" w14:paraId="4A8A5239" w14:textId="77777777">
        <w:tc>
          <w:tcPr>
            <w:tcW w:w="0" w:type="auto"/>
            <w:vMerge/>
            <w:tcBorders>
              <w:top w:val="single" w:color="D9D9D9" w:sz="8" w:space="0"/>
              <w:left w:val="single" w:color="D9D9D9" w:sz="8" w:space="0"/>
              <w:bottom w:val="single" w:color="D9D9D9" w:sz="8" w:space="0"/>
              <w:right w:val="nil"/>
            </w:tcBorders>
            <w:vAlign w:val="center"/>
            <w:hideMark/>
          </w:tcPr>
          <w:p w:rsidR="00EE2AC5" w:rsidP="00CE0371" w:rsidRDefault="00EE2AC5" w14:paraId="1B4B17D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2D25C3" w:rsidR="00EE2AC5" w:rsidP="00CE0371" w:rsidRDefault="00EE2AC5" w14:paraId="2ADE3400" w14:textId="77777777">
            <w:pPr>
              <w:spacing w:after="240"/>
              <w:rPr>
                <w:szCs w:val="18"/>
                <w:highlight w:val="yellow"/>
              </w:rPr>
            </w:pPr>
            <w:r w:rsidRPr="002D25C3">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5F2DE7" w:rsidR="00EE2AC5" w:rsidP="00B302C1" w:rsidRDefault="00B302C1" w14:paraId="566A63FA" w14:textId="72279CC5">
            <w:pPr>
              <w:pStyle w:val="Normaalweb"/>
              <w:shd w:val="clear" w:color="auto" w:fill="FFFFFF"/>
              <w:rPr>
                <w:rFonts w:ascii="Verdana" w:hAnsi="Verdana"/>
                <w:color w:val="333333"/>
                <w:sz w:val="18"/>
                <w:szCs w:val="18"/>
                <w:shd w:val="clear" w:color="auto" w:fill="FFFFFF"/>
              </w:rPr>
            </w:pPr>
            <w:r>
              <w:rPr>
                <w:rFonts w:ascii="Verdana" w:hAnsi="Verdana"/>
                <w:color w:val="333333"/>
                <w:sz w:val="18"/>
                <w:szCs w:val="18"/>
                <w:shd w:val="clear" w:color="auto" w:fill="FFFFFF"/>
              </w:rPr>
              <w:t>M</w:t>
            </w:r>
            <w:r w:rsidR="00E8265E">
              <w:rPr>
                <w:rFonts w:ascii="Verdana" w:hAnsi="Verdana"/>
                <w:color w:val="333333"/>
                <w:sz w:val="18"/>
                <w:szCs w:val="18"/>
                <w:shd w:val="clear" w:color="auto" w:fill="FFFFFF"/>
              </w:rPr>
              <w:t xml:space="preserve">et </w:t>
            </w:r>
            <w:r w:rsidRPr="00E8265E" w:rsidR="00E8265E">
              <w:rPr>
                <w:rFonts w:ascii="Verdana" w:hAnsi="Verdana"/>
                <w:color w:val="333333"/>
                <w:sz w:val="18"/>
                <w:szCs w:val="18"/>
                <w:shd w:val="clear" w:color="auto" w:fill="FFFFFF"/>
              </w:rPr>
              <w:t xml:space="preserve">dit voorstel </w:t>
            </w:r>
            <w:r>
              <w:rPr>
                <w:rFonts w:ascii="Verdana" w:hAnsi="Verdana"/>
                <w:color w:val="333333"/>
                <w:sz w:val="18"/>
                <w:szCs w:val="18"/>
                <w:shd w:val="clear" w:color="auto" w:fill="FFFFFF"/>
              </w:rPr>
              <w:t xml:space="preserve">wordt </w:t>
            </w:r>
            <w:r w:rsidRPr="00E8265E" w:rsidR="00382EED">
              <w:rPr>
                <w:rFonts w:ascii="Verdana" w:hAnsi="Verdana"/>
                <w:color w:val="333333"/>
                <w:sz w:val="18"/>
                <w:szCs w:val="18"/>
                <w:shd w:val="clear" w:color="auto" w:fill="FFFFFF"/>
              </w:rPr>
              <w:t>de termijn voor de invoering van standaarden voor duurzaamh</w:t>
            </w:r>
            <w:bookmarkStart w:name="_GoBack" w:id="0"/>
            <w:bookmarkEnd w:id="0"/>
            <w:r w:rsidRPr="00E8265E" w:rsidR="00382EED">
              <w:rPr>
                <w:rFonts w:ascii="Verdana" w:hAnsi="Verdana"/>
                <w:color w:val="333333"/>
                <w:sz w:val="18"/>
                <w:szCs w:val="18"/>
                <w:shd w:val="clear" w:color="auto" w:fill="FFFFFF"/>
              </w:rPr>
              <w:t>eidsrapportage uit</w:t>
            </w:r>
            <w:r w:rsidR="00382EED">
              <w:rPr>
                <w:rFonts w:ascii="Verdana" w:hAnsi="Verdana"/>
                <w:color w:val="333333"/>
                <w:sz w:val="18"/>
                <w:szCs w:val="18"/>
                <w:shd w:val="clear" w:color="auto" w:fill="FFFFFF"/>
              </w:rPr>
              <w:t xml:space="preserve">gesteld </w:t>
            </w:r>
            <w:r w:rsidRPr="00E8265E" w:rsidR="00E8265E">
              <w:rPr>
                <w:rFonts w:ascii="Verdana" w:hAnsi="Verdana"/>
                <w:color w:val="333333"/>
                <w:sz w:val="18"/>
                <w:szCs w:val="18"/>
                <w:shd w:val="clear" w:color="auto" w:fill="FFFFFF"/>
              </w:rPr>
              <w:t>voor bepaalde sectoren en ondernemingen uit</w:t>
            </w:r>
            <w:r w:rsidR="00382EED">
              <w:rPr>
                <w:rFonts w:ascii="Verdana" w:hAnsi="Verdana"/>
                <w:color w:val="333333"/>
                <w:sz w:val="18"/>
                <w:szCs w:val="18"/>
                <w:shd w:val="clear" w:color="auto" w:fill="FFFFFF"/>
              </w:rPr>
              <w:t xml:space="preserve"> derde landen.</w:t>
            </w:r>
          </w:p>
        </w:tc>
      </w:tr>
    </w:tbl>
    <w:p w:rsidRPr="00C64D1B" w:rsidR="00EE2AC5" w:rsidP="00FB49F8" w:rsidRDefault="00EE2AC5" w14:paraId="7FE74AF3" w14:textId="77777777">
      <w:pPr>
        <w:rPr>
          <w:bCs/>
        </w:rPr>
      </w:pPr>
    </w:p>
    <w:sectPr w:rsidRPr="00C64D1B" w:rsidR="00EE2AC5" w:rsidSect="00F119E8">
      <w:headerReference w:type="default" r:id="rId24"/>
      <w:footerReference w:type="default" r:id="rId2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B4F7" w14:textId="77777777" w:rsidR="007C3E5A" w:rsidRDefault="007C3E5A" w:rsidP="00842329">
      <w:r>
        <w:separator/>
      </w:r>
    </w:p>
  </w:endnote>
  <w:endnote w:type="continuationSeparator" w:id="0">
    <w:p w14:paraId="7E146BC8" w14:textId="77777777" w:rsidR="007C3E5A" w:rsidRDefault="007C3E5A" w:rsidP="00842329">
      <w:r>
        <w:continuationSeparator/>
      </w:r>
    </w:p>
  </w:endnote>
  <w:endnote w:type="continuationNotice" w:id="1">
    <w:p w14:paraId="409B24ED" w14:textId="77777777" w:rsidR="007C3E5A" w:rsidRDefault="007C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A219" w14:textId="77777777" w:rsidR="007C3E5A" w:rsidRDefault="007C3E5A">
    <w:pPr>
      <w:pStyle w:val="Voettekst"/>
    </w:pPr>
    <w:r>
      <w:rPr>
        <w:noProof/>
        <w:lang w:eastAsia="nl-NL"/>
      </w:rPr>
      <mc:AlternateContent>
        <mc:Choice Requires="wps">
          <w:drawing>
            <wp:anchor distT="0" distB="0" distL="0" distR="0" simplePos="0" relativeHeight="251658246" behindDoc="0" locked="1" layoutInCell="1" allowOverlap="1" wp14:anchorId="172653D8" wp14:editId="346B46F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3459227" w14:textId="36AEBD0B" w:rsidR="007C3E5A" w:rsidRDefault="007C3E5A">
                          <w:pPr>
                            <w:pStyle w:val="Huisstijl-Paginanummer"/>
                          </w:pPr>
                          <w:r>
                            <w:fldChar w:fldCharType="begin"/>
                          </w:r>
                          <w:r>
                            <w:instrText xml:space="preserve"> PAGE  \* Arabic  \* MERGEFORMAT </w:instrText>
                          </w:r>
                          <w:r>
                            <w:fldChar w:fldCharType="separate"/>
                          </w:r>
                          <w:r w:rsidR="006E3BF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653D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3459227" w14:textId="36AEBD0B" w:rsidR="007C3E5A" w:rsidRDefault="007C3E5A">
                    <w:pPr>
                      <w:pStyle w:val="Huisstijl-Paginanummer"/>
                    </w:pPr>
                    <w:r>
                      <w:fldChar w:fldCharType="begin"/>
                    </w:r>
                    <w:r>
                      <w:instrText xml:space="preserve"> PAGE  \* Arabic  \* MERGEFORMAT </w:instrText>
                    </w:r>
                    <w:r>
                      <w:fldChar w:fldCharType="separate"/>
                    </w:r>
                    <w:r w:rsidR="006E3BF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128DF568" wp14:editId="6B0C466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1DFB9" w14:textId="77777777" w:rsidR="007C3E5A" w:rsidRDefault="007C3E5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8DF568"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A21DFB9" w14:textId="77777777" w:rsidR="007C3E5A" w:rsidRDefault="007C3E5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9569" w14:textId="77777777" w:rsidR="007C3E5A" w:rsidRDefault="007C3E5A">
    <w:pPr>
      <w:pStyle w:val="Voettekst"/>
    </w:pPr>
    <w:r>
      <w:rPr>
        <w:noProof/>
        <w:lang w:eastAsia="nl-NL"/>
      </w:rPr>
      <mc:AlternateContent>
        <mc:Choice Requires="wps">
          <w:drawing>
            <wp:anchor distT="0" distB="0" distL="0" distR="0" simplePos="0" relativeHeight="251658247" behindDoc="0" locked="1" layoutInCell="1" allowOverlap="1" wp14:anchorId="21C5D9A5" wp14:editId="3E3B5A18">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7857934" w14:textId="6F33EA5B" w:rsidR="007C3E5A" w:rsidRDefault="007C3E5A">
                          <w:pPr>
                            <w:pStyle w:val="Huisstijl-Paginanummer"/>
                          </w:pPr>
                          <w:r>
                            <w:fldChar w:fldCharType="begin"/>
                          </w:r>
                          <w:r>
                            <w:instrText xml:space="preserve"> PAGE  \* Arabic  \* MERGEFORMAT </w:instrText>
                          </w:r>
                          <w:r>
                            <w:fldChar w:fldCharType="separate"/>
                          </w:r>
                          <w:r w:rsidR="006E3BF0">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5D9A5" id="_x0000_t202" coordsize="21600,21600" o:spt="202" path="m,l,21600r21600,l21600,xe">
              <v:stroke joinstyle="miter"/>
              <v:path gradientshapeok="t" o:connecttype="rect"/>
            </v:shapetype>
            <v:shape 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7857934" w14:textId="6F33EA5B" w:rsidR="007C3E5A" w:rsidRDefault="007C3E5A">
                    <w:pPr>
                      <w:pStyle w:val="Huisstijl-Paginanummer"/>
                    </w:pPr>
                    <w:r>
                      <w:fldChar w:fldCharType="begin"/>
                    </w:r>
                    <w:r>
                      <w:instrText xml:space="preserve"> PAGE  \* Arabic  \* MERGEFORMAT </w:instrText>
                    </w:r>
                    <w:r>
                      <w:fldChar w:fldCharType="separate"/>
                    </w:r>
                    <w:r w:rsidR="006E3BF0">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05FC2BAE" wp14:editId="36246756">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05910" w14:textId="77777777" w:rsidR="007C3E5A" w:rsidRDefault="007C3E5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5FC2BAE"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5C805910" w14:textId="77777777" w:rsidR="007C3E5A" w:rsidRDefault="007C3E5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A88B" w14:textId="77777777" w:rsidR="007C3E5A" w:rsidRDefault="007C3E5A" w:rsidP="00842329">
      <w:r>
        <w:separator/>
      </w:r>
    </w:p>
  </w:footnote>
  <w:footnote w:type="continuationSeparator" w:id="0">
    <w:p w14:paraId="31D80F39" w14:textId="77777777" w:rsidR="007C3E5A" w:rsidRDefault="007C3E5A" w:rsidP="00842329">
      <w:r>
        <w:continuationSeparator/>
      </w:r>
    </w:p>
  </w:footnote>
  <w:footnote w:type="continuationNotice" w:id="1">
    <w:p w14:paraId="74C68F6B" w14:textId="77777777" w:rsidR="007C3E5A" w:rsidRDefault="007C3E5A"/>
  </w:footnote>
  <w:footnote w:id="2">
    <w:p w14:paraId="277E62B9" w14:textId="77777777" w:rsidR="007C3E5A" w:rsidRPr="002B21B2" w:rsidRDefault="007C3E5A" w:rsidP="530D8C2E">
      <w:pPr>
        <w:pStyle w:val="Voetnoottekst"/>
        <w:rPr>
          <w:rFonts w:ascii="Verdana" w:hAnsi="Verdana"/>
        </w:rPr>
      </w:pPr>
      <w:r w:rsidRPr="0B5D9360">
        <w:rPr>
          <w:rStyle w:val="Voetnootmarkering"/>
          <w:rFonts w:ascii="Verdana" w:hAnsi="Verdana"/>
          <w:sz w:val="14"/>
          <w:szCs w:val="14"/>
        </w:rPr>
        <w:footnoteRef/>
      </w:r>
      <w:r w:rsidRPr="0B5D9360">
        <w:rPr>
          <w:rFonts w:ascii="Verdana" w:hAnsi="Verdana"/>
          <w:sz w:val="14"/>
          <w:szCs w:val="14"/>
        </w:rPr>
        <w:t xml:space="preserve"> Voor een overzicht van behandelopties per type EU-voorstel, zie </w:t>
      </w:r>
      <w:hyperlink r:id="rId1" w:history="1">
        <w:r w:rsidRPr="0B5D9360">
          <w:rPr>
            <w:rStyle w:val="Hyperlink"/>
            <w:rFonts w:ascii="Verdana" w:hAnsi="Verdana"/>
            <w:sz w:val="14"/>
            <w:szCs w:val="14"/>
          </w:rPr>
          <w:t>dit overzicht op Plein2</w:t>
        </w:r>
      </w:hyperlink>
      <w:r w:rsidRPr="0B5D9360">
        <w:rPr>
          <w:rFonts w:ascii="Verdana" w:hAnsi="Verdana"/>
          <w:sz w:val="14"/>
          <w:szCs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1685" w14:textId="77777777" w:rsidR="007C3E5A" w:rsidRDefault="007C3E5A">
    <w:pPr>
      <w:pStyle w:val="Koptekst"/>
    </w:pPr>
    <w:r>
      <w:rPr>
        <w:noProof/>
        <w:lang w:eastAsia="nl-NL"/>
      </w:rPr>
      <w:drawing>
        <wp:anchor distT="0" distB="0" distL="114300" distR="114300" simplePos="0" relativeHeight="251658244" behindDoc="1" locked="0" layoutInCell="1" allowOverlap="1" wp14:anchorId="120DA800" wp14:editId="30F2BB07">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2" behindDoc="1" locked="0" layoutInCell="1" allowOverlap="1" wp14:anchorId="6AFDC9C4" wp14:editId="2532565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52A0" w14:textId="77777777" w:rsidR="007C3E5A" w:rsidRDefault="007C3E5A">
    <w:pPr>
      <w:pStyle w:val="Koptekst"/>
    </w:pPr>
    <w:r>
      <w:rPr>
        <w:noProof/>
        <w:lang w:eastAsia="nl-NL"/>
      </w:rPr>
      <mc:AlternateContent>
        <mc:Choice Requires="wps">
          <w:drawing>
            <wp:anchor distT="0" distB="0" distL="114300" distR="114300" simplePos="0" relativeHeight="251658243" behindDoc="0" locked="0" layoutInCell="1" allowOverlap="1" wp14:anchorId="1D029814" wp14:editId="0790F3BD">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0220E" w14:textId="77777777" w:rsidR="007C3E5A" w:rsidRDefault="007C3E5A" w:rsidP="00F119E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D029814"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1820220E" w14:textId="77777777" w:rsidR="007C3E5A" w:rsidRDefault="007C3E5A" w:rsidP="00F119E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5EE33D2D" wp14:editId="4EAEC4E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8A5D6D"/>
    <w:multiLevelType w:val="hybridMultilevel"/>
    <w:tmpl w:val="EF14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29"/>
    <w:rsid w:val="00010520"/>
    <w:rsid w:val="00011924"/>
    <w:rsid w:val="00022CB0"/>
    <w:rsid w:val="000471EE"/>
    <w:rsid w:val="000A4E0B"/>
    <w:rsid w:val="000C3140"/>
    <w:rsid w:val="000D21B7"/>
    <w:rsid w:val="000E3810"/>
    <w:rsid w:val="000F023C"/>
    <w:rsid w:val="000F6E8F"/>
    <w:rsid w:val="001034AD"/>
    <w:rsid w:val="001757D4"/>
    <w:rsid w:val="00183150"/>
    <w:rsid w:val="001875C8"/>
    <w:rsid w:val="0019356F"/>
    <w:rsid w:val="001A2A8F"/>
    <w:rsid w:val="001B1F25"/>
    <w:rsid w:val="001B4658"/>
    <w:rsid w:val="001C7279"/>
    <w:rsid w:val="001F180E"/>
    <w:rsid w:val="00211A8B"/>
    <w:rsid w:val="0021646F"/>
    <w:rsid w:val="002410EC"/>
    <w:rsid w:val="00246CE8"/>
    <w:rsid w:val="00262D7B"/>
    <w:rsid w:val="0028453A"/>
    <w:rsid w:val="002D25C3"/>
    <w:rsid w:val="002E170C"/>
    <w:rsid w:val="00301D7F"/>
    <w:rsid w:val="00323A7C"/>
    <w:rsid w:val="00336B43"/>
    <w:rsid w:val="003416B9"/>
    <w:rsid w:val="003661C5"/>
    <w:rsid w:val="00382EED"/>
    <w:rsid w:val="003953D1"/>
    <w:rsid w:val="0039555E"/>
    <w:rsid w:val="003A2B4B"/>
    <w:rsid w:val="003D392C"/>
    <w:rsid w:val="004127FD"/>
    <w:rsid w:val="004162AA"/>
    <w:rsid w:val="00417B72"/>
    <w:rsid w:val="0042524B"/>
    <w:rsid w:val="004650CD"/>
    <w:rsid w:val="00465E27"/>
    <w:rsid w:val="00475C1B"/>
    <w:rsid w:val="004C2BF7"/>
    <w:rsid w:val="004C7E0A"/>
    <w:rsid w:val="004E284F"/>
    <w:rsid w:val="004F0C5D"/>
    <w:rsid w:val="00514E37"/>
    <w:rsid w:val="0052600F"/>
    <w:rsid w:val="00530BA6"/>
    <w:rsid w:val="00534FED"/>
    <w:rsid w:val="00535922"/>
    <w:rsid w:val="00550543"/>
    <w:rsid w:val="00574C47"/>
    <w:rsid w:val="0057700D"/>
    <w:rsid w:val="00596D0A"/>
    <w:rsid w:val="005A22D8"/>
    <w:rsid w:val="005E7FEB"/>
    <w:rsid w:val="005F2DE7"/>
    <w:rsid w:val="005F4AD0"/>
    <w:rsid w:val="00616A05"/>
    <w:rsid w:val="00632939"/>
    <w:rsid w:val="0065133B"/>
    <w:rsid w:val="00656931"/>
    <w:rsid w:val="006569D4"/>
    <w:rsid w:val="00664160"/>
    <w:rsid w:val="006A66D0"/>
    <w:rsid w:val="006B5476"/>
    <w:rsid w:val="006C3F53"/>
    <w:rsid w:val="006D17EA"/>
    <w:rsid w:val="006E1E5A"/>
    <w:rsid w:val="006E3BF0"/>
    <w:rsid w:val="006F5873"/>
    <w:rsid w:val="00710602"/>
    <w:rsid w:val="00721113"/>
    <w:rsid w:val="00724C05"/>
    <w:rsid w:val="00725FD5"/>
    <w:rsid w:val="00736D07"/>
    <w:rsid w:val="00736EBC"/>
    <w:rsid w:val="00761B0D"/>
    <w:rsid w:val="00762652"/>
    <w:rsid w:val="00775295"/>
    <w:rsid w:val="00795A60"/>
    <w:rsid w:val="007B0F12"/>
    <w:rsid w:val="007B7A43"/>
    <w:rsid w:val="007C3E5A"/>
    <w:rsid w:val="007C5512"/>
    <w:rsid w:val="007D5161"/>
    <w:rsid w:val="007E4559"/>
    <w:rsid w:val="007F3BFF"/>
    <w:rsid w:val="007F4418"/>
    <w:rsid w:val="008027C1"/>
    <w:rsid w:val="00814E02"/>
    <w:rsid w:val="00820128"/>
    <w:rsid w:val="00823765"/>
    <w:rsid w:val="00842329"/>
    <w:rsid w:val="00843D0D"/>
    <w:rsid w:val="00851143"/>
    <w:rsid w:val="00851B31"/>
    <w:rsid w:val="008525C7"/>
    <w:rsid w:val="00854162"/>
    <w:rsid w:val="008565C9"/>
    <w:rsid w:val="00873ECD"/>
    <w:rsid w:val="00874B13"/>
    <w:rsid w:val="00877351"/>
    <w:rsid w:val="00882774"/>
    <w:rsid w:val="0089266F"/>
    <w:rsid w:val="008B0792"/>
    <w:rsid w:val="008B7FDA"/>
    <w:rsid w:val="008C4571"/>
    <w:rsid w:val="008D054D"/>
    <w:rsid w:val="008D4239"/>
    <w:rsid w:val="008E0D48"/>
    <w:rsid w:val="008E28C3"/>
    <w:rsid w:val="008F7595"/>
    <w:rsid w:val="0090162E"/>
    <w:rsid w:val="0092248B"/>
    <w:rsid w:val="00924F90"/>
    <w:rsid w:val="00947B22"/>
    <w:rsid w:val="0096071F"/>
    <w:rsid w:val="009656A5"/>
    <w:rsid w:val="00975479"/>
    <w:rsid w:val="00984952"/>
    <w:rsid w:val="009D4937"/>
    <w:rsid w:val="009F0EFA"/>
    <w:rsid w:val="009F3F6A"/>
    <w:rsid w:val="00A049A4"/>
    <w:rsid w:val="00A147BA"/>
    <w:rsid w:val="00A1618B"/>
    <w:rsid w:val="00A1766A"/>
    <w:rsid w:val="00A17956"/>
    <w:rsid w:val="00A24E84"/>
    <w:rsid w:val="00A24E92"/>
    <w:rsid w:val="00A3203B"/>
    <w:rsid w:val="00A36D73"/>
    <w:rsid w:val="00A56351"/>
    <w:rsid w:val="00A77EB3"/>
    <w:rsid w:val="00A972D7"/>
    <w:rsid w:val="00AA625C"/>
    <w:rsid w:val="00AB2D7C"/>
    <w:rsid w:val="00AB2D8C"/>
    <w:rsid w:val="00AD41EA"/>
    <w:rsid w:val="00AE085E"/>
    <w:rsid w:val="00AE3D40"/>
    <w:rsid w:val="00B00650"/>
    <w:rsid w:val="00B0492E"/>
    <w:rsid w:val="00B302C1"/>
    <w:rsid w:val="00B30B2D"/>
    <w:rsid w:val="00B30D7E"/>
    <w:rsid w:val="00B63B98"/>
    <w:rsid w:val="00B704BC"/>
    <w:rsid w:val="00B80974"/>
    <w:rsid w:val="00B86C37"/>
    <w:rsid w:val="00B979CD"/>
    <w:rsid w:val="00BA14CB"/>
    <w:rsid w:val="00BB2A7F"/>
    <w:rsid w:val="00BC469E"/>
    <w:rsid w:val="00BC7EA7"/>
    <w:rsid w:val="00BD25A8"/>
    <w:rsid w:val="00BD7B6A"/>
    <w:rsid w:val="00BF0692"/>
    <w:rsid w:val="00BF57C7"/>
    <w:rsid w:val="00C143F9"/>
    <w:rsid w:val="00C161E5"/>
    <w:rsid w:val="00C327D2"/>
    <w:rsid w:val="00C44926"/>
    <w:rsid w:val="00C64D1B"/>
    <w:rsid w:val="00C90056"/>
    <w:rsid w:val="00CB1FDA"/>
    <w:rsid w:val="00CB569A"/>
    <w:rsid w:val="00CC015B"/>
    <w:rsid w:val="00CD4D71"/>
    <w:rsid w:val="00CD5262"/>
    <w:rsid w:val="00CF1CDE"/>
    <w:rsid w:val="00CF6EBB"/>
    <w:rsid w:val="00CF714E"/>
    <w:rsid w:val="00D224DE"/>
    <w:rsid w:val="00D4157A"/>
    <w:rsid w:val="00D60F1B"/>
    <w:rsid w:val="00D636D7"/>
    <w:rsid w:val="00D70694"/>
    <w:rsid w:val="00D8667C"/>
    <w:rsid w:val="00D91883"/>
    <w:rsid w:val="00DA5311"/>
    <w:rsid w:val="00DB72A8"/>
    <w:rsid w:val="00DC195D"/>
    <w:rsid w:val="00DE10FC"/>
    <w:rsid w:val="00DF0ADD"/>
    <w:rsid w:val="00DF383D"/>
    <w:rsid w:val="00DF586A"/>
    <w:rsid w:val="00E01BDC"/>
    <w:rsid w:val="00E21E33"/>
    <w:rsid w:val="00E4070C"/>
    <w:rsid w:val="00E51286"/>
    <w:rsid w:val="00E62F3D"/>
    <w:rsid w:val="00E72D62"/>
    <w:rsid w:val="00E8265E"/>
    <w:rsid w:val="00E878BB"/>
    <w:rsid w:val="00E949C2"/>
    <w:rsid w:val="00EB46E2"/>
    <w:rsid w:val="00EC4AD9"/>
    <w:rsid w:val="00EE2AC5"/>
    <w:rsid w:val="00EE6F15"/>
    <w:rsid w:val="00EF589A"/>
    <w:rsid w:val="00EF5C26"/>
    <w:rsid w:val="00EF6EAC"/>
    <w:rsid w:val="00F119E8"/>
    <w:rsid w:val="00F40DB8"/>
    <w:rsid w:val="00F46A51"/>
    <w:rsid w:val="00F46C32"/>
    <w:rsid w:val="00F46CC5"/>
    <w:rsid w:val="00F515EC"/>
    <w:rsid w:val="00F51605"/>
    <w:rsid w:val="00F77E00"/>
    <w:rsid w:val="00F8096A"/>
    <w:rsid w:val="00F918EB"/>
    <w:rsid w:val="00FA59A1"/>
    <w:rsid w:val="00FB49F8"/>
    <w:rsid w:val="00FB73DA"/>
    <w:rsid w:val="00FC4E36"/>
    <w:rsid w:val="00FC518D"/>
    <w:rsid w:val="00FC5733"/>
    <w:rsid w:val="00FD10B3"/>
    <w:rsid w:val="00FD3A4D"/>
    <w:rsid w:val="530D8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DE23"/>
  <w15:chartTrackingRefBased/>
  <w15:docId w15:val="{82B5B4ED-2880-4605-A314-A9704B52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2329"/>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2329"/>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842329"/>
    <w:pPr>
      <w:tabs>
        <w:tab w:val="center" w:pos="4703"/>
        <w:tab w:val="right" w:pos="9406"/>
      </w:tabs>
    </w:pPr>
  </w:style>
  <w:style w:type="character" w:customStyle="1" w:styleId="KoptekstChar">
    <w:name w:val="Koptekst Char"/>
    <w:basedOn w:val="Standaardalinea-lettertype"/>
    <w:link w:val="Koptekst"/>
    <w:uiPriority w:val="99"/>
    <w:rsid w:val="00842329"/>
    <w:rPr>
      <w:rFonts w:ascii="Verdana" w:eastAsia="Calibri" w:hAnsi="Verdana" w:cs="Times New Roman"/>
      <w:sz w:val="18"/>
    </w:rPr>
  </w:style>
  <w:style w:type="paragraph" w:styleId="Voettekst">
    <w:name w:val="footer"/>
    <w:basedOn w:val="Standaard"/>
    <w:link w:val="VoettekstChar"/>
    <w:rsid w:val="00842329"/>
    <w:pPr>
      <w:tabs>
        <w:tab w:val="center" w:pos="4703"/>
        <w:tab w:val="right" w:pos="9406"/>
      </w:tabs>
    </w:pPr>
    <w:rPr>
      <w:sz w:val="15"/>
    </w:rPr>
  </w:style>
  <w:style w:type="character" w:customStyle="1" w:styleId="VoettekstChar">
    <w:name w:val="Voettekst Char"/>
    <w:basedOn w:val="Standaardalinea-lettertype"/>
    <w:link w:val="Voettekst"/>
    <w:rsid w:val="00842329"/>
    <w:rPr>
      <w:rFonts w:ascii="Verdana" w:eastAsia="Calibri" w:hAnsi="Verdana" w:cs="Times New Roman"/>
      <w:sz w:val="15"/>
    </w:rPr>
  </w:style>
  <w:style w:type="paragraph" w:customStyle="1" w:styleId="PlatteTekst">
    <w:name w:val="Platte_Tekst"/>
    <w:basedOn w:val="Standaard"/>
    <w:uiPriority w:val="99"/>
    <w:rsid w:val="00842329"/>
    <w:pPr>
      <w:spacing w:line="284" w:lineRule="exact"/>
    </w:pPr>
  </w:style>
  <w:style w:type="paragraph" w:customStyle="1" w:styleId="Huisstijl-Paginanummer">
    <w:name w:val="Huisstijl - Paginanummer"/>
    <w:basedOn w:val="Standaard"/>
    <w:uiPriority w:val="99"/>
    <w:rsid w:val="00842329"/>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84232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84232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842329"/>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842329"/>
    <w:pPr>
      <w:spacing w:before="90"/>
      <w:contextualSpacing w:val="0"/>
    </w:pPr>
  </w:style>
  <w:style w:type="character" w:styleId="Hyperlink">
    <w:name w:val="Hyperlink"/>
    <w:rsid w:val="00842329"/>
    <w:rPr>
      <w:color w:val="0000FF"/>
      <w:u w:val="single"/>
    </w:rPr>
  </w:style>
  <w:style w:type="paragraph" w:styleId="Voetnoottekst">
    <w:name w:val="footnote text"/>
    <w:basedOn w:val="Standaard"/>
    <w:link w:val="VoetnoottekstChar"/>
    <w:semiHidden/>
    <w:rsid w:val="00842329"/>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842329"/>
    <w:rPr>
      <w:rFonts w:ascii="Times New Roman" w:eastAsia="Times New Roman" w:hAnsi="Times New Roman" w:cs="Times New Roman"/>
      <w:sz w:val="20"/>
      <w:szCs w:val="20"/>
      <w:lang w:eastAsia="nl-NL"/>
    </w:rPr>
  </w:style>
  <w:style w:type="character" w:styleId="Voetnootmarkering">
    <w:name w:val="footnote reference"/>
    <w:semiHidden/>
    <w:rsid w:val="00842329"/>
    <w:rPr>
      <w:vertAlign w:val="superscript"/>
    </w:rPr>
  </w:style>
  <w:style w:type="paragraph" w:styleId="Lijstalinea">
    <w:name w:val="List Paragraph"/>
    <w:basedOn w:val="Standaard"/>
    <w:uiPriority w:val="34"/>
    <w:qFormat/>
    <w:rsid w:val="00842329"/>
    <w:pPr>
      <w:ind w:left="720"/>
      <w:contextualSpacing/>
    </w:pPr>
  </w:style>
  <w:style w:type="paragraph" w:customStyle="1" w:styleId="Standaard1">
    <w:name w:val="Standaard1"/>
    <w:basedOn w:val="Standaard"/>
    <w:rsid w:val="00842329"/>
    <w:pPr>
      <w:spacing w:before="100" w:beforeAutospacing="1" w:after="100" w:afterAutospacing="1"/>
    </w:pPr>
    <w:rPr>
      <w:rFonts w:ascii="Times New Roman" w:eastAsia="Times New Roman" w:hAnsi="Times New Roman"/>
      <w:sz w:val="24"/>
      <w:szCs w:val="24"/>
      <w:lang w:eastAsia="nl-NL"/>
    </w:rPr>
  </w:style>
  <w:style w:type="character" w:styleId="GevolgdeHyperlink">
    <w:name w:val="FollowedHyperlink"/>
    <w:basedOn w:val="Standaardalinea-lettertype"/>
    <w:uiPriority w:val="99"/>
    <w:semiHidden/>
    <w:unhideWhenUsed/>
    <w:rsid w:val="00842329"/>
    <w:rPr>
      <w:color w:val="954F72" w:themeColor="followedHyperlink"/>
      <w:u w:val="single"/>
    </w:rPr>
  </w:style>
  <w:style w:type="character" w:styleId="Verwijzingopmerking">
    <w:name w:val="annotation reference"/>
    <w:basedOn w:val="Standaardalinea-lettertype"/>
    <w:uiPriority w:val="99"/>
    <w:semiHidden/>
    <w:unhideWhenUsed/>
    <w:rsid w:val="00F119E8"/>
    <w:rPr>
      <w:sz w:val="16"/>
      <w:szCs w:val="16"/>
    </w:rPr>
  </w:style>
  <w:style w:type="paragraph" w:styleId="Tekstopmerking">
    <w:name w:val="annotation text"/>
    <w:basedOn w:val="Standaard"/>
    <w:link w:val="TekstopmerkingChar"/>
    <w:uiPriority w:val="99"/>
    <w:semiHidden/>
    <w:unhideWhenUsed/>
    <w:rsid w:val="00F119E8"/>
    <w:rPr>
      <w:sz w:val="20"/>
      <w:szCs w:val="20"/>
    </w:rPr>
  </w:style>
  <w:style w:type="character" w:customStyle="1" w:styleId="TekstopmerkingChar">
    <w:name w:val="Tekst opmerking Char"/>
    <w:basedOn w:val="Standaardalinea-lettertype"/>
    <w:link w:val="Tekstopmerking"/>
    <w:uiPriority w:val="99"/>
    <w:semiHidden/>
    <w:rsid w:val="00F119E8"/>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119E8"/>
    <w:rPr>
      <w:b/>
      <w:bCs/>
    </w:rPr>
  </w:style>
  <w:style w:type="character" w:customStyle="1" w:styleId="OnderwerpvanopmerkingChar">
    <w:name w:val="Onderwerp van opmerking Char"/>
    <w:basedOn w:val="TekstopmerkingChar"/>
    <w:link w:val="Onderwerpvanopmerking"/>
    <w:uiPriority w:val="99"/>
    <w:semiHidden/>
    <w:rsid w:val="00F119E8"/>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D8667C"/>
    <w:rPr>
      <w:rFonts w:ascii="Segoe UI" w:hAnsi="Segoe UI" w:cs="Segoe UI"/>
      <w:szCs w:val="18"/>
    </w:rPr>
  </w:style>
  <w:style w:type="character" w:customStyle="1" w:styleId="BallontekstChar">
    <w:name w:val="Ballontekst Char"/>
    <w:basedOn w:val="Standaardalinea-lettertype"/>
    <w:link w:val="Ballontekst"/>
    <w:uiPriority w:val="99"/>
    <w:semiHidden/>
    <w:rsid w:val="00D8667C"/>
    <w:rPr>
      <w:rFonts w:ascii="Segoe UI" w:eastAsia="Calibri" w:hAnsi="Segoe UI" w:cs="Segoe UI"/>
      <w:sz w:val="18"/>
      <w:szCs w:val="18"/>
    </w:rPr>
  </w:style>
  <w:style w:type="character" w:customStyle="1" w:styleId="footnotereference">
    <w:name w:val="footnotereference"/>
    <w:basedOn w:val="Standaardalinea-lettertype"/>
    <w:rsid w:val="00877351"/>
  </w:style>
  <w:style w:type="character" w:styleId="Zwaar">
    <w:name w:val="Strong"/>
    <w:basedOn w:val="Standaardalinea-lettertype"/>
    <w:uiPriority w:val="22"/>
    <w:qFormat/>
    <w:rsid w:val="00FB49F8"/>
    <w:rPr>
      <w:b/>
      <w:bCs/>
    </w:rPr>
  </w:style>
  <w:style w:type="paragraph" w:customStyle="1" w:styleId="typedudocumentcp">
    <w:name w:val="typedudocument_cp"/>
    <w:basedOn w:val="Standaard"/>
    <w:rsid w:val="00DF383D"/>
    <w:pPr>
      <w:spacing w:before="100" w:beforeAutospacing="1" w:after="100" w:afterAutospacing="1"/>
    </w:pPr>
    <w:rPr>
      <w:rFonts w:ascii="Times New Roman" w:eastAsia="Times New Roman" w:hAnsi="Times New Roman"/>
      <w:sz w:val="24"/>
      <w:szCs w:val="24"/>
      <w:lang w:eastAsia="nl-NL"/>
    </w:rPr>
  </w:style>
  <w:style w:type="paragraph" w:customStyle="1" w:styleId="titreobjetcp">
    <w:name w:val="titreobjet_cp"/>
    <w:basedOn w:val="Standaard"/>
    <w:rsid w:val="00DF383D"/>
    <w:pPr>
      <w:spacing w:before="100" w:beforeAutospacing="1" w:after="100" w:afterAutospacing="1"/>
    </w:pPr>
    <w:rPr>
      <w:rFonts w:ascii="Times New Roman" w:eastAsia="Times New Roman" w:hAnsi="Times New Roman"/>
      <w:sz w:val="24"/>
      <w:szCs w:val="24"/>
      <w:lang w:eastAsia="nl-NL"/>
    </w:rPr>
  </w:style>
  <w:style w:type="paragraph" w:customStyle="1" w:styleId="Standaard2">
    <w:name w:val="Standaard2"/>
    <w:basedOn w:val="Standaard"/>
    <w:rsid w:val="007F3BFF"/>
    <w:pPr>
      <w:spacing w:before="100" w:beforeAutospacing="1" w:after="100" w:afterAutospacing="1"/>
    </w:pPr>
    <w:rPr>
      <w:rFonts w:ascii="Times New Roman" w:eastAsia="Times New Roman" w:hAnsi="Times New Roman"/>
      <w:sz w:val="24"/>
      <w:szCs w:val="24"/>
      <w:lang w:eastAsia="nl-NL"/>
    </w:rPr>
  </w:style>
  <w:style w:type="paragraph" w:styleId="Normaalweb">
    <w:name w:val="Normal (Web)"/>
    <w:basedOn w:val="Standaard"/>
    <w:uiPriority w:val="99"/>
    <w:unhideWhenUsed/>
    <w:rsid w:val="00FA59A1"/>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7176">
      <w:bodyDiv w:val="1"/>
      <w:marLeft w:val="0"/>
      <w:marRight w:val="0"/>
      <w:marTop w:val="0"/>
      <w:marBottom w:val="0"/>
      <w:divBdr>
        <w:top w:val="none" w:sz="0" w:space="0" w:color="auto"/>
        <w:left w:val="none" w:sz="0" w:space="0" w:color="auto"/>
        <w:bottom w:val="none" w:sz="0" w:space="0" w:color="auto"/>
        <w:right w:val="none" w:sz="0" w:space="0" w:color="auto"/>
      </w:divBdr>
    </w:div>
    <w:div w:id="150679750">
      <w:bodyDiv w:val="1"/>
      <w:marLeft w:val="0"/>
      <w:marRight w:val="0"/>
      <w:marTop w:val="0"/>
      <w:marBottom w:val="0"/>
      <w:divBdr>
        <w:top w:val="none" w:sz="0" w:space="0" w:color="auto"/>
        <w:left w:val="none" w:sz="0" w:space="0" w:color="auto"/>
        <w:bottom w:val="none" w:sz="0" w:space="0" w:color="auto"/>
        <w:right w:val="none" w:sz="0" w:space="0" w:color="auto"/>
      </w:divBdr>
    </w:div>
    <w:div w:id="360740143">
      <w:bodyDiv w:val="1"/>
      <w:marLeft w:val="0"/>
      <w:marRight w:val="0"/>
      <w:marTop w:val="0"/>
      <w:marBottom w:val="0"/>
      <w:divBdr>
        <w:top w:val="none" w:sz="0" w:space="0" w:color="auto"/>
        <w:left w:val="none" w:sz="0" w:space="0" w:color="auto"/>
        <w:bottom w:val="none" w:sz="0" w:space="0" w:color="auto"/>
        <w:right w:val="none" w:sz="0" w:space="0" w:color="auto"/>
      </w:divBdr>
    </w:div>
    <w:div w:id="369041180">
      <w:bodyDiv w:val="1"/>
      <w:marLeft w:val="0"/>
      <w:marRight w:val="0"/>
      <w:marTop w:val="0"/>
      <w:marBottom w:val="0"/>
      <w:divBdr>
        <w:top w:val="none" w:sz="0" w:space="0" w:color="auto"/>
        <w:left w:val="none" w:sz="0" w:space="0" w:color="auto"/>
        <w:bottom w:val="none" w:sz="0" w:space="0" w:color="auto"/>
        <w:right w:val="none" w:sz="0" w:space="0" w:color="auto"/>
      </w:divBdr>
    </w:div>
    <w:div w:id="477498646">
      <w:bodyDiv w:val="1"/>
      <w:marLeft w:val="0"/>
      <w:marRight w:val="0"/>
      <w:marTop w:val="0"/>
      <w:marBottom w:val="0"/>
      <w:divBdr>
        <w:top w:val="none" w:sz="0" w:space="0" w:color="auto"/>
        <w:left w:val="none" w:sz="0" w:space="0" w:color="auto"/>
        <w:bottom w:val="none" w:sz="0" w:space="0" w:color="auto"/>
        <w:right w:val="none" w:sz="0" w:space="0" w:color="auto"/>
      </w:divBdr>
    </w:div>
    <w:div w:id="538201433">
      <w:bodyDiv w:val="1"/>
      <w:marLeft w:val="0"/>
      <w:marRight w:val="0"/>
      <w:marTop w:val="0"/>
      <w:marBottom w:val="0"/>
      <w:divBdr>
        <w:top w:val="none" w:sz="0" w:space="0" w:color="auto"/>
        <w:left w:val="none" w:sz="0" w:space="0" w:color="auto"/>
        <w:bottom w:val="none" w:sz="0" w:space="0" w:color="auto"/>
        <w:right w:val="none" w:sz="0" w:space="0" w:color="auto"/>
      </w:divBdr>
    </w:div>
    <w:div w:id="543979573">
      <w:bodyDiv w:val="1"/>
      <w:marLeft w:val="0"/>
      <w:marRight w:val="0"/>
      <w:marTop w:val="0"/>
      <w:marBottom w:val="0"/>
      <w:divBdr>
        <w:top w:val="none" w:sz="0" w:space="0" w:color="auto"/>
        <w:left w:val="none" w:sz="0" w:space="0" w:color="auto"/>
        <w:bottom w:val="none" w:sz="0" w:space="0" w:color="auto"/>
        <w:right w:val="none" w:sz="0" w:space="0" w:color="auto"/>
      </w:divBdr>
    </w:div>
    <w:div w:id="850490274">
      <w:bodyDiv w:val="1"/>
      <w:marLeft w:val="0"/>
      <w:marRight w:val="0"/>
      <w:marTop w:val="0"/>
      <w:marBottom w:val="0"/>
      <w:divBdr>
        <w:top w:val="none" w:sz="0" w:space="0" w:color="auto"/>
        <w:left w:val="none" w:sz="0" w:space="0" w:color="auto"/>
        <w:bottom w:val="none" w:sz="0" w:space="0" w:color="auto"/>
        <w:right w:val="none" w:sz="0" w:space="0" w:color="auto"/>
      </w:divBdr>
    </w:div>
    <w:div w:id="860701616">
      <w:bodyDiv w:val="1"/>
      <w:marLeft w:val="0"/>
      <w:marRight w:val="0"/>
      <w:marTop w:val="0"/>
      <w:marBottom w:val="0"/>
      <w:divBdr>
        <w:top w:val="none" w:sz="0" w:space="0" w:color="auto"/>
        <w:left w:val="none" w:sz="0" w:space="0" w:color="auto"/>
        <w:bottom w:val="none" w:sz="0" w:space="0" w:color="auto"/>
        <w:right w:val="none" w:sz="0" w:space="0" w:color="auto"/>
      </w:divBdr>
    </w:div>
    <w:div w:id="1216045915">
      <w:bodyDiv w:val="1"/>
      <w:marLeft w:val="0"/>
      <w:marRight w:val="0"/>
      <w:marTop w:val="0"/>
      <w:marBottom w:val="0"/>
      <w:divBdr>
        <w:top w:val="none" w:sz="0" w:space="0" w:color="auto"/>
        <w:left w:val="none" w:sz="0" w:space="0" w:color="auto"/>
        <w:bottom w:val="none" w:sz="0" w:space="0" w:color="auto"/>
        <w:right w:val="none" w:sz="0" w:space="0" w:color="auto"/>
      </w:divBdr>
    </w:div>
    <w:div w:id="1244874534">
      <w:bodyDiv w:val="1"/>
      <w:marLeft w:val="0"/>
      <w:marRight w:val="0"/>
      <w:marTop w:val="0"/>
      <w:marBottom w:val="0"/>
      <w:divBdr>
        <w:top w:val="none" w:sz="0" w:space="0" w:color="auto"/>
        <w:left w:val="none" w:sz="0" w:space="0" w:color="auto"/>
        <w:bottom w:val="none" w:sz="0" w:space="0" w:color="auto"/>
        <w:right w:val="none" w:sz="0" w:space="0" w:color="auto"/>
      </w:divBdr>
    </w:div>
    <w:div w:id="1429739667">
      <w:bodyDiv w:val="1"/>
      <w:marLeft w:val="0"/>
      <w:marRight w:val="0"/>
      <w:marTop w:val="0"/>
      <w:marBottom w:val="0"/>
      <w:divBdr>
        <w:top w:val="none" w:sz="0" w:space="0" w:color="auto"/>
        <w:left w:val="none" w:sz="0" w:space="0" w:color="auto"/>
        <w:bottom w:val="none" w:sz="0" w:space="0" w:color="auto"/>
        <w:right w:val="none" w:sz="0" w:space="0" w:color="auto"/>
      </w:divBdr>
    </w:div>
    <w:div w:id="1493716185">
      <w:bodyDiv w:val="1"/>
      <w:marLeft w:val="0"/>
      <w:marRight w:val="0"/>
      <w:marTop w:val="0"/>
      <w:marBottom w:val="0"/>
      <w:divBdr>
        <w:top w:val="none" w:sz="0" w:space="0" w:color="auto"/>
        <w:left w:val="none" w:sz="0" w:space="0" w:color="auto"/>
        <w:bottom w:val="none" w:sz="0" w:space="0" w:color="auto"/>
        <w:right w:val="none" w:sz="0" w:space="0" w:color="auto"/>
      </w:divBdr>
    </w:div>
    <w:div w:id="1498693804">
      <w:bodyDiv w:val="1"/>
      <w:marLeft w:val="0"/>
      <w:marRight w:val="0"/>
      <w:marTop w:val="0"/>
      <w:marBottom w:val="0"/>
      <w:divBdr>
        <w:top w:val="none" w:sz="0" w:space="0" w:color="auto"/>
        <w:left w:val="none" w:sz="0" w:space="0" w:color="auto"/>
        <w:bottom w:val="none" w:sz="0" w:space="0" w:color="auto"/>
        <w:right w:val="none" w:sz="0" w:space="0" w:color="auto"/>
      </w:divBdr>
    </w:div>
    <w:div w:id="1542472617">
      <w:bodyDiv w:val="1"/>
      <w:marLeft w:val="0"/>
      <w:marRight w:val="0"/>
      <w:marTop w:val="0"/>
      <w:marBottom w:val="0"/>
      <w:divBdr>
        <w:top w:val="none" w:sz="0" w:space="0" w:color="auto"/>
        <w:left w:val="none" w:sz="0" w:space="0" w:color="auto"/>
        <w:bottom w:val="none" w:sz="0" w:space="0" w:color="auto"/>
        <w:right w:val="none" w:sz="0" w:space="0" w:color="auto"/>
      </w:divBdr>
    </w:div>
    <w:div w:id="1725324655">
      <w:bodyDiv w:val="1"/>
      <w:marLeft w:val="0"/>
      <w:marRight w:val="0"/>
      <w:marTop w:val="0"/>
      <w:marBottom w:val="0"/>
      <w:divBdr>
        <w:top w:val="none" w:sz="0" w:space="0" w:color="auto"/>
        <w:left w:val="none" w:sz="0" w:space="0" w:color="auto"/>
        <w:bottom w:val="none" w:sz="0" w:space="0" w:color="auto"/>
        <w:right w:val="none" w:sz="0" w:space="0" w:color="auto"/>
      </w:divBdr>
    </w:div>
    <w:div w:id="1818834858">
      <w:bodyDiv w:val="1"/>
      <w:marLeft w:val="0"/>
      <w:marRight w:val="0"/>
      <w:marTop w:val="0"/>
      <w:marBottom w:val="0"/>
      <w:divBdr>
        <w:top w:val="none" w:sz="0" w:space="0" w:color="auto"/>
        <w:left w:val="none" w:sz="0" w:space="0" w:color="auto"/>
        <w:bottom w:val="none" w:sz="0" w:space="0" w:color="auto"/>
        <w:right w:val="none" w:sz="0" w:space="0" w:color="auto"/>
      </w:divBdr>
    </w:div>
    <w:div w:id="1902017745">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9">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3DC0572&amp;qid=1696943663402" TargetMode="External" Id="rId18" /><Relationship Type="http://schemas.openxmlformats.org/officeDocument/2006/relationships/fontTable" Target="fontTable.xml" Id="rId26" /><Relationship Type="http://schemas.openxmlformats.org/officeDocument/2006/relationships/hyperlink" Target="https://eur-lex.europa.eu/legal-content/NL/TXT/?uri=CELEX%3A52023PC0585&amp;qid=1697547975065"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qid=1696329612705&amp;uri=CELEX%3A52023DC0558" TargetMode="External" Id="rId17" /><Relationship Type="http://schemas.openxmlformats.org/officeDocument/2006/relationships/footer" Target="footer2.xml" Id="rId25" /><Relationship Type="http://schemas.openxmlformats.org/officeDocument/2006/relationships/hyperlink" Target="https://eur-lex.europa.eu/legal-content/NL/TXT/?uri=COM%3A2023%3A649%3AFIN&amp;qid=1697613506679" TargetMode="External" Id="rId16" /><Relationship Type="http://schemas.openxmlformats.org/officeDocument/2006/relationships/hyperlink" Target="https://ec.europa.eu/info/law/better-regulation/have-your-say/initiatives/13389-Voorschriften-energie-etikettering-verwarmingsketels-voor-vaste-brandstoffen-herziening-_nl"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hyperlink" Target="https://eur-lex.europa.eu/legal-content/NL/TXT/?uri=CELEX:52023DC0168" TargetMode="External" Id="rId15" /><Relationship Type="http://schemas.openxmlformats.org/officeDocument/2006/relationships/hyperlink" Target="https://eur-lex.europa.eu/legal-content/NL/TXT/?uri=COM%3A2023%3A596%3AFIN&amp;qid=1697614128764" TargetMode="External" Id="rId23" /><Relationship Type="http://schemas.openxmlformats.org/officeDocument/2006/relationships/footnotes" Target="footnotes.xml" Id="rId10" /><Relationship Type="http://schemas.openxmlformats.org/officeDocument/2006/relationships/hyperlink" Target="https://eur-lex.europa.eu/legal-content/NL/TXT/?uri=CELEX%3A52023DC0547&amp;qid=1696330080786" TargetMode="External" Id="rId19" /><Relationship Type="http://schemas.openxmlformats.org/officeDocument/2006/relationships/webSettings" Target="webSettings.xml" Id="rId9" /><Relationship Type="http://schemas.openxmlformats.org/officeDocument/2006/relationships/hyperlink" Target="https://eur-lex.europa.eu/legal-content/NL/TXT/?uri=COM%3A2023%3A647%3AFIN&amp;qid=1697613285168" TargetMode="External" Id="rId14" /><Relationship Type="http://schemas.openxmlformats.org/officeDocument/2006/relationships/hyperlink" Target="https://eur-lex.europa.eu/legal-content/NL/TXT/?qid=1697612984162&amp;uri=COM%3A2023%3A648%3AFIN"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1188</ap:Words>
  <ap:Characters>6537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2023-10-18T10:20:00.0000000Z</dcterms:created>
  <dcterms:modified xsi:type="dcterms:W3CDTF">2023-10-19T12:55:00.0000000Z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_dlc_DocIdItemGuid">
    <vt:lpwstr>defe6468-fe39-44e4-acc7-a17dccb68110</vt:lpwstr>
  </property>
</Properties>
</file>