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D5ED8" w:rsidTr="006D5ED8" w14:paraId="6DC8625A" w14:textId="77777777">
        <w:sdt>
          <w:sdtPr>
            <w:tag w:val="bmZaakNummerAdvies"/>
            <w:id w:val="-1631543807"/>
            <w:lock w:val="sdtLocked"/>
            <w:placeholder>
              <w:docPart w:val="DefaultPlaceholder_-1854013440"/>
            </w:placeholder>
          </w:sdtPr>
          <w:sdtEndPr/>
          <w:sdtContent>
            <w:tc>
              <w:tcPr>
                <w:tcW w:w="4251" w:type="dxa"/>
              </w:tcPr>
              <w:p w:rsidR="006D5ED8" w:rsidRDefault="006D5ED8" w14:paraId="28FD4C09" w14:textId="77C97B00">
                <w:r>
                  <w:t>No. W06.22.00173/III</w:t>
                </w:r>
              </w:p>
            </w:tc>
          </w:sdtContent>
        </w:sdt>
        <w:sdt>
          <w:sdtPr>
            <w:tag w:val="bmDatumAdvies"/>
            <w:id w:val="-808622839"/>
            <w:lock w:val="sdtLocked"/>
            <w:placeholder>
              <w:docPart w:val="DefaultPlaceholder_-1854013440"/>
            </w:placeholder>
          </w:sdtPr>
          <w:sdtEndPr/>
          <w:sdtContent>
            <w:tc>
              <w:tcPr>
                <w:tcW w:w="4252" w:type="dxa"/>
              </w:tcPr>
              <w:p w:rsidR="006D5ED8" w:rsidRDefault="006D5ED8" w14:paraId="185AC871" w14:textId="11F96566">
                <w:r>
                  <w:t>'s-Gravenhage, 8 februari 2023</w:t>
                </w:r>
              </w:p>
            </w:tc>
          </w:sdtContent>
        </w:sdt>
      </w:tr>
    </w:tbl>
    <w:p w:rsidR="006D5ED8" w:rsidRDefault="006D5ED8" w14:paraId="4A7C6351" w14:textId="77777777"/>
    <w:p w:rsidR="006D5ED8" w:rsidRDefault="006D5ED8" w14:paraId="549F5BB6" w14:textId="77777777"/>
    <w:p w:rsidR="00713F59" w:rsidRDefault="0043155C" w14:paraId="191511A9" w14:textId="7F6C6FA5">
      <w:sdt>
        <w:sdtPr>
          <w:tag w:val="bmAanhef"/>
          <w:id w:val="-907223855"/>
          <w:lock w:val="sdtLocked"/>
          <w:placeholder>
            <w:docPart w:val="DefaultPlaceholder_-1854013440"/>
          </w:placeholder>
        </w:sdtPr>
        <w:sdtEndPr/>
        <w:sdtContent>
          <w:r w:rsidR="006D5ED8">
            <w:rPr>
              <w:color w:val="000000"/>
            </w:rPr>
            <w:t>Bij Kabinetsmissive van 25 november 2022, no.2022002551, heeft Uwe Majesteit, op voordracht van de Minister van Financiën, bij de Afdeling advisering van de Raad van State ter overweging aanhangig gemaakt het voorstel van Wet</w:t>
          </w:r>
          <w:r w:rsidR="00387096">
            <w:rPr>
              <w:color w:val="000000"/>
            </w:rPr>
            <w:t xml:space="preserve"> </w:t>
          </w:r>
          <w:r w:rsidR="006D5ED8">
            <w:rPr>
              <w:color w:val="000000"/>
            </w:rPr>
            <w:t xml:space="preserve"> </w:t>
          </w:r>
          <w:r w:rsidR="007377F4">
            <w:rPr>
              <w:color w:val="000000"/>
            </w:rPr>
            <w:t>houdende wijziging</w:t>
          </w:r>
          <w:r w:rsidR="007A7879">
            <w:rPr>
              <w:color w:val="000000"/>
            </w:rPr>
            <w:t xml:space="preserve"> </w:t>
          </w:r>
          <w:r w:rsidR="006D5ED8">
            <w:rPr>
              <w:color w:val="000000"/>
            </w:rPr>
            <w:t>op het financieel toezicht, de Wet toezicht trustkantoren 2018 en enige andere wetten op het terrein van de financiële markten (Wijzigingswet financiële markten 2024), met memorie van toelichting.</w:t>
          </w:r>
        </w:sdtContent>
      </w:sdt>
    </w:p>
    <w:p w:rsidR="00713F59" w:rsidRDefault="00713F59" w14:paraId="191511AA" w14:textId="77777777"/>
    <w:sdt>
      <w:sdtPr>
        <w:tag w:val="bmVrijeTekst1"/>
        <w:id w:val="1716773985"/>
        <w:lock w:val="sdtLocked"/>
        <w:placeholder>
          <w:docPart w:val="DefaultPlaceholder_-1854013440"/>
        </w:placeholder>
      </w:sdtPr>
      <w:sdtEndPr/>
      <w:sdtContent>
        <w:p w:rsidR="00114D97" w:rsidRDefault="00114D97" w14:paraId="1806450E" w14:textId="24D45274">
          <w:r w:rsidRPr="00114D97">
            <w:t>Het wetsvoorstel bevat diverse wijzigingen van de Wet op het financieel toezicht (</w:t>
          </w:r>
          <w:proofErr w:type="spellStart"/>
          <w:r w:rsidRPr="00114D97">
            <w:t>Wft</w:t>
          </w:r>
          <w:proofErr w:type="spellEnd"/>
          <w:r w:rsidRPr="00114D97">
            <w:t>) en enige andere wetten</w:t>
          </w:r>
          <w:r>
            <w:t>.</w:t>
          </w:r>
        </w:p>
        <w:p w:rsidR="00114D97" w:rsidRDefault="00114D97" w14:paraId="1D4DABDA" w14:textId="77777777"/>
        <w:p w:rsidR="006D5ED8" w:rsidRDefault="00CA1764" w14:paraId="55CC2ADF" w14:textId="4690BD45">
          <w:r w:rsidRPr="00CA1764">
            <w:t>De Afdeling advisering van de Raad van State</w:t>
          </w:r>
          <w:r w:rsidR="00CB506C">
            <w:t xml:space="preserve"> maakt opmerkingen over het </w:t>
          </w:r>
          <w:r w:rsidR="00CD14BB">
            <w:t xml:space="preserve">voorgestelde </w:t>
          </w:r>
          <w:r w:rsidR="00CB506C">
            <w:t>wettelijk tuchtrecht voor verzekeraars</w:t>
          </w:r>
          <w:r w:rsidR="00844EDE">
            <w:t xml:space="preserve">. </w:t>
          </w:r>
          <w:r w:rsidR="006D1ED7">
            <w:t>D</w:t>
          </w:r>
          <w:r w:rsidRPr="006D1ED7" w:rsidR="006D1ED7">
            <w:t>e</w:t>
          </w:r>
          <w:r w:rsidR="00F7693A">
            <w:t xml:space="preserve"> noodzaak</w:t>
          </w:r>
          <w:r w:rsidR="00E93625">
            <w:t xml:space="preserve"> </w:t>
          </w:r>
          <w:r w:rsidRPr="006D1ED7" w:rsidR="006D1ED7">
            <w:t xml:space="preserve">en proportionaliteit </w:t>
          </w:r>
          <w:r w:rsidR="00E93625">
            <w:t xml:space="preserve">van </w:t>
          </w:r>
          <w:r w:rsidRPr="006D1ED7" w:rsidR="006D1ED7">
            <w:t>het voorstel</w:t>
          </w:r>
          <w:r w:rsidR="006D1ED7">
            <w:t xml:space="preserve"> </w:t>
          </w:r>
          <w:r w:rsidR="002439AD">
            <w:t>is onduidelijk.</w:t>
          </w:r>
          <w:r w:rsidRPr="006D1ED7" w:rsidR="006D1ED7">
            <w:t xml:space="preserve"> </w:t>
          </w:r>
          <w:r w:rsidRPr="00977DBC" w:rsidR="00977DBC">
            <w:t>Ook roept de vormgeving van wat ‘tuchtrecht’ wordt genoemd, wezenlijke vragen op</w:t>
          </w:r>
          <w:r w:rsidR="00E93625">
            <w:t xml:space="preserve">. </w:t>
          </w:r>
          <w:r w:rsidRPr="008F2B4C" w:rsidR="008F2B4C">
            <w:t xml:space="preserve">De Afdeling adviseert daarom </w:t>
          </w:r>
          <w:r w:rsidR="00033670">
            <w:t xml:space="preserve">dit onderdeel </w:t>
          </w:r>
          <w:r w:rsidR="00DB1203">
            <w:t>te schrappen</w:t>
          </w:r>
          <w:r w:rsidRPr="008F2B4C" w:rsidR="008F2B4C">
            <w:t>.</w:t>
          </w:r>
        </w:p>
        <w:p w:rsidR="006D5ED8" w:rsidRDefault="006D5ED8" w14:paraId="46607682" w14:textId="77777777"/>
        <w:p w:rsidR="006D5ED8" w:rsidRDefault="00062207" w14:paraId="434CFB9C" w14:textId="77777777">
          <w:r>
            <w:t xml:space="preserve">Tevens adviseert de Afdeling om het verscherpt toezicht op verzekeraars </w:t>
          </w:r>
          <w:r w:rsidR="009F2322">
            <w:t>nader</w:t>
          </w:r>
          <w:r>
            <w:t xml:space="preserve"> te motiveren</w:t>
          </w:r>
          <w:r w:rsidR="00AD3577">
            <w:t xml:space="preserve"> en in te gaan op de toegevoegde waarde van het </w:t>
          </w:r>
          <w:r w:rsidR="007B179C">
            <w:t>wets</w:t>
          </w:r>
          <w:r w:rsidR="00AD3577">
            <w:t>voorstel</w:t>
          </w:r>
          <w:r w:rsidR="00A81B32">
            <w:t xml:space="preserve">. Tot slot </w:t>
          </w:r>
          <w:r w:rsidR="00AF01FB">
            <w:t xml:space="preserve">maakt de Afdeling opmerkingen over het </w:t>
          </w:r>
          <w:r w:rsidR="004B7055">
            <w:t>Unie</w:t>
          </w:r>
          <w:r w:rsidR="00AF01FB">
            <w:t xml:space="preserve">recht in relatie tot de voorgestelde maatregelen voor verzekeraars in </w:t>
          </w:r>
          <w:r w:rsidR="00B4611F">
            <w:t>verband met</w:t>
          </w:r>
          <w:r w:rsidR="00AF01FB">
            <w:t xml:space="preserve"> het vrije verkeer en de </w:t>
          </w:r>
          <w:r w:rsidR="00E47528">
            <w:t>(verdergaande) harmonisatie van regelgeving voor verzekeraars op Europees niveau.</w:t>
          </w:r>
          <w:r w:rsidR="007B686D">
            <w:t xml:space="preserve"> </w:t>
          </w:r>
        </w:p>
        <w:p w:rsidR="006D5ED8" w:rsidRDefault="006D5ED8" w14:paraId="49101EFD" w14:textId="77777777"/>
        <w:p w:rsidR="00CB506C" w:rsidRDefault="008B6C98" w14:paraId="6521CE0A" w14:textId="7B5D659D">
          <w:r w:rsidRPr="008B6C98">
            <w:t>In verband me</w:t>
          </w:r>
          <w:r w:rsidR="00E319E4">
            <w:t>t deze opmerkingen</w:t>
          </w:r>
          <w:r w:rsidRPr="008B6C98">
            <w:t xml:space="preserve"> dient het </w:t>
          </w:r>
          <w:r w:rsidR="00E319E4">
            <w:t>wets</w:t>
          </w:r>
          <w:r w:rsidRPr="008B6C98">
            <w:t>voorstel nader te worden overwogen</w:t>
          </w:r>
          <w:r w:rsidRPr="00B229BF" w:rsidR="00B229BF">
            <w:t>.</w:t>
          </w:r>
        </w:p>
        <w:p w:rsidR="00CA1764" w:rsidRDefault="00CA1764" w14:paraId="33DE0C69" w14:textId="77777777"/>
        <w:p w:rsidR="00CA1764" w:rsidRDefault="00CA1764" w14:paraId="47D5A21E" w14:textId="7C348FA6">
          <w:r>
            <w:t xml:space="preserve">1. </w:t>
          </w:r>
          <w:r w:rsidR="00D617D4">
            <w:tab/>
          </w:r>
          <w:r w:rsidR="00814E1A">
            <w:rPr>
              <w:u w:val="single"/>
            </w:rPr>
            <w:t>Motivering</w:t>
          </w:r>
          <w:r w:rsidR="002239FA">
            <w:rPr>
              <w:u w:val="single"/>
            </w:rPr>
            <w:t xml:space="preserve"> wettelijk</w:t>
          </w:r>
          <w:r w:rsidRPr="008004C6" w:rsidR="006C3E8B">
            <w:rPr>
              <w:u w:val="single"/>
            </w:rPr>
            <w:t xml:space="preserve"> tuchtrecht</w:t>
          </w:r>
        </w:p>
        <w:p w:rsidR="006C3E8B" w:rsidRDefault="006C3E8B" w14:paraId="72671024" w14:textId="77777777"/>
        <w:p w:rsidR="006C3E8B" w:rsidP="009A4EA2" w:rsidRDefault="008250BA" w14:paraId="4C53F48A" w14:textId="3A1C1DAD">
          <w:r w:rsidRPr="008250BA">
            <w:t xml:space="preserve">Het </w:t>
          </w:r>
          <w:r w:rsidR="003770EC">
            <w:t>wetsvoorstel voorziet in</w:t>
          </w:r>
          <w:r w:rsidR="00837413">
            <w:t xml:space="preserve"> een wettelijke verplichting voor verzekeraars met zetel in Nederland om zich te onderwerpen aan tuchtrecht</w:t>
          </w:r>
          <w:r w:rsidR="00604DE5">
            <w:t>.</w:t>
          </w:r>
          <w:r w:rsidR="003770EC">
            <w:rPr>
              <w:rStyle w:val="Voetnootmarkering"/>
            </w:rPr>
            <w:footnoteReference w:id="2"/>
          </w:r>
          <w:r w:rsidR="00837413">
            <w:t xml:space="preserve"> </w:t>
          </w:r>
          <w:r w:rsidRPr="00585B49" w:rsidR="00585B49">
            <w:t>De Nederlandsche Bank</w:t>
          </w:r>
          <w:r w:rsidR="00585B49">
            <w:t xml:space="preserve"> (</w:t>
          </w:r>
          <w:r w:rsidR="009A4EA2">
            <w:t>DNB</w:t>
          </w:r>
          <w:r w:rsidR="00585B49">
            <w:t>)</w:t>
          </w:r>
          <w:r w:rsidR="009A4EA2">
            <w:t xml:space="preserve"> </w:t>
          </w:r>
          <w:r w:rsidR="00585B49">
            <w:t>zal</w:t>
          </w:r>
          <w:r w:rsidR="009A4EA2">
            <w:t xml:space="preserve"> </w:t>
          </w:r>
          <w:r w:rsidR="00F712F9">
            <w:t xml:space="preserve">erop toezien </w:t>
          </w:r>
          <w:r w:rsidRPr="00582D9B" w:rsidR="00F712F9">
            <w:t>of een verzekeraar is onderworpen aan een tuchtrechtelijke regeling</w:t>
          </w:r>
          <w:r w:rsidR="00F712F9">
            <w:t xml:space="preserve">. </w:t>
          </w:r>
          <w:r w:rsidR="00943975">
            <w:t xml:space="preserve">Daarbij zal de </w:t>
          </w:r>
          <w:r w:rsidRPr="00D20AA2" w:rsidR="00943975">
            <w:t xml:space="preserve">verdere invulling en organisatie van de tuchtrechtelijke regeling primair aan de verzekeraar </w:t>
          </w:r>
          <w:r w:rsidR="00BC38A2">
            <w:t>of</w:t>
          </w:r>
          <w:r w:rsidRPr="00D20AA2" w:rsidR="00943975">
            <w:t xml:space="preserve"> verzekeringssector zelf</w:t>
          </w:r>
          <w:r w:rsidR="00943975">
            <w:t xml:space="preserve"> zijn.</w:t>
          </w:r>
          <w:r w:rsidR="00943975">
            <w:rPr>
              <w:rStyle w:val="Voetnootmarkering"/>
            </w:rPr>
            <w:footnoteReference w:id="3"/>
          </w:r>
          <w:r w:rsidR="00943975">
            <w:t xml:space="preserve"> </w:t>
          </w:r>
        </w:p>
        <w:p w:rsidR="00585B49" w:rsidP="009A4EA2" w:rsidRDefault="00585B49" w14:paraId="6ABC25BA" w14:textId="058FAD85"/>
        <w:p w:rsidRPr="00797705" w:rsidR="008E5D3A" w:rsidP="009A4EA2" w:rsidRDefault="00B412E9" w14:paraId="31CA25AA" w14:textId="3E682E1A">
          <w:pPr>
            <w:rPr>
              <w:i/>
            </w:rPr>
          </w:pPr>
          <w:r>
            <w:t>a.</w:t>
          </w:r>
          <w:r>
            <w:tab/>
          </w:r>
          <w:r w:rsidR="008E5D3A">
            <w:rPr>
              <w:i/>
              <w:iCs/>
            </w:rPr>
            <w:t>Aanleiding</w:t>
          </w:r>
        </w:p>
        <w:p w:rsidR="006B7F28" w:rsidP="005D0F69" w:rsidRDefault="00410D98" w14:paraId="3745319D" w14:textId="52786579">
          <w:r>
            <w:t>Het</w:t>
          </w:r>
          <w:r w:rsidR="0099113B">
            <w:t xml:space="preserve"> voorstel</w:t>
          </w:r>
          <w:r>
            <w:t xml:space="preserve"> komt mede voort uit de wens om (het vertrouwen in)</w:t>
          </w:r>
          <w:r w:rsidR="005648A6">
            <w:t xml:space="preserve"> de </w:t>
          </w:r>
          <w:r>
            <w:t>afhandeling van letselschade door verzekeraars te versterken en, waar nodig, te verbeteren</w:t>
          </w:r>
          <w:r w:rsidR="00D83709">
            <w:t>.</w:t>
          </w:r>
          <w:r w:rsidR="00D5280C">
            <w:t xml:space="preserve"> Doel is dan ook</w:t>
          </w:r>
          <w:r w:rsidR="0099113B">
            <w:t xml:space="preserve"> </w:t>
          </w:r>
          <w:r w:rsidR="005648A6">
            <w:t xml:space="preserve">om </w:t>
          </w:r>
          <w:r w:rsidR="0099113B">
            <w:t>de kwaliteit van letselschadeafhandeling door verzekeraars en het vertrouwen in verzekeraars en de verzekeringssector in den brede te borgen en te verbeteren</w:t>
          </w:r>
          <w:r w:rsidR="00D5280C">
            <w:t>, aldus de toelichting.</w:t>
          </w:r>
        </w:p>
        <w:p w:rsidR="00D34AE8" w:rsidP="005D0F69" w:rsidRDefault="00D34AE8" w14:paraId="09D649CC" w14:textId="77777777"/>
        <w:p w:rsidR="008E5D3A" w:rsidP="005D0F69" w:rsidRDefault="005252A6" w14:paraId="55DF55B0" w14:textId="1CAD19DC">
          <w:r w:rsidRPr="00D446FE">
            <w:rPr>
              <w:szCs w:val="18"/>
            </w:rPr>
            <w:t>De Universiteit Utrecht heeft onderzoek verricht naar de oorzaken van langlopende letselschadezaken</w:t>
          </w:r>
          <w:r>
            <w:rPr>
              <w:szCs w:val="18"/>
            </w:rPr>
            <w:t>.</w:t>
          </w:r>
          <w:r>
            <w:rPr>
              <w:rStyle w:val="Voetnootmarkering"/>
            </w:rPr>
            <w:footnoteReference w:id="4"/>
          </w:r>
          <w:r>
            <w:rPr>
              <w:szCs w:val="18"/>
            </w:rPr>
            <w:t xml:space="preserve"> </w:t>
          </w:r>
          <w:r>
            <w:t>V</w:t>
          </w:r>
          <w:r w:rsidRPr="001A6858">
            <w:t xml:space="preserve">olgens </w:t>
          </w:r>
          <w:r>
            <w:t xml:space="preserve">de </w:t>
          </w:r>
          <w:r w:rsidRPr="001A6858">
            <w:t>onderzoekers</w:t>
          </w:r>
          <w:r>
            <w:t xml:space="preserve"> is het </w:t>
          </w:r>
          <w:r w:rsidRPr="001A6858">
            <w:t>niet mogelijk om één dominante omstandigheid te benoemen als h</w:t>
          </w:r>
          <w:r>
            <w:t>e</w:t>
          </w:r>
          <w:r w:rsidRPr="001A6858">
            <w:t>t kenmerk van een langlopend letselschadedossie</w:t>
          </w:r>
          <w:r>
            <w:t>r</w:t>
          </w:r>
          <w:r w:rsidRPr="003B0C18">
            <w:t>.</w:t>
          </w:r>
          <w:r>
            <w:t xml:space="preserve"> Tijdens </w:t>
          </w:r>
          <w:r w:rsidR="00281DE6">
            <w:t>een</w:t>
          </w:r>
          <w:r>
            <w:t xml:space="preserve"> debat in de </w:t>
          </w:r>
          <w:r w:rsidR="00D5280C">
            <w:t>Tweede</w:t>
          </w:r>
          <w:r>
            <w:t xml:space="preserve"> Kamer over dit onderzoek is een motie aangenomen die </w:t>
          </w:r>
          <w:r w:rsidRPr="00771E3D">
            <w:t>het kabinet</w:t>
          </w:r>
          <w:r>
            <w:t xml:space="preserve"> verzoekt</w:t>
          </w:r>
          <w:r w:rsidRPr="00771E3D">
            <w:t xml:space="preserve"> te zorgen voor wettelijk verankerd non-hiërarchisch tuchtrecht en een tuchtraad voor alle </w:t>
          </w:r>
          <w:r w:rsidR="00D35585">
            <w:t>‘</w:t>
          </w:r>
          <w:r w:rsidRPr="00771E3D">
            <w:t>professionals</w:t>
          </w:r>
          <w:r w:rsidR="00D35585">
            <w:t>’</w:t>
          </w:r>
          <w:r w:rsidRPr="00771E3D">
            <w:t xml:space="preserve"> betrokken bij het afhandelen van letselschadezaken</w:t>
          </w:r>
          <w:r>
            <w:t>.</w:t>
          </w:r>
          <w:r>
            <w:rPr>
              <w:rStyle w:val="Voetnootmarkering"/>
            </w:rPr>
            <w:footnoteReference w:id="5"/>
          </w:r>
          <w:r w:rsidR="007700A8">
            <w:t xml:space="preserve"> </w:t>
          </w:r>
        </w:p>
        <w:p w:rsidR="008E5D3A" w:rsidP="005D0F69" w:rsidRDefault="008E5D3A" w14:paraId="1BF15D5A" w14:textId="77777777"/>
        <w:p w:rsidRPr="00797705" w:rsidR="008E5D3A" w:rsidP="005D0F69" w:rsidRDefault="00B412E9" w14:paraId="18C66C0E" w14:textId="00AE1A81">
          <w:pPr>
            <w:rPr>
              <w:i/>
            </w:rPr>
          </w:pPr>
          <w:r>
            <w:t>b.</w:t>
          </w:r>
          <w:r>
            <w:tab/>
          </w:r>
          <w:r w:rsidRPr="00797705" w:rsidR="00E53F53">
            <w:rPr>
              <w:i/>
            </w:rPr>
            <w:t>Nood</w:t>
          </w:r>
          <w:r w:rsidRPr="00797705" w:rsidR="00A26483">
            <w:rPr>
              <w:i/>
            </w:rPr>
            <w:t>zaak</w:t>
          </w:r>
        </w:p>
        <w:p w:rsidR="00D34AE8" w:rsidP="005D0F69" w:rsidRDefault="007700A8" w14:paraId="5E815101" w14:textId="6FD9AC92">
          <w:r w:rsidRPr="004B4655">
            <w:t xml:space="preserve">Binnen de verzekeringsbranche is </w:t>
          </w:r>
          <w:r>
            <w:t xml:space="preserve">reeds </w:t>
          </w:r>
          <w:r w:rsidRPr="004B4655">
            <w:t>decennialang sprake van</w:t>
          </w:r>
          <w:r w:rsidRPr="00E01E07">
            <w:t xml:space="preserve"> </w:t>
          </w:r>
          <w:r w:rsidRPr="00552683" w:rsidR="00552683">
            <w:t>privaatrechtelijk tuchtrecht</w:t>
          </w:r>
          <w:r>
            <w:t xml:space="preserve">. De leden van het Verbond van Verzekeraars zijn contractueel overeengekomen dat zij zich aan het tuchtrecht binden. </w:t>
          </w:r>
          <w:r w:rsidRPr="00D535EF" w:rsidR="00D535EF">
            <w:t>Meer dan 95% van de schade- en levensverzekeraars in Nederland is lid van het Verbond van Verzekeraars.</w:t>
          </w:r>
          <w:r w:rsidR="00E637B1">
            <w:rPr>
              <w:rStyle w:val="Voetnootmarkering"/>
            </w:rPr>
            <w:footnoteReference w:id="6"/>
          </w:r>
          <w:r w:rsidRPr="00D535EF" w:rsidR="00D535EF">
            <w:t xml:space="preserve"> </w:t>
          </w:r>
          <w:r w:rsidRPr="00873B4A">
            <w:t>De branche bepaalt het reglement en het is ook de branche die een maatregel oplegt.</w:t>
          </w:r>
          <w:r>
            <w:t xml:space="preserve"> De Tuchtraad Financiële Dienstverlening (Assurantiën) adviseert hierin.</w:t>
          </w:r>
        </w:p>
        <w:p w:rsidR="003B54C3" w:rsidP="005D0F69" w:rsidRDefault="003B54C3" w14:paraId="7F8CCA8E" w14:textId="4638E048"/>
        <w:p w:rsidR="00FD1ACF" w:rsidP="005D0F69" w:rsidRDefault="003B54C3" w14:paraId="327105F0" w14:textId="5F581CD7">
          <w:r>
            <w:t xml:space="preserve">De Afdeling </w:t>
          </w:r>
          <w:r w:rsidR="00452198">
            <w:t>wijst er</w:t>
          </w:r>
          <w:r w:rsidR="00C14D99">
            <w:t xml:space="preserve"> </w:t>
          </w:r>
          <w:r w:rsidR="00452198">
            <w:t>op d</w:t>
          </w:r>
          <w:r w:rsidR="004C5635">
            <w:t xml:space="preserve">at het noodzakelijk </w:t>
          </w:r>
          <w:r w:rsidR="007B26A2">
            <w:t xml:space="preserve">is </w:t>
          </w:r>
          <w:r w:rsidR="004C5635">
            <w:t>dat</w:t>
          </w:r>
          <w:r w:rsidR="00186AA6">
            <w:t xml:space="preserve"> </w:t>
          </w:r>
          <w:r w:rsidR="00E23F7E">
            <w:t>duidelijk</w:t>
          </w:r>
          <w:r w:rsidR="00BF083A">
            <w:t xml:space="preserve">heid bestaat over de vraag </w:t>
          </w:r>
          <w:r w:rsidR="006F276C">
            <w:t>welk</w:t>
          </w:r>
          <w:r w:rsidR="00E23F7E">
            <w:t xml:space="preserve"> probleem </w:t>
          </w:r>
          <w:r w:rsidRPr="006360E2" w:rsidR="006360E2">
            <w:t xml:space="preserve">aan dit </w:t>
          </w:r>
          <w:r w:rsidR="007C6577">
            <w:t>wets</w:t>
          </w:r>
          <w:r w:rsidRPr="006360E2" w:rsidR="006360E2">
            <w:t xml:space="preserve">voorstel ten grondslag ligt en op welke wijze het voorstel in een oplossing </w:t>
          </w:r>
          <w:r w:rsidR="719E7DAD">
            <w:t>voorziet</w:t>
          </w:r>
          <w:r w:rsidR="00882E4D">
            <w:t xml:space="preserve"> </w:t>
          </w:r>
          <w:r w:rsidRPr="006360E2" w:rsidR="006360E2">
            <w:t>voor het gestelde probleem.</w:t>
          </w:r>
          <w:r w:rsidR="00ED6C07">
            <w:t xml:space="preserve"> Dat e</w:t>
          </w:r>
          <w:r w:rsidR="00845026">
            <w:t>en</w:t>
          </w:r>
          <w:r w:rsidR="00010FAA">
            <w:t xml:space="preserve"> </w:t>
          </w:r>
          <w:r w:rsidRPr="00010FAA" w:rsidR="00010FAA">
            <w:t xml:space="preserve">verplichting voor verzekeraars </w:t>
          </w:r>
          <w:r w:rsidR="004115AF">
            <w:t>om zich te onderwerpen aan tuchtrecht</w:t>
          </w:r>
          <w:r w:rsidRPr="00010FAA" w:rsidR="00010FAA">
            <w:t xml:space="preserve"> </w:t>
          </w:r>
          <w:r w:rsidR="00ED6C07">
            <w:t>bijdraagt</w:t>
          </w:r>
          <w:r w:rsidR="00EA01BF">
            <w:t xml:space="preserve"> </w:t>
          </w:r>
          <w:r w:rsidR="00805CD6">
            <w:t xml:space="preserve">aan </w:t>
          </w:r>
          <w:r w:rsidR="00507FA0">
            <w:t xml:space="preserve">het </w:t>
          </w:r>
          <w:r w:rsidR="00805CD6">
            <w:t>vertrouwen</w:t>
          </w:r>
          <w:r w:rsidR="00C95979">
            <w:t xml:space="preserve"> van consumenten</w:t>
          </w:r>
          <w:r w:rsidR="00E33D24">
            <w:t xml:space="preserve"> </w:t>
          </w:r>
          <w:r w:rsidR="00ED6C07">
            <w:t xml:space="preserve">vloeit niet voort uit het onderzoek </w:t>
          </w:r>
          <w:r w:rsidR="00A84E22">
            <w:t>naar langlopende letselschade</w:t>
          </w:r>
          <w:r w:rsidR="00C51512">
            <w:t>afhandeling</w:t>
          </w:r>
          <w:r w:rsidR="00ED6C07">
            <w:t xml:space="preserve">. </w:t>
          </w:r>
          <w:r w:rsidR="00AE4153">
            <w:t xml:space="preserve">Daarbij is onduidelijk waarom </w:t>
          </w:r>
          <w:r w:rsidR="00D862E4">
            <w:t>ondanks</w:t>
          </w:r>
          <w:r w:rsidR="00AE4153">
            <w:t xml:space="preserve"> de constatering dat veel </w:t>
          </w:r>
          <w:r w:rsidR="0058632A">
            <w:t>prof</w:t>
          </w:r>
          <w:r w:rsidR="00492B37">
            <w:t>essionals</w:t>
          </w:r>
          <w:r w:rsidR="006F6E0E">
            <w:t xml:space="preserve"> </w:t>
          </w:r>
          <w:r w:rsidR="00B765E2">
            <w:t>bij letselschadezaken</w:t>
          </w:r>
          <w:r w:rsidR="00AE4153">
            <w:t xml:space="preserve"> reeds </w:t>
          </w:r>
          <w:r w:rsidRPr="00895F9B" w:rsidR="00895F9B">
            <w:t xml:space="preserve">binnen hun eigen beroepsgroep </w:t>
          </w:r>
          <w:r w:rsidR="00AE4153">
            <w:t xml:space="preserve">onder </w:t>
          </w:r>
          <w:r w:rsidR="00ED6678">
            <w:t xml:space="preserve">een vorm van </w:t>
          </w:r>
          <w:r w:rsidR="00AE4153">
            <w:t xml:space="preserve">tuchtrecht vallen, toch </w:t>
          </w:r>
          <w:r w:rsidRPr="00833545" w:rsidR="00AE4153">
            <w:t>versterking van de rol van het tuchtrecht</w:t>
          </w:r>
          <w:r w:rsidR="00AE4153">
            <w:t xml:space="preserve"> </w:t>
          </w:r>
          <w:r w:rsidR="00151409">
            <w:t>voor verzekeraars</w:t>
          </w:r>
          <w:r w:rsidR="00AE4153">
            <w:t xml:space="preserve"> nodig wordt geacht.</w:t>
          </w:r>
          <w:r w:rsidR="00AE4153">
            <w:rPr>
              <w:rStyle w:val="Voetnootmarkering"/>
            </w:rPr>
            <w:footnoteReference w:id="7"/>
          </w:r>
        </w:p>
        <w:p w:rsidR="00FD1ACF" w:rsidP="005D0F69" w:rsidRDefault="00FD1ACF" w14:paraId="76BE3422" w14:textId="77777777"/>
        <w:p w:rsidR="00EE54AA" w:rsidP="005D0F69" w:rsidRDefault="00ED6C07" w14:paraId="79D30FF9" w14:textId="5B9EB5F1">
          <w:r>
            <w:t>Bovendien ziet dit on</w:t>
          </w:r>
          <w:r w:rsidR="00AD7725">
            <w:t>d</w:t>
          </w:r>
          <w:r>
            <w:t>erzoek op de letselschadepraktijk</w:t>
          </w:r>
          <w:r w:rsidR="00EC6A8B">
            <w:t>. Deze praktijk kent een eigen, specifieke problematiek,</w:t>
          </w:r>
          <w:r>
            <w:t xml:space="preserve"> terwijl het </w:t>
          </w:r>
          <w:r w:rsidR="00EC6A8B">
            <w:t xml:space="preserve">voorstel voorziet in </w:t>
          </w:r>
          <w:r>
            <w:t>tuchtrecht</w:t>
          </w:r>
          <w:r w:rsidR="00EC6A8B">
            <w:t xml:space="preserve"> dat</w:t>
          </w:r>
          <w:r>
            <w:t xml:space="preserve"> voor alle verzekeraars gaat gelden. </w:t>
          </w:r>
          <w:r w:rsidR="007D3854">
            <w:t>Ook wijst de Afdeling er</w:t>
          </w:r>
          <w:r w:rsidR="007C6577">
            <w:t xml:space="preserve"> </w:t>
          </w:r>
          <w:r w:rsidR="007D3854">
            <w:t>op dat er</w:t>
          </w:r>
          <w:r w:rsidR="000126EE">
            <w:t xml:space="preserve"> </w:t>
          </w:r>
          <w:r w:rsidR="005F5D47">
            <w:t xml:space="preserve">al </w:t>
          </w:r>
          <w:proofErr w:type="spellStart"/>
          <w:r w:rsidRPr="005866C3" w:rsidR="005F5D47">
            <w:t>prudentiële</w:t>
          </w:r>
          <w:proofErr w:type="spellEnd"/>
          <w:r w:rsidRPr="005866C3" w:rsidR="005F5D47">
            <w:t xml:space="preserve"> </w:t>
          </w:r>
          <w:r w:rsidR="005F5D47">
            <w:t xml:space="preserve">regels en gedragsnormen </w:t>
          </w:r>
          <w:r w:rsidR="002840EA">
            <w:t xml:space="preserve">zijn </w:t>
          </w:r>
          <w:r w:rsidRPr="38785E12" w:rsidR="005F5D47">
            <w:t>om het belang van de consument beter te beschermen</w:t>
          </w:r>
          <w:r w:rsidR="005F5D47">
            <w:t>.</w:t>
          </w:r>
          <w:r w:rsidR="005F5D47">
            <w:rPr>
              <w:rStyle w:val="Voetnootmarkering"/>
            </w:rPr>
            <w:footnoteReference w:id="8"/>
          </w:r>
          <w:r w:rsidR="002A6609">
            <w:t xml:space="preserve"> </w:t>
          </w:r>
          <w:r>
            <w:t>D</w:t>
          </w:r>
          <w:r w:rsidR="00215E5A">
            <w:t>i</w:t>
          </w:r>
          <w:r>
            <w:t xml:space="preserve">t roept de vraag op </w:t>
          </w:r>
          <w:r w:rsidR="009E415D">
            <w:t>of</w:t>
          </w:r>
          <w:r w:rsidR="00BB6BCC">
            <w:t xml:space="preserve"> </w:t>
          </w:r>
          <w:r w:rsidR="00FA279D">
            <w:t xml:space="preserve">de voorgestelde </w:t>
          </w:r>
          <w:r w:rsidR="00BB6BCC">
            <w:t>invoering van</w:t>
          </w:r>
          <w:r w:rsidR="009E415D">
            <w:t xml:space="preserve"> een</w:t>
          </w:r>
          <w:r w:rsidR="00BB6BCC">
            <w:t xml:space="preserve"> wettelijk verplicht tuchtrecht </w:t>
          </w:r>
          <w:r w:rsidR="009E415D">
            <w:t xml:space="preserve">noodzakelijk en proportioneel </w:t>
          </w:r>
          <w:r w:rsidR="00FA279D">
            <w:t>is</w:t>
          </w:r>
          <w:r w:rsidR="001368C6">
            <w:t>.</w:t>
          </w:r>
        </w:p>
        <w:p w:rsidRPr="00797705" w:rsidR="005E0A9C" w:rsidRDefault="00D1035B" w14:paraId="70602074" w14:textId="5E9B4AEB">
          <w:pPr>
            <w:rPr>
              <w:i/>
            </w:rPr>
          </w:pPr>
          <w:r>
            <w:br w:type="page"/>
          </w:r>
          <w:r w:rsidR="00B412E9">
            <w:lastRenderedPageBreak/>
            <w:t>c.</w:t>
          </w:r>
          <w:r w:rsidR="00B412E9">
            <w:tab/>
          </w:r>
          <w:r w:rsidRPr="00797705" w:rsidR="00BB0078">
            <w:rPr>
              <w:i/>
            </w:rPr>
            <w:t>Vorm</w:t>
          </w:r>
        </w:p>
        <w:p w:rsidR="00414597" w:rsidP="00B01A2A" w:rsidRDefault="00B175E0" w14:paraId="787A2C5D" w14:textId="6927344B">
          <w:r>
            <w:t xml:space="preserve">Bij </w:t>
          </w:r>
          <w:r w:rsidR="00614A63">
            <w:t xml:space="preserve">bestaande </w:t>
          </w:r>
          <w:r>
            <w:t xml:space="preserve">regelingen van tuchtrecht </w:t>
          </w:r>
          <w:r w:rsidR="00614A63">
            <w:t xml:space="preserve">voor bijvoorbeeld </w:t>
          </w:r>
          <w:r w:rsidRPr="00DE41D6" w:rsidR="00614A63">
            <w:t>advocaten, notarissen</w:t>
          </w:r>
          <w:r w:rsidRPr="00DE41D6" w:rsidDel="00D00702" w:rsidR="00614A63">
            <w:t xml:space="preserve">, </w:t>
          </w:r>
          <w:r w:rsidR="00614A63">
            <w:t>accountants</w:t>
          </w:r>
          <w:r w:rsidRPr="00DE41D6" w:rsidR="00614A63">
            <w:t xml:space="preserve"> en artsen</w:t>
          </w:r>
          <w:r w:rsidR="00803173">
            <w:t>,</w:t>
          </w:r>
          <w:r w:rsidR="00614A63">
            <w:rPr>
              <w:rStyle w:val="Voetnootmarkering"/>
            </w:rPr>
            <w:footnoteReference w:id="9"/>
          </w:r>
          <w:r w:rsidR="00614A63">
            <w:t xml:space="preserve"> ziet de tuchtregeling op de desbetreffende </w:t>
          </w:r>
          <w:r w:rsidR="005D4949">
            <w:t xml:space="preserve">beroepsbeoefenaren, de natuurlijke personen zelf, en niet de </w:t>
          </w:r>
          <w:r w:rsidR="00F00836">
            <w:t>organisaties waartoe zij eventueel behoren</w:t>
          </w:r>
          <w:r w:rsidR="005D4949">
            <w:t xml:space="preserve">. </w:t>
          </w:r>
          <w:r w:rsidR="00F00836">
            <w:t xml:space="preserve">Ook bij </w:t>
          </w:r>
          <w:r w:rsidR="005F09F5">
            <w:t>het</w:t>
          </w:r>
          <w:r w:rsidR="00F00836">
            <w:t xml:space="preserve"> tuchtrecht dat ingevolge de </w:t>
          </w:r>
          <w:proofErr w:type="spellStart"/>
          <w:r w:rsidR="00F00836">
            <w:t>Wft</w:t>
          </w:r>
          <w:proofErr w:type="spellEnd"/>
          <w:r w:rsidR="00F00836">
            <w:t xml:space="preserve"> geldt bij banken is dat het geval</w:t>
          </w:r>
          <w:r w:rsidDel="007623D9" w:rsidR="00F00836">
            <w:t>.</w:t>
          </w:r>
          <w:r w:rsidR="00F00836">
            <w:rPr>
              <w:rStyle w:val="Voetnootmarkering"/>
            </w:rPr>
            <w:footnoteReference w:id="10"/>
          </w:r>
          <w:r w:rsidR="00F00836">
            <w:t xml:space="preserve"> </w:t>
          </w:r>
        </w:p>
        <w:p w:rsidR="00414597" w:rsidP="00B01A2A" w:rsidRDefault="00414597" w14:paraId="1284E0E2" w14:textId="77777777"/>
        <w:p w:rsidR="00641830" w:rsidP="00BB7D12" w:rsidRDefault="00D555EA" w14:paraId="20627845" w14:textId="2E8A0ED1">
          <w:r>
            <w:t>H</w:t>
          </w:r>
          <w:r w:rsidR="00B01A2A">
            <w:t xml:space="preserve">et </w:t>
          </w:r>
          <w:r w:rsidR="00BA28A8">
            <w:t xml:space="preserve">voorgestelde wettelijk </w:t>
          </w:r>
          <w:r w:rsidR="00B01A2A">
            <w:t xml:space="preserve">tuchtrecht voor verzekeraars </w:t>
          </w:r>
          <w:r>
            <w:t xml:space="preserve">is evenwel </w:t>
          </w:r>
          <w:r w:rsidR="00B01A2A">
            <w:t>niet gericht op individuele medewerkers</w:t>
          </w:r>
          <w:r>
            <w:t xml:space="preserve"> van de desbetreffende verzekeraars</w:t>
          </w:r>
          <w:r w:rsidR="00B01A2A">
            <w:t>, maar op de verzeker</w:t>
          </w:r>
          <w:r>
            <w:t>aars</w:t>
          </w:r>
          <w:r w:rsidR="0035614D">
            <w:t>.</w:t>
          </w:r>
          <w:r w:rsidR="0029323F">
            <w:t xml:space="preserve"> </w:t>
          </w:r>
          <w:r w:rsidR="00823A5C">
            <w:t>D</w:t>
          </w:r>
          <w:r w:rsidR="000D7EF8">
            <w:t xml:space="preserve">e Afdeling </w:t>
          </w:r>
          <w:r w:rsidR="00823A5C">
            <w:t xml:space="preserve">merkt op </w:t>
          </w:r>
          <w:r w:rsidR="000D7EF8">
            <w:t xml:space="preserve">dat </w:t>
          </w:r>
          <w:r w:rsidR="00DE0041">
            <w:t xml:space="preserve">de </w:t>
          </w:r>
          <w:r w:rsidR="00BE1AB1">
            <w:t xml:space="preserve">introductie van tuchtrecht bij organisaties in plaats van de in die organisaties werkzame personen </w:t>
          </w:r>
          <w:r w:rsidR="000D7EF8">
            <w:t>wezensvreemd</w:t>
          </w:r>
          <w:r w:rsidR="00DE0041">
            <w:t xml:space="preserve"> is aan de aard van tuchtrechtelijke regels</w:t>
          </w:r>
          <w:r w:rsidR="00BE1AB1">
            <w:t>.</w:t>
          </w:r>
          <w:r w:rsidR="00DE0041">
            <w:t xml:space="preserve"> Die zijn </w:t>
          </w:r>
          <w:r w:rsidR="002F07B8">
            <w:t xml:space="preserve">immers gericht op de </w:t>
          </w:r>
          <w:r w:rsidR="005422ED">
            <w:t>nakomin</w:t>
          </w:r>
          <w:r w:rsidR="002F07B8">
            <w:t xml:space="preserve">g </w:t>
          </w:r>
          <w:r w:rsidR="005422ED">
            <w:t xml:space="preserve">door beoefenaren van bepaalde beroepen van (vooraf) voor die beroepsgroep vastgestelde </w:t>
          </w:r>
          <w:r w:rsidR="00A93654">
            <w:t>gedragsnormen.</w:t>
          </w:r>
          <w:r w:rsidR="002B6344">
            <w:rPr>
              <w:rStyle w:val="Voetnootmarkering"/>
            </w:rPr>
            <w:footnoteReference w:id="11"/>
          </w:r>
          <w:r w:rsidR="00BE1AB1">
            <w:t xml:space="preserve"> </w:t>
          </w:r>
          <w:r w:rsidR="00CB59BB">
            <w:t xml:space="preserve">Voorts </w:t>
          </w:r>
          <w:r w:rsidR="007644CB">
            <w:t>is</w:t>
          </w:r>
          <w:r w:rsidDel="00CB59BB" w:rsidR="007644CB">
            <w:t xml:space="preserve"> </w:t>
          </w:r>
          <w:r w:rsidR="007644CB">
            <w:t xml:space="preserve">onduidelijk </w:t>
          </w:r>
          <w:r w:rsidR="00CB59BB">
            <w:t xml:space="preserve">hoe dit tuchtrecht zich verhoudt tot het </w:t>
          </w:r>
          <w:proofErr w:type="spellStart"/>
          <w:r w:rsidR="00CB59BB">
            <w:t>prudenti</w:t>
          </w:r>
          <w:r w:rsidR="00323081">
            <w:t>ee</w:t>
          </w:r>
          <w:r w:rsidR="00CB59BB">
            <w:t>l</w:t>
          </w:r>
          <w:proofErr w:type="spellEnd"/>
          <w:r w:rsidR="00323081">
            <w:t>-</w:t>
          </w:r>
          <w:r w:rsidR="00CB59BB">
            <w:t xml:space="preserve"> en het gedrag</w:t>
          </w:r>
          <w:r w:rsidR="00734207">
            <w:t>stoezi</w:t>
          </w:r>
          <w:r w:rsidR="00A93654">
            <w:t>c</w:t>
          </w:r>
          <w:r w:rsidR="00734207">
            <w:t xml:space="preserve">ht dat op grond van de </w:t>
          </w:r>
          <w:proofErr w:type="spellStart"/>
          <w:r w:rsidR="00734207">
            <w:t>Wft</w:t>
          </w:r>
          <w:proofErr w:type="spellEnd"/>
          <w:r w:rsidR="00734207">
            <w:t xml:space="preserve"> op verzekeraars wordt uitgeoefend.</w:t>
          </w:r>
          <w:r w:rsidR="0020799D">
            <w:t xml:space="preserve"> </w:t>
          </w:r>
          <w:r w:rsidRPr="00534FB2" w:rsidR="00534FB2">
            <w:t>Gelet hierop roept de vormgeving van wat ‘tuchtrecht’ wordt genoemd wezenlijke vragen op</w:t>
          </w:r>
          <w:r w:rsidR="00F37C95">
            <w:t xml:space="preserve">. </w:t>
          </w:r>
        </w:p>
        <w:p w:rsidR="008718E0" w:rsidP="005D0F69" w:rsidRDefault="008718E0" w14:paraId="533F0700" w14:textId="7C53EAAA"/>
        <w:p w:rsidRPr="00797705" w:rsidR="00F37C95" w:rsidP="005D0F69" w:rsidRDefault="00B412E9" w14:paraId="7295D9A4" w14:textId="41891716">
          <w:pPr>
            <w:rPr>
              <w:i/>
            </w:rPr>
          </w:pPr>
          <w:r>
            <w:t>d.</w:t>
          </w:r>
          <w:r>
            <w:tab/>
          </w:r>
          <w:r w:rsidR="00F37C95">
            <w:rPr>
              <w:i/>
              <w:iCs/>
            </w:rPr>
            <w:t>Conclusie</w:t>
          </w:r>
        </w:p>
        <w:p w:rsidR="007E3107" w:rsidP="005D0F69" w:rsidRDefault="004330A9" w14:paraId="7D14BF55" w14:textId="5FAC9862">
          <w:r>
            <w:t>Gelet op het voorgaande</w:t>
          </w:r>
          <w:r w:rsidRPr="001C0FE4" w:rsidR="001C0FE4">
            <w:t xml:space="preserve"> kunnen vraagtekens worden gezet </w:t>
          </w:r>
          <w:r w:rsidR="00A70853">
            <w:t xml:space="preserve">bij </w:t>
          </w:r>
          <w:r w:rsidR="00760DD8">
            <w:t xml:space="preserve">de </w:t>
          </w:r>
          <w:r w:rsidR="00AF2941">
            <w:t>noodzaak en proportionaliteit</w:t>
          </w:r>
          <w:r w:rsidR="00760DD8">
            <w:t xml:space="preserve"> v</w:t>
          </w:r>
          <w:r w:rsidRPr="001C0FE4" w:rsidR="001C0FE4">
            <w:t xml:space="preserve">an het onderhavige voorstel. </w:t>
          </w:r>
          <w:r w:rsidR="00174A8D">
            <w:t xml:space="preserve">Ook </w:t>
          </w:r>
          <w:r w:rsidR="00B50BB9">
            <w:t xml:space="preserve">de vorm van het voorgestelde tuchtrecht </w:t>
          </w:r>
          <w:r w:rsidR="00700587">
            <w:t xml:space="preserve">en de afwijking </w:t>
          </w:r>
          <w:r w:rsidR="00191B3A">
            <w:t xml:space="preserve">tot andere, bestaande tuchtrechtregelingen roepen vragen op. </w:t>
          </w:r>
          <w:r w:rsidRPr="004B3F85" w:rsidR="004B3F85">
            <w:t>In de huidige vorm is het voorstel derhalve nog niet rijp voor verdere behandeling</w:t>
          </w:r>
          <w:r w:rsidRPr="004E04F4" w:rsidR="004E04F4">
            <w:t>.</w:t>
          </w:r>
          <w:r w:rsidDel="00EE28B8" w:rsidR="006B7D81">
            <w:t xml:space="preserve"> </w:t>
          </w:r>
          <w:r w:rsidR="006B7D81">
            <w:t xml:space="preserve">De Afdeling adviseert </w:t>
          </w:r>
          <w:r w:rsidR="00CF03FA">
            <w:t xml:space="preserve">daarom </w:t>
          </w:r>
          <w:r w:rsidR="006B7D81">
            <w:t xml:space="preserve">dit onderdeel </w:t>
          </w:r>
          <w:r w:rsidR="00D83798">
            <w:t xml:space="preserve">te schrappen. </w:t>
          </w:r>
        </w:p>
        <w:p w:rsidR="007E3107" w:rsidP="005D0F69" w:rsidRDefault="007E3107" w14:paraId="0027625C" w14:textId="77777777"/>
        <w:p w:rsidR="007E3107" w:rsidP="005D0F69" w:rsidRDefault="007E3107" w14:paraId="22444B4D" w14:textId="4CA8F6E7">
          <w:r>
            <w:t xml:space="preserve">2. </w:t>
          </w:r>
          <w:r w:rsidR="00D617D4">
            <w:tab/>
          </w:r>
          <w:r w:rsidRPr="000619D2" w:rsidR="00D617D4">
            <w:rPr>
              <w:u w:val="single"/>
            </w:rPr>
            <w:t>Wijzigingen toezicht verzekeraars</w:t>
          </w:r>
        </w:p>
        <w:p w:rsidR="00D617D4" w:rsidP="005D0F69" w:rsidRDefault="00D617D4" w14:paraId="4C586AAD" w14:textId="77777777"/>
        <w:p w:rsidR="00D617D4" w:rsidP="005D0F69" w:rsidRDefault="00EE51BD" w14:paraId="55FB0F95" w14:textId="32028573">
          <w:r>
            <w:t xml:space="preserve">Het </w:t>
          </w:r>
          <w:r w:rsidR="00ED7B31">
            <w:t>wets</w:t>
          </w:r>
          <w:r>
            <w:t xml:space="preserve">voorstel brengt </w:t>
          </w:r>
          <w:r w:rsidR="00ED7B31">
            <w:t xml:space="preserve">verder </w:t>
          </w:r>
          <w:r w:rsidRPr="00EE51BD">
            <w:t xml:space="preserve">twee wijzigingen </w:t>
          </w:r>
          <w:r w:rsidR="00CF7FDB">
            <w:t>aan</w:t>
          </w:r>
          <w:r w:rsidRPr="00EE51BD">
            <w:t xml:space="preserve"> in het </w:t>
          </w:r>
          <w:proofErr w:type="spellStart"/>
          <w:r w:rsidRPr="00EE51BD">
            <w:t>prudentieel</w:t>
          </w:r>
          <w:proofErr w:type="spellEnd"/>
          <w:r w:rsidRPr="00EE51BD">
            <w:t xml:space="preserve"> </w:t>
          </w:r>
          <w:r w:rsidR="000E2C47">
            <w:t>toezicht</w:t>
          </w:r>
          <w:r w:rsidRPr="00EE51BD">
            <w:t xml:space="preserve"> voor verzekeraars </w:t>
          </w:r>
          <w:r w:rsidR="000C3CEB">
            <w:t>met zetel in Nederland</w:t>
          </w:r>
          <w:r w:rsidR="00A2486B">
            <w:t>:</w:t>
          </w:r>
        </w:p>
        <w:p w:rsidR="00A2486B" w:rsidP="006D5ED8" w:rsidRDefault="00E54549" w14:paraId="67F4E4A5" w14:textId="14DB74E9">
          <w:pPr>
            <w:pStyle w:val="Lijstalinea"/>
            <w:numPr>
              <w:ilvl w:val="0"/>
              <w:numId w:val="1"/>
            </w:numPr>
            <w:ind w:left="284" w:hanging="284"/>
          </w:pPr>
          <w:r>
            <w:t xml:space="preserve">DNB </w:t>
          </w:r>
          <w:r w:rsidR="00D00017">
            <w:t>moet</w:t>
          </w:r>
          <w:r>
            <w:t xml:space="preserve"> eerst</w:t>
          </w:r>
          <w:r w:rsidR="00A2486B">
            <w:t xml:space="preserve"> </w:t>
          </w:r>
          <w:r>
            <w:t>instemming verlenen alvorens</w:t>
          </w:r>
          <w:r w:rsidR="00A2486B">
            <w:t xml:space="preserve"> een </w:t>
          </w:r>
          <w:r w:rsidR="00394313">
            <w:t>verzekeraar</w:t>
          </w:r>
          <w:r w:rsidR="00A2486B">
            <w:t xml:space="preserve"> activa </w:t>
          </w:r>
          <w:r w:rsidR="00CF4D05">
            <w:t xml:space="preserve">middels een herverzekering </w:t>
          </w:r>
          <w:r w:rsidR="00D00017">
            <w:t xml:space="preserve">kan </w:t>
          </w:r>
          <w:r w:rsidR="00A2486B">
            <w:t>overdragen naar een derde land.</w:t>
          </w:r>
          <w:r w:rsidR="00B12B82">
            <w:rPr>
              <w:rStyle w:val="Voetnootmarkering"/>
            </w:rPr>
            <w:footnoteReference w:id="12"/>
          </w:r>
        </w:p>
        <w:p w:rsidR="00A2486B" w:rsidP="006D5ED8" w:rsidRDefault="007229E5" w14:paraId="0782616F" w14:textId="64789507">
          <w:pPr>
            <w:pStyle w:val="Lijstalinea"/>
            <w:numPr>
              <w:ilvl w:val="0"/>
              <w:numId w:val="1"/>
            </w:numPr>
            <w:ind w:left="284" w:hanging="284"/>
          </w:pPr>
          <w:r>
            <w:t>De verzekeraar moet</w:t>
          </w:r>
          <w:r w:rsidR="00A2486B">
            <w:t xml:space="preserve"> </w:t>
          </w:r>
          <w:r w:rsidR="00071B78">
            <w:t xml:space="preserve">eerst een verklaring van geen bezwaar van DNB </w:t>
          </w:r>
          <w:r w:rsidR="007B0EC7">
            <w:t>verkrijgen</w:t>
          </w:r>
          <w:r w:rsidR="008E0561">
            <w:t xml:space="preserve"> als </w:t>
          </w:r>
          <w:r w:rsidR="007B0EC7">
            <w:t>hij</w:t>
          </w:r>
          <w:r w:rsidR="008E0561">
            <w:t xml:space="preserve"> </w:t>
          </w:r>
          <w:r w:rsidRPr="008E0561" w:rsidR="008E0561">
            <w:t xml:space="preserve">zijn kapitaalstructuur </w:t>
          </w:r>
          <w:r w:rsidR="008E0561">
            <w:t>wil</w:t>
          </w:r>
          <w:r w:rsidRPr="008E0561" w:rsidR="008E0561">
            <w:t xml:space="preserve"> wijzigen door een verzoek </w:t>
          </w:r>
          <w:r w:rsidR="007B0EC7">
            <w:t xml:space="preserve">in te dienen </w:t>
          </w:r>
          <w:r w:rsidRPr="008E0561" w:rsidR="008E0561">
            <w:t>tot toelating tot de handel op een gereglementeerde markt van aandelen of andere effecten waaraan zeggenschap is verbonden</w:t>
          </w:r>
          <w:r w:rsidR="0048068E">
            <w:t>.</w:t>
          </w:r>
          <w:r w:rsidR="004F1395">
            <w:rPr>
              <w:rStyle w:val="Voetnootmarkering"/>
            </w:rPr>
            <w:footnoteReference w:id="13"/>
          </w:r>
        </w:p>
        <w:p w:rsidR="0048068E" w:rsidP="0048068E" w:rsidRDefault="0048068E" w14:paraId="705E3325" w14:textId="77777777"/>
        <w:p w:rsidR="000619D2" w:rsidP="0048068E" w:rsidRDefault="000619D2" w14:paraId="59E945EB" w14:textId="1B328D75">
          <w:r>
            <w:t xml:space="preserve">a. </w:t>
          </w:r>
          <w:r w:rsidR="0029574C">
            <w:tab/>
          </w:r>
          <w:r w:rsidRPr="00D446FE" w:rsidR="005A5BFC">
            <w:rPr>
              <w:i/>
              <w:szCs w:val="18"/>
            </w:rPr>
            <w:t>Instemming voor activa-intensieve herverzekering</w:t>
          </w:r>
        </w:p>
        <w:p w:rsidR="002C573F" w:rsidP="00096789" w:rsidRDefault="007A428C" w14:paraId="1F4C51A4" w14:textId="6E10AE4B">
          <w:r>
            <w:lastRenderedPageBreak/>
            <w:t>De</w:t>
          </w:r>
          <w:r w:rsidR="002C573F">
            <w:t xml:space="preserve"> toelichting </w:t>
          </w:r>
          <w:r>
            <w:t>signaleert</w:t>
          </w:r>
          <w:r w:rsidR="002C573F">
            <w:t xml:space="preserve"> een risico</w:t>
          </w:r>
          <w:r w:rsidRPr="006B60BC" w:rsidR="002C573F">
            <w:t xml:space="preserve"> in de praktijk </w:t>
          </w:r>
          <w:r w:rsidR="002C573F">
            <w:t xml:space="preserve">bij het </w:t>
          </w:r>
          <w:r w:rsidRPr="0009226D" w:rsidR="002C573F">
            <w:t xml:space="preserve">overdragen </w:t>
          </w:r>
          <w:r w:rsidR="002C573F">
            <w:t xml:space="preserve">van </w:t>
          </w:r>
          <w:r w:rsidRPr="0009226D" w:rsidR="002C573F">
            <w:t xml:space="preserve">activa naar een derde land </w:t>
          </w:r>
          <w:r w:rsidR="002C573F">
            <w:t>middels een</w:t>
          </w:r>
          <w:r w:rsidRPr="0009226D" w:rsidR="002C573F">
            <w:t xml:space="preserve"> activa-intensief herverzekeringscontract </w:t>
          </w:r>
          <w:r w:rsidR="006F144E">
            <w:t>voor het prudent person-beginsel van de verzekeraar</w:t>
          </w:r>
          <w:r w:rsidRPr="006B60BC" w:rsidR="002C573F">
            <w:t xml:space="preserve">. </w:t>
          </w:r>
          <w:r w:rsidRPr="00995477" w:rsidR="009408FF">
            <w:t xml:space="preserve">Op grond van dat beginsel </w:t>
          </w:r>
          <w:r w:rsidR="009408FF">
            <w:t>dient</w:t>
          </w:r>
          <w:r w:rsidRPr="00995477" w:rsidR="009408FF">
            <w:t xml:space="preserve"> een verzekeraar alleen </w:t>
          </w:r>
          <w:r w:rsidR="009408FF">
            <w:t xml:space="preserve">te </w:t>
          </w:r>
          <w:r w:rsidRPr="00995477" w:rsidR="009408FF">
            <w:t xml:space="preserve">beleggen in activa en instrumenten waarvan hij de risico's goed kan onderkennen, meten en beheersen, op een zodanige wijze dat de veiligheid, kwaliteit en liquiditeit en het rendement van de </w:t>
          </w:r>
          <w:r w:rsidR="009408FF">
            <w:t>beleggings</w:t>
          </w:r>
          <w:r w:rsidRPr="00995477" w:rsidR="009408FF">
            <w:t>portefeuille als geheel gewaarborgd zijn</w:t>
          </w:r>
          <w:r w:rsidR="002A5B19">
            <w:t>.</w:t>
          </w:r>
          <w:r w:rsidR="00534FBC">
            <w:rPr>
              <w:rStyle w:val="Voetnootmarkering"/>
            </w:rPr>
            <w:footnoteReference w:id="14"/>
          </w:r>
        </w:p>
        <w:p w:rsidR="00F5475C" w:rsidP="00096789" w:rsidRDefault="00F5475C" w14:paraId="3A1D0DE2" w14:textId="77777777"/>
        <w:p w:rsidR="00DF04B6" w:rsidP="00A9041C" w:rsidRDefault="008914BB" w14:paraId="3219A55E" w14:textId="43733A13">
          <w:r>
            <w:t>De Afdeling merkt op dat u</w:t>
          </w:r>
          <w:r w:rsidR="00761E84">
            <w:t xml:space="preserve">it </w:t>
          </w:r>
          <w:r w:rsidR="00D574CA">
            <w:t>de toel</w:t>
          </w:r>
          <w:r w:rsidR="007B7BB9">
            <w:t xml:space="preserve">ichting </w:t>
          </w:r>
          <w:r w:rsidR="00404964">
            <w:t xml:space="preserve">niet </w:t>
          </w:r>
          <w:r>
            <w:t xml:space="preserve">blijkt </w:t>
          </w:r>
          <w:r w:rsidR="00761E84">
            <w:t xml:space="preserve">waarom </w:t>
          </w:r>
          <w:r w:rsidR="00D41067">
            <w:t xml:space="preserve">een </w:t>
          </w:r>
          <w:r w:rsidR="00422DE0">
            <w:t xml:space="preserve">extra </w:t>
          </w:r>
          <w:r w:rsidR="4D755AA9">
            <w:t>instemmingsver</w:t>
          </w:r>
          <w:r w:rsidR="00761548">
            <w:t>eiste</w:t>
          </w:r>
          <w:r w:rsidR="00D41067">
            <w:t xml:space="preserve"> </w:t>
          </w:r>
          <w:r w:rsidR="00963285">
            <w:t>in Nederland</w:t>
          </w:r>
          <w:r w:rsidR="00D41067">
            <w:t xml:space="preserve"> </w:t>
          </w:r>
          <w:r w:rsidR="00312795">
            <w:t xml:space="preserve">nodig en </w:t>
          </w:r>
          <w:r w:rsidR="00D41067">
            <w:t>proportioneel</w:t>
          </w:r>
          <w:r w:rsidR="00422DE0">
            <w:t xml:space="preserve"> is</w:t>
          </w:r>
          <w:r w:rsidR="00761E84">
            <w:t>.</w:t>
          </w:r>
          <w:r w:rsidR="00963504">
            <w:t xml:space="preserve"> </w:t>
          </w:r>
          <w:r w:rsidR="002F1500">
            <w:t xml:space="preserve">Zo volgt uit de toelichting dat er </w:t>
          </w:r>
          <w:r w:rsidRPr="00FB5126" w:rsidR="002F1500">
            <w:rPr>
              <w:i/>
              <w:iCs/>
            </w:rPr>
            <w:t>geen</w:t>
          </w:r>
          <w:r w:rsidR="002F1500">
            <w:t xml:space="preserve"> risico is als een verzekeraar</w:t>
          </w:r>
          <w:r w:rsidRPr="00CE71B9" w:rsidR="002F1500">
            <w:t xml:space="preserve"> herverzekert naar een entiteit in een ander EU-land – waar </w:t>
          </w:r>
          <w:r w:rsidR="00592051">
            <w:t>het</w:t>
          </w:r>
          <w:r w:rsidRPr="00CE71B9" w:rsidR="00592051">
            <w:t xml:space="preserve"> </w:t>
          </w:r>
          <w:r w:rsidR="008B5B4F">
            <w:t>instemmingsvereiste</w:t>
          </w:r>
          <w:r w:rsidRPr="00CE71B9" w:rsidR="002F1500">
            <w:t xml:space="preserve"> niet geldt – en deze </w:t>
          </w:r>
          <w:r w:rsidR="00963504">
            <w:t>activa</w:t>
          </w:r>
          <w:r w:rsidRPr="00CE71B9" w:rsidR="002F1500">
            <w:t xml:space="preserve"> vervolgens aanhoudt in andere jurisdicties buiten de </w:t>
          </w:r>
          <w:r w:rsidRPr="003F5C98" w:rsidR="003F5C98">
            <w:t>Europese Economische Ruimte</w:t>
          </w:r>
          <w:r w:rsidR="002F1500">
            <w:t xml:space="preserve">, omdat in alle andere lidstaten </w:t>
          </w:r>
          <w:r w:rsidR="008B5B4F">
            <w:t xml:space="preserve">het prudent person-beginsel </w:t>
          </w:r>
          <w:r w:rsidR="00A62C7A">
            <w:t>geldt</w:t>
          </w:r>
          <w:r w:rsidR="008B5B4F">
            <w:t>.</w:t>
          </w:r>
          <w:r w:rsidR="006037E2">
            <w:rPr>
              <w:rStyle w:val="Voetnootmarkering"/>
            </w:rPr>
            <w:footnoteReference w:id="15"/>
          </w:r>
          <w:r w:rsidR="008B5B4F">
            <w:t xml:space="preserve"> </w:t>
          </w:r>
          <w:r w:rsidR="006D1355">
            <w:t xml:space="preserve">Daarnaast </w:t>
          </w:r>
          <w:r w:rsidR="00A9041C">
            <w:t xml:space="preserve">is </w:t>
          </w:r>
          <w:r w:rsidR="00A62C7A">
            <w:t>het</w:t>
          </w:r>
          <w:r w:rsidR="00A9041C">
            <w:t xml:space="preserve"> prudent</w:t>
          </w:r>
          <w:r w:rsidR="00A62C7A">
            <w:t xml:space="preserve"> </w:t>
          </w:r>
          <w:r w:rsidR="00A9041C">
            <w:t>person</w:t>
          </w:r>
          <w:r w:rsidR="00A62C7A">
            <w:t>-beginsel</w:t>
          </w:r>
          <w:r w:rsidR="00A9041C">
            <w:t xml:space="preserve"> </w:t>
          </w:r>
          <w:r w:rsidR="007F5761">
            <w:t>afhankelijk van meerdere (wisselende</w:t>
          </w:r>
          <w:r w:rsidR="00305294">
            <w:t>)</w:t>
          </w:r>
          <w:r w:rsidR="007F5761">
            <w:t xml:space="preserve"> factoren</w:t>
          </w:r>
          <w:r w:rsidR="00A9041C">
            <w:t xml:space="preserve">, </w:t>
          </w:r>
          <w:r w:rsidR="00A62C7A">
            <w:t xml:space="preserve">zoals </w:t>
          </w:r>
          <w:r w:rsidR="001602A2">
            <w:t xml:space="preserve">de </w:t>
          </w:r>
          <w:r w:rsidR="00A62C7A">
            <w:t xml:space="preserve">economische </w:t>
          </w:r>
          <w:r w:rsidR="002D7EF2">
            <w:t xml:space="preserve">situatie van dat moment en </w:t>
          </w:r>
          <w:r w:rsidR="009C40B6">
            <w:t>de gehele beleggingsportefeuille van de verzekeraar.</w:t>
          </w:r>
          <w:r w:rsidR="00A9041C">
            <w:t xml:space="preserve"> </w:t>
          </w:r>
          <w:r w:rsidR="00402D82">
            <w:t>Zonder nadere duiding in het voorstel</w:t>
          </w:r>
          <w:r w:rsidR="0005508C">
            <w:t xml:space="preserve"> </w:t>
          </w:r>
          <w:r w:rsidRPr="0005508C" w:rsidR="0005508C">
            <w:t>valt te verwachten dat zich in de praktijk geschillen voordoen</w:t>
          </w:r>
          <w:r w:rsidR="001758FA">
            <w:t>, over de uitleg van het prudent person-beginsel</w:t>
          </w:r>
          <w:r w:rsidR="00E41218">
            <w:t>. D</w:t>
          </w:r>
          <w:r w:rsidRPr="0005508C" w:rsidR="0005508C">
            <w:t xml:space="preserve">e invulling </w:t>
          </w:r>
          <w:r w:rsidR="00E41218">
            <w:t>van het prudent person-beginsel zal namelijk</w:t>
          </w:r>
          <w:r w:rsidR="00C92D52">
            <w:t xml:space="preserve"> </w:t>
          </w:r>
          <w:r w:rsidR="004519C7">
            <w:t>lastiger aan te tonen zijn bij</w:t>
          </w:r>
          <w:r w:rsidR="00FA7B90">
            <w:t xml:space="preserve"> </w:t>
          </w:r>
          <w:r w:rsidR="00F57FDB">
            <w:t>een</w:t>
          </w:r>
          <w:r w:rsidR="00FA7B90">
            <w:t xml:space="preserve"> specifieke </w:t>
          </w:r>
          <w:r w:rsidR="009044F0">
            <w:t>activa</w:t>
          </w:r>
          <w:r w:rsidR="00FA7B90">
            <w:t>post</w:t>
          </w:r>
          <w:r w:rsidR="00F57FDB">
            <w:t xml:space="preserve"> op een specifiek moment</w:t>
          </w:r>
          <w:r w:rsidRPr="0005508C" w:rsidR="0005508C">
            <w:t>.</w:t>
          </w:r>
        </w:p>
        <w:p w:rsidR="00916B22" w:rsidP="009F5910" w:rsidRDefault="00916B22" w14:paraId="62704D3B" w14:textId="77777777"/>
        <w:p w:rsidR="00916B22" w:rsidP="009F5910" w:rsidRDefault="00916B22" w14:paraId="78D69B77" w14:textId="670F5C58">
          <w:r>
            <w:t xml:space="preserve">b. </w:t>
          </w:r>
          <w:r>
            <w:tab/>
          </w:r>
          <w:r w:rsidR="00A05E11">
            <w:rPr>
              <w:i/>
              <w:iCs/>
            </w:rPr>
            <w:t>V</w:t>
          </w:r>
          <w:r w:rsidRPr="00375253" w:rsidR="00CD715C">
            <w:rPr>
              <w:i/>
              <w:iCs/>
            </w:rPr>
            <w:t>erklaring van geen bezwaar</w:t>
          </w:r>
          <w:r w:rsidR="00A05E11">
            <w:rPr>
              <w:i/>
              <w:iCs/>
            </w:rPr>
            <w:t xml:space="preserve"> voor beursgang</w:t>
          </w:r>
        </w:p>
        <w:p w:rsidR="00CD715C" w:rsidP="009F5910" w:rsidRDefault="00EC422C" w14:paraId="43278CA5" w14:textId="7E508368">
          <w:r>
            <w:t>Volgens de toelichting</w:t>
          </w:r>
          <w:r w:rsidR="00597CED">
            <w:t xml:space="preserve"> is </w:t>
          </w:r>
          <w:r w:rsidR="00F25527">
            <w:t xml:space="preserve">een extra stap bij een beursgang van een verzekeraar </w:t>
          </w:r>
          <w:r w:rsidR="00597CED">
            <w:t>nodig, omdat</w:t>
          </w:r>
          <w:r>
            <w:t xml:space="preserve"> </w:t>
          </w:r>
          <w:r w:rsidR="00597CED">
            <w:t>e</w:t>
          </w:r>
          <w:r w:rsidRPr="00EC422C">
            <w:t xml:space="preserve">en beursnotering van deelnemingsrechten een verhoogde druk </w:t>
          </w:r>
          <w:r w:rsidR="00353F9C">
            <w:t xml:space="preserve">legt </w:t>
          </w:r>
          <w:r w:rsidRPr="00EC422C">
            <w:t>op de verzekeraar in het algemeen</w:t>
          </w:r>
          <w:r w:rsidR="00353F9C">
            <w:t xml:space="preserve"> en </w:t>
          </w:r>
          <w:r w:rsidRPr="00353F9C" w:rsidR="00353F9C">
            <w:t xml:space="preserve">op de </w:t>
          </w:r>
          <w:r w:rsidRPr="00EC422C">
            <w:t xml:space="preserve">risicomanagementfunctie in het bijzonder. Ook kan bij een notering van een bepaalde omvang een externe invloed op de verzekeraar ontstaan die </w:t>
          </w:r>
          <w:r w:rsidR="00643DB4">
            <w:t>de</w:t>
          </w:r>
          <w:r w:rsidRPr="00EC422C">
            <w:t xml:space="preserve"> solvabiliteit</w:t>
          </w:r>
          <w:r w:rsidR="00643DB4">
            <w:t xml:space="preserve"> van de verzekeraar</w:t>
          </w:r>
          <w:r w:rsidRPr="00EC422C">
            <w:t xml:space="preserve"> negatief beïnvloedt</w:t>
          </w:r>
          <w:r w:rsidR="004123FB">
            <w:t>.</w:t>
          </w:r>
        </w:p>
        <w:p w:rsidR="003A3C15" w:rsidP="009F5910" w:rsidRDefault="003A3C15" w14:paraId="22A8E7E4" w14:textId="77777777"/>
        <w:p w:rsidR="003A3C15" w:rsidP="00610890" w:rsidRDefault="00D46C6C" w14:paraId="7FC71012" w14:textId="3687D2FB">
          <w:r>
            <w:t>In de huidige wetgeving is r</w:t>
          </w:r>
          <w:r w:rsidR="003A3C15">
            <w:t>eeds</w:t>
          </w:r>
          <w:r w:rsidRPr="003A3C15" w:rsidR="003A3C15">
            <w:t xml:space="preserve"> </w:t>
          </w:r>
          <w:r>
            <w:t>voorafgaande</w:t>
          </w:r>
          <w:r w:rsidRPr="003A3C15" w:rsidR="003A3C15">
            <w:t xml:space="preserve"> toestemming </w:t>
          </w:r>
          <w:r>
            <w:t xml:space="preserve">van DNB </w:t>
          </w:r>
          <w:r w:rsidRPr="003A3C15" w:rsidR="003A3C15">
            <w:t xml:space="preserve">vereist voordat een onderneming of een natuurlijk persoon een gekwalificeerde deelneming in een (andere) </w:t>
          </w:r>
          <w:r w:rsidR="00A37181">
            <w:t>verzekeraar</w:t>
          </w:r>
          <w:r w:rsidRPr="003A3C15" w:rsidR="003A3C15">
            <w:t xml:space="preserve"> mag verwerven (bijvoorbeeld via fusie of overname).</w:t>
          </w:r>
          <w:r w:rsidR="009F690E">
            <w:rPr>
              <w:rStyle w:val="Voetnootmarkering"/>
            </w:rPr>
            <w:footnoteReference w:id="16"/>
          </w:r>
          <w:r w:rsidRPr="003A3C15" w:rsidR="003A3C15">
            <w:t xml:space="preserve"> </w:t>
          </w:r>
          <w:r w:rsidR="0016267A">
            <w:t xml:space="preserve">Ook gelden voor de verzekeraar solvabiliteitsvereisten. </w:t>
          </w:r>
          <w:r w:rsidR="00610890">
            <w:t xml:space="preserve">En ziet de Afdeling het goed dan </w:t>
          </w:r>
          <w:r w:rsidR="00CF1FC5">
            <w:t>gelden bij een</w:t>
          </w:r>
          <w:r w:rsidR="00610890">
            <w:t xml:space="preserve"> beursnotering (aan een gereglementeerde markt) </w:t>
          </w:r>
          <w:r w:rsidR="00EA54AB">
            <w:t>reeds meerdere</w:t>
          </w:r>
          <w:r w:rsidR="00610890">
            <w:t xml:space="preserve"> regels, voorschriften en codes die met een beursnotering samenhangen. Hierbij kan, naast de prospectusplicht</w:t>
          </w:r>
          <w:r w:rsidR="008E7500">
            <w:t>,</w:t>
          </w:r>
          <w:r w:rsidR="00032DBC">
            <w:rPr>
              <w:rStyle w:val="Voetnootmarkering"/>
            </w:rPr>
            <w:footnoteReference w:id="17"/>
          </w:r>
          <w:r w:rsidR="00610890">
            <w:t xml:space="preserve"> onder andere worden </w:t>
          </w:r>
          <w:r w:rsidR="00610890">
            <w:lastRenderedPageBreak/>
            <w:t xml:space="preserve">gedacht aan de Corporate </w:t>
          </w:r>
          <w:proofErr w:type="spellStart"/>
          <w:r w:rsidR="00610890">
            <w:t>Governance</w:t>
          </w:r>
          <w:proofErr w:type="spellEnd"/>
          <w:r w:rsidR="00610890">
            <w:t xml:space="preserve"> Code, voorschriften omtrent verslaglegging en </w:t>
          </w:r>
          <w:r w:rsidR="00447C29">
            <w:t>informatievoorziening op grond van hoofdstuk 5.1</w:t>
          </w:r>
          <w:r w:rsidR="006B0E51">
            <w:t xml:space="preserve">a </w:t>
          </w:r>
          <w:proofErr w:type="spellStart"/>
          <w:r w:rsidR="006B0E51">
            <w:t>Wft</w:t>
          </w:r>
          <w:proofErr w:type="spellEnd"/>
          <w:r w:rsidR="00610890">
            <w:t>, het inhoudelijk toezicht op de jaar- en halfjaarverslaglegging via de Wet toezicht financiële verslaggeving</w:t>
          </w:r>
          <w:r w:rsidR="0037165E">
            <w:t xml:space="preserve"> en</w:t>
          </w:r>
          <w:r w:rsidR="00610890">
            <w:t xml:space="preserve"> meldingsregels voor aandeelhouders die een substantieel belang houden op grond van hoofdstuk 5.3 </w:t>
          </w:r>
          <w:proofErr w:type="spellStart"/>
          <w:r w:rsidR="00610890">
            <w:t>Wft</w:t>
          </w:r>
          <w:proofErr w:type="spellEnd"/>
          <w:r w:rsidR="00A37181">
            <w:t>.</w:t>
          </w:r>
        </w:p>
        <w:p w:rsidR="00EA54AB" w:rsidP="00610890" w:rsidRDefault="00EA54AB" w14:paraId="449E40ED" w14:textId="77777777"/>
        <w:p w:rsidR="005E4971" w:rsidP="009F5910" w:rsidRDefault="00EA54AB" w14:paraId="059473D1" w14:textId="75F7E312">
          <w:r>
            <w:t xml:space="preserve">De Afdeling merkt op dat </w:t>
          </w:r>
          <w:r w:rsidR="00CD7B2B">
            <w:t xml:space="preserve">de toelichting niet ingaat </w:t>
          </w:r>
          <w:r w:rsidR="00C054FB">
            <w:t xml:space="preserve">op de vraag waarom de huidige regels de genoemde risico’s </w:t>
          </w:r>
          <w:r w:rsidR="00334CBC">
            <w:t>onvoldoende</w:t>
          </w:r>
          <w:r w:rsidR="00C054FB">
            <w:t xml:space="preserve"> </w:t>
          </w:r>
          <w:r w:rsidR="00334CBC">
            <w:t>beheersen</w:t>
          </w:r>
          <w:r w:rsidR="00596146">
            <w:t>.</w:t>
          </w:r>
        </w:p>
        <w:p w:rsidR="005E4971" w:rsidP="009F5910" w:rsidRDefault="005E4971" w14:paraId="69221B83" w14:textId="77777777"/>
        <w:p w:rsidR="00CD715C" w:rsidP="009F5910" w:rsidRDefault="00CD715C" w14:paraId="11982A76" w14:textId="2A66A138">
          <w:r>
            <w:t xml:space="preserve">c. </w:t>
          </w:r>
          <w:r>
            <w:tab/>
          </w:r>
          <w:r w:rsidRPr="00375253">
            <w:rPr>
              <w:i/>
              <w:iCs/>
            </w:rPr>
            <w:t>Conclusie</w:t>
          </w:r>
        </w:p>
        <w:p w:rsidR="006D1FF6" w:rsidP="006D1FF6" w:rsidRDefault="004402A7" w14:paraId="0BAEDFBE" w14:textId="777437EC">
          <w:r>
            <w:t xml:space="preserve">De voorstellen tot verzwaring van het toezicht op verzekeraars </w:t>
          </w:r>
          <w:r w:rsidR="003A4E16">
            <w:t>kom</w:t>
          </w:r>
          <w:r w:rsidR="0044588F">
            <w:t>en</w:t>
          </w:r>
          <w:r w:rsidR="003A4E16">
            <w:t xml:space="preserve"> bovenop bestaande regels</w:t>
          </w:r>
          <w:r w:rsidR="00B37AFB">
            <w:t xml:space="preserve">, waarbij </w:t>
          </w:r>
          <w:r w:rsidR="004429C9">
            <w:t xml:space="preserve">de genoemde risico’s niet nieuw of anders </w:t>
          </w:r>
          <w:r w:rsidR="008C6B62">
            <w:t xml:space="preserve">lijken </w:t>
          </w:r>
          <w:r w:rsidR="004429C9">
            <w:t>te zijn</w:t>
          </w:r>
          <w:r w:rsidR="003A4E16">
            <w:t>. Onduidelijk blijft waarom</w:t>
          </w:r>
          <w:r w:rsidR="00B64E5E">
            <w:t xml:space="preserve"> de huidige regels niet volstaan</w:t>
          </w:r>
          <w:r w:rsidR="001F2009">
            <w:t>.</w:t>
          </w:r>
          <w:r w:rsidR="00E41F6B">
            <w:t xml:space="preserve"> </w:t>
          </w:r>
          <w:r w:rsidR="00FB36B5">
            <w:t xml:space="preserve">In dat licht is </w:t>
          </w:r>
          <w:r w:rsidR="00E41F6B">
            <w:t>d</w:t>
          </w:r>
          <w:r w:rsidR="00F072A9">
            <w:t xml:space="preserve">e </w:t>
          </w:r>
          <w:r w:rsidR="003F5C98">
            <w:t xml:space="preserve">toegevoegde waarde </w:t>
          </w:r>
          <w:r w:rsidR="004A7CC1">
            <w:t>van beide voorstellen o</w:t>
          </w:r>
          <w:r w:rsidR="002B3223">
            <w:t>nvoldoende gemotiveerd</w:t>
          </w:r>
          <w:r w:rsidR="006D1FF6">
            <w:t>.</w:t>
          </w:r>
        </w:p>
        <w:p w:rsidR="002C0F40" w:rsidP="002C0F40" w:rsidRDefault="002C0F40" w14:paraId="7A84DCFD" w14:textId="77777777"/>
        <w:p w:rsidR="00493744" w:rsidP="002C0F40" w:rsidRDefault="002C0F40" w14:paraId="01BD7B0C" w14:textId="40924934">
          <w:r>
            <w:t>De Afdeling adviseert in de toelichting nader op het voorgaande in te gaan en het wetsvoorstel aan te passen.</w:t>
          </w:r>
        </w:p>
        <w:p w:rsidR="00982D43" w:rsidP="002C0F40" w:rsidRDefault="00982D43" w14:paraId="2EFCAE39" w14:textId="77777777"/>
        <w:p w:rsidR="00982D43" w:rsidP="00982D43" w:rsidRDefault="00982D43" w14:paraId="171EC1B9" w14:textId="7A9D327A">
          <w:r>
            <w:t xml:space="preserve">3. </w:t>
          </w:r>
          <w:r>
            <w:tab/>
          </w:r>
          <w:r w:rsidR="00F240AD">
            <w:rPr>
              <w:u w:val="single"/>
            </w:rPr>
            <w:t>Europese ontwikkelingen</w:t>
          </w:r>
        </w:p>
        <w:p w:rsidR="00C5257B" w:rsidP="00982D43" w:rsidRDefault="00C5257B" w14:paraId="7542216F" w14:textId="77777777"/>
        <w:p w:rsidR="00982D43" w:rsidP="00982D43" w:rsidRDefault="00982D43" w14:paraId="11FAA509" w14:textId="59E0BBC3">
          <w:r>
            <w:t>D</w:t>
          </w:r>
          <w:r w:rsidRPr="00CB4B4E">
            <w:t xml:space="preserve">e meeste </w:t>
          </w:r>
          <w:r w:rsidR="00C5257B">
            <w:t>(</w:t>
          </w:r>
          <w:proofErr w:type="spellStart"/>
          <w:r w:rsidRPr="00CB4B4E">
            <w:t>prudentiële</w:t>
          </w:r>
          <w:proofErr w:type="spellEnd"/>
          <w:r w:rsidR="00C5257B">
            <w:t>)</w:t>
          </w:r>
          <w:r w:rsidRPr="00CB4B4E">
            <w:t xml:space="preserve"> regelgeving voor verzekeraars </w:t>
          </w:r>
          <w:r>
            <w:t>is</w:t>
          </w:r>
          <w:r w:rsidRPr="00CB4B4E">
            <w:t xml:space="preserve"> op Europees niveau bepaald.</w:t>
          </w:r>
          <w:r>
            <w:rPr>
              <w:rStyle w:val="Voetnootmarkering"/>
            </w:rPr>
            <w:footnoteReference w:id="18"/>
          </w:r>
          <w:r>
            <w:t xml:space="preserve"> O</w:t>
          </w:r>
          <w:r w:rsidRPr="00CB4B4E">
            <w:t xml:space="preserve">p 22 september 2021 </w:t>
          </w:r>
          <w:r>
            <w:t>is een voorstel gepubliceerd tot</w:t>
          </w:r>
          <w:r w:rsidRPr="00CB4B4E">
            <w:t xml:space="preserve"> herziening van </w:t>
          </w:r>
          <w:r w:rsidR="00A676C5">
            <w:t xml:space="preserve">deze regels </w:t>
          </w:r>
          <w:r>
            <w:t>door</w:t>
          </w:r>
          <w:r w:rsidRPr="00CB4B4E">
            <w:t xml:space="preserve"> de Europese Commissie.</w:t>
          </w:r>
          <w:r w:rsidR="00F65FA3">
            <w:rPr>
              <w:rStyle w:val="Voetnootmarkering"/>
            </w:rPr>
            <w:footnoteReference w:id="19"/>
          </w:r>
          <w:r>
            <w:t xml:space="preserve"> </w:t>
          </w:r>
          <w:r w:rsidRPr="00AF04AA">
            <w:t xml:space="preserve">Het voorstel wil het </w:t>
          </w:r>
          <w:proofErr w:type="spellStart"/>
          <w:r w:rsidRPr="00AF04AA">
            <w:t>prudentieel</w:t>
          </w:r>
          <w:proofErr w:type="spellEnd"/>
          <w:r w:rsidRPr="00AF04AA">
            <w:t xml:space="preserve"> kader voor de verzekeringssector op alomvattende manier herzien</w:t>
          </w:r>
          <w:r w:rsidRPr="0029115E">
            <w:t xml:space="preserve">, en gaat in op een breed scala van onderwerpen, </w:t>
          </w:r>
          <w:r w:rsidR="00552D04">
            <w:t>waaronder</w:t>
          </w:r>
          <w:r>
            <w:t xml:space="preserve"> </w:t>
          </w:r>
          <w:r w:rsidRPr="007471EF">
            <w:t>grensoverschrijdende</w:t>
          </w:r>
          <w:r>
            <w:t xml:space="preserve"> </w:t>
          </w:r>
          <w:r w:rsidRPr="007471EF">
            <w:t>verzekeringsactiviteiten</w:t>
          </w:r>
          <w:r>
            <w:t>.</w:t>
          </w:r>
        </w:p>
        <w:p w:rsidR="00982D43" w:rsidP="00982D43" w:rsidRDefault="00982D43" w14:paraId="579A010A" w14:textId="77777777"/>
        <w:p w:rsidR="00827B2E" w:rsidRDefault="006E26F3" w14:paraId="16C3DD3C" w14:textId="470F1C18">
          <w:r>
            <w:t>De</w:t>
          </w:r>
          <w:r w:rsidRPr="00BA7AEA">
            <w:t xml:space="preserve"> </w:t>
          </w:r>
          <w:r>
            <w:t xml:space="preserve">Afdeling merkt daarbij op dat de </w:t>
          </w:r>
          <w:r w:rsidRPr="00BA7AEA">
            <w:t>geschetste problematiek</w:t>
          </w:r>
          <w:r>
            <w:t xml:space="preserve"> van de voorstellen</w:t>
          </w:r>
          <w:r w:rsidRPr="00BA7AEA">
            <w:t xml:space="preserve"> </w:t>
          </w:r>
          <w:r>
            <w:t>in punt</w:t>
          </w:r>
          <w:r w:rsidR="007659FE">
            <w:t>en</w:t>
          </w:r>
          <w:r>
            <w:t xml:space="preserve"> 1 en 2 van dit advies </w:t>
          </w:r>
          <w:r w:rsidRPr="00BA7AEA">
            <w:t>niet specifiek Nederlands</w:t>
          </w:r>
          <w:r>
            <w:t xml:space="preserve"> lijken</w:t>
          </w:r>
          <w:r w:rsidRPr="00BA7AEA">
            <w:t xml:space="preserve"> te zijn</w:t>
          </w:r>
          <w:r w:rsidR="00580CB4">
            <w:t xml:space="preserve"> en grensoverschrijdende implicaties kunnen hebben</w:t>
          </w:r>
          <w:r>
            <w:t xml:space="preserve">. </w:t>
          </w:r>
          <w:r w:rsidR="00982D43">
            <w:t xml:space="preserve">Gelet op </w:t>
          </w:r>
          <w:r w:rsidR="00443FE5">
            <w:t>het</w:t>
          </w:r>
          <w:r w:rsidR="00982D43">
            <w:t xml:space="preserve"> </w:t>
          </w:r>
          <w:r w:rsidR="00987FB4">
            <w:t xml:space="preserve">voorstel van de Europese Commissie </w:t>
          </w:r>
          <w:r w:rsidR="00982D43">
            <w:t xml:space="preserve">is het onduidelijk of de voorgestelde maatregelen ook op </w:t>
          </w:r>
          <w:r w:rsidRPr="009F3AF3" w:rsidR="00982D43">
            <w:t xml:space="preserve">EU-niveau </w:t>
          </w:r>
          <w:r w:rsidR="00982D43">
            <w:t>zijn</w:t>
          </w:r>
          <w:r w:rsidRPr="009F3AF3" w:rsidR="00982D43">
            <w:t xml:space="preserve"> ingebracht</w:t>
          </w:r>
          <w:r w:rsidR="00445B49">
            <w:t xml:space="preserve"> bij de onderhandelingen</w:t>
          </w:r>
          <w:r w:rsidR="00982D43">
            <w:t>.</w:t>
          </w:r>
          <w:r w:rsidR="00982D43">
            <w:rPr>
              <w:rStyle w:val="Voetnootmarkering"/>
            </w:rPr>
            <w:footnoteReference w:id="20"/>
          </w:r>
          <w:r w:rsidR="00982D43">
            <w:t xml:space="preserve"> Het </w:t>
          </w:r>
          <w:r w:rsidRPr="001C4160" w:rsidR="00982D43">
            <w:t xml:space="preserve">ligt </w:t>
          </w:r>
          <w:r w:rsidR="00982D43">
            <w:t>in de rede dat in zo</w:t>
          </w:r>
          <w:r w:rsidR="001829CC">
            <w:t>’n</w:t>
          </w:r>
          <w:r w:rsidR="00982D43">
            <w:t xml:space="preserve"> geval</w:t>
          </w:r>
          <w:r w:rsidRPr="001C4160" w:rsidR="00982D43">
            <w:t xml:space="preserve"> </w:t>
          </w:r>
          <w:r w:rsidR="00982D43">
            <w:t>een</w:t>
          </w:r>
          <w:r w:rsidRPr="001C4160" w:rsidR="00982D43">
            <w:t xml:space="preserve"> lidsta</w:t>
          </w:r>
          <w:r w:rsidR="00982D43">
            <w:t>a</w:t>
          </w:r>
          <w:r w:rsidRPr="001C4160" w:rsidR="00982D43">
            <w:t>t, als nationale wetgever en feitelijk ‘medewetgever</w:t>
          </w:r>
          <w:r w:rsidR="00982D43">
            <w:t xml:space="preserve"> </w:t>
          </w:r>
          <w:r w:rsidRPr="001C4160" w:rsidR="00982D43">
            <w:t xml:space="preserve">van de Unie’, </w:t>
          </w:r>
          <w:r w:rsidRPr="00177A9B" w:rsidR="00982D43">
            <w:t xml:space="preserve">op het niveau van de Europese Unie </w:t>
          </w:r>
          <w:r w:rsidR="00982D43">
            <w:t>overleg voert</w:t>
          </w:r>
          <w:r w:rsidR="00307D16">
            <w:t xml:space="preserve"> </w:t>
          </w:r>
          <w:r w:rsidR="007F608A">
            <w:t xml:space="preserve">om </w:t>
          </w:r>
          <w:r w:rsidR="00307D16">
            <w:t xml:space="preserve">overlap of tegenstrijdige regelgeving </w:t>
          </w:r>
          <w:r w:rsidR="007F608A">
            <w:t xml:space="preserve">te </w:t>
          </w:r>
          <w:r w:rsidR="00307D16">
            <w:t>voorkomen</w:t>
          </w:r>
          <w:r w:rsidRPr="001C4160" w:rsidR="00982D43">
            <w:t>.</w:t>
          </w:r>
          <w:r w:rsidR="00CB6BB8">
            <w:t xml:space="preserve"> </w:t>
          </w:r>
          <w:r w:rsidR="00470412">
            <w:t>Hoe dan o</w:t>
          </w:r>
          <w:r w:rsidR="00CB6BB8">
            <w:t>ok dien</w:t>
          </w:r>
          <w:r w:rsidR="00E97D8B">
            <w:t>t bij</w:t>
          </w:r>
          <w:r w:rsidR="00CB6BB8">
            <w:t xml:space="preserve"> voorstellen </w:t>
          </w:r>
          <w:r w:rsidR="00F662B3">
            <w:t xml:space="preserve">op dit beleidsterrein </w:t>
          </w:r>
          <w:r w:rsidR="00CB6BB8">
            <w:t xml:space="preserve">zonder </w:t>
          </w:r>
          <w:r w:rsidR="00982D43">
            <w:t>Europese herkomst</w:t>
          </w:r>
          <w:r w:rsidR="00953582">
            <w:t xml:space="preserve"> </w:t>
          </w:r>
          <w:r w:rsidR="00F662B3">
            <w:t>te worden afgewogen of ze</w:t>
          </w:r>
          <w:r w:rsidR="00827B2E">
            <w:t xml:space="preserve"> in overeenstemming zijn met </w:t>
          </w:r>
          <w:r w:rsidR="00A63764">
            <w:t>de</w:t>
          </w:r>
          <w:r w:rsidR="00827B2E">
            <w:t xml:space="preserve"> </w:t>
          </w:r>
          <w:r w:rsidR="00150C80">
            <w:t>Unie</w:t>
          </w:r>
          <w:r w:rsidR="00827B2E">
            <w:t>recht</w:t>
          </w:r>
          <w:r w:rsidR="00A63764">
            <w:t xml:space="preserve">elijke beginselen van </w:t>
          </w:r>
          <w:r w:rsidR="00827B2E">
            <w:t>vrij verkeer</w:t>
          </w:r>
          <w:r w:rsidRPr="00212A6F" w:rsidR="00827B2E">
            <w:t>.</w:t>
          </w:r>
          <w:r w:rsidR="00272439">
            <w:t xml:space="preserve"> De toelichting geeft hier geen blijk van.</w:t>
          </w:r>
        </w:p>
        <w:p w:rsidR="00827B2E" w:rsidP="00827B2E" w:rsidRDefault="00827B2E" w14:paraId="730B0F2D" w14:textId="77777777"/>
        <w:p w:rsidR="00713F59" w:rsidP="005D0F69" w:rsidRDefault="00B152E9" w14:paraId="191511AB" w14:textId="3331AAEF">
          <w:r>
            <w:t>De Afdeling adviseert in de toelichting nader op het voorgaande in te gaan en zo nodig het wetsvoorstel aan te passen.</w:t>
          </w:r>
          <w:r w:rsidR="00BA298C">
            <w:t xml:space="preserve"> </w:t>
          </w:r>
        </w:p>
      </w:sdtContent>
    </w:sdt>
    <w:p w:rsidR="007243BD" w:rsidP="005D0F69" w:rsidRDefault="007243BD" w14:paraId="078F00C5" w14:textId="57743C35"/>
    <w:sdt>
      <w:sdtPr>
        <w:tag w:val="bmDictum"/>
        <w:id w:val="-2110418840"/>
        <w:lock w:val="sdtLocked"/>
        <w:placeholder>
          <w:docPart w:val="DefaultPlaceholder_-1854013440"/>
        </w:placeholder>
      </w:sdtPr>
      <w:sdtEndPr/>
      <w:sdtContent>
        <w:p w:rsidR="007243BD" w:rsidP="005D0F69" w:rsidRDefault="005F361E" w14:paraId="2136ABED" w14:textId="5D41563E">
          <w:r>
            <w:t>De Afdeling advisering van de Raad van State heeft een aantal bezwaren bij het voorstel en adviseert het voorstel niet bij de Tweede Kamer der Staten-Generaal in te dienen, tenzij het is aangepast.</w:t>
          </w:r>
          <w:r>
            <w:br/>
          </w:r>
          <w:r>
            <w:br/>
          </w:r>
          <w:r>
            <w:br/>
          </w:r>
          <w:r>
            <w:br/>
          </w:r>
          <w:r>
            <w:br/>
          </w:r>
          <w:r>
            <w:br/>
            <w:t>De vice-president van de Raad van State,</w:t>
          </w:r>
        </w:p>
      </w:sdtContent>
    </w:sdt>
    <w:sectPr w:rsidR="007243BD" w:rsidSect="006D5ED8">
      <w:headerReference w:type="default" r:id="rId7"/>
      <w:footerReference w:type="default" r:id="rId8"/>
      <w:headerReference w:type="first" r:id="rId9"/>
      <w:footerReference w:type="first" r:id="rId10"/>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BC3C9" w14:textId="77777777" w:rsidR="009F0FAB" w:rsidRDefault="009F0FAB">
      <w:r>
        <w:separator/>
      </w:r>
    </w:p>
  </w:endnote>
  <w:endnote w:type="continuationSeparator" w:id="0">
    <w:p w14:paraId="4EC0211B" w14:textId="77777777" w:rsidR="009F0FAB" w:rsidRDefault="009F0FAB">
      <w:r>
        <w:continuationSeparator/>
      </w:r>
    </w:p>
  </w:endnote>
  <w:endnote w:type="continuationNotice" w:id="1">
    <w:p w14:paraId="3F276FD0" w14:textId="77777777" w:rsidR="009F0FAB" w:rsidRDefault="009F0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4045F5" w14:paraId="191511B3" w14:textId="77777777" w:rsidTr="00713F59">
      <w:tc>
        <w:tcPr>
          <w:tcW w:w="4815" w:type="dxa"/>
        </w:tcPr>
        <w:p w14:paraId="191511B1" w14:textId="77777777" w:rsidR="00713F59" w:rsidRDefault="00713F59" w:rsidP="00713F59">
          <w:pPr>
            <w:pStyle w:val="Voettekst"/>
          </w:pPr>
        </w:p>
      </w:tc>
      <w:tc>
        <w:tcPr>
          <w:tcW w:w="4247" w:type="dxa"/>
        </w:tcPr>
        <w:p w14:paraId="191511B2" w14:textId="77777777" w:rsidR="00713F59" w:rsidRDefault="00713F59" w:rsidP="00713F59">
          <w:pPr>
            <w:pStyle w:val="Voettekst"/>
            <w:jc w:val="right"/>
          </w:pPr>
        </w:p>
      </w:tc>
    </w:tr>
  </w:tbl>
  <w:p w14:paraId="191511B4" w14:textId="77777777" w:rsidR="00713F59" w:rsidRDefault="00713F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39D3" w14:textId="1D30B12C" w:rsidR="006D5ED8" w:rsidRPr="006D5ED8" w:rsidRDefault="006D5ED8">
    <w:pPr>
      <w:pStyle w:val="Voettekst"/>
      <w:rPr>
        <w:rFonts w:ascii="Bembo" w:hAnsi="Bembo"/>
        <w:sz w:val="32"/>
      </w:rPr>
    </w:pPr>
    <w:r w:rsidRPr="006D5ED8">
      <w:rPr>
        <w:rFonts w:ascii="Bembo" w:hAnsi="Bembo"/>
        <w:sz w:val="32"/>
      </w:rPr>
      <w:t>AAN DE KONING</w:t>
    </w:r>
  </w:p>
  <w:p w14:paraId="07DBE1DC" w14:textId="77777777" w:rsidR="006D5ED8" w:rsidRDefault="006D5E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14A14" w14:textId="77777777" w:rsidR="009F0FAB" w:rsidRDefault="009F0FAB">
      <w:r>
        <w:separator/>
      </w:r>
    </w:p>
  </w:footnote>
  <w:footnote w:type="continuationSeparator" w:id="0">
    <w:p w14:paraId="322F26A9" w14:textId="77777777" w:rsidR="009F0FAB" w:rsidRDefault="009F0FAB">
      <w:r>
        <w:continuationSeparator/>
      </w:r>
    </w:p>
  </w:footnote>
  <w:footnote w:type="continuationNotice" w:id="1">
    <w:p w14:paraId="33981441" w14:textId="77777777" w:rsidR="009F0FAB" w:rsidRDefault="009F0FAB"/>
  </w:footnote>
  <w:footnote w:id="2">
    <w:p w14:paraId="558FB568" w14:textId="40AD2667" w:rsidR="003770EC" w:rsidRDefault="003770EC">
      <w:pPr>
        <w:pStyle w:val="Voetnoottekst"/>
      </w:pPr>
      <w:r>
        <w:rPr>
          <w:rStyle w:val="Voetnootmarkering"/>
        </w:rPr>
        <w:footnoteRef/>
      </w:r>
      <w:r>
        <w:t xml:space="preserve"> </w:t>
      </w:r>
      <w:r w:rsidR="00BF5D07">
        <w:t xml:space="preserve">Artikel I, </w:t>
      </w:r>
      <w:r w:rsidR="00C62BD9">
        <w:t>onderdeel P (</w:t>
      </w:r>
      <w:r w:rsidRPr="008250BA">
        <w:t>artikel 3:17d</w:t>
      </w:r>
      <w:r>
        <w:t xml:space="preserve"> </w:t>
      </w:r>
      <w:proofErr w:type="spellStart"/>
      <w:r>
        <w:t>Wft</w:t>
      </w:r>
      <w:proofErr w:type="spellEnd"/>
      <w:r w:rsidR="00C62BD9">
        <w:t>).</w:t>
      </w:r>
    </w:p>
  </w:footnote>
  <w:footnote w:id="3">
    <w:p w14:paraId="2E9DDC1F" w14:textId="36CBE3E0" w:rsidR="00943975" w:rsidRPr="00797705" w:rsidRDefault="00943975" w:rsidP="00943975">
      <w:pPr>
        <w:pStyle w:val="Voetnoottekst"/>
      </w:pPr>
      <w:r>
        <w:rPr>
          <w:rStyle w:val="Voetnootmarkering"/>
        </w:rPr>
        <w:footnoteRef/>
      </w:r>
      <w:r w:rsidRPr="00797705">
        <w:t xml:space="preserve"> M</w:t>
      </w:r>
      <w:r w:rsidR="00634AB6" w:rsidRPr="00797705">
        <w:t xml:space="preserve">emorie </w:t>
      </w:r>
      <w:r w:rsidRPr="00797705">
        <w:t>v</w:t>
      </w:r>
      <w:r w:rsidR="00634AB6" w:rsidRPr="00797705">
        <w:t xml:space="preserve">an </w:t>
      </w:r>
      <w:r w:rsidRPr="00797705">
        <w:t>T</w:t>
      </w:r>
      <w:r w:rsidR="00634AB6" w:rsidRPr="00797705">
        <w:t>oelichting</w:t>
      </w:r>
      <w:r w:rsidRPr="00797705">
        <w:t xml:space="preserve">, paragraaf </w:t>
      </w:r>
      <w:r w:rsidR="004A40ED" w:rsidRPr="00797705">
        <w:t>2</w:t>
      </w:r>
      <w:r w:rsidRPr="00797705">
        <w:t>.</w:t>
      </w:r>
    </w:p>
  </w:footnote>
  <w:footnote w:id="4">
    <w:p w14:paraId="18D2BB7D" w14:textId="77777777" w:rsidR="005252A6" w:rsidRPr="00132077" w:rsidRDefault="005252A6" w:rsidP="005252A6">
      <w:pPr>
        <w:pStyle w:val="Voetnoottekst"/>
      </w:pPr>
      <w:r>
        <w:rPr>
          <w:rStyle w:val="Voetnootmarkering"/>
        </w:rPr>
        <w:footnoteRef/>
      </w:r>
      <w:r w:rsidRPr="00797705">
        <w:t xml:space="preserve"> Utrecht Centre </w:t>
      </w:r>
      <w:proofErr w:type="spellStart"/>
      <w:r w:rsidRPr="00797705">
        <w:t>for</w:t>
      </w:r>
      <w:proofErr w:type="spellEnd"/>
      <w:r w:rsidRPr="00797705">
        <w:t xml:space="preserve"> Accountability </w:t>
      </w:r>
      <w:proofErr w:type="spellStart"/>
      <w:r w:rsidRPr="00797705">
        <w:t>and</w:t>
      </w:r>
      <w:proofErr w:type="spellEnd"/>
      <w:r w:rsidRPr="00797705">
        <w:t xml:space="preserve"> </w:t>
      </w:r>
      <w:proofErr w:type="spellStart"/>
      <w:r w:rsidRPr="00797705">
        <w:t>Liability</w:t>
      </w:r>
      <w:proofErr w:type="spellEnd"/>
      <w:r w:rsidRPr="00797705">
        <w:t xml:space="preserve"> </w:t>
      </w:r>
      <w:proofErr w:type="spellStart"/>
      <w:r w:rsidRPr="00797705">
        <w:t>Law</w:t>
      </w:r>
      <w:proofErr w:type="spellEnd"/>
      <w:r w:rsidRPr="00797705">
        <w:t xml:space="preserve">, ‘Langlopende Letselschadezaken. </w:t>
      </w:r>
      <w:r w:rsidRPr="00132077">
        <w:t>Een empirisch-juridisch onderzoek naar kenmerken van letselschadezaken die niet binnen twee jaar zijn afgesloten’, 10 juli 2020</w:t>
      </w:r>
      <w:r>
        <w:t xml:space="preserve">. </w:t>
      </w:r>
    </w:p>
  </w:footnote>
  <w:footnote w:id="5">
    <w:p w14:paraId="676F6CF2" w14:textId="75D471AA" w:rsidR="005252A6" w:rsidRDefault="005252A6" w:rsidP="005252A6">
      <w:pPr>
        <w:pStyle w:val="Voetnoottekst"/>
      </w:pPr>
      <w:r>
        <w:rPr>
          <w:rStyle w:val="Voetnootmarkering"/>
        </w:rPr>
        <w:footnoteRef/>
      </w:r>
      <w:r>
        <w:t xml:space="preserve"> </w:t>
      </w:r>
      <w:r w:rsidR="000706FE">
        <w:t>Zie de motie van het lid Kuiken c.s. (Kamerstukken II 2020/21, 33552, nr. 77) met het verzoek aan de regering te zorgen voor wettelijk verankerd non-hiërarchisch tuchtrecht en een tuchtraad voor alle professionals betrokken bij het afhandelen van letselschadezaken</w:t>
      </w:r>
      <w:r>
        <w:t>.</w:t>
      </w:r>
      <w:r w:rsidR="00897FB2">
        <w:t xml:space="preserve"> </w:t>
      </w:r>
      <w:r w:rsidR="00897FB2" w:rsidRPr="00897FB2">
        <w:t xml:space="preserve">Bij letselschadezaken zijn onder meer verzekeraars, </w:t>
      </w:r>
      <w:r w:rsidR="001E6238">
        <w:t>advocaten</w:t>
      </w:r>
      <w:r w:rsidR="00897FB2" w:rsidRPr="00897FB2">
        <w:t>, medisch adviseurs, medische experts (artsen), arbeidsdeskundigen en ergotherapeuten betrokken.</w:t>
      </w:r>
    </w:p>
  </w:footnote>
  <w:footnote w:id="6">
    <w:p w14:paraId="6941EC2C" w14:textId="463EA48D" w:rsidR="00E637B1" w:rsidRDefault="00E637B1">
      <w:pPr>
        <w:pStyle w:val="Voetnoottekst"/>
      </w:pPr>
      <w:r>
        <w:rPr>
          <w:rStyle w:val="Voetnootmarkering"/>
        </w:rPr>
        <w:footnoteRef/>
      </w:r>
      <w:r>
        <w:t xml:space="preserve"> </w:t>
      </w:r>
      <w:r w:rsidRPr="00E637B1">
        <w:t>https://www.verzekeraars.nl/over-het-verbond/lid-worden</w:t>
      </w:r>
    </w:p>
  </w:footnote>
  <w:footnote w:id="7">
    <w:p w14:paraId="71817025" w14:textId="77777777" w:rsidR="00AE4153" w:rsidRDefault="00AE4153" w:rsidP="00AE4153">
      <w:pPr>
        <w:pStyle w:val="Voetnoottekst"/>
      </w:pPr>
      <w:r>
        <w:rPr>
          <w:rStyle w:val="Voetnootmarkering"/>
        </w:rPr>
        <w:footnoteRef/>
      </w:r>
      <w:r>
        <w:t xml:space="preserve"> </w:t>
      </w:r>
      <w:r w:rsidRPr="006B5DAA">
        <w:t xml:space="preserve">Zie Kamerstukken II 2020/21, 33552, nr. </w:t>
      </w:r>
      <w:r>
        <w:t>82 en</w:t>
      </w:r>
      <w:r w:rsidRPr="006B5DAA">
        <w:t xml:space="preserve"> 84</w:t>
      </w:r>
      <w:r>
        <w:t>.</w:t>
      </w:r>
    </w:p>
  </w:footnote>
  <w:footnote w:id="8">
    <w:p w14:paraId="6E60A58C" w14:textId="77777777" w:rsidR="005F5D47" w:rsidRDefault="005F5D47" w:rsidP="005F5D47">
      <w:pPr>
        <w:pStyle w:val="Voetnoottekst"/>
      </w:pPr>
      <w:r>
        <w:rPr>
          <w:rStyle w:val="Voetnootmarkering"/>
        </w:rPr>
        <w:footnoteRef/>
      </w:r>
      <w:r>
        <w:t xml:space="preserve"> Bijvoorbeeld een verzekeraar dient een adequaat beleid te hebben ten behoeve van integere bedrijfsuitoefening en ook te voorzien in klachtrecht met verplichte aansluiting bij het </w:t>
      </w:r>
      <w:r w:rsidRPr="00291328">
        <w:t>Klachteninstituut Financiële Dienstverlening</w:t>
      </w:r>
      <w:r>
        <w:t xml:space="preserve"> (artikelen 3:10 en 4:17 </w:t>
      </w:r>
      <w:proofErr w:type="spellStart"/>
      <w:r>
        <w:t>Wft</w:t>
      </w:r>
      <w:proofErr w:type="spellEnd"/>
      <w:r>
        <w:t>).</w:t>
      </w:r>
    </w:p>
  </w:footnote>
  <w:footnote w:id="9">
    <w:p w14:paraId="22F87D75" w14:textId="4C719F48" w:rsidR="00614A63" w:rsidRDefault="00614A63" w:rsidP="00614A63">
      <w:pPr>
        <w:pStyle w:val="Voetnoottekst"/>
      </w:pPr>
      <w:r>
        <w:rPr>
          <w:rStyle w:val="Voetnootmarkering"/>
        </w:rPr>
        <w:footnoteRef/>
      </w:r>
      <w:r>
        <w:t xml:space="preserve"> </w:t>
      </w:r>
      <w:r w:rsidR="00466770">
        <w:t xml:space="preserve">Artikel 46 Advocatenwet, artikel </w:t>
      </w:r>
      <w:r w:rsidR="00335FFF">
        <w:t xml:space="preserve">93 Wet </w:t>
      </w:r>
      <w:r w:rsidR="007E5FA3">
        <w:t xml:space="preserve">op het notarisambt, artikel </w:t>
      </w:r>
      <w:r w:rsidR="00D00702" w:rsidRPr="00D00702">
        <w:t>42 van de Wet op het accountantsberoep</w:t>
      </w:r>
      <w:r w:rsidR="001A72F7">
        <w:t xml:space="preserve">, artikel 47 </w:t>
      </w:r>
      <w:r w:rsidR="001A72F7" w:rsidRPr="001A72F7">
        <w:t>Wet op de beroepen in de individuele gezondheidszorg</w:t>
      </w:r>
      <w:r w:rsidR="001A72F7">
        <w:t>.</w:t>
      </w:r>
    </w:p>
  </w:footnote>
  <w:footnote w:id="10">
    <w:p w14:paraId="1645DD97" w14:textId="77777777" w:rsidR="00F00836" w:rsidRDefault="00F00836" w:rsidP="00F00836">
      <w:pPr>
        <w:pStyle w:val="Voetnoottekst"/>
      </w:pPr>
      <w:r>
        <w:rPr>
          <w:rStyle w:val="Voetnootmarkering"/>
        </w:rPr>
        <w:footnoteRef/>
      </w:r>
      <w:r>
        <w:t xml:space="preserve"> Artikel 3:17c </w:t>
      </w:r>
      <w:proofErr w:type="spellStart"/>
      <w:r>
        <w:t>Wft</w:t>
      </w:r>
      <w:proofErr w:type="spellEnd"/>
      <w:r>
        <w:t>.</w:t>
      </w:r>
    </w:p>
  </w:footnote>
  <w:footnote w:id="11">
    <w:p w14:paraId="05B51B7E" w14:textId="462B4AF5" w:rsidR="002B6344" w:rsidRDefault="002B6344">
      <w:pPr>
        <w:pStyle w:val="Voetnoottekst"/>
      </w:pPr>
      <w:r>
        <w:rPr>
          <w:rStyle w:val="Voetnootmarkering"/>
        </w:rPr>
        <w:footnoteRef/>
      </w:r>
      <w:r>
        <w:t xml:space="preserve"> </w:t>
      </w:r>
      <w:r w:rsidRPr="002B6344">
        <w:t>Zie ook het advies van de Afdeling advisering van de Raad van State van 5 juni 2014, Kamerstukken II 2013/14, 33918, nr. 11. De Afdeling wees op wettelijk geregeld tuchtrecht. Een delegatiegrondslag als in onderhavig voorstel is dan ook ongepast.</w:t>
      </w:r>
    </w:p>
  </w:footnote>
  <w:footnote w:id="12">
    <w:p w14:paraId="3F73BC38" w14:textId="3D1FFEA3" w:rsidR="00B12B82" w:rsidRDefault="00B12B82">
      <w:pPr>
        <w:pStyle w:val="Voetnoottekst"/>
      </w:pPr>
      <w:r>
        <w:rPr>
          <w:rStyle w:val="Voetnootmarkering"/>
        </w:rPr>
        <w:footnoteRef/>
      </w:r>
      <w:r>
        <w:t xml:space="preserve"> </w:t>
      </w:r>
      <w:r w:rsidR="00193D02">
        <w:t>Artikel I, onderdeel T (</w:t>
      </w:r>
      <w:r w:rsidR="00805950">
        <w:t>artikel 3:267e</w:t>
      </w:r>
      <w:r w:rsidR="00CF4D05">
        <w:t xml:space="preserve"> </w:t>
      </w:r>
      <w:proofErr w:type="spellStart"/>
      <w:r w:rsidR="00805950">
        <w:t>Wft</w:t>
      </w:r>
      <w:proofErr w:type="spellEnd"/>
      <w:r w:rsidR="00805950">
        <w:t>).</w:t>
      </w:r>
    </w:p>
  </w:footnote>
  <w:footnote w:id="13">
    <w:p w14:paraId="16FD1D8B" w14:textId="1650554F" w:rsidR="004F1395" w:rsidRDefault="004F1395">
      <w:pPr>
        <w:pStyle w:val="Voetnoottekst"/>
      </w:pPr>
      <w:r>
        <w:rPr>
          <w:rStyle w:val="Voetnootmarkering"/>
        </w:rPr>
        <w:footnoteRef/>
      </w:r>
      <w:r>
        <w:t xml:space="preserve"> </w:t>
      </w:r>
      <w:r w:rsidR="00C84EA3">
        <w:t xml:space="preserve">Artikel I, onderdeel </w:t>
      </w:r>
      <w:r w:rsidR="00106875">
        <w:t xml:space="preserve">R (artikel 3:97, onderdeel b </w:t>
      </w:r>
      <w:proofErr w:type="spellStart"/>
      <w:r w:rsidR="00106875">
        <w:t>Wft</w:t>
      </w:r>
      <w:proofErr w:type="spellEnd"/>
      <w:r w:rsidR="006D2FAB">
        <w:t>)</w:t>
      </w:r>
      <w:r w:rsidR="00106875">
        <w:t>.</w:t>
      </w:r>
    </w:p>
  </w:footnote>
  <w:footnote w:id="14">
    <w:p w14:paraId="1E036D76" w14:textId="460FE02B" w:rsidR="00534FBC" w:rsidRDefault="00534FBC" w:rsidP="00534FBC">
      <w:pPr>
        <w:pStyle w:val="Voetnoottekst"/>
      </w:pPr>
      <w:r>
        <w:rPr>
          <w:rStyle w:val="Voetnootmarkering"/>
        </w:rPr>
        <w:footnoteRef/>
      </w:r>
      <w:r>
        <w:t xml:space="preserve"> Artikel 132 Richtlijn 2009/138/EG van het Europees Parlement en de Raad van 25 november 2009 betreffende de toegang tot en uitoefening van het verzekerings- en het herverzekeringsbedrijf (Solvabiliteit II) (</w:t>
      </w:r>
      <w:proofErr w:type="spellStart"/>
      <w:r>
        <w:t>PbEU</w:t>
      </w:r>
      <w:proofErr w:type="spellEnd"/>
      <w:r>
        <w:t xml:space="preserve"> 2009, L 335). I</w:t>
      </w:r>
      <w:r w:rsidRPr="00B56882">
        <w:t xml:space="preserve">n Nederland geïmplementeerd in artikel 3:267h </w:t>
      </w:r>
      <w:proofErr w:type="spellStart"/>
      <w:r w:rsidRPr="00B56882">
        <w:t>Wft</w:t>
      </w:r>
      <w:proofErr w:type="spellEnd"/>
      <w:r w:rsidRPr="00B56882">
        <w:t xml:space="preserve"> en de artikelen 118-122 Besluit </w:t>
      </w:r>
      <w:proofErr w:type="spellStart"/>
      <w:r w:rsidRPr="00B56882">
        <w:t>prudentiële</w:t>
      </w:r>
      <w:proofErr w:type="spellEnd"/>
      <w:r w:rsidRPr="00B56882">
        <w:t xml:space="preserve"> regels </w:t>
      </w:r>
      <w:proofErr w:type="spellStart"/>
      <w:r w:rsidRPr="00B56882">
        <w:t>Wft</w:t>
      </w:r>
      <w:proofErr w:type="spellEnd"/>
      <w:r>
        <w:t>.</w:t>
      </w:r>
    </w:p>
  </w:footnote>
  <w:footnote w:id="15">
    <w:p w14:paraId="0667635C" w14:textId="5845D736" w:rsidR="006037E2" w:rsidRDefault="006037E2">
      <w:pPr>
        <w:pStyle w:val="Voetnoottekst"/>
      </w:pPr>
      <w:r>
        <w:rPr>
          <w:rStyle w:val="Voetnootmarkering"/>
        </w:rPr>
        <w:footnoteRef/>
      </w:r>
      <w:r>
        <w:t xml:space="preserve"> </w:t>
      </w:r>
      <w:r w:rsidR="006757B2">
        <w:t>M</w:t>
      </w:r>
      <w:r w:rsidR="00634AB6">
        <w:t xml:space="preserve">emorie </w:t>
      </w:r>
      <w:r w:rsidR="006757B2">
        <w:t>v</w:t>
      </w:r>
      <w:r w:rsidR="00634AB6">
        <w:t xml:space="preserve">an </w:t>
      </w:r>
      <w:r w:rsidR="006757B2">
        <w:t>T</w:t>
      </w:r>
      <w:r w:rsidR="00634AB6">
        <w:t>oelichting</w:t>
      </w:r>
      <w:r w:rsidR="006757B2">
        <w:t>, paragraaf 8.</w:t>
      </w:r>
    </w:p>
  </w:footnote>
  <w:footnote w:id="16">
    <w:p w14:paraId="1E5B1951" w14:textId="507C554A" w:rsidR="009F690E" w:rsidRDefault="009F690E">
      <w:pPr>
        <w:pStyle w:val="Voetnoottekst"/>
      </w:pPr>
      <w:r>
        <w:rPr>
          <w:rStyle w:val="Voetnootmarkering"/>
        </w:rPr>
        <w:footnoteRef/>
      </w:r>
      <w:r>
        <w:t xml:space="preserve"> </w:t>
      </w:r>
      <w:r w:rsidR="00A655BC">
        <w:t>Artikel 3:95</w:t>
      </w:r>
      <w:r w:rsidR="00E01BDA">
        <w:t xml:space="preserve"> </w:t>
      </w:r>
      <w:proofErr w:type="spellStart"/>
      <w:r w:rsidR="00E01BDA">
        <w:t>Wft</w:t>
      </w:r>
      <w:proofErr w:type="spellEnd"/>
      <w:r w:rsidR="00E90447">
        <w:t>.</w:t>
      </w:r>
    </w:p>
  </w:footnote>
  <w:footnote w:id="17">
    <w:p w14:paraId="2184524C" w14:textId="0EE7FEEE" w:rsidR="00032DBC" w:rsidRDefault="00032DBC" w:rsidP="00032DBC">
      <w:pPr>
        <w:pStyle w:val="Voetnoottekst"/>
      </w:pPr>
      <w:r>
        <w:rPr>
          <w:rStyle w:val="Voetnootmarkering"/>
        </w:rPr>
        <w:footnoteRef/>
      </w:r>
      <w:r>
        <w:t xml:space="preserve"> </w:t>
      </w:r>
      <w:r w:rsidR="007F6364">
        <w:t xml:space="preserve">Artikel 3 </w:t>
      </w:r>
      <w:r>
        <w:t>Verordening (EU) nr. 2017/1129 van het Europees Parlement en de Raad van 14 juni 2017 betreffende het prospectus dat moet worden gepubliceerd wanneer effecten aan het publiek worden aangeboden of tot de handel op een gereglementeerde markt worden toegelaten en tot intrekking van Richtlijn 2003/71/EG (</w:t>
      </w:r>
      <w:proofErr w:type="spellStart"/>
      <w:r>
        <w:t>PbEU</w:t>
      </w:r>
      <w:proofErr w:type="spellEnd"/>
      <w:r>
        <w:t xml:space="preserve"> 2017, L 168).</w:t>
      </w:r>
    </w:p>
  </w:footnote>
  <w:footnote w:id="18">
    <w:p w14:paraId="07D406B3" w14:textId="77777777" w:rsidR="00982D43" w:rsidRDefault="00982D43" w:rsidP="00982D43">
      <w:pPr>
        <w:pStyle w:val="Voetnoottekst"/>
      </w:pPr>
      <w:r>
        <w:rPr>
          <w:rStyle w:val="Voetnootmarkering"/>
        </w:rPr>
        <w:footnoteRef/>
      </w:r>
      <w:r>
        <w:t xml:space="preserve"> Het wetgevend kader bestaat uit de Solvabiliteit II en de nadere invullingen daarvan in de vorm van de Gedelegeerde Verordening, technische standaarden en richtsnoeren.</w:t>
      </w:r>
    </w:p>
  </w:footnote>
  <w:footnote w:id="19">
    <w:p w14:paraId="7A99AB43" w14:textId="1D9532F3" w:rsidR="00F65FA3" w:rsidRDefault="00F65FA3">
      <w:pPr>
        <w:pStyle w:val="Voetnoottekst"/>
      </w:pPr>
      <w:r>
        <w:rPr>
          <w:rStyle w:val="Voetnootmarkering"/>
        </w:rPr>
        <w:footnoteRef/>
      </w:r>
      <w:r w:rsidRPr="001C7D79">
        <w:t xml:space="preserve"> </w:t>
      </w:r>
      <w:r w:rsidR="001C7D79" w:rsidRPr="00330F34">
        <w:t xml:space="preserve">Voorstel voor een </w:t>
      </w:r>
      <w:r w:rsidR="001C7D79">
        <w:t>Richtlijn</w:t>
      </w:r>
      <w:r w:rsidR="001C7D79" w:rsidRPr="00330F34">
        <w:t xml:space="preserve"> tot wijziging van Richtlijn 2009/138/EG wat betreft evenredigheid, kwaliteit van het toezicht, rapportage, </w:t>
      </w:r>
      <w:proofErr w:type="spellStart"/>
      <w:r w:rsidR="001C7D79" w:rsidRPr="00330F34">
        <w:t>langetermijngarantiemaatregelen</w:t>
      </w:r>
      <w:proofErr w:type="spellEnd"/>
      <w:r w:rsidR="001C7D79" w:rsidRPr="00330F34">
        <w:t xml:space="preserve">, </w:t>
      </w:r>
      <w:proofErr w:type="spellStart"/>
      <w:r w:rsidR="001C7D79" w:rsidRPr="00330F34">
        <w:t>macroprudentiële</w:t>
      </w:r>
      <w:proofErr w:type="spellEnd"/>
      <w:r w:rsidR="001C7D79" w:rsidRPr="00330F34">
        <w:t xml:space="preserve"> instrumenten, duurzaamheidsrisico’s, groepstoezicht en grensoverschrijdend toezicht</w:t>
      </w:r>
      <w:r w:rsidR="009610EE">
        <w:t xml:space="preserve"> (COM(2021) 581 </w:t>
      </w:r>
      <w:proofErr w:type="spellStart"/>
      <w:r w:rsidR="009610EE">
        <w:t>final</w:t>
      </w:r>
      <w:proofErr w:type="spellEnd"/>
      <w:r w:rsidR="009610EE">
        <w:t>).</w:t>
      </w:r>
    </w:p>
  </w:footnote>
  <w:footnote w:id="20">
    <w:p w14:paraId="6C11A7C3" w14:textId="77777777" w:rsidR="00982D43" w:rsidRDefault="00982D43" w:rsidP="00982D43">
      <w:pPr>
        <w:pStyle w:val="Voetnoottekst"/>
      </w:pPr>
      <w:r>
        <w:rPr>
          <w:rStyle w:val="Voetnootmarkering"/>
        </w:rPr>
        <w:footnoteRef/>
      </w:r>
      <w:r>
        <w:t xml:space="preserve"> </w:t>
      </w:r>
      <w:r w:rsidRPr="00525584">
        <w:t>Kamerstukken II 2021/22, 22112, nr. 3236</w:t>
      </w:r>
      <w:r>
        <w:t xml:space="preserve">: In het BNC-fiche ‘Herziening Richtlijn </w:t>
      </w:r>
      <w:proofErr w:type="spellStart"/>
      <w:r>
        <w:t>Solvency</w:t>
      </w:r>
      <w:proofErr w:type="spellEnd"/>
      <w:r>
        <w:t xml:space="preserve"> II’ van 29 oktober 2021 worden de voorstellen, noch de problematiek aangehaald.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11AF" w14:textId="77777777" w:rsidR="00713F59" w:rsidRDefault="008A4DE4" w:rsidP="00713F59">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11B5" w14:textId="77777777" w:rsidR="00713F59" w:rsidRDefault="008A4DE4" w:rsidP="00713F59">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91511B6" w14:textId="77777777" w:rsidR="00713F59" w:rsidRDefault="008A4DE4">
    <w:pPr>
      <w:pStyle w:val="Koptekst"/>
    </w:pPr>
    <w:r>
      <w:rPr>
        <w:noProof/>
      </w:rPr>
      <w:drawing>
        <wp:anchor distT="0" distB="0" distL="114300" distR="114300" simplePos="0" relativeHeight="251658240" behindDoc="1" locked="0" layoutInCell="1" allowOverlap="1" wp14:anchorId="191511C1" wp14:editId="191511C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65010"/>
    <w:multiLevelType w:val="hybridMultilevel"/>
    <w:tmpl w:val="E52208A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F2822A4"/>
    <w:multiLevelType w:val="hybridMultilevel"/>
    <w:tmpl w:val="BC4683F8"/>
    <w:lvl w:ilvl="0" w:tplc="11CAF266">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123471">
    <w:abstractNumId w:val="1"/>
  </w:num>
  <w:num w:numId="2" w16cid:durableId="78658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F5"/>
    <w:rsid w:val="000001EF"/>
    <w:rsid w:val="00001FC5"/>
    <w:rsid w:val="000040FF"/>
    <w:rsid w:val="00004319"/>
    <w:rsid w:val="00010FAA"/>
    <w:rsid w:val="000113ED"/>
    <w:rsid w:val="0001188D"/>
    <w:rsid w:val="00012008"/>
    <w:rsid w:val="000126EE"/>
    <w:rsid w:val="0001300B"/>
    <w:rsid w:val="00013B12"/>
    <w:rsid w:val="00014691"/>
    <w:rsid w:val="000149A6"/>
    <w:rsid w:val="000162BE"/>
    <w:rsid w:val="00016BDB"/>
    <w:rsid w:val="00025044"/>
    <w:rsid w:val="0002566C"/>
    <w:rsid w:val="00026ED3"/>
    <w:rsid w:val="000277ED"/>
    <w:rsid w:val="000301D2"/>
    <w:rsid w:val="00030A5B"/>
    <w:rsid w:val="0003120F"/>
    <w:rsid w:val="00032DBC"/>
    <w:rsid w:val="00033670"/>
    <w:rsid w:val="00034D89"/>
    <w:rsid w:val="00034F06"/>
    <w:rsid w:val="00036907"/>
    <w:rsid w:val="00037A69"/>
    <w:rsid w:val="000414B3"/>
    <w:rsid w:val="00044FE4"/>
    <w:rsid w:val="00046888"/>
    <w:rsid w:val="00050439"/>
    <w:rsid w:val="00054443"/>
    <w:rsid w:val="00054A24"/>
    <w:rsid w:val="00054A70"/>
    <w:rsid w:val="0005508C"/>
    <w:rsid w:val="00055AF4"/>
    <w:rsid w:val="00056C81"/>
    <w:rsid w:val="00061835"/>
    <w:rsid w:val="000619D2"/>
    <w:rsid w:val="00061C5C"/>
    <w:rsid w:val="00061ECE"/>
    <w:rsid w:val="00062207"/>
    <w:rsid w:val="000623AF"/>
    <w:rsid w:val="00062F11"/>
    <w:rsid w:val="000631BE"/>
    <w:rsid w:val="00063C31"/>
    <w:rsid w:val="00064118"/>
    <w:rsid w:val="0006519B"/>
    <w:rsid w:val="00066327"/>
    <w:rsid w:val="000668B9"/>
    <w:rsid w:val="00066B2A"/>
    <w:rsid w:val="000670CB"/>
    <w:rsid w:val="000677EA"/>
    <w:rsid w:val="000706FE"/>
    <w:rsid w:val="00071474"/>
    <w:rsid w:val="00071B78"/>
    <w:rsid w:val="000723B8"/>
    <w:rsid w:val="0007244C"/>
    <w:rsid w:val="000725AB"/>
    <w:rsid w:val="000731B4"/>
    <w:rsid w:val="00073D3B"/>
    <w:rsid w:val="00074B48"/>
    <w:rsid w:val="0007540A"/>
    <w:rsid w:val="000757C9"/>
    <w:rsid w:val="000762F2"/>
    <w:rsid w:val="0008019B"/>
    <w:rsid w:val="00080CAE"/>
    <w:rsid w:val="00081288"/>
    <w:rsid w:val="00082098"/>
    <w:rsid w:val="00082EE0"/>
    <w:rsid w:val="0008463F"/>
    <w:rsid w:val="00084B92"/>
    <w:rsid w:val="00084C8D"/>
    <w:rsid w:val="00084F82"/>
    <w:rsid w:val="00085C66"/>
    <w:rsid w:val="000917A7"/>
    <w:rsid w:val="00091DEE"/>
    <w:rsid w:val="0009226D"/>
    <w:rsid w:val="000929C6"/>
    <w:rsid w:val="00096017"/>
    <w:rsid w:val="00096789"/>
    <w:rsid w:val="000A2E05"/>
    <w:rsid w:val="000A3305"/>
    <w:rsid w:val="000A3F25"/>
    <w:rsid w:val="000A442F"/>
    <w:rsid w:val="000A5251"/>
    <w:rsid w:val="000A57AD"/>
    <w:rsid w:val="000A64DC"/>
    <w:rsid w:val="000A704F"/>
    <w:rsid w:val="000B0070"/>
    <w:rsid w:val="000B04D8"/>
    <w:rsid w:val="000B0A08"/>
    <w:rsid w:val="000B16CD"/>
    <w:rsid w:val="000B17B5"/>
    <w:rsid w:val="000B4E81"/>
    <w:rsid w:val="000B5515"/>
    <w:rsid w:val="000B5A4F"/>
    <w:rsid w:val="000B7CC1"/>
    <w:rsid w:val="000C0699"/>
    <w:rsid w:val="000C3CEB"/>
    <w:rsid w:val="000C4403"/>
    <w:rsid w:val="000C60B4"/>
    <w:rsid w:val="000C6E9E"/>
    <w:rsid w:val="000C6EC2"/>
    <w:rsid w:val="000D6DA6"/>
    <w:rsid w:val="000D727D"/>
    <w:rsid w:val="000D7AA1"/>
    <w:rsid w:val="000D7E74"/>
    <w:rsid w:val="000D7EF8"/>
    <w:rsid w:val="000E09F2"/>
    <w:rsid w:val="000E2968"/>
    <w:rsid w:val="000E2C47"/>
    <w:rsid w:val="000E430C"/>
    <w:rsid w:val="000E4618"/>
    <w:rsid w:val="000E497F"/>
    <w:rsid w:val="000E7A32"/>
    <w:rsid w:val="000F03A9"/>
    <w:rsid w:val="000F0513"/>
    <w:rsid w:val="000F3F34"/>
    <w:rsid w:val="000F6871"/>
    <w:rsid w:val="000F6A9A"/>
    <w:rsid w:val="001013BD"/>
    <w:rsid w:val="00102389"/>
    <w:rsid w:val="00104DF3"/>
    <w:rsid w:val="00106875"/>
    <w:rsid w:val="00111821"/>
    <w:rsid w:val="00113A2D"/>
    <w:rsid w:val="00114D97"/>
    <w:rsid w:val="00115FA1"/>
    <w:rsid w:val="001169EF"/>
    <w:rsid w:val="00117401"/>
    <w:rsid w:val="00120565"/>
    <w:rsid w:val="00122A30"/>
    <w:rsid w:val="00122B22"/>
    <w:rsid w:val="0012352B"/>
    <w:rsid w:val="00124C46"/>
    <w:rsid w:val="00124CA9"/>
    <w:rsid w:val="00124FCF"/>
    <w:rsid w:val="001260CF"/>
    <w:rsid w:val="001262A1"/>
    <w:rsid w:val="00127BE5"/>
    <w:rsid w:val="00132077"/>
    <w:rsid w:val="00132A12"/>
    <w:rsid w:val="00133186"/>
    <w:rsid w:val="001332F8"/>
    <w:rsid w:val="001356C2"/>
    <w:rsid w:val="00136615"/>
    <w:rsid w:val="001368C6"/>
    <w:rsid w:val="00136D3E"/>
    <w:rsid w:val="00140FDB"/>
    <w:rsid w:val="00142635"/>
    <w:rsid w:val="001428B0"/>
    <w:rsid w:val="001455D7"/>
    <w:rsid w:val="00145E50"/>
    <w:rsid w:val="0015024F"/>
    <w:rsid w:val="00150561"/>
    <w:rsid w:val="00150C80"/>
    <w:rsid w:val="00151409"/>
    <w:rsid w:val="00151F83"/>
    <w:rsid w:val="001539D1"/>
    <w:rsid w:val="00156055"/>
    <w:rsid w:val="00157473"/>
    <w:rsid w:val="00157C27"/>
    <w:rsid w:val="00160211"/>
    <w:rsid w:val="001602A2"/>
    <w:rsid w:val="0016124B"/>
    <w:rsid w:val="001617C4"/>
    <w:rsid w:val="0016267A"/>
    <w:rsid w:val="00162EEA"/>
    <w:rsid w:val="00164A14"/>
    <w:rsid w:val="00164BBF"/>
    <w:rsid w:val="001662CF"/>
    <w:rsid w:val="00166CD3"/>
    <w:rsid w:val="001676B3"/>
    <w:rsid w:val="0016784D"/>
    <w:rsid w:val="00167B2E"/>
    <w:rsid w:val="00167EDF"/>
    <w:rsid w:val="00172712"/>
    <w:rsid w:val="001730DD"/>
    <w:rsid w:val="00173E15"/>
    <w:rsid w:val="00174114"/>
    <w:rsid w:val="00174A8D"/>
    <w:rsid w:val="001758FA"/>
    <w:rsid w:val="001774D1"/>
    <w:rsid w:val="00177A9B"/>
    <w:rsid w:val="00180B95"/>
    <w:rsid w:val="00180D66"/>
    <w:rsid w:val="00180EAD"/>
    <w:rsid w:val="0018207E"/>
    <w:rsid w:val="0018258A"/>
    <w:rsid w:val="001829CC"/>
    <w:rsid w:val="00182E6F"/>
    <w:rsid w:val="0018354F"/>
    <w:rsid w:val="0018374C"/>
    <w:rsid w:val="00184C70"/>
    <w:rsid w:val="00186AA6"/>
    <w:rsid w:val="001916B9"/>
    <w:rsid w:val="00191B3A"/>
    <w:rsid w:val="00193D02"/>
    <w:rsid w:val="00194136"/>
    <w:rsid w:val="001A16B3"/>
    <w:rsid w:val="001A3B52"/>
    <w:rsid w:val="001A4ED9"/>
    <w:rsid w:val="001A629C"/>
    <w:rsid w:val="001A664C"/>
    <w:rsid w:val="001A6858"/>
    <w:rsid w:val="001A72F7"/>
    <w:rsid w:val="001A7C8C"/>
    <w:rsid w:val="001B0756"/>
    <w:rsid w:val="001B0FC2"/>
    <w:rsid w:val="001B3433"/>
    <w:rsid w:val="001B4599"/>
    <w:rsid w:val="001B60F5"/>
    <w:rsid w:val="001B729C"/>
    <w:rsid w:val="001B7A4C"/>
    <w:rsid w:val="001C044A"/>
    <w:rsid w:val="001C0FE4"/>
    <w:rsid w:val="001C4160"/>
    <w:rsid w:val="001C4483"/>
    <w:rsid w:val="001C48D1"/>
    <w:rsid w:val="001C4B55"/>
    <w:rsid w:val="001C5491"/>
    <w:rsid w:val="001C7072"/>
    <w:rsid w:val="001C752A"/>
    <w:rsid w:val="001C7D79"/>
    <w:rsid w:val="001D1626"/>
    <w:rsid w:val="001D1694"/>
    <w:rsid w:val="001D2DD9"/>
    <w:rsid w:val="001D39AC"/>
    <w:rsid w:val="001D4128"/>
    <w:rsid w:val="001D4214"/>
    <w:rsid w:val="001E0D7B"/>
    <w:rsid w:val="001E1146"/>
    <w:rsid w:val="001E344C"/>
    <w:rsid w:val="001E3700"/>
    <w:rsid w:val="001E399F"/>
    <w:rsid w:val="001E5EF9"/>
    <w:rsid w:val="001E6238"/>
    <w:rsid w:val="001E6701"/>
    <w:rsid w:val="001F0210"/>
    <w:rsid w:val="001F1BE3"/>
    <w:rsid w:val="001F2009"/>
    <w:rsid w:val="001F207C"/>
    <w:rsid w:val="001F30A1"/>
    <w:rsid w:val="001F4278"/>
    <w:rsid w:val="001F5F1B"/>
    <w:rsid w:val="001F65BC"/>
    <w:rsid w:val="001F75C7"/>
    <w:rsid w:val="001F778C"/>
    <w:rsid w:val="00201179"/>
    <w:rsid w:val="002028BE"/>
    <w:rsid w:val="002056E0"/>
    <w:rsid w:val="002068BB"/>
    <w:rsid w:val="0020799D"/>
    <w:rsid w:val="002079F0"/>
    <w:rsid w:val="00210E5F"/>
    <w:rsid w:val="00211111"/>
    <w:rsid w:val="00211CA2"/>
    <w:rsid w:val="00212A6F"/>
    <w:rsid w:val="00215E5A"/>
    <w:rsid w:val="00216093"/>
    <w:rsid w:val="00220B3D"/>
    <w:rsid w:val="00220BE4"/>
    <w:rsid w:val="002223E9"/>
    <w:rsid w:val="00222B33"/>
    <w:rsid w:val="002239FA"/>
    <w:rsid w:val="00225C12"/>
    <w:rsid w:val="00233110"/>
    <w:rsid w:val="0023531C"/>
    <w:rsid w:val="002439AD"/>
    <w:rsid w:val="00243A56"/>
    <w:rsid w:val="002458FB"/>
    <w:rsid w:val="002464C0"/>
    <w:rsid w:val="0024787E"/>
    <w:rsid w:val="002516A1"/>
    <w:rsid w:val="00251FBA"/>
    <w:rsid w:val="00252453"/>
    <w:rsid w:val="0025637D"/>
    <w:rsid w:val="002632C0"/>
    <w:rsid w:val="00263A52"/>
    <w:rsid w:val="00264582"/>
    <w:rsid w:val="0026608D"/>
    <w:rsid w:val="00267844"/>
    <w:rsid w:val="00272439"/>
    <w:rsid w:val="002759E7"/>
    <w:rsid w:val="00275C7A"/>
    <w:rsid w:val="002817B4"/>
    <w:rsid w:val="00281DE6"/>
    <w:rsid w:val="00282AC5"/>
    <w:rsid w:val="002840EA"/>
    <w:rsid w:val="00286B4A"/>
    <w:rsid w:val="00286C18"/>
    <w:rsid w:val="002874BB"/>
    <w:rsid w:val="0029032B"/>
    <w:rsid w:val="00290333"/>
    <w:rsid w:val="00290A4E"/>
    <w:rsid w:val="0029115E"/>
    <w:rsid w:val="00291328"/>
    <w:rsid w:val="00291D5A"/>
    <w:rsid w:val="00292BAA"/>
    <w:rsid w:val="0029323F"/>
    <w:rsid w:val="0029574C"/>
    <w:rsid w:val="00295AA6"/>
    <w:rsid w:val="00296ABD"/>
    <w:rsid w:val="002A163F"/>
    <w:rsid w:val="002A3249"/>
    <w:rsid w:val="002A389B"/>
    <w:rsid w:val="002A4FC4"/>
    <w:rsid w:val="002A50C1"/>
    <w:rsid w:val="002A5980"/>
    <w:rsid w:val="002A5B19"/>
    <w:rsid w:val="002A6609"/>
    <w:rsid w:val="002A7723"/>
    <w:rsid w:val="002A7EBA"/>
    <w:rsid w:val="002B3223"/>
    <w:rsid w:val="002B58F4"/>
    <w:rsid w:val="002B6344"/>
    <w:rsid w:val="002C0F40"/>
    <w:rsid w:val="002C1C57"/>
    <w:rsid w:val="002C2D6F"/>
    <w:rsid w:val="002C3931"/>
    <w:rsid w:val="002C3E10"/>
    <w:rsid w:val="002C44B5"/>
    <w:rsid w:val="002C46C2"/>
    <w:rsid w:val="002C573F"/>
    <w:rsid w:val="002C60AA"/>
    <w:rsid w:val="002C64BC"/>
    <w:rsid w:val="002D0F3B"/>
    <w:rsid w:val="002D1A4E"/>
    <w:rsid w:val="002D20C4"/>
    <w:rsid w:val="002D44D1"/>
    <w:rsid w:val="002D4CB7"/>
    <w:rsid w:val="002D7064"/>
    <w:rsid w:val="002D7532"/>
    <w:rsid w:val="002D7EF2"/>
    <w:rsid w:val="002E20A7"/>
    <w:rsid w:val="002E548A"/>
    <w:rsid w:val="002E707A"/>
    <w:rsid w:val="002E75AA"/>
    <w:rsid w:val="002E75CE"/>
    <w:rsid w:val="002F0317"/>
    <w:rsid w:val="002F04B2"/>
    <w:rsid w:val="002F07B8"/>
    <w:rsid w:val="002F1500"/>
    <w:rsid w:val="002F2E5F"/>
    <w:rsid w:val="002F38B3"/>
    <w:rsid w:val="002F7C12"/>
    <w:rsid w:val="003020BD"/>
    <w:rsid w:val="003047FB"/>
    <w:rsid w:val="00304C7E"/>
    <w:rsid w:val="00305294"/>
    <w:rsid w:val="00307D16"/>
    <w:rsid w:val="00312795"/>
    <w:rsid w:val="003138C5"/>
    <w:rsid w:val="00314C57"/>
    <w:rsid w:val="003157DC"/>
    <w:rsid w:val="00320DD1"/>
    <w:rsid w:val="0032204D"/>
    <w:rsid w:val="00323081"/>
    <w:rsid w:val="003238F5"/>
    <w:rsid w:val="00323E31"/>
    <w:rsid w:val="00330F34"/>
    <w:rsid w:val="0033324B"/>
    <w:rsid w:val="00334CBC"/>
    <w:rsid w:val="00334EE3"/>
    <w:rsid w:val="00335804"/>
    <w:rsid w:val="00335FFF"/>
    <w:rsid w:val="0034074E"/>
    <w:rsid w:val="003418E4"/>
    <w:rsid w:val="00343580"/>
    <w:rsid w:val="00345152"/>
    <w:rsid w:val="00345D42"/>
    <w:rsid w:val="0034671B"/>
    <w:rsid w:val="0035092B"/>
    <w:rsid w:val="003516DD"/>
    <w:rsid w:val="00352037"/>
    <w:rsid w:val="00352CE1"/>
    <w:rsid w:val="00353F9C"/>
    <w:rsid w:val="00354352"/>
    <w:rsid w:val="0035614D"/>
    <w:rsid w:val="003606D1"/>
    <w:rsid w:val="00360C12"/>
    <w:rsid w:val="00361AAA"/>
    <w:rsid w:val="0036244E"/>
    <w:rsid w:val="00362E76"/>
    <w:rsid w:val="00363BB7"/>
    <w:rsid w:val="00363FA0"/>
    <w:rsid w:val="00365A05"/>
    <w:rsid w:val="003709D3"/>
    <w:rsid w:val="003714DE"/>
    <w:rsid w:val="0037165E"/>
    <w:rsid w:val="00375253"/>
    <w:rsid w:val="00376D77"/>
    <w:rsid w:val="003770EC"/>
    <w:rsid w:val="00380E33"/>
    <w:rsid w:val="003854B2"/>
    <w:rsid w:val="00386CAC"/>
    <w:rsid w:val="00387096"/>
    <w:rsid w:val="00387830"/>
    <w:rsid w:val="00387AFE"/>
    <w:rsid w:val="003910D1"/>
    <w:rsid w:val="00394193"/>
    <w:rsid w:val="00394313"/>
    <w:rsid w:val="00394A29"/>
    <w:rsid w:val="00395226"/>
    <w:rsid w:val="00396F69"/>
    <w:rsid w:val="00397A58"/>
    <w:rsid w:val="00397A6B"/>
    <w:rsid w:val="003A0014"/>
    <w:rsid w:val="003A012E"/>
    <w:rsid w:val="003A0598"/>
    <w:rsid w:val="003A3386"/>
    <w:rsid w:val="003A3C15"/>
    <w:rsid w:val="003A46E2"/>
    <w:rsid w:val="003A4AA7"/>
    <w:rsid w:val="003A4E16"/>
    <w:rsid w:val="003A7193"/>
    <w:rsid w:val="003A7C95"/>
    <w:rsid w:val="003B03CB"/>
    <w:rsid w:val="003B0C18"/>
    <w:rsid w:val="003B1875"/>
    <w:rsid w:val="003B28E4"/>
    <w:rsid w:val="003B398E"/>
    <w:rsid w:val="003B54C3"/>
    <w:rsid w:val="003B567B"/>
    <w:rsid w:val="003B6966"/>
    <w:rsid w:val="003C0847"/>
    <w:rsid w:val="003C1714"/>
    <w:rsid w:val="003C47D6"/>
    <w:rsid w:val="003C6A20"/>
    <w:rsid w:val="003D20F7"/>
    <w:rsid w:val="003D24DE"/>
    <w:rsid w:val="003D3388"/>
    <w:rsid w:val="003D37DA"/>
    <w:rsid w:val="003D3DF2"/>
    <w:rsid w:val="003E2B8E"/>
    <w:rsid w:val="003E3B6A"/>
    <w:rsid w:val="003E490A"/>
    <w:rsid w:val="003E642D"/>
    <w:rsid w:val="003F14B0"/>
    <w:rsid w:val="003F160A"/>
    <w:rsid w:val="003F5C98"/>
    <w:rsid w:val="003F63AE"/>
    <w:rsid w:val="00400E15"/>
    <w:rsid w:val="00402717"/>
    <w:rsid w:val="00402D82"/>
    <w:rsid w:val="00403D08"/>
    <w:rsid w:val="00404302"/>
    <w:rsid w:val="004045F5"/>
    <w:rsid w:val="00404964"/>
    <w:rsid w:val="0040572D"/>
    <w:rsid w:val="00410930"/>
    <w:rsid w:val="00410C05"/>
    <w:rsid w:val="00410D98"/>
    <w:rsid w:val="004115AF"/>
    <w:rsid w:val="004123FB"/>
    <w:rsid w:val="004124EE"/>
    <w:rsid w:val="00412CB5"/>
    <w:rsid w:val="0041372B"/>
    <w:rsid w:val="004141AE"/>
    <w:rsid w:val="00414597"/>
    <w:rsid w:val="00421845"/>
    <w:rsid w:val="00422DE0"/>
    <w:rsid w:val="00422E79"/>
    <w:rsid w:val="00423E53"/>
    <w:rsid w:val="004259B0"/>
    <w:rsid w:val="0043088D"/>
    <w:rsid w:val="004309D7"/>
    <w:rsid w:val="0043155C"/>
    <w:rsid w:val="00431B37"/>
    <w:rsid w:val="004330A9"/>
    <w:rsid w:val="004349C2"/>
    <w:rsid w:val="00435919"/>
    <w:rsid w:val="00436414"/>
    <w:rsid w:val="00436B4A"/>
    <w:rsid w:val="0043723A"/>
    <w:rsid w:val="004400A5"/>
    <w:rsid w:val="004402A7"/>
    <w:rsid w:val="004423F7"/>
    <w:rsid w:val="004429C9"/>
    <w:rsid w:val="0044394A"/>
    <w:rsid w:val="00443FE5"/>
    <w:rsid w:val="004446EB"/>
    <w:rsid w:val="004450D0"/>
    <w:rsid w:val="0044588F"/>
    <w:rsid w:val="00445B49"/>
    <w:rsid w:val="00445B7A"/>
    <w:rsid w:val="00446ED4"/>
    <w:rsid w:val="00447C29"/>
    <w:rsid w:val="00447DE6"/>
    <w:rsid w:val="00450D1C"/>
    <w:rsid w:val="004519C7"/>
    <w:rsid w:val="00452198"/>
    <w:rsid w:val="004552C9"/>
    <w:rsid w:val="00456F1C"/>
    <w:rsid w:val="00457FC2"/>
    <w:rsid w:val="004617CC"/>
    <w:rsid w:val="004621F8"/>
    <w:rsid w:val="00463F4F"/>
    <w:rsid w:val="0046454A"/>
    <w:rsid w:val="00466202"/>
    <w:rsid w:val="00466770"/>
    <w:rsid w:val="00467041"/>
    <w:rsid w:val="00470412"/>
    <w:rsid w:val="00471073"/>
    <w:rsid w:val="0047123A"/>
    <w:rsid w:val="00471CEF"/>
    <w:rsid w:val="0047360C"/>
    <w:rsid w:val="004745EC"/>
    <w:rsid w:val="0048068E"/>
    <w:rsid w:val="00480748"/>
    <w:rsid w:val="004807FF"/>
    <w:rsid w:val="00481141"/>
    <w:rsid w:val="004827C7"/>
    <w:rsid w:val="004828A3"/>
    <w:rsid w:val="004830CD"/>
    <w:rsid w:val="004867E9"/>
    <w:rsid w:val="00486CE2"/>
    <w:rsid w:val="00490288"/>
    <w:rsid w:val="004922BC"/>
    <w:rsid w:val="00492B37"/>
    <w:rsid w:val="00493312"/>
    <w:rsid w:val="00493744"/>
    <w:rsid w:val="00494A7E"/>
    <w:rsid w:val="0049530F"/>
    <w:rsid w:val="00495E9B"/>
    <w:rsid w:val="00496CBD"/>
    <w:rsid w:val="00497BC6"/>
    <w:rsid w:val="004A04B6"/>
    <w:rsid w:val="004A1B69"/>
    <w:rsid w:val="004A1F37"/>
    <w:rsid w:val="004A2C3C"/>
    <w:rsid w:val="004A40ED"/>
    <w:rsid w:val="004A7035"/>
    <w:rsid w:val="004A7CC1"/>
    <w:rsid w:val="004B061F"/>
    <w:rsid w:val="004B2347"/>
    <w:rsid w:val="004B3F85"/>
    <w:rsid w:val="004B4164"/>
    <w:rsid w:val="004B4655"/>
    <w:rsid w:val="004B5DC6"/>
    <w:rsid w:val="004B7055"/>
    <w:rsid w:val="004B784C"/>
    <w:rsid w:val="004C026E"/>
    <w:rsid w:val="004C0EF3"/>
    <w:rsid w:val="004C1B38"/>
    <w:rsid w:val="004C40DD"/>
    <w:rsid w:val="004C4498"/>
    <w:rsid w:val="004C5635"/>
    <w:rsid w:val="004C612C"/>
    <w:rsid w:val="004D0758"/>
    <w:rsid w:val="004D1285"/>
    <w:rsid w:val="004D2B6B"/>
    <w:rsid w:val="004D2EB2"/>
    <w:rsid w:val="004D332F"/>
    <w:rsid w:val="004D3DCF"/>
    <w:rsid w:val="004D463B"/>
    <w:rsid w:val="004D57E5"/>
    <w:rsid w:val="004D5BC7"/>
    <w:rsid w:val="004D5CAE"/>
    <w:rsid w:val="004D61EE"/>
    <w:rsid w:val="004E04F4"/>
    <w:rsid w:val="004E19C1"/>
    <w:rsid w:val="004E1A62"/>
    <w:rsid w:val="004E1BD2"/>
    <w:rsid w:val="004E2AD6"/>
    <w:rsid w:val="004E43C1"/>
    <w:rsid w:val="004E615A"/>
    <w:rsid w:val="004E7A66"/>
    <w:rsid w:val="004F0CCB"/>
    <w:rsid w:val="004F1395"/>
    <w:rsid w:val="004F26D5"/>
    <w:rsid w:val="004F3F37"/>
    <w:rsid w:val="004F4E3D"/>
    <w:rsid w:val="004F4E8A"/>
    <w:rsid w:val="004F4EA3"/>
    <w:rsid w:val="004F6071"/>
    <w:rsid w:val="005000A6"/>
    <w:rsid w:val="005014C6"/>
    <w:rsid w:val="00503F21"/>
    <w:rsid w:val="00505084"/>
    <w:rsid w:val="00505113"/>
    <w:rsid w:val="0050611F"/>
    <w:rsid w:val="0050728E"/>
    <w:rsid w:val="00507D1F"/>
    <w:rsid w:val="00507FA0"/>
    <w:rsid w:val="005102A7"/>
    <w:rsid w:val="005110D2"/>
    <w:rsid w:val="005118B2"/>
    <w:rsid w:val="00511B25"/>
    <w:rsid w:val="00515168"/>
    <w:rsid w:val="0051517E"/>
    <w:rsid w:val="00515239"/>
    <w:rsid w:val="00517AFA"/>
    <w:rsid w:val="00520033"/>
    <w:rsid w:val="00520D27"/>
    <w:rsid w:val="005215C9"/>
    <w:rsid w:val="005219AE"/>
    <w:rsid w:val="0052260E"/>
    <w:rsid w:val="005252A6"/>
    <w:rsid w:val="00525584"/>
    <w:rsid w:val="005317A5"/>
    <w:rsid w:val="00532A31"/>
    <w:rsid w:val="005334AE"/>
    <w:rsid w:val="0053401D"/>
    <w:rsid w:val="00534B2F"/>
    <w:rsid w:val="00534FB2"/>
    <w:rsid w:val="00534FBC"/>
    <w:rsid w:val="005351CB"/>
    <w:rsid w:val="0053537F"/>
    <w:rsid w:val="00535CCA"/>
    <w:rsid w:val="00537615"/>
    <w:rsid w:val="00540D29"/>
    <w:rsid w:val="005413C6"/>
    <w:rsid w:val="005422ED"/>
    <w:rsid w:val="00542EA5"/>
    <w:rsid w:val="005434B8"/>
    <w:rsid w:val="00551507"/>
    <w:rsid w:val="00552683"/>
    <w:rsid w:val="00552726"/>
    <w:rsid w:val="00552D04"/>
    <w:rsid w:val="005533A0"/>
    <w:rsid w:val="00555C18"/>
    <w:rsid w:val="00557261"/>
    <w:rsid w:val="00557B08"/>
    <w:rsid w:val="00560C26"/>
    <w:rsid w:val="00560EAD"/>
    <w:rsid w:val="00562781"/>
    <w:rsid w:val="005633E4"/>
    <w:rsid w:val="005648A6"/>
    <w:rsid w:val="00565F49"/>
    <w:rsid w:val="00566205"/>
    <w:rsid w:val="00566AC5"/>
    <w:rsid w:val="00567255"/>
    <w:rsid w:val="00567A97"/>
    <w:rsid w:val="00571110"/>
    <w:rsid w:val="00572AC3"/>
    <w:rsid w:val="0057307E"/>
    <w:rsid w:val="0057307F"/>
    <w:rsid w:val="00577E1B"/>
    <w:rsid w:val="00577F75"/>
    <w:rsid w:val="00580CB4"/>
    <w:rsid w:val="00582D9B"/>
    <w:rsid w:val="00584E55"/>
    <w:rsid w:val="00585B49"/>
    <w:rsid w:val="0058632A"/>
    <w:rsid w:val="005866C3"/>
    <w:rsid w:val="0059031D"/>
    <w:rsid w:val="00590A91"/>
    <w:rsid w:val="00590D93"/>
    <w:rsid w:val="00591091"/>
    <w:rsid w:val="005917C5"/>
    <w:rsid w:val="00592051"/>
    <w:rsid w:val="0059294A"/>
    <w:rsid w:val="00592E0C"/>
    <w:rsid w:val="005930BF"/>
    <w:rsid w:val="00594E3D"/>
    <w:rsid w:val="00596146"/>
    <w:rsid w:val="0059766B"/>
    <w:rsid w:val="00597CED"/>
    <w:rsid w:val="005A02FA"/>
    <w:rsid w:val="005A3376"/>
    <w:rsid w:val="005A3B83"/>
    <w:rsid w:val="005A5BFC"/>
    <w:rsid w:val="005A6254"/>
    <w:rsid w:val="005A6903"/>
    <w:rsid w:val="005A692A"/>
    <w:rsid w:val="005A6D1F"/>
    <w:rsid w:val="005B04D3"/>
    <w:rsid w:val="005B26F8"/>
    <w:rsid w:val="005B36E9"/>
    <w:rsid w:val="005B45ED"/>
    <w:rsid w:val="005B52FF"/>
    <w:rsid w:val="005B625E"/>
    <w:rsid w:val="005C06C0"/>
    <w:rsid w:val="005C1225"/>
    <w:rsid w:val="005C15E8"/>
    <w:rsid w:val="005D0F69"/>
    <w:rsid w:val="005D1E69"/>
    <w:rsid w:val="005D3DA8"/>
    <w:rsid w:val="005D4949"/>
    <w:rsid w:val="005D5523"/>
    <w:rsid w:val="005E0A9C"/>
    <w:rsid w:val="005E0E61"/>
    <w:rsid w:val="005E3057"/>
    <w:rsid w:val="005E4171"/>
    <w:rsid w:val="005E4971"/>
    <w:rsid w:val="005E6395"/>
    <w:rsid w:val="005E7A9B"/>
    <w:rsid w:val="005E7AC9"/>
    <w:rsid w:val="005F09F5"/>
    <w:rsid w:val="005F0FC6"/>
    <w:rsid w:val="005F2151"/>
    <w:rsid w:val="005F290D"/>
    <w:rsid w:val="005F3269"/>
    <w:rsid w:val="005F361E"/>
    <w:rsid w:val="005F5D47"/>
    <w:rsid w:val="005F65E8"/>
    <w:rsid w:val="005F73D4"/>
    <w:rsid w:val="005F7457"/>
    <w:rsid w:val="006027A6"/>
    <w:rsid w:val="006037E2"/>
    <w:rsid w:val="006038B5"/>
    <w:rsid w:val="006046D4"/>
    <w:rsid w:val="006047DD"/>
    <w:rsid w:val="00604DE5"/>
    <w:rsid w:val="00607F2A"/>
    <w:rsid w:val="00610890"/>
    <w:rsid w:val="006123AE"/>
    <w:rsid w:val="00613BB3"/>
    <w:rsid w:val="00614A63"/>
    <w:rsid w:val="00615499"/>
    <w:rsid w:val="0062155D"/>
    <w:rsid w:val="0062310E"/>
    <w:rsid w:val="00624292"/>
    <w:rsid w:val="006268CF"/>
    <w:rsid w:val="00627827"/>
    <w:rsid w:val="00632FCE"/>
    <w:rsid w:val="006343EF"/>
    <w:rsid w:val="00634AB6"/>
    <w:rsid w:val="00635863"/>
    <w:rsid w:val="006360E2"/>
    <w:rsid w:val="006364B2"/>
    <w:rsid w:val="00641830"/>
    <w:rsid w:val="00641F76"/>
    <w:rsid w:val="00642920"/>
    <w:rsid w:val="00643DB4"/>
    <w:rsid w:val="00643FAA"/>
    <w:rsid w:val="00646061"/>
    <w:rsid w:val="006466D0"/>
    <w:rsid w:val="00651C43"/>
    <w:rsid w:val="0065404B"/>
    <w:rsid w:val="006541FC"/>
    <w:rsid w:val="006551A1"/>
    <w:rsid w:val="00662D6B"/>
    <w:rsid w:val="006636CA"/>
    <w:rsid w:val="00665589"/>
    <w:rsid w:val="006665F5"/>
    <w:rsid w:val="006676E9"/>
    <w:rsid w:val="006711FC"/>
    <w:rsid w:val="0067414D"/>
    <w:rsid w:val="006747EF"/>
    <w:rsid w:val="0067501E"/>
    <w:rsid w:val="006757B2"/>
    <w:rsid w:val="00676DFA"/>
    <w:rsid w:val="0067782D"/>
    <w:rsid w:val="00677B78"/>
    <w:rsid w:val="00680281"/>
    <w:rsid w:val="00682257"/>
    <w:rsid w:val="006829BB"/>
    <w:rsid w:val="006829FC"/>
    <w:rsid w:val="006852EE"/>
    <w:rsid w:val="006862FC"/>
    <w:rsid w:val="0069089B"/>
    <w:rsid w:val="00690C26"/>
    <w:rsid w:val="00690D8E"/>
    <w:rsid w:val="0069173F"/>
    <w:rsid w:val="00692087"/>
    <w:rsid w:val="0069312E"/>
    <w:rsid w:val="006A0D93"/>
    <w:rsid w:val="006A110D"/>
    <w:rsid w:val="006A35CC"/>
    <w:rsid w:val="006A5BED"/>
    <w:rsid w:val="006A69C7"/>
    <w:rsid w:val="006B07D4"/>
    <w:rsid w:val="006B0E51"/>
    <w:rsid w:val="006B1CC2"/>
    <w:rsid w:val="006B2014"/>
    <w:rsid w:val="006B21C7"/>
    <w:rsid w:val="006B2544"/>
    <w:rsid w:val="006B3645"/>
    <w:rsid w:val="006B3E5C"/>
    <w:rsid w:val="006B43D3"/>
    <w:rsid w:val="006B5DAA"/>
    <w:rsid w:val="006B5EFF"/>
    <w:rsid w:val="006B60BC"/>
    <w:rsid w:val="006B64E6"/>
    <w:rsid w:val="006B73F4"/>
    <w:rsid w:val="006B7D81"/>
    <w:rsid w:val="006B7F28"/>
    <w:rsid w:val="006C0D18"/>
    <w:rsid w:val="006C1031"/>
    <w:rsid w:val="006C2B7D"/>
    <w:rsid w:val="006C2F2E"/>
    <w:rsid w:val="006C3E8B"/>
    <w:rsid w:val="006C431C"/>
    <w:rsid w:val="006C4918"/>
    <w:rsid w:val="006C7BA5"/>
    <w:rsid w:val="006D0294"/>
    <w:rsid w:val="006D0E15"/>
    <w:rsid w:val="006D1355"/>
    <w:rsid w:val="006D1909"/>
    <w:rsid w:val="006D1ED7"/>
    <w:rsid w:val="006D1FF6"/>
    <w:rsid w:val="006D2B13"/>
    <w:rsid w:val="006D2FAB"/>
    <w:rsid w:val="006D3F86"/>
    <w:rsid w:val="006D4430"/>
    <w:rsid w:val="006D4643"/>
    <w:rsid w:val="006D4B98"/>
    <w:rsid w:val="006D4BEA"/>
    <w:rsid w:val="006D59A8"/>
    <w:rsid w:val="006D5ED8"/>
    <w:rsid w:val="006D6DC3"/>
    <w:rsid w:val="006D7815"/>
    <w:rsid w:val="006D7BD7"/>
    <w:rsid w:val="006E08D7"/>
    <w:rsid w:val="006E26F3"/>
    <w:rsid w:val="006E3522"/>
    <w:rsid w:val="006E35B4"/>
    <w:rsid w:val="006E4070"/>
    <w:rsid w:val="006E482F"/>
    <w:rsid w:val="006E568C"/>
    <w:rsid w:val="006E7856"/>
    <w:rsid w:val="006F0324"/>
    <w:rsid w:val="006F144E"/>
    <w:rsid w:val="006F20D9"/>
    <w:rsid w:val="006F276C"/>
    <w:rsid w:val="006F32E6"/>
    <w:rsid w:val="006F3776"/>
    <w:rsid w:val="006F389A"/>
    <w:rsid w:val="006F3B74"/>
    <w:rsid w:val="006F3E13"/>
    <w:rsid w:val="006F4C05"/>
    <w:rsid w:val="006F5A38"/>
    <w:rsid w:val="006F6E0E"/>
    <w:rsid w:val="00700587"/>
    <w:rsid w:val="00701682"/>
    <w:rsid w:val="007016EC"/>
    <w:rsid w:val="007031B0"/>
    <w:rsid w:val="00703516"/>
    <w:rsid w:val="00704651"/>
    <w:rsid w:val="00705126"/>
    <w:rsid w:val="0070685C"/>
    <w:rsid w:val="007134B6"/>
    <w:rsid w:val="00713F59"/>
    <w:rsid w:val="00715C95"/>
    <w:rsid w:val="007172B1"/>
    <w:rsid w:val="00720ABC"/>
    <w:rsid w:val="00722367"/>
    <w:rsid w:val="007229E5"/>
    <w:rsid w:val="007243BD"/>
    <w:rsid w:val="00725293"/>
    <w:rsid w:val="00730858"/>
    <w:rsid w:val="00732A66"/>
    <w:rsid w:val="00732AB8"/>
    <w:rsid w:val="00732DB2"/>
    <w:rsid w:val="00733388"/>
    <w:rsid w:val="00734207"/>
    <w:rsid w:val="0073468D"/>
    <w:rsid w:val="00734A92"/>
    <w:rsid w:val="00735411"/>
    <w:rsid w:val="007365BB"/>
    <w:rsid w:val="00736A12"/>
    <w:rsid w:val="007377F4"/>
    <w:rsid w:val="00741A4C"/>
    <w:rsid w:val="00741B37"/>
    <w:rsid w:val="00744D53"/>
    <w:rsid w:val="00744F30"/>
    <w:rsid w:val="00746050"/>
    <w:rsid w:val="007471EF"/>
    <w:rsid w:val="00751B56"/>
    <w:rsid w:val="007539A5"/>
    <w:rsid w:val="00753CF3"/>
    <w:rsid w:val="0075520D"/>
    <w:rsid w:val="0075576E"/>
    <w:rsid w:val="007574F0"/>
    <w:rsid w:val="00760DD8"/>
    <w:rsid w:val="0076150B"/>
    <w:rsid w:val="00761548"/>
    <w:rsid w:val="00761E84"/>
    <w:rsid w:val="007623D9"/>
    <w:rsid w:val="00762A30"/>
    <w:rsid w:val="0076338E"/>
    <w:rsid w:val="007644CB"/>
    <w:rsid w:val="00764B72"/>
    <w:rsid w:val="007659FE"/>
    <w:rsid w:val="00766371"/>
    <w:rsid w:val="00766869"/>
    <w:rsid w:val="007700A8"/>
    <w:rsid w:val="00771E3D"/>
    <w:rsid w:val="00772B62"/>
    <w:rsid w:val="00773A2F"/>
    <w:rsid w:val="0077454B"/>
    <w:rsid w:val="00775168"/>
    <w:rsid w:val="00777AEA"/>
    <w:rsid w:val="00791888"/>
    <w:rsid w:val="007919B1"/>
    <w:rsid w:val="00793C11"/>
    <w:rsid w:val="00794441"/>
    <w:rsid w:val="00794DF2"/>
    <w:rsid w:val="00796131"/>
    <w:rsid w:val="007975A6"/>
    <w:rsid w:val="00797705"/>
    <w:rsid w:val="007A124E"/>
    <w:rsid w:val="007A1A18"/>
    <w:rsid w:val="007A21A8"/>
    <w:rsid w:val="007A428C"/>
    <w:rsid w:val="007A43C5"/>
    <w:rsid w:val="007A43F8"/>
    <w:rsid w:val="007A660D"/>
    <w:rsid w:val="007A76B6"/>
    <w:rsid w:val="007A7879"/>
    <w:rsid w:val="007A7DCE"/>
    <w:rsid w:val="007B002D"/>
    <w:rsid w:val="007B040A"/>
    <w:rsid w:val="007B0EC7"/>
    <w:rsid w:val="007B179C"/>
    <w:rsid w:val="007B2205"/>
    <w:rsid w:val="007B24EF"/>
    <w:rsid w:val="007B269B"/>
    <w:rsid w:val="007B26A2"/>
    <w:rsid w:val="007B30E4"/>
    <w:rsid w:val="007B3D30"/>
    <w:rsid w:val="007B462F"/>
    <w:rsid w:val="007B5021"/>
    <w:rsid w:val="007B64D0"/>
    <w:rsid w:val="007B686D"/>
    <w:rsid w:val="007B74A8"/>
    <w:rsid w:val="007B74DF"/>
    <w:rsid w:val="007B7976"/>
    <w:rsid w:val="007B7BB9"/>
    <w:rsid w:val="007C0C0D"/>
    <w:rsid w:val="007C6577"/>
    <w:rsid w:val="007D30DE"/>
    <w:rsid w:val="007D3854"/>
    <w:rsid w:val="007D3A0F"/>
    <w:rsid w:val="007D401D"/>
    <w:rsid w:val="007D524F"/>
    <w:rsid w:val="007D57E5"/>
    <w:rsid w:val="007D6FB3"/>
    <w:rsid w:val="007D72B4"/>
    <w:rsid w:val="007D749F"/>
    <w:rsid w:val="007E0A55"/>
    <w:rsid w:val="007E0F57"/>
    <w:rsid w:val="007E1A4D"/>
    <w:rsid w:val="007E1A4F"/>
    <w:rsid w:val="007E1C69"/>
    <w:rsid w:val="007E3107"/>
    <w:rsid w:val="007E31D2"/>
    <w:rsid w:val="007E3433"/>
    <w:rsid w:val="007E5FA3"/>
    <w:rsid w:val="007E64EE"/>
    <w:rsid w:val="007E73A6"/>
    <w:rsid w:val="007E77F0"/>
    <w:rsid w:val="007F1046"/>
    <w:rsid w:val="007F10AC"/>
    <w:rsid w:val="007F18A9"/>
    <w:rsid w:val="007F27B4"/>
    <w:rsid w:val="007F52D8"/>
    <w:rsid w:val="007F5761"/>
    <w:rsid w:val="007F608A"/>
    <w:rsid w:val="007F6364"/>
    <w:rsid w:val="007F6B87"/>
    <w:rsid w:val="007F731A"/>
    <w:rsid w:val="008004C6"/>
    <w:rsid w:val="008009F8"/>
    <w:rsid w:val="00802FBE"/>
    <w:rsid w:val="00803173"/>
    <w:rsid w:val="00804BD4"/>
    <w:rsid w:val="00805950"/>
    <w:rsid w:val="00805CD6"/>
    <w:rsid w:val="0081045C"/>
    <w:rsid w:val="00811088"/>
    <w:rsid w:val="00812DD4"/>
    <w:rsid w:val="00814E1A"/>
    <w:rsid w:val="00815E39"/>
    <w:rsid w:val="00816557"/>
    <w:rsid w:val="00816941"/>
    <w:rsid w:val="00817C6C"/>
    <w:rsid w:val="0082336C"/>
    <w:rsid w:val="00823A5C"/>
    <w:rsid w:val="00824131"/>
    <w:rsid w:val="008250BA"/>
    <w:rsid w:val="00827B2E"/>
    <w:rsid w:val="008321C5"/>
    <w:rsid w:val="008334AC"/>
    <w:rsid w:val="00833545"/>
    <w:rsid w:val="00835A70"/>
    <w:rsid w:val="00837413"/>
    <w:rsid w:val="0083753F"/>
    <w:rsid w:val="00841AE6"/>
    <w:rsid w:val="00842087"/>
    <w:rsid w:val="008424CE"/>
    <w:rsid w:val="00844EDE"/>
    <w:rsid w:val="00845026"/>
    <w:rsid w:val="0084573B"/>
    <w:rsid w:val="00846A59"/>
    <w:rsid w:val="00847B9E"/>
    <w:rsid w:val="00847EC6"/>
    <w:rsid w:val="008530A6"/>
    <w:rsid w:val="0085387A"/>
    <w:rsid w:val="00853C29"/>
    <w:rsid w:val="0085488E"/>
    <w:rsid w:val="008549EB"/>
    <w:rsid w:val="008555F5"/>
    <w:rsid w:val="00860438"/>
    <w:rsid w:val="008608AF"/>
    <w:rsid w:val="00860BCF"/>
    <w:rsid w:val="008632AB"/>
    <w:rsid w:val="008664C8"/>
    <w:rsid w:val="0086736D"/>
    <w:rsid w:val="008703CC"/>
    <w:rsid w:val="008718E0"/>
    <w:rsid w:val="00872871"/>
    <w:rsid w:val="00872BAB"/>
    <w:rsid w:val="00873B4A"/>
    <w:rsid w:val="00876E56"/>
    <w:rsid w:val="00877A16"/>
    <w:rsid w:val="00877E17"/>
    <w:rsid w:val="0088270E"/>
    <w:rsid w:val="00882E4D"/>
    <w:rsid w:val="0088683C"/>
    <w:rsid w:val="00887C7D"/>
    <w:rsid w:val="008914BB"/>
    <w:rsid w:val="00892479"/>
    <w:rsid w:val="00892FEB"/>
    <w:rsid w:val="00893138"/>
    <w:rsid w:val="0089342B"/>
    <w:rsid w:val="008941D5"/>
    <w:rsid w:val="00895F9B"/>
    <w:rsid w:val="008979BD"/>
    <w:rsid w:val="00897FB2"/>
    <w:rsid w:val="008A0125"/>
    <w:rsid w:val="008A2012"/>
    <w:rsid w:val="008A4DE4"/>
    <w:rsid w:val="008A5F33"/>
    <w:rsid w:val="008B0E0F"/>
    <w:rsid w:val="008B1B7E"/>
    <w:rsid w:val="008B2888"/>
    <w:rsid w:val="008B498C"/>
    <w:rsid w:val="008B5B4F"/>
    <w:rsid w:val="008B6C98"/>
    <w:rsid w:val="008B7618"/>
    <w:rsid w:val="008C01CF"/>
    <w:rsid w:val="008C04A6"/>
    <w:rsid w:val="008C1D70"/>
    <w:rsid w:val="008C526D"/>
    <w:rsid w:val="008C6B62"/>
    <w:rsid w:val="008D0403"/>
    <w:rsid w:val="008D2A9C"/>
    <w:rsid w:val="008D34F1"/>
    <w:rsid w:val="008D4EB0"/>
    <w:rsid w:val="008D5456"/>
    <w:rsid w:val="008D584A"/>
    <w:rsid w:val="008E0561"/>
    <w:rsid w:val="008E0E11"/>
    <w:rsid w:val="008E250B"/>
    <w:rsid w:val="008E2B48"/>
    <w:rsid w:val="008E3424"/>
    <w:rsid w:val="008E4053"/>
    <w:rsid w:val="008E5D3A"/>
    <w:rsid w:val="008E62B6"/>
    <w:rsid w:val="008E7500"/>
    <w:rsid w:val="008E76DE"/>
    <w:rsid w:val="008F0361"/>
    <w:rsid w:val="008F0602"/>
    <w:rsid w:val="008F0EAC"/>
    <w:rsid w:val="008F120B"/>
    <w:rsid w:val="008F14E4"/>
    <w:rsid w:val="008F1C9F"/>
    <w:rsid w:val="008F25BB"/>
    <w:rsid w:val="008F2B4C"/>
    <w:rsid w:val="008F5C6F"/>
    <w:rsid w:val="008F73EF"/>
    <w:rsid w:val="00900414"/>
    <w:rsid w:val="009044F0"/>
    <w:rsid w:val="009126EF"/>
    <w:rsid w:val="009137D4"/>
    <w:rsid w:val="009159E8"/>
    <w:rsid w:val="00916B22"/>
    <w:rsid w:val="00917A27"/>
    <w:rsid w:val="009239BC"/>
    <w:rsid w:val="00924ED1"/>
    <w:rsid w:val="00927E89"/>
    <w:rsid w:val="00930A94"/>
    <w:rsid w:val="00932621"/>
    <w:rsid w:val="009360ED"/>
    <w:rsid w:val="009362E1"/>
    <w:rsid w:val="00936AB8"/>
    <w:rsid w:val="009408FF"/>
    <w:rsid w:val="00940EDD"/>
    <w:rsid w:val="00941C26"/>
    <w:rsid w:val="00942904"/>
    <w:rsid w:val="009430AE"/>
    <w:rsid w:val="00943975"/>
    <w:rsid w:val="0094414D"/>
    <w:rsid w:val="00951EC1"/>
    <w:rsid w:val="009526EE"/>
    <w:rsid w:val="00953582"/>
    <w:rsid w:val="00956E6A"/>
    <w:rsid w:val="009570E7"/>
    <w:rsid w:val="00957B08"/>
    <w:rsid w:val="00960BD1"/>
    <w:rsid w:val="009610EE"/>
    <w:rsid w:val="00961F55"/>
    <w:rsid w:val="00962CA0"/>
    <w:rsid w:val="00962F15"/>
    <w:rsid w:val="00963285"/>
    <w:rsid w:val="00963504"/>
    <w:rsid w:val="00963A16"/>
    <w:rsid w:val="00963DC7"/>
    <w:rsid w:val="00965D54"/>
    <w:rsid w:val="009669AE"/>
    <w:rsid w:val="00966A86"/>
    <w:rsid w:val="00970592"/>
    <w:rsid w:val="00972EE8"/>
    <w:rsid w:val="009755C1"/>
    <w:rsid w:val="00975F8F"/>
    <w:rsid w:val="00977284"/>
    <w:rsid w:val="00977388"/>
    <w:rsid w:val="00977DBC"/>
    <w:rsid w:val="00982D43"/>
    <w:rsid w:val="00982E51"/>
    <w:rsid w:val="00983111"/>
    <w:rsid w:val="009837B3"/>
    <w:rsid w:val="0098466E"/>
    <w:rsid w:val="0098761D"/>
    <w:rsid w:val="00987FB4"/>
    <w:rsid w:val="009902B1"/>
    <w:rsid w:val="0099113B"/>
    <w:rsid w:val="00992DD0"/>
    <w:rsid w:val="00993201"/>
    <w:rsid w:val="00994123"/>
    <w:rsid w:val="00995477"/>
    <w:rsid w:val="00996CF7"/>
    <w:rsid w:val="00996E7D"/>
    <w:rsid w:val="009A00BD"/>
    <w:rsid w:val="009A013F"/>
    <w:rsid w:val="009A1527"/>
    <w:rsid w:val="009A1B79"/>
    <w:rsid w:val="009A1D6A"/>
    <w:rsid w:val="009A3437"/>
    <w:rsid w:val="009A4EA2"/>
    <w:rsid w:val="009A5C6B"/>
    <w:rsid w:val="009A5E7F"/>
    <w:rsid w:val="009A5F7F"/>
    <w:rsid w:val="009A7108"/>
    <w:rsid w:val="009B151D"/>
    <w:rsid w:val="009B2202"/>
    <w:rsid w:val="009B254F"/>
    <w:rsid w:val="009B3003"/>
    <w:rsid w:val="009B4C56"/>
    <w:rsid w:val="009C3755"/>
    <w:rsid w:val="009C3D6B"/>
    <w:rsid w:val="009C40B6"/>
    <w:rsid w:val="009C45E4"/>
    <w:rsid w:val="009C52FB"/>
    <w:rsid w:val="009C7002"/>
    <w:rsid w:val="009C765F"/>
    <w:rsid w:val="009D15E5"/>
    <w:rsid w:val="009D1D7D"/>
    <w:rsid w:val="009D23BC"/>
    <w:rsid w:val="009D2ED8"/>
    <w:rsid w:val="009D4E15"/>
    <w:rsid w:val="009E04E1"/>
    <w:rsid w:val="009E0847"/>
    <w:rsid w:val="009E1E5D"/>
    <w:rsid w:val="009E415D"/>
    <w:rsid w:val="009E4E98"/>
    <w:rsid w:val="009E5F25"/>
    <w:rsid w:val="009E6457"/>
    <w:rsid w:val="009F078A"/>
    <w:rsid w:val="009F0FAB"/>
    <w:rsid w:val="009F17A3"/>
    <w:rsid w:val="009F17D7"/>
    <w:rsid w:val="009F2322"/>
    <w:rsid w:val="009F3AF3"/>
    <w:rsid w:val="009F5263"/>
    <w:rsid w:val="009F561D"/>
    <w:rsid w:val="009F5910"/>
    <w:rsid w:val="009F690E"/>
    <w:rsid w:val="00A00ADB"/>
    <w:rsid w:val="00A0243D"/>
    <w:rsid w:val="00A034E9"/>
    <w:rsid w:val="00A05E11"/>
    <w:rsid w:val="00A06B6C"/>
    <w:rsid w:val="00A1155C"/>
    <w:rsid w:val="00A11CA3"/>
    <w:rsid w:val="00A12224"/>
    <w:rsid w:val="00A12B38"/>
    <w:rsid w:val="00A1319D"/>
    <w:rsid w:val="00A13CBF"/>
    <w:rsid w:val="00A14B9D"/>
    <w:rsid w:val="00A14D55"/>
    <w:rsid w:val="00A14E35"/>
    <w:rsid w:val="00A16200"/>
    <w:rsid w:val="00A17003"/>
    <w:rsid w:val="00A2192D"/>
    <w:rsid w:val="00A230A7"/>
    <w:rsid w:val="00A23821"/>
    <w:rsid w:val="00A239BD"/>
    <w:rsid w:val="00A24748"/>
    <w:rsid w:val="00A2486B"/>
    <w:rsid w:val="00A256DF"/>
    <w:rsid w:val="00A257F6"/>
    <w:rsid w:val="00A260D2"/>
    <w:rsid w:val="00A26483"/>
    <w:rsid w:val="00A30267"/>
    <w:rsid w:val="00A31ADB"/>
    <w:rsid w:val="00A33EF5"/>
    <w:rsid w:val="00A3467F"/>
    <w:rsid w:val="00A34EE1"/>
    <w:rsid w:val="00A3542C"/>
    <w:rsid w:val="00A35C2D"/>
    <w:rsid w:val="00A35FB0"/>
    <w:rsid w:val="00A37181"/>
    <w:rsid w:val="00A421BD"/>
    <w:rsid w:val="00A47FDE"/>
    <w:rsid w:val="00A531DE"/>
    <w:rsid w:val="00A54DB3"/>
    <w:rsid w:val="00A55576"/>
    <w:rsid w:val="00A5577D"/>
    <w:rsid w:val="00A576BA"/>
    <w:rsid w:val="00A60345"/>
    <w:rsid w:val="00A606D4"/>
    <w:rsid w:val="00A60915"/>
    <w:rsid w:val="00A60FE4"/>
    <w:rsid w:val="00A61B09"/>
    <w:rsid w:val="00A6217E"/>
    <w:rsid w:val="00A62830"/>
    <w:rsid w:val="00A62C7A"/>
    <w:rsid w:val="00A63764"/>
    <w:rsid w:val="00A65396"/>
    <w:rsid w:val="00A655BC"/>
    <w:rsid w:val="00A65AEC"/>
    <w:rsid w:val="00A65EE7"/>
    <w:rsid w:val="00A66CF8"/>
    <w:rsid w:val="00A66E7A"/>
    <w:rsid w:val="00A67621"/>
    <w:rsid w:val="00A676C5"/>
    <w:rsid w:val="00A702E4"/>
    <w:rsid w:val="00A70853"/>
    <w:rsid w:val="00A708C5"/>
    <w:rsid w:val="00A7243F"/>
    <w:rsid w:val="00A7389C"/>
    <w:rsid w:val="00A74747"/>
    <w:rsid w:val="00A7492C"/>
    <w:rsid w:val="00A74D5C"/>
    <w:rsid w:val="00A75A14"/>
    <w:rsid w:val="00A76D39"/>
    <w:rsid w:val="00A81221"/>
    <w:rsid w:val="00A81B32"/>
    <w:rsid w:val="00A820AF"/>
    <w:rsid w:val="00A82718"/>
    <w:rsid w:val="00A847B9"/>
    <w:rsid w:val="00A84E22"/>
    <w:rsid w:val="00A854FD"/>
    <w:rsid w:val="00A9041C"/>
    <w:rsid w:val="00A90A12"/>
    <w:rsid w:val="00A91377"/>
    <w:rsid w:val="00A91DCC"/>
    <w:rsid w:val="00A92717"/>
    <w:rsid w:val="00A92C5A"/>
    <w:rsid w:val="00A930F8"/>
    <w:rsid w:val="00A93654"/>
    <w:rsid w:val="00A9426C"/>
    <w:rsid w:val="00A947BF"/>
    <w:rsid w:val="00A95B4A"/>
    <w:rsid w:val="00A9705C"/>
    <w:rsid w:val="00A974DC"/>
    <w:rsid w:val="00AA162C"/>
    <w:rsid w:val="00AA1721"/>
    <w:rsid w:val="00AA2102"/>
    <w:rsid w:val="00AA2232"/>
    <w:rsid w:val="00AA426B"/>
    <w:rsid w:val="00AB0CD9"/>
    <w:rsid w:val="00AB5BA0"/>
    <w:rsid w:val="00AB6A31"/>
    <w:rsid w:val="00AB6A96"/>
    <w:rsid w:val="00AB73CC"/>
    <w:rsid w:val="00AB7D4A"/>
    <w:rsid w:val="00AC0D15"/>
    <w:rsid w:val="00AC1E87"/>
    <w:rsid w:val="00AC3BF9"/>
    <w:rsid w:val="00AC3FE4"/>
    <w:rsid w:val="00AC467A"/>
    <w:rsid w:val="00AC6E11"/>
    <w:rsid w:val="00AD0A79"/>
    <w:rsid w:val="00AD1445"/>
    <w:rsid w:val="00AD1855"/>
    <w:rsid w:val="00AD2124"/>
    <w:rsid w:val="00AD3577"/>
    <w:rsid w:val="00AD36C6"/>
    <w:rsid w:val="00AD3A55"/>
    <w:rsid w:val="00AD486C"/>
    <w:rsid w:val="00AD544C"/>
    <w:rsid w:val="00AD7725"/>
    <w:rsid w:val="00AD7FC7"/>
    <w:rsid w:val="00AE113E"/>
    <w:rsid w:val="00AE115C"/>
    <w:rsid w:val="00AE1CD1"/>
    <w:rsid w:val="00AE2FE8"/>
    <w:rsid w:val="00AE3055"/>
    <w:rsid w:val="00AE3C0D"/>
    <w:rsid w:val="00AE4153"/>
    <w:rsid w:val="00AE433A"/>
    <w:rsid w:val="00AE6371"/>
    <w:rsid w:val="00AE76BC"/>
    <w:rsid w:val="00AF01FB"/>
    <w:rsid w:val="00AF04AA"/>
    <w:rsid w:val="00AF17EA"/>
    <w:rsid w:val="00AF2941"/>
    <w:rsid w:val="00AF2DF3"/>
    <w:rsid w:val="00AF33B1"/>
    <w:rsid w:val="00AF33B3"/>
    <w:rsid w:val="00AF4C29"/>
    <w:rsid w:val="00AF6CA8"/>
    <w:rsid w:val="00B00F70"/>
    <w:rsid w:val="00B01A2A"/>
    <w:rsid w:val="00B01BBD"/>
    <w:rsid w:val="00B05B48"/>
    <w:rsid w:val="00B05D8E"/>
    <w:rsid w:val="00B05FCE"/>
    <w:rsid w:val="00B073B4"/>
    <w:rsid w:val="00B11713"/>
    <w:rsid w:val="00B12B82"/>
    <w:rsid w:val="00B1495F"/>
    <w:rsid w:val="00B152E9"/>
    <w:rsid w:val="00B15FF1"/>
    <w:rsid w:val="00B16062"/>
    <w:rsid w:val="00B175E0"/>
    <w:rsid w:val="00B20759"/>
    <w:rsid w:val="00B226D6"/>
    <w:rsid w:val="00B2295B"/>
    <w:rsid w:val="00B229BF"/>
    <w:rsid w:val="00B22A7E"/>
    <w:rsid w:val="00B242D4"/>
    <w:rsid w:val="00B253C6"/>
    <w:rsid w:val="00B267A3"/>
    <w:rsid w:val="00B26B64"/>
    <w:rsid w:val="00B27A4F"/>
    <w:rsid w:val="00B30D29"/>
    <w:rsid w:val="00B31250"/>
    <w:rsid w:val="00B32478"/>
    <w:rsid w:val="00B32BED"/>
    <w:rsid w:val="00B33484"/>
    <w:rsid w:val="00B338C9"/>
    <w:rsid w:val="00B33A50"/>
    <w:rsid w:val="00B33B19"/>
    <w:rsid w:val="00B33E3C"/>
    <w:rsid w:val="00B365B5"/>
    <w:rsid w:val="00B36787"/>
    <w:rsid w:val="00B37190"/>
    <w:rsid w:val="00B37885"/>
    <w:rsid w:val="00B37AFB"/>
    <w:rsid w:val="00B37C55"/>
    <w:rsid w:val="00B412E9"/>
    <w:rsid w:val="00B43971"/>
    <w:rsid w:val="00B43FE8"/>
    <w:rsid w:val="00B451E6"/>
    <w:rsid w:val="00B4611F"/>
    <w:rsid w:val="00B50BB9"/>
    <w:rsid w:val="00B527E1"/>
    <w:rsid w:val="00B533ED"/>
    <w:rsid w:val="00B54BE6"/>
    <w:rsid w:val="00B562C4"/>
    <w:rsid w:val="00B56882"/>
    <w:rsid w:val="00B61A64"/>
    <w:rsid w:val="00B61F8C"/>
    <w:rsid w:val="00B64E5E"/>
    <w:rsid w:val="00B6515B"/>
    <w:rsid w:val="00B6582A"/>
    <w:rsid w:val="00B71281"/>
    <w:rsid w:val="00B74140"/>
    <w:rsid w:val="00B75FC9"/>
    <w:rsid w:val="00B765E2"/>
    <w:rsid w:val="00B77EE8"/>
    <w:rsid w:val="00B81152"/>
    <w:rsid w:val="00B81C1E"/>
    <w:rsid w:val="00B86056"/>
    <w:rsid w:val="00B8675F"/>
    <w:rsid w:val="00B87474"/>
    <w:rsid w:val="00B91750"/>
    <w:rsid w:val="00B94FBD"/>
    <w:rsid w:val="00BA0740"/>
    <w:rsid w:val="00BA159E"/>
    <w:rsid w:val="00BA1750"/>
    <w:rsid w:val="00BA1C32"/>
    <w:rsid w:val="00BA28A8"/>
    <w:rsid w:val="00BA298C"/>
    <w:rsid w:val="00BA2ECF"/>
    <w:rsid w:val="00BA36D7"/>
    <w:rsid w:val="00BA4E8A"/>
    <w:rsid w:val="00BA560D"/>
    <w:rsid w:val="00BA68BA"/>
    <w:rsid w:val="00BA75EC"/>
    <w:rsid w:val="00BA7AEA"/>
    <w:rsid w:val="00BB0078"/>
    <w:rsid w:val="00BB025D"/>
    <w:rsid w:val="00BB0DDE"/>
    <w:rsid w:val="00BB0FD6"/>
    <w:rsid w:val="00BB1A12"/>
    <w:rsid w:val="00BB204C"/>
    <w:rsid w:val="00BB29E0"/>
    <w:rsid w:val="00BB325F"/>
    <w:rsid w:val="00BB46BA"/>
    <w:rsid w:val="00BB558F"/>
    <w:rsid w:val="00BB5972"/>
    <w:rsid w:val="00BB5A4C"/>
    <w:rsid w:val="00BB6BCC"/>
    <w:rsid w:val="00BB7D12"/>
    <w:rsid w:val="00BC01C2"/>
    <w:rsid w:val="00BC02D6"/>
    <w:rsid w:val="00BC0B4A"/>
    <w:rsid w:val="00BC0E81"/>
    <w:rsid w:val="00BC38A2"/>
    <w:rsid w:val="00BC5980"/>
    <w:rsid w:val="00BC69D5"/>
    <w:rsid w:val="00BC6C2C"/>
    <w:rsid w:val="00BC76BB"/>
    <w:rsid w:val="00BD0EC5"/>
    <w:rsid w:val="00BD168B"/>
    <w:rsid w:val="00BD2A13"/>
    <w:rsid w:val="00BD4A08"/>
    <w:rsid w:val="00BD6044"/>
    <w:rsid w:val="00BD6DF5"/>
    <w:rsid w:val="00BD7107"/>
    <w:rsid w:val="00BD79C2"/>
    <w:rsid w:val="00BE0E18"/>
    <w:rsid w:val="00BE1291"/>
    <w:rsid w:val="00BE1AB1"/>
    <w:rsid w:val="00BE2AA9"/>
    <w:rsid w:val="00BE2D13"/>
    <w:rsid w:val="00BE621E"/>
    <w:rsid w:val="00BF0268"/>
    <w:rsid w:val="00BF083A"/>
    <w:rsid w:val="00BF2B26"/>
    <w:rsid w:val="00BF5D07"/>
    <w:rsid w:val="00C00D8C"/>
    <w:rsid w:val="00C02003"/>
    <w:rsid w:val="00C020B8"/>
    <w:rsid w:val="00C054FB"/>
    <w:rsid w:val="00C0666F"/>
    <w:rsid w:val="00C06836"/>
    <w:rsid w:val="00C06A0C"/>
    <w:rsid w:val="00C1333C"/>
    <w:rsid w:val="00C13814"/>
    <w:rsid w:val="00C14D99"/>
    <w:rsid w:val="00C15A39"/>
    <w:rsid w:val="00C267D9"/>
    <w:rsid w:val="00C26CE7"/>
    <w:rsid w:val="00C27A0A"/>
    <w:rsid w:val="00C324F4"/>
    <w:rsid w:val="00C33BF7"/>
    <w:rsid w:val="00C35CD9"/>
    <w:rsid w:val="00C400BA"/>
    <w:rsid w:val="00C42AD1"/>
    <w:rsid w:val="00C42AEE"/>
    <w:rsid w:val="00C435BE"/>
    <w:rsid w:val="00C43D6B"/>
    <w:rsid w:val="00C44AEF"/>
    <w:rsid w:val="00C4560E"/>
    <w:rsid w:val="00C4749C"/>
    <w:rsid w:val="00C51512"/>
    <w:rsid w:val="00C51D66"/>
    <w:rsid w:val="00C5257B"/>
    <w:rsid w:val="00C52A27"/>
    <w:rsid w:val="00C57611"/>
    <w:rsid w:val="00C616B9"/>
    <w:rsid w:val="00C61D29"/>
    <w:rsid w:val="00C62574"/>
    <w:rsid w:val="00C62BD9"/>
    <w:rsid w:val="00C655C7"/>
    <w:rsid w:val="00C72359"/>
    <w:rsid w:val="00C76BAC"/>
    <w:rsid w:val="00C812AF"/>
    <w:rsid w:val="00C8135E"/>
    <w:rsid w:val="00C81D30"/>
    <w:rsid w:val="00C844A5"/>
    <w:rsid w:val="00C84E13"/>
    <w:rsid w:val="00C84EA3"/>
    <w:rsid w:val="00C85547"/>
    <w:rsid w:val="00C8566D"/>
    <w:rsid w:val="00C858DD"/>
    <w:rsid w:val="00C87E66"/>
    <w:rsid w:val="00C90B76"/>
    <w:rsid w:val="00C911A5"/>
    <w:rsid w:val="00C92D52"/>
    <w:rsid w:val="00C92E21"/>
    <w:rsid w:val="00C94614"/>
    <w:rsid w:val="00C95979"/>
    <w:rsid w:val="00CA1764"/>
    <w:rsid w:val="00CA37E3"/>
    <w:rsid w:val="00CA3C7B"/>
    <w:rsid w:val="00CA66BD"/>
    <w:rsid w:val="00CA79F0"/>
    <w:rsid w:val="00CAA8D8"/>
    <w:rsid w:val="00CB1168"/>
    <w:rsid w:val="00CB4B4E"/>
    <w:rsid w:val="00CB506C"/>
    <w:rsid w:val="00CB59BB"/>
    <w:rsid w:val="00CB6587"/>
    <w:rsid w:val="00CB6BB8"/>
    <w:rsid w:val="00CB6F5E"/>
    <w:rsid w:val="00CB78BC"/>
    <w:rsid w:val="00CB7CDC"/>
    <w:rsid w:val="00CC27E9"/>
    <w:rsid w:val="00CC4875"/>
    <w:rsid w:val="00CC5C9B"/>
    <w:rsid w:val="00CC5D7E"/>
    <w:rsid w:val="00CC61CF"/>
    <w:rsid w:val="00CC69CB"/>
    <w:rsid w:val="00CC7355"/>
    <w:rsid w:val="00CD05DF"/>
    <w:rsid w:val="00CD12A4"/>
    <w:rsid w:val="00CD14BB"/>
    <w:rsid w:val="00CD1B88"/>
    <w:rsid w:val="00CD2474"/>
    <w:rsid w:val="00CD2C2A"/>
    <w:rsid w:val="00CD3015"/>
    <w:rsid w:val="00CD42FF"/>
    <w:rsid w:val="00CD63E7"/>
    <w:rsid w:val="00CD715C"/>
    <w:rsid w:val="00CD7B2B"/>
    <w:rsid w:val="00CE0486"/>
    <w:rsid w:val="00CE2ACA"/>
    <w:rsid w:val="00CE5761"/>
    <w:rsid w:val="00CE71B9"/>
    <w:rsid w:val="00CE7851"/>
    <w:rsid w:val="00CF03FA"/>
    <w:rsid w:val="00CF06CD"/>
    <w:rsid w:val="00CF0ECC"/>
    <w:rsid w:val="00CF11F6"/>
    <w:rsid w:val="00CF1325"/>
    <w:rsid w:val="00CF1FC5"/>
    <w:rsid w:val="00CF36A2"/>
    <w:rsid w:val="00CF3F98"/>
    <w:rsid w:val="00CF458C"/>
    <w:rsid w:val="00CF4D04"/>
    <w:rsid w:val="00CF4D05"/>
    <w:rsid w:val="00CF64ED"/>
    <w:rsid w:val="00CF7A53"/>
    <w:rsid w:val="00CF7FDB"/>
    <w:rsid w:val="00D00017"/>
    <w:rsid w:val="00D00202"/>
    <w:rsid w:val="00D00702"/>
    <w:rsid w:val="00D01EB5"/>
    <w:rsid w:val="00D03F5A"/>
    <w:rsid w:val="00D05458"/>
    <w:rsid w:val="00D05ED9"/>
    <w:rsid w:val="00D077F2"/>
    <w:rsid w:val="00D1035B"/>
    <w:rsid w:val="00D103DB"/>
    <w:rsid w:val="00D125E2"/>
    <w:rsid w:val="00D12BE1"/>
    <w:rsid w:val="00D15130"/>
    <w:rsid w:val="00D153CC"/>
    <w:rsid w:val="00D20AA2"/>
    <w:rsid w:val="00D20CA6"/>
    <w:rsid w:val="00D2116D"/>
    <w:rsid w:val="00D22E63"/>
    <w:rsid w:val="00D23548"/>
    <w:rsid w:val="00D24D68"/>
    <w:rsid w:val="00D24E61"/>
    <w:rsid w:val="00D25D3C"/>
    <w:rsid w:val="00D30589"/>
    <w:rsid w:val="00D31818"/>
    <w:rsid w:val="00D32A07"/>
    <w:rsid w:val="00D34AE8"/>
    <w:rsid w:val="00D35585"/>
    <w:rsid w:val="00D41067"/>
    <w:rsid w:val="00D4377F"/>
    <w:rsid w:val="00D443B8"/>
    <w:rsid w:val="00D456A7"/>
    <w:rsid w:val="00D456D3"/>
    <w:rsid w:val="00D46C6C"/>
    <w:rsid w:val="00D46ED7"/>
    <w:rsid w:val="00D4724A"/>
    <w:rsid w:val="00D500B9"/>
    <w:rsid w:val="00D505AC"/>
    <w:rsid w:val="00D51401"/>
    <w:rsid w:val="00D51918"/>
    <w:rsid w:val="00D5280C"/>
    <w:rsid w:val="00D535EF"/>
    <w:rsid w:val="00D53786"/>
    <w:rsid w:val="00D53F99"/>
    <w:rsid w:val="00D54266"/>
    <w:rsid w:val="00D55475"/>
    <w:rsid w:val="00D555EA"/>
    <w:rsid w:val="00D5591A"/>
    <w:rsid w:val="00D574CA"/>
    <w:rsid w:val="00D57B89"/>
    <w:rsid w:val="00D60D01"/>
    <w:rsid w:val="00D617D4"/>
    <w:rsid w:val="00D61B1A"/>
    <w:rsid w:val="00D630F2"/>
    <w:rsid w:val="00D640F9"/>
    <w:rsid w:val="00D646FA"/>
    <w:rsid w:val="00D647B1"/>
    <w:rsid w:val="00D65516"/>
    <w:rsid w:val="00D70729"/>
    <w:rsid w:val="00D71B92"/>
    <w:rsid w:val="00D72AB7"/>
    <w:rsid w:val="00D7329E"/>
    <w:rsid w:val="00D73AE7"/>
    <w:rsid w:val="00D7452A"/>
    <w:rsid w:val="00D74825"/>
    <w:rsid w:val="00D7798E"/>
    <w:rsid w:val="00D80109"/>
    <w:rsid w:val="00D80FBB"/>
    <w:rsid w:val="00D83709"/>
    <w:rsid w:val="00D83798"/>
    <w:rsid w:val="00D8498B"/>
    <w:rsid w:val="00D856AD"/>
    <w:rsid w:val="00D85B13"/>
    <w:rsid w:val="00D862E4"/>
    <w:rsid w:val="00D874DB"/>
    <w:rsid w:val="00D9004B"/>
    <w:rsid w:val="00D911E7"/>
    <w:rsid w:val="00D92CF0"/>
    <w:rsid w:val="00D94D7C"/>
    <w:rsid w:val="00D94DEA"/>
    <w:rsid w:val="00D9582C"/>
    <w:rsid w:val="00D95DD0"/>
    <w:rsid w:val="00D977B4"/>
    <w:rsid w:val="00DA0266"/>
    <w:rsid w:val="00DA085F"/>
    <w:rsid w:val="00DA0898"/>
    <w:rsid w:val="00DA0C17"/>
    <w:rsid w:val="00DA1114"/>
    <w:rsid w:val="00DA16B7"/>
    <w:rsid w:val="00DA186F"/>
    <w:rsid w:val="00DA210A"/>
    <w:rsid w:val="00DA3AAA"/>
    <w:rsid w:val="00DA6157"/>
    <w:rsid w:val="00DA6158"/>
    <w:rsid w:val="00DA6260"/>
    <w:rsid w:val="00DB1203"/>
    <w:rsid w:val="00DB3F72"/>
    <w:rsid w:val="00DB45EF"/>
    <w:rsid w:val="00DB6C35"/>
    <w:rsid w:val="00DB70ED"/>
    <w:rsid w:val="00DC43F1"/>
    <w:rsid w:val="00DC5C61"/>
    <w:rsid w:val="00DC64ED"/>
    <w:rsid w:val="00DC76B4"/>
    <w:rsid w:val="00DC7AAB"/>
    <w:rsid w:val="00DD02E3"/>
    <w:rsid w:val="00DD1360"/>
    <w:rsid w:val="00DD39EB"/>
    <w:rsid w:val="00DD5B23"/>
    <w:rsid w:val="00DD607D"/>
    <w:rsid w:val="00DE0041"/>
    <w:rsid w:val="00DE03FB"/>
    <w:rsid w:val="00DE1574"/>
    <w:rsid w:val="00DE1B61"/>
    <w:rsid w:val="00DE2086"/>
    <w:rsid w:val="00DE2AA3"/>
    <w:rsid w:val="00DE3223"/>
    <w:rsid w:val="00DE41D6"/>
    <w:rsid w:val="00DE4260"/>
    <w:rsid w:val="00DF04B6"/>
    <w:rsid w:val="00DF0C6D"/>
    <w:rsid w:val="00DF1460"/>
    <w:rsid w:val="00DF2670"/>
    <w:rsid w:val="00DF5890"/>
    <w:rsid w:val="00DF58D3"/>
    <w:rsid w:val="00DF6BE4"/>
    <w:rsid w:val="00DF7A5B"/>
    <w:rsid w:val="00DF7CED"/>
    <w:rsid w:val="00E00AB6"/>
    <w:rsid w:val="00E014F9"/>
    <w:rsid w:val="00E01B2E"/>
    <w:rsid w:val="00E01BDA"/>
    <w:rsid w:val="00E01E07"/>
    <w:rsid w:val="00E03E97"/>
    <w:rsid w:val="00E045EA"/>
    <w:rsid w:val="00E05A45"/>
    <w:rsid w:val="00E112F6"/>
    <w:rsid w:val="00E13302"/>
    <w:rsid w:val="00E13F06"/>
    <w:rsid w:val="00E14E5C"/>
    <w:rsid w:val="00E16B38"/>
    <w:rsid w:val="00E17308"/>
    <w:rsid w:val="00E200BC"/>
    <w:rsid w:val="00E23F7E"/>
    <w:rsid w:val="00E24BA5"/>
    <w:rsid w:val="00E253EE"/>
    <w:rsid w:val="00E256E5"/>
    <w:rsid w:val="00E25720"/>
    <w:rsid w:val="00E25B02"/>
    <w:rsid w:val="00E26E78"/>
    <w:rsid w:val="00E319E4"/>
    <w:rsid w:val="00E33D24"/>
    <w:rsid w:val="00E33F72"/>
    <w:rsid w:val="00E35FF4"/>
    <w:rsid w:val="00E368BA"/>
    <w:rsid w:val="00E37E42"/>
    <w:rsid w:val="00E411E5"/>
    <w:rsid w:val="00E41218"/>
    <w:rsid w:val="00E413A6"/>
    <w:rsid w:val="00E4149A"/>
    <w:rsid w:val="00E41F6B"/>
    <w:rsid w:val="00E4272F"/>
    <w:rsid w:val="00E42C3F"/>
    <w:rsid w:val="00E42E53"/>
    <w:rsid w:val="00E43AA3"/>
    <w:rsid w:val="00E442A5"/>
    <w:rsid w:val="00E44BE5"/>
    <w:rsid w:val="00E45760"/>
    <w:rsid w:val="00E457CE"/>
    <w:rsid w:val="00E459F7"/>
    <w:rsid w:val="00E45BEB"/>
    <w:rsid w:val="00E46B28"/>
    <w:rsid w:val="00E47528"/>
    <w:rsid w:val="00E53F53"/>
    <w:rsid w:val="00E5413A"/>
    <w:rsid w:val="00E54549"/>
    <w:rsid w:val="00E54EFF"/>
    <w:rsid w:val="00E5789F"/>
    <w:rsid w:val="00E60F62"/>
    <w:rsid w:val="00E624CD"/>
    <w:rsid w:val="00E637B1"/>
    <w:rsid w:val="00E638EE"/>
    <w:rsid w:val="00E65C1B"/>
    <w:rsid w:val="00E6690D"/>
    <w:rsid w:val="00E72765"/>
    <w:rsid w:val="00E74CFD"/>
    <w:rsid w:val="00E75780"/>
    <w:rsid w:val="00E75E82"/>
    <w:rsid w:val="00E76457"/>
    <w:rsid w:val="00E77F50"/>
    <w:rsid w:val="00E833C5"/>
    <w:rsid w:val="00E84392"/>
    <w:rsid w:val="00E84EDD"/>
    <w:rsid w:val="00E875CE"/>
    <w:rsid w:val="00E90447"/>
    <w:rsid w:val="00E92E1A"/>
    <w:rsid w:val="00E93625"/>
    <w:rsid w:val="00E940F7"/>
    <w:rsid w:val="00E967AC"/>
    <w:rsid w:val="00E96C4C"/>
    <w:rsid w:val="00E97D8B"/>
    <w:rsid w:val="00EA01BF"/>
    <w:rsid w:val="00EA0862"/>
    <w:rsid w:val="00EA2588"/>
    <w:rsid w:val="00EA3662"/>
    <w:rsid w:val="00EA38AF"/>
    <w:rsid w:val="00EA41D7"/>
    <w:rsid w:val="00EA5228"/>
    <w:rsid w:val="00EA54AB"/>
    <w:rsid w:val="00EB0FF9"/>
    <w:rsid w:val="00EB24F9"/>
    <w:rsid w:val="00EB4143"/>
    <w:rsid w:val="00EB431F"/>
    <w:rsid w:val="00EB4F43"/>
    <w:rsid w:val="00EB5B02"/>
    <w:rsid w:val="00EB61D8"/>
    <w:rsid w:val="00EB67AC"/>
    <w:rsid w:val="00EB6966"/>
    <w:rsid w:val="00EB7C5C"/>
    <w:rsid w:val="00EB7E7D"/>
    <w:rsid w:val="00EC09F1"/>
    <w:rsid w:val="00EC1BA7"/>
    <w:rsid w:val="00EC1D75"/>
    <w:rsid w:val="00EC24FD"/>
    <w:rsid w:val="00EC2699"/>
    <w:rsid w:val="00EC342E"/>
    <w:rsid w:val="00EC422C"/>
    <w:rsid w:val="00EC5A19"/>
    <w:rsid w:val="00EC6A8B"/>
    <w:rsid w:val="00EC7225"/>
    <w:rsid w:val="00ED22FA"/>
    <w:rsid w:val="00ED3BF4"/>
    <w:rsid w:val="00ED3DE3"/>
    <w:rsid w:val="00ED5291"/>
    <w:rsid w:val="00ED537C"/>
    <w:rsid w:val="00ED6678"/>
    <w:rsid w:val="00ED66E9"/>
    <w:rsid w:val="00ED681C"/>
    <w:rsid w:val="00ED6C07"/>
    <w:rsid w:val="00ED76E6"/>
    <w:rsid w:val="00ED7B31"/>
    <w:rsid w:val="00EE28B8"/>
    <w:rsid w:val="00EE3893"/>
    <w:rsid w:val="00EE3BA2"/>
    <w:rsid w:val="00EE4A6C"/>
    <w:rsid w:val="00EE51BD"/>
    <w:rsid w:val="00EE52D4"/>
    <w:rsid w:val="00EE54AA"/>
    <w:rsid w:val="00EE6706"/>
    <w:rsid w:val="00EE69FF"/>
    <w:rsid w:val="00EF033F"/>
    <w:rsid w:val="00EF37AC"/>
    <w:rsid w:val="00EF4C72"/>
    <w:rsid w:val="00EF5225"/>
    <w:rsid w:val="00EF6FB2"/>
    <w:rsid w:val="00F00836"/>
    <w:rsid w:val="00F018C4"/>
    <w:rsid w:val="00F02D14"/>
    <w:rsid w:val="00F033D7"/>
    <w:rsid w:val="00F03FD6"/>
    <w:rsid w:val="00F072A9"/>
    <w:rsid w:val="00F1034F"/>
    <w:rsid w:val="00F1181C"/>
    <w:rsid w:val="00F12F7B"/>
    <w:rsid w:val="00F134E7"/>
    <w:rsid w:val="00F15D9D"/>
    <w:rsid w:val="00F166E5"/>
    <w:rsid w:val="00F175D6"/>
    <w:rsid w:val="00F20675"/>
    <w:rsid w:val="00F215BB"/>
    <w:rsid w:val="00F23B05"/>
    <w:rsid w:val="00F23EC1"/>
    <w:rsid w:val="00F240AD"/>
    <w:rsid w:val="00F25527"/>
    <w:rsid w:val="00F25B60"/>
    <w:rsid w:val="00F30975"/>
    <w:rsid w:val="00F30BA5"/>
    <w:rsid w:val="00F334FD"/>
    <w:rsid w:val="00F340B8"/>
    <w:rsid w:val="00F34259"/>
    <w:rsid w:val="00F36270"/>
    <w:rsid w:val="00F37C95"/>
    <w:rsid w:val="00F37ED2"/>
    <w:rsid w:val="00F40EBF"/>
    <w:rsid w:val="00F41A5B"/>
    <w:rsid w:val="00F42C7E"/>
    <w:rsid w:val="00F43AFB"/>
    <w:rsid w:val="00F450EF"/>
    <w:rsid w:val="00F47D9C"/>
    <w:rsid w:val="00F52B65"/>
    <w:rsid w:val="00F5475C"/>
    <w:rsid w:val="00F553AB"/>
    <w:rsid w:val="00F55866"/>
    <w:rsid w:val="00F55FA2"/>
    <w:rsid w:val="00F56A74"/>
    <w:rsid w:val="00F57FDB"/>
    <w:rsid w:val="00F616CC"/>
    <w:rsid w:val="00F62A8A"/>
    <w:rsid w:val="00F62D9D"/>
    <w:rsid w:val="00F63FDF"/>
    <w:rsid w:val="00F65FA3"/>
    <w:rsid w:val="00F66111"/>
    <w:rsid w:val="00F662B3"/>
    <w:rsid w:val="00F6750D"/>
    <w:rsid w:val="00F67699"/>
    <w:rsid w:val="00F67BB2"/>
    <w:rsid w:val="00F712F9"/>
    <w:rsid w:val="00F7607E"/>
    <w:rsid w:val="00F7693A"/>
    <w:rsid w:val="00F7798B"/>
    <w:rsid w:val="00F83478"/>
    <w:rsid w:val="00F83611"/>
    <w:rsid w:val="00F838B3"/>
    <w:rsid w:val="00F86215"/>
    <w:rsid w:val="00F90B28"/>
    <w:rsid w:val="00F91FC7"/>
    <w:rsid w:val="00F95991"/>
    <w:rsid w:val="00F96439"/>
    <w:rsid w:val="00F978F9"/>
    <w:rsid w:val="00FA0A8A"/>
    <w:rsid w:val="00FA1118"/>
    <w:rsid w:val="00FA279D"/>
    <w:rsid w:val="00FA27F3"/>
    <w:rsid w:val="00FA3F96"/>
    <w:rsid w:val="00FA42F5"/>
    <w:rsid w:val="00FA440B"/>
    <w:rsid w:val="00FA4819"/>
    <w:rsid w:val="00FA5483"/>
    <w:rsid w:val="00FA7B90"/>
    <w:rsid w:val="00FB02A8"/>
    <w:rsid w:val="00FB1EFB"/>
    <w:rsid w:val="00FB2954"/>
    <w:rsid w:val="00FB36B5"/>
    <w:rsid w:val="00FB45A6"/>
    <w:rsid w:val="00FB4BE4"/>
    <w:rsid w:val="00FB4DB6"/>
    <w:rsid w:val="00FB56A3"/>
    <w:rsid w:val="00FB6806"/>
    <w:rsid w:val="00FB6D73"/>
    <w:rsid w:val="00FC262A"/>
    <w:rsid w:val="00FC5FB8"/>
    <w:rsid w:val="00FC670D"/>
    <w:rsid w:val="00FC7FD9"/>
    <w:rsid w:val="00FD1ACF"/>
    <w:rsid w:val="00FD37F2"/>
    <w:rsid w:val="00FD5197"/>
    <w:rsid w:val="00FD5285"/>
    <w:rsid w:val="00FD6127"/>
    <w:rsid w:val="00FD69FE"/>
    <w:rsid w:val="00FD76D7"/>
    <w:rsid w:val="00FE13B6"/>
    <w:rsid w:val="00FE1D76"/>
    <w:rsid w:val="00FE3700"/>
    <w:rsid w:val="00FE372C"/>
    <w:rsid w:val="00FE4950"/>
    <w:rsid w:val="00FE57DF"/>
    <w:rsid w:val="00FE7369"/>
    <w:rsid w:val="00FF7777"/>
    <w:rsid w:val="00FF7820"/>
    <w:rsid w:val="04B17CA4"/>
    <w:rsid w:val="08FB8A52"/>
    <w:rsid w:val="0975EAAA"/>
    <w:rsid w:val="0C5E2140"/>
    <w:rsid w:val="1023CE0B"/>
    <w:rsid w:val="15DEFC3E"/>
    <w:rsid w:val="15E7969A"/>
    <w:rsid w:val="15F522F6"/>
    <w:rsid w:val="17B8E422"/>
    <w:rsid w:val="20901FFB"/>
    <w:rsid w:val="26CFAE2F"/>
    <w:rsid w:val="29E0C50D"/>
    <w:rsid w:val="2B42C598"/>
    <w:rsid w:val="2B66A920"/>
    <w:rsid w:val="2C46C041"/>
    <w:rsid w:val="2D2A4CBA"/>
    <w:rsid w:val="2EA2204C"/>
    <w:rsid w:val="31FD6347"/>
    <w:rsid w:val="371CF43B"/>
    <w:rsid w:val="3792DE9C"/>
    <w:rsid w:val="38785E12"/>
    <w:rsid w:val="39886C7F"/>
    <w:rsid w:val="40D34092"/>
    <w:rsid w:val="43116964"/>
    <w:rsid w:val="46831A57"/>
    <w:rsid w:val="4866DED7"/>
    <w:rsid w:val="4AD84CEE"/>
    <w:rsid w:val="4BA9A7AF"/>
    <w:rsid w:val="4D755AA9"/>
    <w:rsid w:val="4E483769"/>
    <w:rsid w:val="500061C5"/>
    <w:rsid w:val="50E0EED0"/>
    <w:rsid w:val="51D81402"/>
    <w:rsid w:val="52178227"/>
    <w:rsid w:val="5238A50F"/>
    <w:rsid w:val="54C7F12C"/>
    <w:rsid w:val="57CEA2A0"/>
    <w:rsid w:val="580374BF"/>
    <w:rsid w:val="5A818CB3"/>
    <w:rsid w:val="5AE45A7D"/>
    <w:rsid w:val="5B78A725"/>
    <w:rsid w:val="5E83D1AD"/>
    <w:rsid w:val="5F8DD31B"/>
    <w:rsid w:val="61A49AC8"/>
    <w:rsid w:val="61AAAD7C"/>
    <w:rsid w:val="62D23DF3"/>
    <w:rsid w:val="648CFD8B"/>
    <w:rsid w:val="6576E368"/>
    <w:rsid w:val="68E90484"/>
    <w:rsid w:val="719E7DAD"/>
    <w:rsid w:val="72464CF7"/>
    <w:rsid w:val="739D525D"/>
    <w:rsid w:val="7422DF72"/>
    <w:rsid w:val="74FB8158"/>
    <w:rsid w:val="767E5D3A"/>
    <w:rsid w:val="76BF66C3"/>
    <w:rsid w:val="78358334"/>
    <w:rsid w:val="7B54914F"/>
    <w:rsid w:val="7C2ABFDA"/>
    <w:rsid w:val="7D8E2E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511A1"/>
  <w15:docId w15:val="{7FE0CF41-D394-429B-934E-A04D6311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531DE"/>
    <w:rPr>
      <w:color w:val="808080"/>
    </w:rPr>
  </w:style>
  <w:style w:type="paragraph" w:styleId="Lijstalinea">
    <w:name w:val="List Paragraph"/>
    <w:basedOn w:val="Standaard"/>
    <w:uiPriority w:val="34"/>
    <w:qFormat/>
    <w:rsid w:val="00CA1764"/>
    <w:pPr>
      <w:ind w:left="720"/>
      <w:contextualSpacing/>
    </w:pPr>
  </w:style>
  <w:style w:type="paragraph" w:styleId="Voetnoottekst">
    <w:name w:val="footnote text"/>
    <w:basedOn w:val="Standaard"/>
    <w:link w:val="VoetnoottekstChar"/>
    <w:uiPriority w:val="99"/>
    <w:unhideWhenUsed/>
    <w:rsid w:val="004F6071"/>
    <w:rPr>
      <w:sz w:val="20"/>
      <w:szCs w:val="20"/>
    </w:rPr>
  </w:style>
  <w:style w:type="character" w:customStyle="1" w:styleId="VoetnoottekstChar">
    <w:name w:val="Voetnoottekst Char"/>
    <w:basedOn w:val="Standaardalinea-lettertype"/>
    <w:link w:val="Voetnoottekst"/>
    <w:uiPriority w:val="99"/>
    <w:rsid w:val="004F6071"/>
    <w:rPr>
      <w:rFonts w:ascii="Univers" w:hAnsi="Univers"/>
    </w:rPr>
  </w:style>
  <w:style w:type="character" w:styleId="Voetnootmarkering">
    <w:name w:val="footnote reference"/>
    <w:basedOn w:val="Standaardalinea-lettertype"/>
    <w:uiPriority w:val="99"/>
    <w:unhideWhenUsed/>
    <w:rsid w:val="004F6071"/>
    <w:rPr>
      <w:vertAlign w:val="superscript"/>
    </w:rPr>
  </w:style>
  <w:style w:type="paragraph" w:styleId="Tekstopmerking">
    <w:name w:val="annotation text"/>
    <w:basedOn w:val="Standaard"/>
    <w:link w:val="TekstopmerkingChar"/>
    <w:uiPriority w:val="99"/>
    <w:semiHidden/>
    <w:unhideWhenUsed/>
    <w:rsid w:val="00AD544C"/>
    <w:rPr>
      <w:sz w:val="20"/>
      <w:szCs w:val="20"/>
    </w:rPr>
  </w:style>
  <w:style w:type="character" w:customStyle="1" w:styleId="TekstopmerkingChar">
    <w:name w:val="Tekst opmerking Char"/>
    <w:basedOn w:val="Standaardalinea-lettertype"/>
    <w:link w:val="Tekstopmerking"/>
    <w:uiPriority w:val="99"/>
    <w:semiHidden/>
    <w:rsid w:val="00AD544C"/>
    <w:rPr>
      <w:rFonts w:ascii="Univers" w:hAnsi="Univers"/>
    </w:rPr>
  </w:style>
  <w:style w:type="character" w:styleId="Verwijzingopmerking">
    <w:name w:val="annotation reference"/>
    <w:basedOn w:val="Standaardalinea-lettertype"/>
    <w:uiPriority w:val="99"/>
    <w:semiHidden/>
    <w:unhideWhenUsed/>
    <w:rsid w:val="00AD544C"/>
    <w:rPr>
      <w:sz w:val="16"/>
      <w:szCs w:val="16"/>
    </w:rPr>
  </w:style>
  <w:style w:type="paragraph" w:styleId="Onderwerpvanopmerking">
    <w:name w:val="annotation subject"/>
    <w:basedOn w:val="Tekstopmerking"/>
    <w:next w:val="Tekstopmerking"/>
    <w:link w:val="OnderwerpvanopmerkingChar"/>
    <w:uiPriority w:val="99"/>
    <w:semiHidden/>
    <w:unhideWhenUsed/>
    <w:rsid w:val="00AD544C"/>
    <w:rPr>
      <w:b/>
      <w:bCs/>
    </w:rPr>
  </w:style>
  <w:style w:type="character" w:customStyle="1" w:styleId="OnderwerpvanopmerkingChar">
    <w:name w:val="Onderwerp van opmerking Char"/>
    <w:basedOn w:val="TekstopmerkingChar"/>
    <w:link w:val="Onderwerpvanopmerking"/>
    <w:uiPriority w:val="99"/>
    <w:semiHidden/>
    <w:rsid w:val="00AD544C"/>
    <w:rPr>
      <w:rFonts w:ascii="Univers" w:hAnsi="Univers"/>
      <w:b/>
      <w:bCs/>
    </w:rPr>
  </w:style>
  <w:style w:type="paragraph" w:styleId="Revisie">
    <w:name w:val="Revision"/>
    <w:hidden/>
    <w:uiPriority w:val="99"/>
    <w:semiHidden/>
    <w:rsid w:val="00B00F70"/>
    <w:rPr>
      <w:rFonts w:ascii="Univers" w:hAnsi="Univers"/>
      <w:sz w:val="22"/>
      <w:szCs w:val="24"/>
    </w:rPr>
  </w:style>
  <w:style w:type="character" w:styleId="Hyperlink">
    <w:name w:val="Hyperlink"/>
    <w:basedOn w:val="Standaardalinea-lettertype"/>
    <w:uiPriority w:val="99"/>
    <w:semiHidden/>
    <w:unhideWhenUsed/>
    <w:rsid w:val="00B00F70"/>
    <w:rPr>
      <w:color w:val="0000FF"/>
      <w:u w:val="single"/>
    </w:rPr>
  </w:style>
  <w:style w:type="character" w:styleId="GevolgdeHyperlink">
    <w:name w:val="FollowedHyperlink"/>
    <w:basedOn w:val="Standaardalinea-lettertype"/>
    <w:uiPriority w:val="99"/>
    <w:semiHidden/>
    <w:unhideWhenUsed/>
    <w:rsid w:val="00B00F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39339">
      <w:bodyDiv w:val="1"/>
      <w:marLeft w:val="0"/>
      <w:marRight w:val="0"/>
      <w:marTop w:val="0"/>
      <w:marBottom w:val="0"/>
      <w:divBdr>
        <w:top w:val="none" w:sz="0" w:space="0" w:color="auto"/>
        <w:left w:val="none" w:sz="0" w:space="0" w:color="auto"/>
        <w:bottom w:val="none" w:sz="0" w:space="0" w:color="auto"/>
        <w:right w:val="none" w:sz="0" w:space="0" w:color="auto"/>
      </w:divBdr>
    </w:div>
    <w:div w:id="1470366969">
      <w:bodyDiv w:val="1"/>
      <w:marLeft w:val="0"/>
      <w:marRight w:val="0"/>
      <w:marTop w:val="0"/>
      <w:marBottom w:val="0"/>
      <w:divBdr>
        <w:top w:val="none" w:sz="0" w:space="0" w:color="auto"/>
        <w:left w:val="none" w:sz="0" w:space="0" w:color="auto"/>
        <w:bottom w:val="none" w:sz="0" w:space="0" w:color="auto"/>
        <w:right w:val="none" w:sz="0" w:space="0" w:color="auto"/>
      </w:divBdr>
    </w:div>
    <w:div w:id="2122529551">
      <w:bodyDiv w:val="1"/>
      <w:marLeft w:val="0"/>
      <w:marRight w:val="0"/>
      <w:marTop w:val="0"/>
      <w:marBottom w:val="0"/>
      <w:divBdr>
        <w:top w:val="none" w:sz="0" w:space="0" w:color="auto"/>
        <w:left w:val="none" w:sz="0" w:space="0" w:color="auto"/>
        <w:bottom w:val="none" w:sz="0" w:space="0" w:color="auto"/>
        <w:right w:val="none" w:sz="0" w:space="0" w:color="auto"/>
      </w:divBdr>
      <w:divsChild>
        <w:div w:id="625165318">
          <w:marLeft w:val="0"/>
          <w:marRight w:val="0"/>
          <w:marTop w:val="0"/>
          <w:marBottom w:val="0"/>
          <w:divBdr>
            <w:top w:val="none" w:sz="0" w:space="0" w:color="auto"/>
            <w:left w:val="none" w:sz="0" w:space="0" w:color="auto"/>
            <w:bottom w:val="none" w:sz="0" w:space="0" w:color="auto"/>
            <w:right w:val="none" w:sz="0" w:space="0" w:color="auto"/>
          </w:divBdr>
          <w:divsChild>
            <w:div w:id="20359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E1D17F2F-8BCF-401D-BC01-D79F6E6B2FBC}"/>
      </w:docPartPr>
      <w:docPartBody>
        <w:p w:rsidR="00F83786" w:rsidRDefault="00950C93">
          <w:r w:rsidRPr="00B92E1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93"/>
    <w:rsid w:val="00054819"/>
    <w:rsid w:val="008258BE"/>
    <w:rsid w:val="008B0B0D"/>
    <w:rsid w:val="008F2B61"/>
    <w:rsid w:val="00950C93"/>
    <w:rsid w:val="009E0C3D"/>
    <w:rsid w:val="00C15668"/>
    <w:rsid w:val="00F10D15"/>
    <w:rsid w:val="00F837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50C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1641</ap:Words>
  <ap:Characters>9788</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2023-02-09T11:22:00.0000000Z</lastPrinted>
  <dcterms:created xsi:type="dcterms:W3CDTF">2023-10-04T12:48:00.0000000Z</dcterms:created>
  <dcterms:modified xsi:type="dcterms:W3CDTF">2023-10-04T12:48:00.0000000Z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W06.22.00173/III</vt:lpwstr>
  </property>
  <property fmtid="{D5CDD505-2E9C-101B-9397-08002B2CF9AE}" pid="5" name="zaaktype">
    <vt:lpwstr>WET</vt:lpwstr>
  </property>
  <property fmtid="{D5CDD505-2E9C-101B-9397-08002B2CF9AE}" pid="6" name="ContentTypeId">
    <vt:lpwstr>0x010100FA5A77795FEADA4EA512273036134446006F5261B05774284CBEDE2C089C14F71F</vt:lpwstr>
  </property>
  <property fmtid="{D5CDD505-2E9C-101B-9397-08002B2CF9AE}" pid="7" name="_dlc_DocIdItemGuid">
    <vt:lpwstr>6c0ff3d3-fbae-4ac6-bc8c-3ca9f5892172</vt:lpwstr>
  </property>
  <property fmtid="{D5CDD505-2E9C-101B-9397-08002B2CF9AE}" pid="8" name="RedactioneleBijlage">
    <vt:lpwstr>Nee</vt:lpwstr>
  </property>
  <property fmtid="{D5CDD505-2E9C-101B-9397-08002B2CF9AE}" pid="9" name="dictum">
    <vt:lpwstr>C</vt:lpwstr>
  </property>
  <property fmtid="{D5CDD505-2E9C-101B-9397-08002B2CF9AE}" pid="10" name="onderdeel">
    <vt:lpwstr>Advies</vt:lpwstr>
  </property>
  <property fmtid="{D5CDD505-2E9C-101B-9397-08002B2CF9AE}" pid="11" name="DocumentSetDescription">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Order">
    <vt:r8>3200</vt:r8>
  </property>
  <property fmtid="{D5CDD505-2E9C-101B-9397-08002B2CF9AE}" pid="19" name="processtap">
    <vt:lpwstr>Advies (ter ondertekening)</vt:lpwstr>
  </property>
</Properties>
</file>