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A84AF8" w:rsidTr="00A84AF8" w14:paraId="3B98D150" w14:textId="77777777">
        <w:bookmarkStart w:name="_GoBack" w:displacedByCustomXml="next" w:id="0"/>
        <w:bookmarkEnd w:displacedByCustomXml="next" w:id="0"/>
        <w:sdt>
          <w:sdtPr>
            <w:tag w:val="bmZaakNummerAdvies"/>
            <w:id w:val="1235440053"/>
            <w:lock w:val="sdtLocked"/>
            <w:placeholder>
              <w:docPart w:val="DefaultPlaceholder_-1854013440"/>
            </w:placeholder>
          </w:sdtPr>
          <w:sdtEndPr/>
          <w:sdtContent>
            <w:tc>
              <w:tcPr>
                <w:tcW w:w="4251" w:type="dxa"/>
              </w:tcPr>
              <w:p w:rsidR="00A84AF8" w:rsidRDefault="00A84AF8" w14:paraId="6EF549FE" w14:textId="252E3FF6">
                <w:r>
                  <w:t>No. W16.22.00174/II</w:t>
                </w:r>
              </w:p>
            </w:tc>
          </w:sdtContent>
        </w:sdt>
        <w:sdt>
          <w:sdtPr>
            <w:tag w:val="bmDatumAdvies"/>
            <w:id w:val="-1017618641"/>
            <w:lock w:val="sdtLocked"/>
            <w:placeholder>
              <w:docPart w:val="DefaultPlaceholder_-1854013440"/>
            </w:placeholder>
          </w:sdtPr>
          <w:sdtEndPr/>
          <w:sdtContent>
            <w:tc>
              <w:tcPr>
                <w:tcW w:w="4252" w:type="dxa"/>
              </w:tcPr>
              <w:p w:rsidR="00A84AF8" w:rsidRDefault="00A84AF8" w14:paraId="53248896" w14:textId="7567FFD5">
                <w:r>
                  <w:t>'s-Gravenhage, 2</w:t>
                </w:r>
                <w:r w:rsidR="00F47DEF">
                  <w:t>2</w:t>
                </w:r>
                <w:r>
                  <w:t xml:space="preserve"> februari 2023</w:t>
                </w:r>
              </w:p>
            </w:tc>
          </w:sdtContent>
        </w:sdt>
      </w:tr>
    </w:tbl>
    <w:p w:rsidR="00A84AF8" w:rsidRDefault="00A84AF8" w14:paraId="7B93099F" w14:textId="77777777"/>
    <w:p w:rsidR="00A84AF8" w:rsidRDefault="00A84AF8" w14:paraId="37E20596" w14:textId="77777777"/>
    <w:p w:rsidR="00994A10" w:rsidRDefault="009C0F62" w14:paraId="0FA34868" w14:textId="5FD95176">
      <w:sdt>
        <w:sdtPr>
          <w:tag w:val="bmAanhef"/>
          <w:id w:val="-1392658304"/>
          <w:lock w:val="sdtLocked"/>
          <w:placeholder>
            <w:docPart w:val="DefaultPlaceholder_-1854013440"/>
          </w:placeholder>
        </w:sdtPr>
        <w:sdtEndPr/>
        <w:sdtContent>
          <w:r w:rsidR="00A84AF8">
            <w:rPr>
              <w:color w:val="000000"/>
            </w:rPr>
            <w:t>Bij Kabinetsmissive van 28 november 2022, no.2022002567, heeft Uwe Majesteit, op voordracht van de Staatssecretaris van Justitie en Veiligheid mede namens de Minister van Justitie en Veiligheid, bij de Afdeling advisering van de Raad van State ter overweging aanhangig gemaakt het voorstel van wet tot wijziging van het Wetboek van Strafrecht en het Wetboek van Strafrecht BES in verband met de verhoging van de wettelijke strafmaxima van mensensmokkel en de uitbreiding van de toepasselijkheid van de strafwet op mensensmokkel begaan buiten Nederland, met memorie van toelichting.</w:t>
          </w:r>
        </w:sdtContent>
      </w:sdt>
    </w:p>
    <w:p w:rsidR="00994A10" w:rsidRDefault="009C0F62" w14:paraId="0FA34869" w14:textId="77777777"/>
    <w:sdt>
      <w:sdtPr>
        <w:tag w:val="bmVrijeTekst1"/>
        <w:id w:val="773141390"/>
        <w:lock w:val="sdtLocked"/>
        <w:placeholder>
          <w:docPart w:val="DefaultPlaceholder_-1854013440"/>
        </w:placeholder>
      </w:sdtPr>
      <w:sdtEndPr/>
      <w:sdtContent>
        <w:p w:rsidR="0004479A" w:rsidRDefault="004D7A3D" w14:paraId="31738E3D" w14:textId="77777777">
          <w:r>
            <w:t>Het wetsvoorstel</w:t>
          </w:r>
          <w:r w:rsidR="009A6C1D">
            <w:t xml:space="preserve"> betreft een uitbreiding van de </w:t>
          </w:r>
          <w:r w:rsidR="00DC7621">
            <w:t xml:space="preserve">extraterritoriale </w:t>
          </w:r>
          <w:r w:rsidR="00B425F0">
            <w:t xml:space="preserve">rechtsmacht </w:t>
          </w:r>
          <w:r w:rsidR="00AF6432">
            <w:t>bij</w:t>
          </w:r>
          <w:r w:rsidR="00B425F0">
            <w:t xml:space="preserve"> mensensmokkel en </w:t>
          </w:r>
          <w:r w:rsidR="009A6C1D">
            <w:t xml:space="preserve">een verhoging van </w:t>
          </w:r>
          <w:r w:rsidR="00D13279">
            <w:t>de strafmaxima</w:t>
          </w:r>
          <w:r w:rsidR="00B425F0">
            <w:t xml:space="preserve"> </w:t>
          </w:r>
          <w:r w:rsidR="009A6C1D">
            <w:t>voor dit delict</w:t>
          </w:r>
          <w:r w:rsidR="00B425F0">
            <w:t xml:space="preserve">. </w:t>
          </w:r>
        </w:p>
        <w:p w:rsidR="0004479A" w:rsidRDefault="0004479A" w14:paraId="6F3C0F93" w14:textId="77777777"/>
        <w:p w:rsidR="004B131C" w:rsidRDefault="000C3A36" w14:paraId="23C8E3E0" w14:textId="77C1CF5A">
          <w:r>
            <w:t xml:space="preserve">De Afdeling </w:t>
          </w:r>
          <w:r w:rsidR="0004479A">
            <w:t xml:space="preserve">advisering van de Raad van State </w:t>
          </w:r>
          <w:r w:rsidR="00A133EB">
            <w:t xml:space="preserve">adviseert </w:t>
          </w:r>
          <w:r>
            <w:t>de gevolgen van dit wetsvoorstel voor</w:t>
          </w:r>
          <w:r w:rsidR="009A0411">
            <w:t xml:space="preserve"> de</w:t>
          </w:r>
          <w:r>
            <w:t xml:space="preserve"> reikwijdte van de rechtsmacht bij mensensmokkel</w:t>
          </w:r>
          <w:r w:rsidR="00A133EB">
            <w:t xml:space="preserve"> </w:t>
          </w:r>
          <w:r w:rsidR="000429C4">
            <w:t>te verduidelijken in de toelichting</w:t>
          </w:r>
          <w:r>
            <w:t>.</w:t>
          </w:r>
          <w:r w:rsidR="00B425F0">
            <w:t xml:space="preserve"> </w:t>
          </w:r>
          <w:r w:rsidR="009C6626">
            <w:t>E</w:t>
          </w:r>
          <w:r w:rsidR="0034733F">
            <w:t xml:space="preserve">en adequate aanpak van mensensmokkel binnen de </w:t>
          </w:r>
          <w:r w:rsidR="00FA1445">
            <w:t xml:space="preserve">Europese Unie (EU) </w:t>
          </w:r>
          <w:r w:rsidR="0034733F">
            <w:t xml:space="preserve">en de Schengenzone </w:t>
          </w:r>
          <w:r w:rsidR="00176C3B">
            <w:t xml:space="preserve">kan </w:t>
          </w:r>
          <w:r w:rsidR="0034733F">
            <w:t xml:space="preserve">de uitbreiding van de extraterritoriale rechtsmacht rechtvaardigen. </w:t>
          </w:r>
          <w:r w:rsidR="00176C3B">
            <w:t xml:space="preserve">De Afdeling </w:t>
          </w:r>
          <w:r w:rsidR="00595128">
            <w:t>adviseert echter de rechtsmacht niet verder</w:t>
          </w:r>
          <w:r w:rsidR="00C80692">
            <w:t xml:space="preserve"> uit te breiden </w:t>
          </w:r>
          <w:r w:rsidR="00595128">
            <w:t xml:space="preserve">dan </w:t>
          </w:r>
          <w:r w:rsidR="00BD60F7">
            <w:t xml:space="preserve">met het oog op nationale en Europese belangen </w:t>
          </w:r>
          <w:r w:rsidR="00DC4458">
            <w:t xml:space="preserve">noodzakelijk is. </w:t>
          </w:r>
          <w:r w:rsidR="000623FA">
            <w:t xml:space="preserve">Daarnaast </w:t>
          </w:r>
          <w:r w:rsidR="00176C3B">
            <w:t xml:space="preserve">is </w:t>
          </w:r>
          <w:r w:rsidR="000623FA">
            <w:t>de</w:t>
          </w:r>
          <w:r w:rsidR="00841BFC">
            <w:t xml:space="preserve"> verhoging van </w:t>
          </w:r>
          <w:r w:rsidR="00D13279">
            <w:t>de strafmaxima</w:t>
          </w:r>
          <w:r w:rsidR="00841BFC">
            <w:t xml:space="preserve"> onvoldoende</w:t>
          </w:r>
          <w:r w:rsidR="000623FA">
            <w:t xml:space="preserve"> </w:t>
          </w:r>
          <w:r w:rsidR="0004479A">
            <w:t xml:space="preserve">gemotiveerd </w:t>
          </w:r>
          <w:r w:rsidR="004B131C">
            <w:t>in de toelichting.</w:t>
          </w:r>
          <w:r w:rsidR="000623FA">
            <w:t xml:space="preserve"> </w:t>
          </w:r>
          <w:r w:rsidR="00610930">
            <w:t>Het voorstel voorziet bovendien niet in een evaluatie</w:t>
          </w:r>
          <w:r w:rsidR="0062689A">
            <w:t xml:space="preserve"> van de voorgestelde wijzigingen</w:t>
          </w:r>
          <w:r w:rsidR="00610930">
            <w:t>.</w:t>
          </w:r>
          <w:r w:rsidR="004B131C">
            <w:t xml:space="preserve"> </w:t>
          </w:r>
          <w:r w:rsidR="00CA7B4E">
            <w:t xml:space="preserve">In verband hiermee is aanpassing van het voorstel en de toelichting wenselijk. </w:t>
          </w:r>
        </w:p>
        <w:p w:rsidR="004B131C" w:rsidRDefault="004B131C" w14:paraId="4D19751E" w14:textId="77777777"/>
        <w:p w:rsidR="00841F83" w:rsidRDefault="004B131C" w14:paraId="6E45F085" w14:textId="5CECD73F">
          <w:r>
            <w:t xml:space="preserve">1. </w:t>
          </w:r>
          <w:r>
            <w:tab/>
          </w:r>
          <w:r w:rsidR="00AB2BDD">
            <w:rPr>
              <w:u w:val="single"/>
            </w:rPr>
            <w:t>Inhoud en achtergrond van het voorstel</w:t>
          </w:r>
          <w:r w:rsidR="005F1F9D">
            <w:t xml:space="preserve"> </w:t>
          </w:r>
        </w:p>
        <w:p w:rsidR="00841F83" w:rsidRDefault="00841F83" w14:paraId="32C6C7FE" w14:textId="7540A049"/>
        <w:p w:rsidR="00AB2BDD" w:rsidP="00AB2BDD" w:rsidRDefault="00AF5579" w14:paraId="19F0C75D" w14:textId="1DF6AB88">
          <w:r>
            <w:t xml:space="preserve">Het wetsvoorstel </w:t>
          </w:r>
          <w:r w:rsidR="0057512D">
            <w:t xml:space="preserve">beoogt </w:t>
          </w:r>
          <w:r w:rsidR="00677021">
            <w:t>mensensmokkel daadkrachtiger te voorkomen en te bestrijden.</w:t>
          </w:r>
          <w:r w:rsidR="00677021">
            <w:rPr>
              <w:rStyle w:val="Voetnootmarkering"/>
            </w:rPr>
            <w:footnoteReference w:id="2"/>
          </w:r>
          <w:r w:rsidR="00677021">
            <w:t xml:space="preserve"> </w:t>
          </w:r>
          <w:r w:rsidR="00B91BD3">
            <w:t>Van mensensmokkel is</w:t>
          </w:r>
          <w:r w:rsidR="001365A0">
            <w:t xml:space="preserve"> </w:t>
          </w:r>
          <w:r w:rsidR="00B91BD3">
            <w:t>sprake als iemand behulpzaam is bij</w:t>
          </w:r>
          <w:r w:rsidR="00065358">
            <w:t xml:space="preserve"> </w:t>
          </w:r>
          <w:r w:rsidR="0003318C">
            <w:t xml:space="preserve">het verschaffen van </w:t>
          </w:r>
          <w:r w:rsidR="00B91BD3">
            <w:t xml:space="preserve">illegale </w:t>
          </w:r>
          <w:r w:rsidR="0003318C">
            <w:t>toe</w:t>
          </w:r>
          <w:r w:rsidR="00B91BD3">
            <w:t>gang</w:t>
          </w:r>
          <w:r w:rsidR="00E72043">
            <w:t xml:space="preserve"> </w:t>
          </w:r>
          <w:r w:rsidR="0003318C">
            <w:t>tot</w:t>
          </w:r>
          <w:r w:rsidR="00E533B5">
            <w:t xml:space="preserve">, </w:t>
          </w:r>
          <w:r w:rsidR="00B91BD3">
            <w:t>doorreis</w:t>
          </w:r>
          <w:r w:rsidR="00E72043">
            <w:t xml:space="preserve"> </w:t>
          </w:r>
          <w:r w:rsidR="00E533B5">
            <w:t xml:space="preserve">door </w:t>
          </w:r>
          <w:r w:rsidR="00F93ABC">
            <w:t xml:space="preserve">of verblijf </w:t>
          </w:r>
          <w:r w:rsidR="00E72043">
            <w:t xml:space="preserve">in </w:t>
          </w:r>
          <w:r w:rsidR="00F93ABC">
            <w:t>Nederland</w:t>
          </w:r>
          <w:r w:rsidR="00850927">
            <w:t>, de EU</w:t>
          </w:r>
          <w:r w:rsidR="00F93ABC">
            <w:t xml:space="preserve"> of de</w:t>
          </w:r>
          <w:r w:rsidR="0056353C">
            <w:t xml:space="preserve"> andere</w:t>
          </w:r>
          <w:r w:rsidR="00F93ABC">
            <w:t xml:space="preserve"> landen die in </w:t>
          </w:r>
          <w:r w:rsidR="00626121">
            <w:t>de strafbaarstelling zijn opgenomen.</w:t>
          </w:r>
          <w:r w:rsidR="00D13279">
            <w:rPr>
              <w:rStyle w:val="Voetnootmarkering"/>
            </w:rPr>
            <w:footnoteReference w:id="3"/>
          </w:r>
          <w:r w:rsidR="00563BC2">
            <w:t xml:space="preserve"> Hieronder vallen ook </w:t>
          </w:r>
          <w:r w:rsidR="00111D4A">
            <w:t xml:space="preserve">landen die </w:t>
          </w:r>
          <w:r w:rsidR="008324D8">
            <w:t xml:space="preserve">het Protocol </w:t>
          </w:r>
          <w:r w:rsidRPr="00DF43AA" w:rsidR="008324D8">
            <w:t>tegen de smokkel van migranten over land, over zee en door de lucht</w:t>
          </w:r>
          <w:r w:rsidR="008324D8">
            <w:t xml:space="preserve"> </w:t>
          </w:r>
          <w:r w:rsidR="00AB6CBF">
            <w:t xml:space="preserve">(hierna: Protocol) </w:t>
          </w:r>
          <w:r w:rsidR="008324D8">
            <w:t>hebben geratificeerd.</w:t>
          </w:r>
          <w:r w:rsidR="00850927">
            <w:rPr>
              <w:rStyle w:val="Voetnootmarkering"/>
            </w:rPr>
            <w:footnoteReference w:id="4"/>
          </w:r>
          <w:r w:rsidR="00626121">
            <w:t xml:space="preserve"> </w:t>
          </w:r>
          <w:r w:rsidR="00AB2BDD">
            <w:t xml:space="preserve">Om de aanpak van mensensmokkel te versterken wordt </w:t>
          </w:r>
          <w:r w:rsidR="00EC6705">
            <w:t>de extraterritoriale rechtsmacht uitgebreid en</w:t>
          </w:r>
          <w:r w:rsidR="00D13279">
            <w:t xml:space="preserve"> worden</w:t>
          </w:r>
          <w:r w:rsidR="00EC6705">
            <w:t xml:space="preserve"> </w:t>
          </w:r>
          <w:r w:rsidR="00D13279">
            <w:t>de strafmaxima</w:t>
          </w:r>
          <w:r w:rsidR="00EC6705">
            <w:t xml:space="preserve"> verhoogd</w:t>
          </w:r>
          <w:r w:rsidR="001242B5">
            <w:t>.</w:t>
          </w:r>
        </w:p>
        <w:p w:rsidR="000D1BA0" w:rsidP="00AB2BDD" w:rsidRDefault="000D1BA0" w14:paraId="3845B104" w14:textId="77777777"/>
        <w:p w:rsidR="00CF5079" w:rsidP="00AB2BDD" w:rsidRDefault="000D1BA0" w14:paraId="6BC43778" w14:textId="54F13180">
          <w:r>
            <w:t xml:space="preserve">In de toelichting worden verschillende </w:t>
          </w:r>
          <w:r w:rsidR="00CF5079">
            <w:t>redenen</w:t>
          </w:r>
          <w:r>
            <w:t xml:space="preserve"> genoemd om de aanpak van mensensmokkel te </w:t>
          </w:r>
          <w:r w:rsidR="008D7168">
            <w:t>versterken.</w:t>
          </w:r>
          <w:r w:rsidR="006B7FAF">
            <w:rPr>
              <w:rStyle w:val="Voetnootmarkering"/>
            </w:rPr>
            <w:footnoteReference w:id="5"/>
          </w:r>
          <w:r w:rsidR="008D7168">
            <w:t xml:space="preserve"> Ten eerste ondermijnt mensensmokkel het migratiebeleid van Nederland en de EU. Dat is erop gericht dat binnen het Nederlandse respectievelijk Europese grondgebied enkel mensen verblijven die daartoe het recht hebben. </w:t>
          </w:r>
          <w:r w:rsidR="003D784F">
            <w:t>Verder</w:t>
          </w:r>
          <w:r w:rsidR="008D7168">
            <w:t xml:space="preserve"> wordt </w:t>
          </w:r>
          <w:r w:rsidR="004A470C">
            <w:t xml:space="preserve">in de toelichting </w:t>
          </w:r>
          <w:r w:rsidR="008D7168">
            <w:t xml:space="preserve">gewezen op de mensonterende praktijken </w:t>
          </w:r>
          <w:r w:rsidR="00F56D69">
            <w:t>die met mensensmokkel gepaard gaan</w:t>
          </w:r>
          <w:r w:rsidR="003D784F">
            <w:t>, waarbij slachtoffers in levensgevaarlijke situaties terecht komen.</w:t>
          </w:r>
          <w:r w:rsidR="00F56D69">
            <w:t xml:space="preserve"> </w:t>
          </w:r>
          <w:r w:rsidR="003D784F">
            <w:t xml:space="preserve">Mensensmokkelaars, </w:t>
          </w:r>
          <w:r w:rsidR="009C79BA">
            <w:t>vaak</w:t>
          </w:r>
          <w:r w:rsidR="003D784F">
            <w:t xml:space="preserve"> georganiseerd in criminele netwerken, verdienen veel geld aan deze </w:t>
          </w:r>
          <w:r w:rsidR="00636E73">
            <w:t>kwetsbare migranten</w:t>
          </w:r>
          <w:r w:rsidR="00CF5079">
            <w:t xml:space="preserve">. </w:t>
          </w:r>
        </w:p>
        <w:p w:rsidR="00CF5079" w:rsidP="00AB2BDD" w:rsidRDefault="00CF5079" w14:paraId="08F46676" w14:textId="77777777"/>
        <w:p w:rsidR="003B1CC4" w:rsidP="000D1BA0" w:rsidRDefault="00EA335C" w14:paraId="66DCED95" w14:textId="5D907577">
          <w:r>
            <w:t xml:space="preserve">De regering </w:t>
          </w:r>
          <w:r w:rsidR="00F2360F">
            <w:t xml:space="preserve">heeft het voorkomen van irreguliere migratie </w:t>
          </w:r>
          <w:r w:rsidR="00CA0DBA">
            <w:t xml:space="preserve">benoemd als een van de pijlers </w:t>
          </w:r>
          <w:r w:rsidR="003F2837">
            <w:t>van het migratiebeleid.</w:t>
          </w:r>
          <w:bookmarkStart w:name="_Hlk125655624" w:id="1"/>
          <w:r w:rsidR="003F2837">
            <w:rPr>
              <w:rStyle w:val="Voetnootmarkering"/>
            </w:rPr>
            <w:footnoteReference w:id="6"/>
          </w:r>
          <w:bookmarkEnd w:id="1"/>
          <w:r w:rsidR="00465A2C">
            <w:t xml:space="preserve"> Het bestrijden van mensensmokkel </w:t>
          </w:r>
          <w:r w:rsidR="005B3899">
            <w:t>is daar volgens de toelichting een belangrijk onderdeel van.</w:t>
          </w:r>
          <w:bookmarkStart w:name="_Hlk125032927" w:id="2"/>
          <w:r w:rsidR="005B3899">
            <w:t xml:space="preserve"> H</w:t>
          </w:r>
          <w:r w:rsidR="000D1BA0">
            <w:t>et delict is aantrekkelijk vanwege de hoge opbrengst, een geringe pakkans en de verhoudingsgewijs lage straffen. Dit voorstel wil het mogelijk maken om een aangescherpt opsporings- en strafvorderingsbeleid te voeren en hogere straffen op te leggen.</w:t>
          </w:r>
          <w:r w:rsidR="000D1BA0">
            <w:rPr>
              <w:rStyle w:val="Voetnootmarkering"/>
            </w:rPr>
            <w:footnoteReference w:id="7"/>
          </w:r>
          <w:r w:rsidR="0015407C">
            <w:t xml:space="preserve"> </w:t>
          </w:r>
          <w:r w:rsidR="00447A7C">
            <w:t xml:space="preserve">In het Coalitieakkoord </w:t>
          </w:r>
          <w:r w:rsidR="00EC0931">
            <w:t xml:space="preserve">is opgenomen </w:t>
          </w:r>
          <w:r w:rsidR="00777957">
            <w:t xml:space="preserve">dat </w:t>
          </w:r>
          <w:r w:rsidR="00D13279">
            <w:t>de strafmaxima</w:t>
          </w:r>
          <w:r w:rsidR="00EC0931">
            <w:t xml:space="preserve"> </w:t>
          </w:r>
          <w:r w:rsidR="00777957">
            <w:t>word</w:t>
          </w:r>
          <w:r w:rsidR="00D13279">
            <w:t>en</w:t>
          </w:r>
          <w:r w:rsidR="00EC0931">
            <w:t xml:space="preserve"> verho</w:t>
          </w:r>
          <w:r w:rsidR="00777957">
            <w:t>ogd</w:t>
          </w:r>
          <w:r w:rsidR="00EC0931">
            <w:t>.</w:t>
          </w:r>
          <w:r w:rsidR="00EC0931">
            <w:rPr>
              <w:rStyle w:val="Voetnootmarkering"/>
            </w:rPr>
            <w:footnoteReference w:id="8"/>
          </w:r>
          <w:r w:rsidR="00EC0931">
            <w:t xml:space="preserve"> </w:t>
          </w:r>
        </w:p>
        <w:p w:rsidR="003B1CC4" w:rsidP="000D1BA0" w:rsidRDefault="003B1CC4" w14:paraId="4A275DF7" w14:textId="77777777"/>
        <w:p w:rsidR="000D1BA0" w:rsidP="000D1BA0" w:rsidRDefault="0015407C" w14:paraId="45BF274A" w14:textId="2C5439AC">
          <w:r>
            <w:t xml:space="preserve">In het vervolg van dit advies zullen de verruiming van de extraterritoriale rechtsmacht (onder punt 2) en </w:t>
          </w:r>
          <w:r w:rsidR="00867200">
            <w:t xml:space="preserve">de verhoging van </w:t>
          </w:r>
          <w:r w:rsidR="00D13279">
            <w:t>de strafmaxima</w:t>
          </w:r>
          <w:r w:rsidR="003B1CC4">
            <w:t xml:space="preserve"> (onder punt 3)</w:t>
          </w:r>
          <w:r w:rsidR="00867200">
            <w:t xml:space="preserve"> worden besproken. </w:t>
          </w:r>
        </w:p>
        <w:p w:rsidR="00867200" w:rsidP="000D1BA0" w:rsidRDefault="00867200" w14:paraId="3F0806A3" w14:textId="77777777"/>
        <w:p w:rsidR="00867200" w:rsidP="000D1BA0" w:rsidRDefault="00867200" w14:paraId="304825D2" w14:textId="748E5D30">
          <w:pPr>
            <w:rPr>
              <w:u w:val="single"/>
            </w:rPr>
          </w:pPr>
          <w:r>
            <w:t xml:space="preserve">2. </w:t>
          </w:r>
          <w:r>
            <w:tab/>
          </w:r>
          <w:r w:rsidRPr="000E2438" w:rsidR="000E2438">
            <w:rPr>
              <w:u w:val="single"/>
            </w:rPr>
            <w:t xml:space="preserve">Verruiming </w:t>
          </w:r>
          <w:r w:rsidR="000E2438">
            <w:rPr>
              <w:u w:val="single"/>
            </w:rPr>
            <w:t>re</w:t>
          </w:r>
          <w:r w:rsidRPr="000E2438" w:rsidR="003B1CC4">
            <w:rPr>
              <w:u w:val="single"/>
            </w:rPr>
            <w:t>c</w:t>
          </w:r>
          <w:r w:rsidR="003B1CC4">
            <w:rPr>
              <w:u w:val="single"/>
            </w:rPr>
            <w:t>htsmacht</w:t>
          </w:r>
        </w:p>
        <w:p w:rsidR="003B1CC4" w:rsidP="000D1BA0" w:rsidRDefault="003B1CC4" w14:paraId="77DD86D8" w14:textId="77777777"/>
        <w:p w:rsidR="00BB6F74" w:rsidP="000D1BA0" w:rsidRDefault="000E2438" w14:paraId="38017DB9" w14:textId="1A27FC5B">
          <w:pPr>
            <w:rPr>
              <w:i/>
              <w:iCs/>
            </w:rPr>
          </w:pPr>
          <w:r>
            <w:t>a.</w:t>
          </w:r>
          <w:r>
            <w:tab/>
          </w:r>
          <w:r>
            <w:rPr>
              <w:i/>
              <w:iCs/>
            </w:rPr>
            <w:t>Inhoud</w:t>
          </w:r>
          <w:r w:rsidR="00C5494C">
            <w:rPr>
              <w:i/>
              <w:iCs/>
            </w:rPr>
            <w:t xml:space="preserve"> en achtergrond</w:t>
          </w:r>
          <w:r>
            <w:rPr>
              <w:i/>
              <w:iCs/>
            </w:rPr>
            <w:t xml:space="preserve"> van het voorstel</w:t>
          </w:r>
        </w:p>
        <w:p w:rsidR="00E13262" w:rsidP="00465F9E" w:rsidRDefault="00E13262" w14:paraId="53B3EBC3" w14:textId="14D567DF">
          <w:r w:rsidRPr="00E13262">
            <w:t>Extraterritoriale rechtsmacht houdt in dat strafbare feiten die in</w:t>
          </w:r>
          <w:r w:rsidR="00EE09D0">
            <w:t xml:space="preserve"> het </w:t>
          </w:r>
          <w:r w:rsidRPr="00E13262">
            <w:t>buitenland zijn begaan, in Nederland kunnen worden vervolgd en berecht.</w:t>
          </w:r>
          <w:r w:rsidR="00EE3DDC">
            <w:t xml:space="preserve"> </w:t>
          </w:r>
          <w:r w:rsidR="007C4327">
            <w:t>Als</w:t>
          </w:r>
          <w:r w:rsidR="00EE3DDC">
            <w:t xml:space="preserve"> rechtsmacht ontbreekt, is de officier van justitie niet ontvankelijk en kan geen opsporingsonderzoek worden ingesteld.</w:t>
          </w:r>
          <w:r w:rsidR="00B04199">
            <w:rPr>
              <w:rStyle w:val="Voetnootmarkering"/>
            </w:rPr>
            <w:footnoteReference w:id="9"/>
          </w:r>
          <w:r w:rsidR="00EE3DDC">
            <w:t xml:space="preserve"> </w:t>
          </w:r>
          <w:r w:rsidR="0017255E">
            <w:t xml:space="preserve">Het voorstel beoogt de rechtsmacht te verruimen door mensensmokkel op te nemen in artikel 4 </w:t>
          </w:r>
          <w:r w:rsidR="0073577C">
            <w:t>van het Wetboek van Strafrecht (</w:t>
          </w:r>
          <w:r w:rsidR="0017255E">
            <w:t>Sr</w:t>
          </w:r>
          <w:r w:rsidR="0073577C">
            <w:t>)</w:t>
          </w:r>
          <w:r w:rsidR="0017255E">
            <w:t xml:space="preserve"> </w:t>
          </w:r>
          <w:r w:rsidR="00BC034A">
            <w:t xml:space="preserve">en artikel 4 </w:t>
          </w:r>
          <w:r w:rsidR="00066182">
            <w:t>van het Wetboek van Strafrecht BES (</w:t>
          </w:r>
          <w:r w:rsidR="00BC034A">
            <w:t>SrBES</w:t>
          </w:r>
          <w:r w:rsidR="00066182">
            <w:t>)</w:t>
          </w:r>
          <w:r w:rsidR="00BC034A">
            <w:t>.</w:t>
          </w:r>
        </w:p>
        <w:p w:rsidR="00E13262" w:rsidP="00465F9E" w:rsidRDefault="00E13262" w14:paraId="384A895D" w14:textId="77777777"/>
        <w:p w:rsidR="00465F9E" w:rsidP="00465F9E" w:rsidRDefault="00465F9E" w14:paraId="25F6DF59" w14:textId="5E17209A">
          <w:r>
            <w:t xml:space="preserve">Nederland heeft nu rechtsmacht over mensensmokkel indien: </w:t>
          </w:r>
        </w:p>
        <w:p w:rsidR="00465F9E" w:rsidP="00A84AF8" w:rsidRDefault="0080449A" w14:paraId="0AE330ED" w14:textId="613CB105">
          <w:pPr>
            <w:pStyle w:val="Lijstalinea"/>
            <w:numPr>
              <w:ilvl w:val="0"/>
              <w:numId w:val="1"/>
            </w:numPr>
            <w:ind w:left="426" w:hanging="426"/>
          </w:pPr>
          <w:r>
            <w:t>h</w:t>
          </w:r>
          <w:r w:rsidR="00465F9E">
            <w:t>et misdrijf (ten dele) in Nederland is begaan;</w:t>
          </w:r>
          <w:r w:rsidR="00465F9E">
            <w:rPr>
              <w:rStyle w:val="Voetnootmarkering"/>
            </w:rPr>
            <w:footnoteReference w:id="10"/>
          </w:r>
        </w:p>
        <w:p w:rsidR="00465F9E" w:rsidP="00A84AF8" w:rsidRDefault="0080449A" w14:paraId="48D8B489" w14:textId="705FFA6F">
          <w:pPr>
            <w:pStyle w:val="Lijstalinea"/>
            <w:numPr>
              <w:ilvl w:val="0"/>
              <w:numId w:val="1"/>
            </w:numPr>
            <w:ind w:left="426" w:hanging="426"/>
          </w:pPr>
          <w:r>
            <w:t>h</w:t>
          </w:r>
          <w:r w:rsidR="00465F9E">
            <w:t>et misdrijf is gepleegd aan boord van een Nederlands schip of luchtvaartuig;</w:t>
          </w:r>
          <w:r w:rsidR="00465F9E">
            <w:rPr>
              <w:rStyle w:val="Voetnootmarkering"/>
            </w:rPr>
            <w:footnoteReference w:id="11"/>
          </w:r>
          <w:r w:rsidR="00465F9E">
            <w:t xml:space="preserve"> </w:t>
          </w:r>
        </w:p>
        <w:p w:rsidR="00465F9E" w:rsidP="00A84AF8" w:rsidRDefault="0080449A" w14:paraId="3C92CDB4" w14:textId="2D176A90">
          <w:pPr>
            <w:pStyle w:val="Lijstalinea"/>
            <w:numPr>
              <w:ilvl w:val="0"/>
              <w:numId w:val="1"/>
            </w:numPr>
            <w:ind w:left="426" w:hanging="426"/>
          </w:pPr>
          <w:r>
            <w:t>d</w:t>
          </w:r>
          <w:r w:rsidR="00465F9E">
            <w:t>e verdachte de Nederlandse nationaliteit heeft of een vaste woon- en verblijfplaats in Nederland;</w:t>
          </w:r>
          <w:r w:rsidR="00465F9E">
            <w:rPr>
              <w:rStyle w:val="Voetnootmarkering"/>
            </w:rPr>
            <w:footnoteReference w:id="12"/>
          </w:r>
          <w:r w:rsidR="00465F9E">
            <w:t xml:space="preserve"> </w:t>
          </w:r>
        </w:p>
        <w:p w:rsidR="00465F9E" w:rsidP="00465F9E" w:rsidRDefault="00465F9E" w14:paraId="420E8C8D" w14:textId="77777777"/>
        <w:p w:rsidR="00465F9E" w:rsidP="00B04199" w:rsidRDefault="00465F9E" w14:paraId="3187B053" w14:textId="0297EBBA">
          <w:r>
            <w:t>In de toelichting worden twee voorbeelden genoemd waarin Nederland geen rechtsmacht heeft</w:t>
          </w:r>
          <w:r w:rsidR="00122A7E">
            <w:t>, maar dit wel wenselijk wordt geacht</w:t>
          </w:r>
          <w:r w:rsidR="000B6C17">
            <w:t>.</w:t>
          </w:r>
          <w:r>
            <w:rPr>
              <w:rStyle w:val="Voetnootmarkering"/>
            </w:rPr>
            <w:footnoteReference w:id="13"/>
          </w:r>
          <w:r w:rsidR="00A471BE">
            <w:t xml:space="preserve"> Het </w:t>
          </w:r>
          <w:r w:rsidR="000660C5">
            <w:t xml:space="preserve">gaat ten eerste </w:t>
          </w:r>
          <w:r w:rsidR="00A471BE">
            <w:t xml:space="preserve">om </w:t>
          </w:r>
          <w:r w:rsidR="00105286">
            <w:t xml:space="preserve">de vervolging </w:t>
          </w:r>
          <w:r w:rsidR="005D2E5C">
            <w:t xml:space="preserve">van </w:t>
          </w:r>
          <w:r w:rsidR="00A471BE">
            <w:t>een</w:t>
          </w:r>
          <w:r w:rsidR="008A2A4B">
            <w:t xml:space="preserve"> niet-Nederlandse verdachte</w:t>
          </w:r>
          <w:r w:rsidR="00AF6B7E">
            <w:t>,</w:t>
          </w:r>
          <w:r w:rsidR="008A2A4B">
            <w:t xml:space="preserve"> </w:t>
          </w:r>
          <w:r w:rsidR="000660C5">
            <w:t xml:space="preserve">die zich </w:t>
          </w:r>
          <w:r w:rsidR="00AF6B7E">
            <w:t xml:space="preserve">wel </w:t>
          </w:r>
          <w:r w:rsidR="000660C5">
            <w:t>in Nederland bevindt</w:t>
          </w:r>
          <w:r w:rsidR="00AF6B7E">
            <w:t>,</w:t>
          </w:r>
          <w:r w:rsidR="000660C5">
            <w:t xml:space="preserve"> voor </w:t>
          </w:r>
          <w:r w:rsidR="008A2A4B">
            <w:t xml:space="preserve">mensensmokkel </w:t>
          </w:r>
          <w:r w:rsidR="00263A60">
            <w:t>op het grondgebied van een andere EU-lidstaat</w:t>
          </w:r>
          <w:r w:rsidR="000660C5">
            <w:t xml:space="preserve">. </w:t>
          </w:r>
          <w:r w:rsidR="00E75575">
            <w:t>Daarnaast wordt het wenselijk geacht om mee te kunnen doen aan</w:t>
          </w:r>
          <w:r w:rsidR="00B04199">
            <w:t xml:space="preserve"> </w:t>
          </w:r>
          <w:r w:rsidR="00E75575">
            <w:t xml:space="preserve">opsporingsonderzoeken in </w:t>
          </w:r>
          <w:r w:rsidR="00B04199">
            <w:t>het buitenland</w:t>
          </w:r>
          <w:r>
            <w:t xml:space="preserve"> </w:t>
          </w:r>
          <w:r w:rsidR="00066182">
            <w:t>met als doel</w:t>
          </w:r>
          <w:r>
            <w:t xml:space="preserve"> niet-Nederlandse daders die in het buitenland woonachtig zijn</w:t>
          </w:r>
          <w:r w:rsidR="00066182">
            <w:t>,</w:t>
          </w:r>
          <w:r>
            <w:t xml:space="preserve"> in Nederland te kunnen vervolgen en berechten. </w:t>
          </w:r>
        </w:p>
        <w:p w:rsidR="00E22939" w:rsidP="00B04199" w:rsidRDefault="00E22939" w14:paraId="24101A42" w14:textId="77777777"/>
        <w:p w:rsidR="0001229C" w:rsidP="0001229C" w:rsidRDefault="00E22939" w14:paraId="7F38B2AB" w14:textId="53ACB411">
          <w:r>
            <w:t xml:space="preserve">Het ontbreken van rechtsmacht in deze gevallen bemoeilijkt </w:t>
          </w:r>
          <w:r w:rsidR="002E513B">
            <w:t>volgens de toelichting een effectieve aanpak van mensensmokkel buiten Nederland. De opsporingsdiensten en het O</w:t>
          </w:r>
          <w:r w:rsidR="00AF795A">
            <w:t xml:space="preserve">penbaar </w:t>
          </w:r>
          <w:r w:rsidR="002E513B">
            <w:t>M</w:t>
          </w:r>
          <w:r w:rsidR="00AF795A">
            <w:t>inisterie (OM)</w:t>
          </w:r>
          <w:r w:rsidR="002E513B">
            <w:t xml:space="preserve"> werken namelijk in internationale verbanden samen om mensensmokkel </w:t>
          </w:r>
          <w:r w:rsidR="0008631E">
            <w:t xml:space="preserve">op te sporen en te vervolgen. </w:t>
          </w:r>
          <w:r w:rsidR="006B06F7">
            <w:t xml:space="preserve">Zo draagt Nederland bij aan verschillende Joint Investigation Teams, met name via Europol. Voorwaarde voor deelname aan dergelijke teams is dat Nederland rechtsmacht kan uitoefenen over (een deel van) de </w:t>
          </w:r>
          <w:r w:rsidR="0090499D">
            <w:t>gepleegde strafbare feiten.</w:t>
          </w:r>
          <w:r w:rsidR="00DE4FB0">
            <w:rPr>
              <w:rStyle w:val="Voetnootmarkering"/>
            </w:rPr>
            <w:footnoteReference w:id="14"/>
          </w:r>
          <w:r w:rsidR="0090499D">
            <w:t xml:space="preserve"> </w:t>
          </w:r>
          <w:r w:rsidR="0001229C">
            <w:t>Het OM, de Koninklijke Marechaussee en de politie hebben</w:t>
          </w:r>
          <w:r w:rsidR="000E0233">
            <w:t xml:space="preserve"> derhalve</w:t>
          </w:r>
          <w:r w:rsidR="0001229C">
            <w:t xml:space="preserve"> om uitbreiding van rechtsmacht verzocht.</w:t>
          </w:r>
        </w:p>
        <w:p w:rsidR="00A611FA" w:rsidP="0001229C" w:rsidRDefault="00A611FA" w14:paraId="57FEF5F7" w14:textId="77777777"/>
        <w:p w:rsidR="00A611FA" w:rsidP="0001229C" w:rsidRDefault="00A611FA" w14:paraId="698E3AE8" w14:textId="530D9BFC">
          <w:r>
            <w:t xml:space="preserve">Daarnaast wordt in de toelichting gewezen op de verplichtingen die Nederland is aangegaan in het kader van het </w:t>
          </w:r>
          <w:r w:rsidRPr="00DF43AA" w:rsidR="00DF43AA">
            <w:t>Protocol</w:t>
          </w:r>
          <w:r w:rsidR="00DF43AA">
            <w:t>.</w:t>
          </w:r>
          <w:r w:rsidRPr="00DF43AA" w:rsidR="00DF43AA">
            <w:rPr>
              <w:vertAlign w:val="superscript"/>
            </w:rPr>
            <w:footnoteReference w:id="15"/>
          </w:r>
          <w:r w:rsidR="001844F0">
            <w:t xml:space="preserve"> </w:t>
          </w:r>
          <w:r w:rsidR="00B232A2">
            <w:t>Zo</w:t>
          </w:r>
          <w:r w:rsidR="001844F0">
            <w:t xml:space="preserve"> heeft Nederland zich verplicht om een ruime, grensoverschrijdende strafbaarstelling van mensensmokkel in zijn strafwet op te nemen.</w:t>
          </w:r>
          <w:r w:rsidR="00AD145E">
            <w:rPr>
              <w:rStyle w:val="Voetnootmarkering"/>
            </w:rPr>
            <w:footnoteReference w:id="16"/>
          </w:r>
          <w:r w:rsidR="00363CD8">
            <w:t xml:space="preserve"> Hierin </w:t>
          </w:r>
          <w:r w:rsidR="00DA4526">
            <w:t>staat dat niet alleen mensensmokkel naar Nederland, maar ook naar de andere l</w:t>
          </w:r>
          <w:r w:rsidR="00597819">
            <w:t xml:space="preserve">anden die zijn toegetreden tot het </w:t>
          </w:r>
          <w:r w:rsidR="00F53DC1">
            <w:t>P</w:t>
          </w:r>
          <w:r w:rsidR="00597819">
            <w:t>rotocol</w:t>
          </w:r>
          <w:r w:rsidR="0013261C">
            <w:t xml:space="preserve"> strafbaar is.</w:t>
          </w:r>
          <w:r w:rsidR="001844F0">
            <w:t xml:space="preserve"> </w:t>
          </w:r>
          <w:r w:rsidR="002A34B4">
            <w:t xml:space="preserve">Op dit moment is het Protocol door 151 landen geratificeerd. </w:t>
          </w:r>
          <w:r w:rsidR="00AD145E">
            <w:t xml:space="preserve">Volgens de </w:t>
          </w:r>
          <w:r w:rsidR="00F36432">
            <w:t>toelichting kan de</w:t>
          </w:r>
          <w:r w:rsidR="00363CD8">
            <w:t>ze strafbaarstelling</w:t>
          </w:r>
          <w:r w:rsidR="00222860">
            <w:t xml:space="preserve"> conform haar reikwijdte</w:t>
          </w:r>
          <w:r w:rsidR="00363CD8">
            <w:t xml:space="preserve"> pas in voldoende </w:t>
          </w:r>
          <w:r w:rsidR="0013261C">
            <w:t xml:space="preserve">mate </w:t>
          </w:r>
          <w:r w:rsidR="00222860">
            <w:t>toepassing vinden als de rechtsmacht</w:t>
          </w:r>
          <w:r w:rsidR="009A41AC">
            <w:t>regeling daarop aansluit</w:t>
          </w:r>
          <w:r w:rsidR="009C2EEB">
            <w:t xml:space="preserve"> (zie </w:t>
          </w:r>
          <w:r w:rsidRPr="00A56915" w:rsidR="009C2EEB">
            <w:t xml:space="preserve">punt </w:t>
          </w:r>
          <w:r w:rsidRPr="00A56915" w:rsidR="006B5A0A">
            <w:t>2</w:t>
          </w:r>
          <w:r w:rsidR="006B5A0A">
            <w:t>b</w:t>
          </w:r>
          <w:r w:rsidRPr="00A56915" w:rsidR="006B5A0A">
            <w:t>i</w:t>
          </w:r>
          <w:r w:rsidRPr="00A56915" w:rsidR="009C2EEB">
            <w:t>)</w:t>
          </w:r>
          <w:r w:rsidRPr="00A56915" w:rsidR="009A41AC">
            <w:t>.</w:t>
          </w:r>
        </w:p>
        <w:p w:rsidR="005150EA" w:rsidP="000D1BA0" w:rsidRDefault="005150EA" w14:paraId="6D9DAB33" w14:textId="77777777"/>
        <w:bookmarkEnd w:id="2"/>
        <w:p w:rsidR="00EC6705" w:rsidP="00AB2BDD" w:rsidRDefault="00004FC1" w14:paraId="2E6E8CD3" w14:textId="765FE210">
          <w:r>
            <w:t xml:space="preserve">In de toelichting worden enkele alternatieven besproken voor de bestrijding van mensensmokkel als Nederland geen rechtsmacht heeft. Er zijn bijvoorbeeld mogelijkheden om rechtshulpverzoeken te doen of de strafvervolging over te dragen. </w:t>
          </w:r>
          <w:r w:rsidR="00D24592">
            <w:t xml:space="preserve">In het bijzonder </w:t>
          </w:r>
          <w:r w:rsidR="00566EEA">
            <w:t>bij</w:t>
          </w:r>
          <w:r w:rsidR="002520A2">
            <w:t xml:space="preserve"> de samenwerking met Ita</w:t>
          </w:r>
          <w:r w:rsidR="003932FA">
            <w:t>lië bieden de</w:t>
          </w:r>
          <w:r w:rsidR="00557108">
            <w:t>ze bestaande mogelijkheden onvoldoende uitkomst.</w:t>
          </w:r>
          <w:r w:rsidR="000E78A6">
            <w:rPr>
              <w:rStyle w:val="Voetnootmarkering"/>
            </w:rPr>
            <w:footnoteReference w:id="17"/>
          </w:r>
          <w:r w:rsidR="00557108">
            <w:t xml:space="preserve"> </w:t>
          </w:r>
          <w:r w:rsidR="00E06D34">
            <w:t>De voorgestelde verruiming biedt, aldus de toelichting, een welkome aanvulling op de bestaande mogelijkheden om mensensmokkel te bestrijden</w:t>
          </w:r>
          <w:r>
            <w:t>.</w:t>
          </w:r>
          <w:r>
            <w:rPr>
              <w:rStyle w:val="Voetnootmarkering"/>
            </w:rPr>
            <w:footnoteReference w:id="18"/>
          </w:r>
        </w:p>
        <w:p w:rsidR="00A84AF8" w:rsidRDefault="00A84AF8" w14:paraId="54F34B7F" w14:textId="44707877">
          <w:r>
            <w:br w:type="page"/>
          </w:r>
        </w:p>
        <w:p w:rsidR="00486FB8" w:rsidP="00006795" w:rsidRDefault="00294C0B" w14:paraId="58C1FEE2" w14:textId="4ACDC9E8">
          <w:pPr>
            <w:rPr>
              <w:i/>
              <w:iCs/>
            </w:rPr>
          </w:pPr>
          <w:r>
            <w:t>b</w:t>
          </w:r>
          <w:r w:rsidR="00486FB8">
            <w:t xml:space="preserve">. </w:t>
          </w:r>
          <w:r w:rsidR="00486FB8">
            <w:tab/>
          </w:r>
          <w:r w:rsidR="00486FB8">
            <w:rPr>
              <w:i/>
              <w:iCs/>
            </w:rPr>
            <w:t>Beoordeling</w:t>
          </w:r>
        </w:p>
        <w:p w:rsidR="00486FB8" w:rsidP="00006795" w:rsidRDefault="00486FB8" w14:paraId="39A111CB" w14:textId="77777777">
          <w:pPr>
            <w:rPr>
              <w:i/>
            </w:rPr>
          </w:pPr>
        </w:p>
        <w:p w:rsidR="00036B84" w:rsidP="00006795" w:rsidRDefault="00261929" w14:paraId="7E6BBB92" w14:textId="4F3F9540">
          <w:r>
            <w:t>I</w:t>
          </w:r>
          <w:r w:rsidR="005D16B7">
            <w:t>.</w:t>
          </w:r>
          <w:r w:rsidR="005D16B7">
            <w:tab/>
            <w:t xml:space="preserve">De reikwijdte van de </w:t>
          </w:r>
          <w:r w:rsidR="00AF40BC">
            <w:t>rechtsmacht</w:t>
          </w:r>
        </w:p>
        <w:p w:rsidR="00AA0414" w:rsidP="006159F6" w:rsidRDefault="00642439" w14:paraId="15DEB5D9" w14:textId="0DB77932">
          <w:r>
            <w:t xml:space="preserve">In de toelichting wordt niet ingegaan op de verhouding tussen geografische aanduidingen in </w:t>
          </w:r>
          <w:r w:rsidR="00AC7B47">
            <w:t xml:space="preserve">de </w:t>
          </w:r>
          <w:r w:rsidR="005D5380">
            <w:t xml:space="preserve">delictsomschrijving van mensensmokkel </w:t>
          </w:r>
          <w:r w:rsidR="00AC7B47">
            <w:t xml:space="preserve">en in de rechtsmachtsbepaling. Daardoor wekt de toelichting </w:t>
          </w:r>
          <w:r w:rsidR="006159F6">
            <w:t xml:space="preserve">de indruk dat </w:t>
          </w:r>
          <w:r w:rsidR="002A14AD">
            <w:t xml:space="preserve">de bedoeling van het wetsvoorstel is dat </w:t>
          </w:r>
          <w:r w:rsidR="006159F6">
            <w:t xml:space="preserve">Nederland rechtsmacht krijgt over een ieder die zich schuldig maakt aan mensensmokkel, </w:t>
          </w:r>
          <w:r w:rsidR="000D08BB">
            <w:t>ongeacht de plaats waar de mensensmokkel heeft plaatsgevonden</w:t>
          </w:r>
          <w:r w:rsidR="006159F6">
            <w:t>.</w:t>
          </w:r>
          <w:r w:rsidR="006159F6">
            <w:rPr>
              <w:rStyle w:val="Voetnootmarkering"/>
            </w:rPr>
            <w:footnoteReference w:id="19"/>
          </w:r>
          <w:r w:rsidR="006159F6">
            <w:t xml:space="preserve"> </w:t>
          </w:r>
          <w:r w:rsidR="00274A13">
            <w:t>In de</w:t>
          </w:r>
          <w:r w:rsidR="006159F6">
            <w:t xml:space="preserve"> delictsomschrijving van mensensmokkel </w:t>
          </w:r>
          <w:r w:rsidR="00274A13">
            <w:t xml:space="preserve">worden </w:t>
          </w:r>
          <w:r w:rsidR="002216B2">
            <w:t>landen opgesomd</w:t>
          </w:r>
          <w:r w:rsidR="00274A13">
            <w:t>, waarnaar gesmokkeld moet worden om de gedraging te kunnen kwalificeren als mensensmokkel</w:t>
          </w:r>
          <w:r w:rsidR="006159F6">
            <w:t>.</w:t>
          </w:r>
          <w:r w:rsidR="00CE3564">
            <w:rPr>
              <w:rStyle w:val="Voetnootmarkering"/>
            </w:rPr>
            <w:footnoteReference w:id="20"/>
          </w:r>
          <w:r w:rsidR="006159F6">
            <w:t xml:space="preserve"> </w:t>
          </w:r>
          <w:r w:rsidR="00F32132">
            <w:t xml:space="preserve">Als de verdachte mensen heeft gesmokkeld naar andere landen, </w:t>
          </w:r>
          <w:r w:rsidR="00BB58D4">
            <w:t xml:space="preserve">valt dit </w:t>
          </w:r>
          <w:r w:rsidR="00CA0A5B">
            <w:t xml:space="preserve">dus </w:t>
          </w:r>
          <w:r w:rsidR="00BB58D4">
            <w:t xml:space="preserve">niet onder de Nederlandse </w:t>
          </w:r>
          <w:r w:rsidR="001E3DD1">
            <w:t>delictsomschrijving</w:t>
          </w:r>
          <w:r w:rsidR="00B74E2D">
            <w:t xml:space="preserve"> </w:t>
          </w:r>
          <w:r w:rsidR="00BB58D4">
            <w:t xml:space="preserve">van mensensmokkel. </w:t>
          </w:r>
          <w:r w:rsidDel="005D62DB" w:rsidR="00BB58D4">
            <w:t xml:space="preserve">De voorgestelde verruiming </w:t>
          </w:r>
          <w:r w:rsidDel="005D62DB" w:rsidR="00775E2A">
            <w:t xml:space="preserve">van de rechtsmacht leidt er dan niet toe dat Nederland rechtsmacht heeft. </w:t>
          </w:r>
        </w:p>
        <w:p w:rsidR="00D507D9" w:rsidP="00D507D9" w:rsidRDefault="00D507D9" w14:paraId="77858161" w14:textId="77777777"/>
        <w:p w:rsidR="002A14AD" w:rsidP="006159F6" w:rsidRDefault="00B03167" w14:paraId="240E280A" w14:textId="2AAABCB4">
          <w:r>
            <w:t xml:space="preserve">Ter illustratie, mensensmokkel naar </w:t>
          </w:r>
          <w:r w:rsidR="00665544">
            <w:t>Spanje</w:t>
          </w:r>
          <w:r w:rsidR="008E589C">
            <w:t xml:space="preserve">, </w:t>
          </w:r>
          <w:r w:rsidR="00140128">
            <w:t>Turkije</w:t>
          </w:r>
          <w:r w:rsidR="007054DA">
            <w:t xml:space="preserve"> en</w:t>
          </w:r>
          <w:r w:rsidR="00BE04E1">
            <w:t xml:space="preserve"> </w:t>
          </w:r>
          <w:r w:rsidR="00BC7DD8">
            <w:t xml:space="preserve">de Verenigde </w:t>
          </w:r>
          <w:r w:rsidR="00614A2B">
            <w:t>Staten</w:t>
          </w:r>
          <w:r w:rsidR="00BC7DD8">
            <w:t xml:space="preserve"> valt </w:t>
          </w:r>
          <w:r w:rsidR="001675BF">
            <w:t xml:space="preserve">onder </w:t>
          </w:r>
          <w:r w:rsidR="00CA0A5B">
            <w:t xml:space="preserve">de delictsomschrijving </w:t>
          </w:r>
          <w:r w:rsidR="001675BF">
            <w:t xml:space="preserve">omdat deze landen </w:t>
          </w:r>
          <w:r w:rsidR="008E58D5">
            <w:t>lid zijn van de Europese Unie en/of</w:t>
          </w:r>
          <w:r w:rsidR="001675BF">
            <w:t xml:space="preserve"> het Protocol hebben geratificeerd. </w:t>
          </w:r>
          <w:r w:rsidR="00C53F4F">
            <w:t xml:space="preserve">Als het wetvoorstel wordt aangenomen, krijgt Nederland dus rechtsmacht </w:t>
          </w:r>
          <w:r w:rsidR="00663318">
            <w:t>over</w:t>
          </w:r>
          <w:r w:rsidR="00C53F4F">
            <w:t xml:space="preserve"> mensensmokkel naar deze landen. </w:t>
          </w:r>
          <w:r w:rsidR="007B1080">
            <w:t>Col</w:t>
          </w:r>
          <w:r w:rsidR="008E58D5">
            <w:t>o</w:t>
          </w:r>
          <w:r w:rsidR="007B1080">
            <w:t>mbia</w:t>
          </w:r>
          <w:r w:rsidR="009A55AF">
            <w:t xml:space="preserve"> en </w:t>
          </w:r>
          <w:r w:rsidR="003A2E70">
            <w:t>China</w:t>
          </w:r>
          <w:r w:rsidR="009A55AF">
            <w:t xml:space="preserve"> </w:t>
          </w:r>
          <w:r w:rsidR="003A2E70">
            <w:t xml:space="preserve">hebben het Protocol echter niet geratificeerd en zijn geen lid van de </w:t>
          </w:r>
          <w:r w:rsidR="00261426">
            <w:t>EU</w:t>
          </w:r>
          <w:r w:rsidR="003A2E70">
            <w:t xml:space="preserve">. </w:t>
          </w:r>
          <w:r w:rsidR="00C31AC5">
            <w:t xml:space="preserve">Als </w:t>
          </w:r>
          <w:r w:rsidR="00293E49">
            <w:t xml:space="preserve">iemand </w:t>
          </w:r>
          <w:r w:rsidR="00AA306C">
            <w:t>daa</w:t>
          </w:r>
          <w:r w:rsidR="0051062E">
            <w:t xml:space="preserve">r </w:t>
          </w:r>
          <w:r w:rsidR="00293E49">
            <w:t xml:space="preserve">een ander </w:t>
          </w:r>
          <w:r w:rsidR="00C31AC5">
            <w:t xml:space="preserve">illegaal </w:t>
          </w:r>
          <w:r w:rsidR="009726E8">
            <w:t>de</w:t>
          </w:r>
          <w:r w:rsidR="00CD3F9B">
            <w:t xml:space="preserve"> grens overbrengt</w:t>
          </w:r>
          <w:r w:rsidR="00C31AC5">
            <w:t>, valt dat</w:t>
          </w:r>
          <w:r w:rsidR="00C53F4F">
            <w:t xml:space="preserve"> dus</w:t>
          </w:r>
          <w:r w:rsidR="00C31AC5">
            <w:t xml:space="preserve"> niet onder </w:t>
          </w:r>
          <w:r w:rsidR="00F03D86">
            <w:t xml:space="preserve">de Nederlandse </w:t>
          </w:r>
          <w:r w:rsidR="00D80EF8">
            <w:t xml:space="preserve">delictsomschrijving </w:t>
          </w:r>
          <w:r w:rsidR="00C31AC5">
            <w:t>van</w:t>
          </w:r>
          <w:r w:rsidR="00F03D86">
            <w:t xml:space="preserve"> mensensmokkel</w:t>
          </w:r>
          <w:r w:rsidR="00AA0414">
            <w:t xml:space="preserve">. </w:t>
          </w:r>
          <w:r w:rsidR="00317612">
            <w:t>Een</w:t>
          </w:r>
          <w:r w:rsidR="00B43EDD">
            <w:t xml:space="preserve"> verdachte kan dan </w:t>
          </w:r>
          <w:r w:rsidR="00AA0414">
            <w:t xml:space="preserve">dus </w:t>
          </w:r>
          <w:r w:rsidR="00B43EDD">
            <w:t>niet in</w:t>
          </w:r>
          <w:r w:rsidR="00AA0414">
            <w:t xml:space="preserve"> Nederland</w:t>
          </w:r>
          <w:r w:rsidR="00B43EDD">
            <w:t xml:space="preserve"> vervolgd worden.</w:t>
          </w:r>
          <w:r w:rsidR="00AA0414">
            <w:t xml:space="preserve"> </w:t>
          </w:r>
          <w:r w:rsidR="00361CC1">
            <w:t xml:space="preserve">De reikwijdte van de rechtsmacht </w:t>
          </w:r>
          <w:r w:rsidR="006926A8">
            <w:t xml:space="preserve">zoals voorgesteld </w:t>
          </w:r>
          <w:r w:rsidR="00361CC1">
            <w:t xml:space="preserve">is dus </w:t>
          </w:r>
          <w:r w:rsidR="006C4FB1">
            <w:t>weliswaar ruim, maar</w:t>
          </w:r>
          <w:r w:rsidR="00361CC1">
            <w:t xml:space="preserve"> </w:t>
          </w:r>
          <w:r w:rsidR="00465CF1">
            <w:t>desondanks iets</w:t>
          </w:r>
          <w:r w:rsidR="00361CC1">
            <w:t xml:space="preserve"> beperkter dan de toelichting</w:t>
          </w:r>
          <w:r w:rsidR="00506E0B">
            <w:t xml:space="preserve"> </w:t>
          </w:r>
          <w:r w:rsidR="00361CC1">
            <w:t>d</w:t>
          </w:r>
          <w:r w:rsidR="000D0BDD">
            <w:t>oe</w:t>
          </w:r>
          <w:r w:rsidR="00323854">
            <w:t>t</w:t>
          </w:r>
          <w:r w:rsidR="00361CC1">
            <w:t xml:space="preserve"> voorkomen.</w:t>
          </w:r>
        </w:p>
        <w:p w:rsidR="00361CC1" w:rsidP="006159F6" w:rsidRDefault="00361CC1" w14:paraId="0FED2F8F" w14:textId="77777777"/>
        <w:p w:rsidR="00873AAD" w:rsidP="006159F6" w:rsidRDefault="00873AAD" w14:paraId="69149B01" w14:textId="67C19779">
          <w:r>
            <w:t xml:space="preserve">De Afdeling adviseert in de toelichting in te gaan op de reikwijdte van de voorgestelde rechtsmachtbepaling in het licht van de </w:t>
          </w:r>
          <w:r w:rsidR="00D80EF8">
            <w:t>delictsomschrijving van</w:t>
          </w:r>
          <w:r>
            <w:t xml:space="preserve"> mensensmokkel.</w:t>
          </w:r>
        </w:p>
        <w:p w:rsidR="00873AAD" w:rsidP="006159F6" w:rsidRDefault="00873AAD" w14:paraId="2B7002D1" w14:textId="77777777"/>
        <w:p w:rsidR="00873AAD" w:rsidP="006159F6" w:rsidRDefault="00261929" w14:paraId="6D412019" w14:textId="20E18E17">
          <w:r>
            <w:t>II</w:t>
          </w:r>
          <w:r w:rsidR="00873AAD">
            <w:t xml:space="preserve">. </w:t>
          </w:r>
          <w:r w:rsidR="00873AAD">
            <w:tab/>
            <w:t xml:space="preserve">De gevolgen van de </w:t>
          </w:r>
          <w:r w:rsidR="00526CB7">
            <w:t xml:space="preserve">voorgestelde </w:t>
          </w:r>
          <w:r w:rsidR="00873AAD">
            <w:t>strafverhoging</w:t>
          </w:r>
        </w:p>
        <w:p w:rsidR="003E4413" w:rsidP="006159F6" w:rsidRDefault="005D62DB" w14:paraId="7A0A1DFD" w14:textId="63574109">
          <w:r>
            <w:t xml:space="preserve">Daarnaast wordt in de toelichting geen rekenschap gegeven van de gevolgen </w:t>
          </w:r>
          <w:r w:rsidR="00BF241B">
            <w:t>die</w:t>
          </w:r>
          <w:r>
            <w:t xml:space="preserve"> </w:t>
          </w:r>
          <w:r w:rsidR="003B6A72">
            <w:t xml:space="preserve">de voorgestelde verhoging van </w:t>
          </w:r>
          <w:r w:rsidR="00D13279">
            <w:t>de strafmaxima</w:t>
          </w:r>
          <w:r w:rsidR="00865B37">
            <w:t xml:space="preserve"> </w:t>
          </w:r>
          <w:r w:rsidR="00BF241B">
            <w:t xml:space="preserve">zal hebben </w:t>
          </w:r>
          <w:r w:rsidR="00865B37">
            <w:t xml:space="preserve">voor de rechtsmacht over mensensmokkel. </w:t>
          </w:r>
          <w:r w:rsidR="00E10589">
            <w:t>Dit wetsvoorstel beoogt de gevangenisstraf te verhogen naar acht jaar, waardoor mensensmokkel binnen het bereik van</w:t>
          </w:r>
          <w:r w:rsidR="007D110A">
            <w:t xml:space="preserve"> </w:t>
          </w:r>
          <w:r w:rsidR="00654BB7">
            <w:t>meer rechtsmachtbepalingen valt</w:t>
          </w:r>
          <w:r w:rsidR="0004733C">
            <w:t xml:space="preserve"> in het Wetboek van Strafrecht van Europees Nederland. </w:t>
          </w:r>
          <w:r w:rsidR="00294C0B">
            <w:t xml:space="preserve">Het Wetboek van Strafrecht BES kent </w:t>
          </w:r>
          <w:r w:rsidR="00347914">
            <w:t>dergelijke</w:t>
          </w:r>
          <w:r w:rsidR="00294C0B">
            <w:t xml:space="preserve"> bepalingen</w:t>
          </w:r>
          <w:r w:rsidR="00347914">
            <w:t xml:space="preserve"> niet</w:t>
          </w:r>
          <w:r w:rsidR="00294C0B">
            <w:t>.</w:t>
          </w:r>
        </w:p>
        <w:p w:rsidR="003E4413" w:rsidP="006159F6" w:rsidRDefault="003E4413" w14:paraId="39A4E4DB" w14:textId="77777777"/>
        <w:p w:rsidR="00DC40B6" w:rsidP="006159F6" w:rsidRDefault="0004733C" w14:paraId="3A5C3869" w14:textId="41EC68FF">
          <w:r>
            <w:t xml:space="preserve">De </w:t>
          </w:r>
          <w:r w:rsidR="00C7445E">
            <w:t>straf</w:t>
          </w:r>
          <w:r>
            <w:t xml:space="preserve">verhoging </w:t>
          </w:r>
          <w:r w:rsidR="00C7445E">
            <w:t xml:space="preserve">tot acht jaar </w:t>
          </w:r>
          <w:r>
            <w:t xml:space="preserve">leidt ertoe dat </w:t>
          </w:r>
          <w:r w:rsidR="00046B09">
            <w:t xml:space="preserve">Europees </w:t>
          </w:r>
          <w:r>
            <w:t xml:space="preserve">Nederland rechtsmacht kan vestigen </w:t>
          </w:r>
          <w:r w:rsidR="0041166A">
            <w:t>als het slachtoffer de Nederlandse nationaliteit heeft of een vreemdeling is die in Nederland een vaste woon- of verblijfplaats heeft.</w:t>
          </w:r>
          <w:r w:rsidR="0041166A">
            <w:rPr>
              <w:rStyle w:val="Voetnootmarkering"/>
            </w:rPr>
            <w:footnoteReference w:id="21"/>
          </w:r>
          <w:r w:rsidR="00E10589">
            <w:t xml:space="preserve"> </w:t>
          </w:r>
          <w:r w:rsidR="00046B09">
            <w:t xml:space="preserve">Daarnaast kan Europees Nederland rechtsmacht vestigen </w:t>
          </w:r>
          <w:r w:rsidR="004E01E7">
            <w:t>bij vreemdelingen die zich</w:t>
          </w:r>
          <w:r w:rsidR="000549E6">
            <w:t xml:space="preserve"> buiten </w:t>
          </w:r>
          <w:r w:rsidR="009C1BE7">
            <w:t xml:space="preserve">Europees </w:t>
          </w:r>
          <w:r w:rsidR="000549E6">
            <w:t>Nederland</w:t>
          </w:r>
          <w:r w:rsidR="004E01E7">
            <w:t xml:space="preserve"> schuldig hebben gemaakt aan </w:t>
          </w:r>
          <w:r w:rsidR="00C7445E">
            <w:t>mensensmokkel</w:t>
          </w:r>
          <w:r w:rsidR="008D437E">
            <w:t xml:space="preserve">, die zich in </w:t>
          </w:r>
          <w:r w:rsidR="00234D20">
            <w:t xml:space="preserve">Europees </w:t>
          </w:r>
          <w:r w:rsidR="008D437E">
            <w:t>Nederland bevinden</w:t>
          </w:r>
          <w:r w:rsidR="004E01E7">
            <w:t xml:space="preserve"> </w:t>
          </w:r>
          <w:r w:rsidR="00F522C2">
            <w:t xml:space="preserve">en die niet uitgeleverd kunnen worden voor </w:t>
          </w:r>
          <w:r w:rsidR="00B440EB">
            <w:t>de vervolging van dat misdrijf</w:t>
          </w:r>
          <w:r w:rsidR="008B1856">
            <w:t xml:space="preserve"> aan </w:t>
          </w:r>
          <w:r w:rsidR="005109DE">
            <w:t>een ander land</w:t>
          </w:r>
          <w:r w:rsidR="00B440EB">
            <w:t>.</w:t>
          </w:r>
          <w:r w:rsidR="00046B09">
            <w:rPr>
              <w:rStyle w:val="Voetnootmarkering"/>
            </w:rPr>
            <w:footnoteReference w:id="22"/>
          </w:r>
          <w:r w:rsidR="00B440EB">
            <w:t xml:space="preserve"> </w:t>
          </w:r>
          <w:r w:rsidR="001B7759">
            <w:t xml:space="preserve">Dit roept de vraag op </w:t>
          </w:r>
          <w:r w:rsidR="00C7445E">
            <w:t>in hoeverre</w:t>
          </w:r>
          <w:r w:rsidR="001B7759">
            <w:t xml:space="preserve"> een (nog) verdere uitbreiding van de rechtsmacht noodzakelijk is. </w:t>
          </w:r>
        </w:p>
        <w:p w:rsidR="00DC40B6" w:rsidP="006159F6" w:rsidRDefault="00DC40B6" w14:paraId="19BBB5E5" w14:textId="77777777"/>
        <w:p w:rsidR="006557D1" w:rsidP="00921A3A" w:rsidRDefault="00BC59A3" w14:paraId="7961FC8A" w14:textId="61D02602">
          <w:r>
            <w:t>A</w:t>
          </w:r>
          <w:r w:rsidR="00072205">
            <w:t>ls de voorgestelde ver</w:t>
          </w:r>
          <w:r w:rsidR="00141E0A">
            <w:t xml:space="preserve">hoging van </w:t>
          </w:r>
          <w:r w:rsidR="00D13279">
            <w:t>de strafmaxima</w:t>
          </w:r>
          <w:r w:rsidR="00141E0A">
            <w:t xml:space="preserve"> doorgang vindt</w:t>
          </w:r>
          <w:r w:rsidR="007570EA">
            <w:t xml:space="preserve"> (zie punt 3)</w:t>
          </w:r>
          <w:r w:rsidR="00141E0A">
            <w:t xml:space="preserve">, </w:t>
          </w:r>
          <w:r w:rsidR="00873AAD">
            <w:t xml:space="preserve">adviseert de Afdeling in de toelichting in te gaan </w:t>
          </w:r>
          <w:r w:rsidR="00B40444">
            <w:t xml:space="preserve">op de </w:t>
          </w:r>
          <w:r w:rsidR="003B3386">
            <w:t xml:space="preserve">gevolgen </w:t>
          </w:r>
          <w:r w:rsidR="00B40444">
            <w:t>die dit h</w:t>
          </w:r>
          <w:r w:rsidR="003B3386">
            <w:t xml:space="preserve">eeft voor de rechtsmacht </w:t>
          </w:r>
          <w:r w:rsidR="00B40444">
            <w:t>van Europees Nederland over mensensmokkel</w:t>
          </w:r>
          <w:r w:rsidR="00274651">
            <w:t xml:space="preserve"> </w:t>
          </w:r>
          <w:r w:rsidR="00192AAE">
            <w:t>en d</w:t>
          </w:r>
          <w:r w:rsidR="00716BFB">
            <w:t xml:space="preserve">it te betrekken bij de beoordeling van </w:t>
          </w:r>
          <w:r w:rsidR="00192AAE">
            <w:t>de noodzaak om d</w:t>
          </w:r>
          <w:r w:rsidR="00610027">
            <w:t>e rechtsmacht voor Europees Nederland te verruimen</w:t>
          </w:r>
          <w:r w:rsidR="00716BFB">
            <w:t xml:space="preserve"> door mensensmokkel in artikel 4 Sr op te nemen</w:t>
          </w:r>
          <w:r w:rsidR="00610027">
            <w:t xml:space="preserve">. </w:t>
          </w:r>
        </w:p>
        <w:p w:rsidR="000D133D" w:rsidP="00921A3A" w:rsidRDefault="000D133D" w14:paraId="6CE2E23C" w14:textId="77777777"/>
        <w:p w:rsidR="006557D1" w:rsidP="00921A3A" w:rsidRDefault="00261929" w14:paraId="798B6993" w14:textId="7CA18505">
          <w:r>
            <w:t>III</w:t>
          </w:r>
          <w:r w:rsidR="00803B2F">
            <w:t xml:space="preserve">. </w:t>
          </w:r>
          <w:r w:rsidR="002D7834">
            <w:tab/>
          </w:r>
          <w:r w:rsidR="00E21C56">
            <w:t>Beperking tot Nederlands</w:t>
          </w:r>
          <w:r w:rsidR="00605D54">
            <w:t>e</w:t>
          </w:r>
          <w:r w:rsidR="00E21C56">
            <w:t xml:space="preserve"> en Europes</w:t>
          </w:r>
          <w:r w:rsidR="00605D54">
            <w:t>e</w:t>
          </w:r>
          <w:r w:rsidR="00E21C56">
            <w:t xml:space="preserve"> </w:t>
          </w:r>
          <w:r w:rsidR="002E35A4">
            <w:t>belangen</w:t>
          </w:r>
        </w:p>
        <w:p w:rsidR="00D42645" w:rsidP="00D42645" w:rsidRDefault="00D42645" w14:paraId="0004E92B" w14:textId="4388B858">
          <w:pPr>
            <w:rPr>
              <w:szCs w:val="20"/>
              <w:lang w:eastAsia="en-US"/>
            </w:rPr>
          </w:pPr>
          <w:r w:rsidRPr="00921A3A">
            <w:rPr>
              <w:szCs w:val="20"/>
              <w:lang w:eastAsia="en-US"/>
            </w:rPr>
            <w:t xml:space="preserve">Het is vanzelfsprekend dat </w:t>
          </w:r>
          <w:r w:rsidR="00832154">
            <w:rPr>
              <w:szCs w:val="20"/>
              <w:lang w:eastAsia="en-US"/>
            </w:rPr>
            <w:t>een</w:t>
          </w:r>
          <w:r w:rsidRPr="00921A3A">
            <w:rPr>
              <w:szCs w:val="20"/>
              <w:lang w:eastAsia="en-US"/>
            </w:rPr>
            <w:t xml:space="preserve"> staat het recht heeft om de strafwet </w:t>
          </w:r>
          <w:r w:rsidR="00E67985">
            <w:rPr>
              <w:szCs w:val="20"/>
              <w:lang w:eastAsia="en-US"/>
            </w:rPr>
            <w:t>toe te passen</w:t>
          </w:r>
          <w:r w:rsidRPr="00921A3A">
            <w:rPr>
              <w:szCs w:val="20"/>
              <w:lang w:eastAsia="en-US"/>
            </w:rPr>
            <w:t xml:space="preserve"> op feiten die binnen zijn grenzen worden gepleegd.</w:t>
          </w:r>
          <w:r>
            <w:rPr>
              <w:szCs w:val="20"/>
              <w:lang w:eastAsia="en-US"/>
            </w:rPr>
            <w:t xml:space="preserve"> Dit kan worden gezien als een uitdrukking van de soevereiniteit van een staat over zijn grondgebied. Wanneer rechtsmacht wordt uitgeoefend buiten het eigen grondgebied, kan dit echter botsen met de soevereiniteit van andere staten en de rechtszekerheid van burgers die moeten kunnen weten wanneer hun handelen strafbaar is.</w:t>
          </w:r>
          <w:r w:rsidRPr="00921A3A">
            <w:rPr>
              <w:szCs w:val="20"/>
              <w:vertAlign w:val="superscript"/>
              <w:lang w:eastAsia="en-US"/>
            </w:rPr>
            <w:footnoteReference w:id="23"/>
          </w:r>
          <w:r w:rsidRPr="00921A3A">
            <w:rPr>
              <w:szCs w:val="20"/>
              <w:lang w:eastAsia="en-US"/>
            </w:rPr>
            <w:t xml:space="preserve"> </w:t>
          </w:r>
          <w:r>
            <w:rPr>
              <w:szCs w:val="20"/>
              <w:lang w:eastAsia="en-US"/>
            </w:rPr>
            <w:t xml:space="preserve">In beginsel moet voor het vestigen van extraterritoriale rechtsmacht sprake zijn van een band met de staat, zoals de bescherming van de staat, of de nationaliteit van de verdachte of het slachtoffer. Slechts bij zeer ernstige strafbare feiten wordt het belang van vervolging </w:t>
          </w:r>
          <w:r w:rsidR="000F7A8D">
            <w:rPr>
              <w:szCs w:val="20"/>
              <w:lang w:eastAsia="en-US"/>
            </w:rPr>
            <w:t>en berechting</w:t>
          </w:r>
          <w:r>
            <w:rPr>
              <w:szCs w:val="20"/>
              <w:lang w:eastAsia="en-US"/>
            </w:rPr>
            <w:t xml:space="preserve"> binnen de internationale gemeenschap groter geacht dan de band met de nationale staat.</w:t>
          </w:r>
          <w:r w:rsidR="007C0659">
            <w:rPr>
              <w:rStyle w:val="Voetnootmarkering"/>
              <w:szCs w:val="20"/>
              <w:lang w:eastAsia="en-US"/>
            </w:rPr>
            <w:footnoteReference w:id="24"/>
          </w:r>
        </w:p>
        <w:p w:rsidR="00D42645" w:rsidP="00D42645" w:rsidRDefault="00D42645" w14:paraId="5771BCD5" w14:textId="77777777">
          <w:pPr>
            <w:rPr>
              <w:szCs w:val="20"/>
              <w:lang w:eastAsia="en-US"/>
            </w:rPr>
          </w:pPr>
        </w:p>
        <w:p w:rsidR="00D42645" w:rsidP="00D42645" w:rsidRDefault="00D42645" w14:paraId="6A350A45" w14:textId="1353F759">
          <w:r>
            <w:t>De grondslag voor het vestigen van extraterritoriale rechtsmacht over mensensmokkel is primair de bescherming van het Nederlands belang.</w:t>
          </w:r>
          <w:r w:rsidRPr="009E0D67">
            <w:rPr>
              <w:vertAlign w:val="superscript"/>
            </w:rPr>
            <w:footnoteReference w:id="25"/>
          </w:r>
          <w:r>
            <w:t xml:space="preserve"> Dit blijkt uit de keuze om mensensmokkel op te nemen in artikel 4 Sr.</w:t>
          </w:r>
          <w:r>
            <w:rPr>
              <w:rStyle w:val="Voetnootmarkering"/>
            </w:rPr>
            <w:footnoteReference w:id="26"/>
          </w:r>
          <w:r>
            <w:t xml:space="preserve"> Deze bepaling voorziet in een algemene rechtsgrondslag voor het uitoefenen van rechtsmacht ter bescherming van gewichtige algemene nationale belangen, onafhankelijk van het grondgebied waarop het feit is begaan of de nationaliteit van de dader of het slachtoffer. De keuze om mensensmokkel aan artikel 4 Sr toe te voegen, is volgens de toelichting ingegeven door het belang dat op het grondgebied van de staat alleen mensen verblijven die daartoe gerechtigd zijn. Dit belang geldt niet alleen voor het Nederlands grondgebied, maar voor de hele EU.</w:t>
          </w:r>
          <w:r>
            <w:rPr>
              <w:rStyle w:val="Voetnootmarkering"/>
            </w:rPr>
            <w:footnoteReference w:id="27"/>
          </w:r>
          <w:r>
            <w:t xml:space="preserve"> </w:t>
          </w:r>
        </w:p>
        <w:p w:rsidR="00D42645" w:rsidP="005B5746" w:rsidRDefault="00D42645" w14:paraId="76D2406F" w14:textId="77777777"/>
        <w:p w:rsidR="005B5746" w:rsidP="005B5746" w:rsidRDefault="00A9517A" w14:paraId="1E83A825" w14:textId="658B6B2E">
          <w:r>
            <w:t>De Afdeling merkt op</w:t>
          </w:r>
          <w:r w:rsidR="005B5746">
            <w:t xml:space="preserve"> dat Nederland al rechtsmacht heeft over mensensmokkel naar eigen grondgebied. De voorgestelde uitbreiding van rechtsmacht lijkt dus </w:t>
          </w:r>
          <w:r>
            <w:t xml:space="preserve">vooral </w:t>
          </w:r>
          <w:r w:rsidR="000A4587">
            <w:t>een meerwaarde te hebben</w:t>
          </w:r>
          <w:r w:rsidR="001F2395">
            <w:t xml:space="preserve"> voor die gevallen </w:t>
          </w:r>
          <w:r w:rsidR="005B5746">
            <w:t xml:space="preserve">waarin iemand een ander land in wordt gesmokkeld en vervolgens doorreist naar Nederlands grondgebied. Dit is in het bijzonder relevant voor de </w:t>
          </w:r>
          <w:r w:rsidR="00261426">
            <w:t>EU</w:t>
          </w:r>
          <w:r w:rsidR="005B5746">
            <w:t xml:space="preserve"> </w:t>
          </w:r>
          <w:r w:rsidR="00E41798">
            <w:t xml:space="preserve">en </w:t>
          </w:r>
          <w:r w:rsidR="005B5746">
            <w:t xml:space="preserve">de Schengenzone, waarbinnen mensen vrij kunnen reizen. </w:t>
          </w:r>
          <w:r w:rsidR="00096200">
            <w:t>E</w:t>
          </w:r>
          <w:r w:rsidR="00261426">
            <w:t xml:space="preserve">en adequate aanpak van mensensmokkel binnen de EU en de Schengenzone </w:t>
          </w:r>
          <w:r w:rsidR="00C25691">
            <w:t xml:space="preserve">kan </w:t>
          </w:r>
          <w:r w:rsidR="00261426">
            <w:t>de</w:t>
          </w:r>
          <w:r w:rsidR="005B5746">
            <w:t xml:space="preserve"> uitbreiding van de extraterritoriale rechtsmacht </w:t>
          </w:r>
          <w:r w:rsidR="00503F8D">
            <w:t>rechtvaardigen.</w:t>
          </w:r>
        </w:p>
        <w:p w:rsidR="006557D1" w:rsidP="00921A3A" w:rsidRDefault="006557D1" w14:paraId="35E0864A" w14:textId="77777777"/>
        <w:p w:rsidR="000D133D" w:rsidP="000A5935" w:rsidRDefault="000A5935" w14:paraId="06A6FE4C" w14:textId="52E2C8CD">
          <w:r>
            <w:t xml:space="preserve">De voorgestelde uitbreiding van de rechtsmacht is echter niet beperkt tot situaties die direct of indirect ertoe leiden dat mensen zonder geldige verblijfstitel in Nederland verblijven. De voorgestelde regeling maakt het bijvoorbeeld mogelijk dat Mexicaanse smokkelaars die </w:t>
          </w:r>
          <w:r w:rsidR="006B03AC">
            <w:t xml:space="preserve">Venezolanen </w:t>
          </w:r>
          <w:r>
            <w:t xml:space="preserve">over de Amerikaanse grens brengen in Nederland vervolgd kunnen worden. </w:t>
          </w:r>
          <w:r w:rsidR="00370CD9">
            <w:t xml:space="preserve">Het </w:t>
          </w:r>
          <w:r w:rsidR="008D64C5">
            <w:t>Nederlandse</w:t>
          </w:r>
          <w:r w:rsidR="00370CD9">
            <w:t xml:space="preserve"> belang kan een dergelijke uitbreiding van </w:t>
          </w:r>
          <w:r w:rsidR="006B03AC">
            <w:t>de rechtsmacht niet rechtvaardigen.</w:t>
          </w:r>
        </w:p>
        <w:p w:rsidR="000D133D" w:rsidP="000A5935" w:rsidRDefault="000D133D" w14:paraId="17ECD355" w14:textId="77777777"/>
        <w:p w:rsidR="000D133D" w:rsidP="0068638D" w:rsidRDefault="008A70DB" w14:paraId="53B85A09" w14:textId="5E1B4CC7">
          <w:r>
            <w:t>Tot het vestigen van rechtsmacht in een dergelijk geval</w:t>
          </w:r>
          <w:r w:rsidR="006B03AC">
            <w:t xml:space="preserve"> </w:t>
          </w:r>
          <w:r w:rsidR="00906448">
            <w:t>verplicht het Protocol evenmin</w:t>
          </w:r>
          <w:r w:rsidR="008F3EB4">
            <w:t xml:space="preserve">. </w:t>
          </w:r>
          <w:r w:rsidR="000D133D">
            <w:t>Het Protocol dient namelijk te worden uitgelegd in het licht van het Verdrag</w:t>
          </w:r>
          <w:r w:rsidR="00CB7E72">
            <w:t xml:space="preserve"> van de Verenigde Naties tegen grensoverschrijdende georganiseerde misdaad</w:t>
          </w:r>
          <w:r w:rsidR="000D133D">
            <w:t>.</w:t>
          </w:r>
          <w:r w:rsidR="000D133D">
            <w:rPr>
              <w:rStyle w:val="Voetnootmarkering"/>
            </w:rPr>
            <w:footnoteReference w:id="28"/>
          </w:r>
          <w:r w:rsidR="000D133D">
            <w:t xml:space="preserve"> </w:t>
          </w:r>
          <w:r w:rsidRPr="00906448" w:rsidR="000D133D">
            <w:t>Hier</w:t>
          </w:r>
          <w:r w:rsidR="000D133D">
            <w:t xml:space="preserve">uit vloeit voort dat staten enkel verplicht zijn om rechtsmacht te vestigen voor strafbare feiten die op het eigen grondgebied plaatsvinden of aan boord van een schip of vliegtuig waarop het recht van de </w:t>
          </w:r>
          <w:r w:rsidR="00C453D6">
            <w:t>s</w:t>
          </w:r>
          <w:r w:rsidR="000D133D">
            <w:t>taat van toepassing is.</w:t>
          </w:r>
          <w:r w:rsidR="000D133D">
            <w:rPr>
              <w:rStyle w:val="Voetnootmarkering"/>
            </w:rPr>
            <w:footnoteReference w:id="29"/>
          </w:r>
          <w:r w:rsidR="000D133D">
            <w:t xml:space="preserve"> </w:t>
          </w:r>
          <w:r w:rsidR="00044BF1">
            <w:t>Aan deze eisen</w:t>
          </w:r>
          <w:r w:rsidR="00F02A3D">
            <w:t xml:space="preserve"> </w:t>
          </w:r>
          <w:r w:rsidR="004A7448">
            <w:t xml:space="preserve">voldoet </w:t>
          </w:r>
          <w:r w:rsidR="00F44741">
            <w:t>het</w:t>
          </w:r>
          <w:r w:rsidR="004A7448">
            <w:t xml:space="preserve"> Nederlandse straf</w:t>
          </w:r>
          <w:r w:rsidR="00F44741">
            <w:t>recht</w:t>
          </w:r>
          <w:r w:rsidR="004A7448">
            <w:t xml:space="preserve"> al</w:t>
          </w:r>
          <w:r w:rsidR="00F5768F">
            <w:t>.</w:t>
          </w:r>
        </w:p>
        <w:p w:rsidR="0068638D" w:rsidP="0068638D" w:rsidRDefault="0068638D" w14:paraId="45265637" w14:textId="77777777"/>
        <w:p w:rsidR="00FC24E0" w:rsidP="00F71363" w:rsidRDefault="005F296F" w14:paraId="43534C24" w14:textId="309B9DA0">
          <w:r>
            <w:t xml:space="preserve">Gelet op de terughoudendheid die met het vestigen van extraterritoriale rechtsmacht moet worden betracht, </w:t>
          </w:r>
          <w:r w:rsidR="00C9726F">
            <w:t xml:space="preserve">is </w:t>
          </w:r>
          <w:r>
            <w:t xml:space="preserve">het niet wenselijk </w:t>
          </w:r>
          <w:r w:rsidR="0028281B">
            <w:t xml:space="preserve">om </w:t>
          </w:r>
          <w:r w:rsidR="002A0B8A">
            <w:t>bij mensensmokkel</w:t>
          </w:r>
          <w:r w:rsidR="0028281B">
            <w:t xml:space="preserve">, </w:t>
          </w:r>
          <w:r w:rsidR="002A0B8A">
            <w:t xml:space="preserve">waarbij </w:t>
          </w:r>
          <w:r w:rsidR="0028281B">
            <w:t>de band met Nederland of de EU ontbreekt, rechtsmacht te vestigen.</w:t>
          </w:r>
          <w:r w:rsidR="000856D4">
            <w:t xml:space="preserve"> </w:t>
          </w:r>
          <w:r w:rsidR="007940E0">
            <w:t xml:space="preserve">Daarbij neemt de Afdeling in aanmerking dat </w:t>
          </w:r>
          <w:r w:rsidR="00F71363">
            <w:t xml:space="preserve">aan het vestigen van rechtsmacht over mensensmokkel in het voorstel minder eisen worden gesteld dan </w:t>
          </w:r>
          <w:r w:rsidR="009B2F78">
            <w:t xml:space="preserve">aan </w:t>
          </w:r>
          <w:r w:rsidR="0032585D">
            <w:t xml:space="preserve">het vestigen van </w:t>
          </w:r>
          <w:r w:rsidR="009B2F78">
            <w:t xml:space="preserve">rechtsmacht </w:t>
          </w:r>
          <w:r w:rsidR="0032585D">
            <w:t>over</w:t>
          </w:r>
          <w:r w:rsidR="009B2F78">
            <w:t xml:space="preserve"> </w:t>
          </w:r>
          <w:r w:rsidR="000B587F">
            <w:t xml:space="preserve">bijvoorbeeld </w:t>
          </w:r>
          <w:r w:rsidR="00F71363">
            <w:t>mensenhandel</w:t>
          </w:r>
          <w:r w:rsidR="00E837B3">
            <w:rPr>
              <w:rStyle w:val="Voetnootmarkering"/>
            </w:rPr>
            <w:footnoteReference w:id="30"/>
          </w:r>
          <w:r w:rsidR="00F71363">
            <w:t xml:space="preserve"> of internationale misdrijven.</w:t>
          </w:r>
          <w:r w:rsidR="001F5295">
            <w:rPr>
              <w:rStyle w:val="Voetnootmarkering"/>
            </w:rPr>
            <w:footnoteReference w:id="31"/>
          </w:r>
          <w:r w:rsidR="00B6659E">
            <w:t xml:space="preserve"> </w:t>
          </w:r>
          <w:r w:rsidR="00F65C74">
            <w:t xml:space="preserve">Bij deze misdrijven kan Nederland </w:t>
          </w:r>
          <w:r w:rsidR="002F0969">
            <w:t xml:space="preserve">rechtsmacht vestigen als de verdachte zich op Nederlands grondgebied bevindt, of als de verdachte of slachtoffer Nederlanders </w:t>
          </w:r>
          <w:r w:rsidR="000B0C46">
            <w:t xml:space="preserve">of vreemdelingen die in Nederland een </w:t>
          </w:r>
          <w:r w:rsidR="000F57A7">
            <w:t>vaste woon- of verblijfplaats hebben</w:t>
          </w:r>
          <w:r w:rsidR="002F0969">
            <w:t>.</w:t>
          </w:r>
        </w:p>
        <w:p w:rsidR="00F71363" w:rsidP="00F71363" w:rsidRDefault="00F71363" w14:paraId="16CDB59C" w14:textId="77777777"/>
        <w:p w:rsidR="005B5746" w:rsidP="00494FC4" w:rsidRDefault="000B587F" w14:paraId="4895F6F5" w14:textId="32CDB6BB">
          <w:r>
            <w:t>Het is wel</w:t>
          </w:r>
          <w:r w:rsidR="00AA6D2B">
            <w:t xml:space="preserve"> voorstelbaar </w:t>
          </w:r>
          <w:r w:rsidR="00124AAA">
            <w:t xml:space="preserve">de rechtsmacht </w:t>
          </w:r>
          <w:r w:rsidR="00722A20">
            <w:t>te verruimen</w:t>
          </w:r>
          <w:r w:rsidR="00124AAA">
            <w:t xml:space="preserve"> </w:t>
          </w:r>
          <w:r w:rsidR="00FF5660">
            <w:t>ten aanzien van</w:t>
          </w:r>
          <w:r w:rsidR="00124AAA">
            <w:t xml:space="preserve"> </w:t>
          </w:r>
          <w:r w:rsidR="008F4364">
            <w:t xml:space="preserve">personen </w:t>
          </w:r>
          <w:r w:rsidR="00FF5660">
            <w:t xml:space="preserve">die anderen </w:t>
          </w:r>
          <w:r w:rsidR="008F4364">
            <w:t xml:space="preserve">naar of door het grondgebied </w:t>
          </w:r>
          <w:r w:rsidR="002B66E3">
            <w:t xml:space="preserve">van </w:t>
          </w:r>
          <w:r w:rsidR="00261426">
            <w:t xml:space="preserve">lidstaten van </w:t>
          </w:r>
          <w:r w:rsidR="000A5935">
            <w:t xml:space="preserve">de </w:t>
          </w:r>
          <w:r w:rsidR="00261426">
            <w:t>EU</w:t>
          </w:r>
          <w:r w:rsidR="00494FC4">
            <w:t xml:space="preserve"> of </w:t>
          </w:r>
          <w:r w:rsidR="000A5935">
            <w:t>de Schengen</w:t>
          </w:r>
          <w:r w:rsidR="00261426">
            <w:t>landen</w:t>
          </w:r>
          <w:r w:rsidR="000A5935">
            <w:t xml:space="preserve"> </w:t>
          </w:r>
          <w:r w:rsidR="00FF5660">
            <w:t>smokkelen</w:t>
          </w:r>
          <w:r w:rsidR="0079510E">
            <w:t xml:space="preserve">. </w:t>
          </w:r>
          <w:r w:rsidR="00751E8A">
            <w:t>Hiermee wordt het</w:t>
          </w:r>
          <w:r w:rsidR="005B11A9">
            <w:t xml:space="preserve"> enerzijds</w:t>
          </w:r>
          <w:r w:rsidR="00EA20FA">
            <w:t xml:space="preserve"> </w:t>
          </w:r>
          <w:r w:rsidR="00751E8A">
            <w:t xml:space="preserve">mogelijk gemaakt voor het </w:t>
          </w:r>
          <w:r w:rsidR="00261426">
            <w:t>OM</w:t>
          </w:r>
          <w:r w:rsidR="00751E8A">
            <w:t xml:space="preserve"> en de opsporingsdiensten </w:t>
          </w:r>
          <w:r w:rsidR="009C6C01">
            <w:t>om in Europees verband samen te werken aan de bestrijding van mensensmokkel</w:t>
          </w:r>
          <w:r w:rsidR="001C63CA">
            <w:t xml:space="preserve"> zoals beoogd</w:t>
          </w:r>
          <w:r w:rsidR="00FB2E84">
            <w:t>.</w:t>
          </w:r>
          <w:r w:rsidR="009C6C01">
            <w:t xml:space="preserve"> </w:t>
          </w:r>
          <w:r w:rsidR="00EA20FA">
            <w:t>Anderzijds wordt de reikwijdte van de rechtsmacht niet verder uitgebreid dan met het oog op nationale en Europese belangen noodzakelijk is.</w:t>
          </w:r>
        </w:p>
        <w:p w:rsidR="001546EF" w:rsidP="00494FC4" w:rsidRDefault="001546EF" w14:paraId="19E409E4" w14:textId="77777777"/>
        <w:p w:rsidR="00A415C8" w:rsidP="00494FC4" w:rsidRDefault="00820CD7" w14:paraId="79D1F88B" w14:textId="0173C4EF">
          <w:r>
            <w:t>De Afdeling adviseert</w:t>
          </w:r>
          <w:r w:rsidR="00261426">
            <w:t xml:space="preserve"> daarom</w:t>
          </w:r>
          <w:r>
            <w:t xml:space="preserve"> de</w:t>
          </w:r>
          <w:r w:rsidR="005B11A9">
            <w:t xml:space="preserve"> </w:t>
          </w:r>
          <w:r w:rsidR="00261426">
            <w:t xml:space="preserve">extraterritoriale </w:t>
          </w:r>
          <w:r w:rsidR="005B11A9">
            <w:t xml:space="preserve">rechtsmacht </w:t>
          </w:r>
          <w:r w:rsidR="00311EE0">
            <w:t xml:space="preserve">over mensensmokkel </w:t>
          </w:r>
          <w:r w:rsidR="00BB2DDC">
            <w:t xml:space="preserve">niet verder </w:t>
          </w:r>
          <w:r w:rsidR="005B11A9">
            <w:t>te verruimen</w:t>
          </w:r>
          <w:r w:rsidR="00BB2DDC">
            <w:t xml:space="preserve"> dan</w:t>
          </w:r>
          <w:r w:rsidR="005B11A9">
            <w:t xml:space="preserve"> </w:t>
          </w:r>
          <w:r w:rsidR="00311EE0">
            <w:t xml:space="preserve">tot </w:t>
          </w:r>
          <w:r w:rsidR="007A2D8B">
            <w:t xml:space="preserve">mensensmokkel </w:t>
          </w:r>
          <w:r w:rsidR="00261426">
            <w:t>waarbij de eindbestemming</w:t>
          </w:r>
          <w:r w:rsidR="007A2D8B">
            <w:t xml:space="preserve"> </w:t>
          </w:r>
          <w:r w:rsidR="00A56915">
            <w:t xml:space="preserve">lidstaten van </w:t>
          </w:r>
          <w:r w:rsidR="007A2D8B">
            <w:t xml:space="preserve">de </w:t>
          </w:r>
          <w:r w:rsidR="00261426">
            <w:t>EU</w:t>
          </w:r>
          <w:r w:rsidR="007A2D8B">
            <w:t xml:space="preserve"> en</w:t>
          </w:r>
          <w:r w:rsidR="00192D93">
            <w:t>/of</w:t>
          </w:r>
          <w:r w:rsidR="007A2D8B">
            <w:t xml:space="preserve"> de Schengen</w:t>
          </w:r>
          <w:r w:rsidR="00A56915">
            <w:t>landen</w:t>
          </w:r>
          <w:r w:rsidR="00261426">
            <w:t xml:space="preserve"> zijn of waarbij door deze landen wordt gesmokkeld.</w:t>
          </w:r>
        </w:p>
        <w:p w:rsidR="008554FB" w:rsidP="00494FC4" w:rsidRDefault="008554FB" w14:paraId="3C7A595F" w14:textId="77777777"/>
        <w:p w:rsidR="00A415C8" w:rsidP="00494FC4" w:rsidRDefault="00261929" w14:paraId="46DD998A" w14:textId="7B9CA4F2">
          <w:r>
            <w:t>IV</w:t>
          </w:r>
          <w:r w:rsidR="00A415C8">
            <w:t xml:space="preserve">. </w:t>
          </w:r>
          <w:r w:rsidR="00E653A3">
            <w:tab/>
          </w:r>
          <w:r w:rsidR="00F766E3">
            <w:t>Uitvoering</w:t>
          </w:r>
        </w:p>
        <w:p w:rsidR="00324C92" w:rsidP="00B83DA6" w:rsidRDefault="00324C92" w14:paraId="20521713" w14:textId="76B326E6"/>
        <w:p w:rsidR="0028247A" w:rsidP="00B83DA6" w:rsidRDefault="008504E7" w14:paraId="63B8B37B" w14:textId="3C65067B">
          <w:r>
            <w:t xml:space="preserve">Gelet op de omvang van de mensensmokkel naar Europa </w:t>
          </w:r>
          <w:r w:rsidR="003866B6">
            <w:t>zou</w:t>
          </w:r>
          <w:r w:rsidR="00CA742D">
            <w:t xml:space="preserve"> de verruiming van de rechtsmacht tot een groot aantal extra zaken </w:t>
          </w:r>
          <w:r w:rsidR="003866B6">
            <w:t xml:space="preserve">kunnen </w:t>
          </w:r>
          <w:r w:rsidR="00CA742D">
            <w:t xml:space="preserve">leiden die door de Nederlandse strafrechtketen </w:t>
          </w:r>
          <w:r w:rsidR="009B6E24">
            <w:t xml:space="preserve">moeten worden </w:t>
          </w:r>
          <w:r w:rsidR="006264F5">
            <w:t>opgepakt</w:t>
          </w:r>
          <w:r w:rsidR="009B6E24">
            <w:t xml:space="preserve">. </w:t>
          </w:r>
          <w:r w:rsidR="00325A2B">
            <w:t xml:space="preserve">Dit roept </w:t>
          </w:r>
          <w:r w:rsidR="001C5D2A">
            <w:t xml:space="preserve">de vraag op in hoeverre de </w:t>
          </w:r>
          <w:r w:rsidR="00F3578F">
            <w:t>uitvoeringsinstanties in zowel Europees Nederland als Caribisch Nederland voldoende</w:t>
          </w:r>
          <w:r w:rsidR="00B900D4">
            <w:t xml:space="preserve"> toegerust zijn </w:t>
          </w:r>
          <w:r w:rsidR="00B83DA6">
            <w:t xml:space="preserve">om </w:t>
          </w:r>
          <w:r w:rsidR="00F478AC">
            <w:t xml:space="preserve">met </w:t>
          </w:r>
          <w:r w:rsidR="00B83DA6">
            <w:t xml:space="preserve">de </w:t>
          </w:r>
          <w:r w:rsidR="00F478AC">
            <w:t xml:space="preserve">mogelijke toestroom van zaken om te gaan. </w:t>
          </w:r>
          <w:r w:rsidR="00343A5C">
            <w:t>Deze vraag is mede ingegeven door</w:t>
          </w:r>
          <w:r w:rsidR="007D5F69">
            <w:t xml:space="preserve"> </w:t>
          </w:r>
          <w:r w:rsidR="0080274E">
            <w:t xml:space="preserve">de capaciteitsproblemen die </w:t>
          </w:r>
          <w:r w:rsidR="007D5F69">
            <w:t xml:space="preserve">de afgelopen jaren </w:t>
          </w:r>
          <w:r w:rsidR="00F23434">
            <w:t>door</w:t>
          </w:r>
          <w:r w:rsidR="007D5F69">
            <w:t xml:space="preserve"> politie, OM en </w:t>
          </w:r>
          <w:r w:rsidR="00D13F36">
            <w:t>rechtspraak</w:t>
          </w:r>
          <w:r w:rsidR="005D37F4">
            <w:t xml:space="preserve"> zijn </w:t>
          </w:r>
          <w:r w:rsidR="00F23434">
            <w:t>gerapporteerd.</w:t>
          </w:r>
        </w:p>
        <w:p w:rsidR="0028247A" w:rsidP="00B83DA6" w:rsidRDefault="0028247A" w14:paraId="65379684" w14:textId="77777777"/>
        <w:p w:rsidR="00E374EA" w:rsidP="00B83DA6" w:rsidRDefault="00B83DA6" w14:paraId="7EAD87C6" w14:textId="38E68B1D">
          <w:r w:rsidRPr="00B83DA6">
            <w:t xml:space="preserve">In de toelichting staat dat de verwachting is dat </w:t>
          </w:r>
          <w:r w:rsidR="00782F53">
            <w:t>Koninklijke Marechaussee</w:t>
          </w:r>
          <w:r w:rsidRPr="00B83DA6">
            <w:t xml:space="preserve"> extra personeel nodig z</w:t>
          </w:r>
          <w:r w:rsidR="00782F53">
            <w:t>al</w:t>
          </w:r>
          <w:r w:rsidRPr="00B83DA6">
            <w:t xml:space="preserve"> hebben. De ‘geringe’ extra kosten zullen worden opgevangen in de begroting van het ministerie van Justitie en Veiligheid. Voor de BES is de verwachting dat het voorstel budgetneutraal zal zijn.</w:t>
          </w:r>
          <w:r w:rsidRPr="00B83DA6">
            <w:rPr>
              <w:vertAlign w:val="superscript"/>
            </w:rPr>
            <w:footnoteReference w:id="32"/>
          </w:r>
          <w:r w:rsidRPr="00B83DA6">
            <w:t xml:space="preserve"> </w:t>
          </w:r>
          <w:r w:rsidR="0028247A">
            <w:t xml:space="preserve">Uit de toelichting blijkt niet waar deze </w:t>
          </w:r>
          <w:r w:rsidR="00343A5C">
            <w:t>ramingen</w:t>
          </w:r>
          <w:r w:rsidR="0028247A">
            <w:t xml:space="preserve"> op zijn gebaseerd</w:t>
          </w:r>
          <w:r w:rsidR="003A6A64">
            <w:t>.</w:t>
          </w:r>
          <w:r w:rsidR="003A6B92">
            <w:t xml:space="preserve"> Er wordt bijvoorbeeld geen indicatie gegeven van het aantal opsporingsonderzoeken </w:t>
          </w:r>
          <w:r w:rsidR="001A6572">
            <w:t xml:space="preserve">naar mensensmokkel </w:t>
          </w:r>
          <w:r w:rsidR="003A6B92">
            <w:t xml:space="preserve">waarin Nederland </w:t>
          </w:r>
          <w:r w:rsidR="001A6572">
            <w:t xml:space="preserve">participeert en die mogelijk tot vervolging </w:t>
          </w:r>
          <w:r w:rsidR="002241FC">
            <w:t xml:space="preserve">en berechting </w:t>
          </w:r>
          <w:r w:rsidR="001A6572">
            <w:t xml:space="preserve">van mensensmokkelaars in Nederland zullen leiden. </w:t>
          </w:r>
        </w:p>
        <w:p w:rsidR="00325A2B" w:rsidP="00B83DA6" w:rsidRDefault="00325A2B" w14:paraId="67B69B6B" w14:textId="77777777"/>
        <w:p w:rsidR="00E374EA" w:rsidP="00494FC4" w:rsidRDefault="008C0158" w14:paraId="63F344D4" w14:textId="1ECDC379">
          <w:r>
            <w:t>De</w:t>
          </w:r>
          <w:r w:rsidR="00DF612C">
            <w:t xml:space="preserve"> </w:t>
          </w:r>
          <w:r>
            <w:t>Afdeling adviseert in de toelichting</w:t>
          </w:r>
          <w:r w:rsidR="000168E9">
            <w:t xml:space="preserve"> </w:t>
          </w:r>
          <w:r w:rsidR="00A43262">
            <w:t xml:space="preserve">beter te </w:t>
          </w:r>
          <w:r w:rsidR="00775FBC">
            <w:t xml:space="preserve">motiveren </w:t>
          </w:r>
          <w:r w:rsidR="00815BE5">
            <w:t xml:space="preserve">wat de </w:t>
          </w:r>
          <w:r w:rsidR="00C574A4">
            <w:t xml:space="preserve">uitbreiding van de rechtsmacht </w:t>
          </w:r>
          <w:r w:rsidR="00A20CF7">
            <w:t xml:space="preserve">naar verwachting </w:t>
          </w:r>
          <w:r w:rsidR="00C574A4">
            <w:t>betekent voor de belasting van de strafrechtketen.</w:t>
          </w:r>
          <w:r w:rsidR="00A20CF7">
            <w:t xml:space="preserve"> </w:t>
          </w:r>
          <w:r w:rsidRPr="00855B13" w:rsidR="00A60991">
            <w:t xml:space="preserve">Gelet op de huidige capaciteitstekorten is het raadzaam om </w:t>
          </w:r>
          <w:r w:rsidRPr="00855B13" w:rsidR="00A43262">
            <w:t xml:space="preserve">daarbij </w:t>
          </w:r>
          <w:r w:rsidRPr="00855B13" w:rsidR="00A60991">
            <w:t>in te gaan op</w:t>
          </w:r>
          <w:r w:rsidRPr="00855B13" w:rsidR="007E1386">
            <w:t xml:space="preserve"> </w:t>
          </w:r>
          <w:r w:rsidRPr="00855B13" w:rsidR="004F412A">
            <w:t>hoe de voorgenomen wijziging zich verhoudt tot de bestaande prioriteitstelling</w:t>
          </w:r>
          <w:r w:rsidRPr="00855B13" w:rsidR="00C46711">
            <w:t xml:space="preserve"> binnen de opsporing en vervolging</w:t>
          </w:r>
          <w:r w:rsidRPr="00855B13" w:rsidR="00A4689F">
            <w:t>,</w:t>
          </w:r>
          <w:r w:rsidRPr="00855B13" w:rsidR="00216460">
            <w:t xml:space="preserve"> in </w:t>
          </w:r>
          <w:r w:rsidRPr="00855B13" w:rsidR="00723585">
            <w:t xml:space="preserve">het bijzonder als </w:t>
          </w:r>
          <w:r w:rsidRPr="00855B13" w:rsidR="007A58B0">
            <w:t>het</w:t>
          </w:r>
          <w:r w:rsidRPr="00855B13" w:rsidR="00277D5A">
            <w:t xml:space="preserve"> gaat </w:t>
          </w:r>
          <w:r w:rsidRPr="00855B13" w:rsidR="007A58B0">
            <w:t xml:space="preserve">om </w:t>
          </w:r>
          <w:r w:rsidRPr="00855B13" w:rsidR="00277D5A">
            <w:t xml:space="preserve">de </w:t>
          </w:r>
          <w:r w:rsidRPr="00855B13" w:rsidR="007A58B0">
            <w:t>overdracht van de strafvervolging</w:t>
          </w:r>
          <w:r w:rsidRPr="00855B13" w:rsidR="00277D5A">
            <w:t xml:space="preserve"> </w:t>
          </w:r>
          <w:r w:rsidRPr="00855B13" w:rsidR="00DA7DCC">
            <w:t xml:space="preserve">van zaken </w:t>
          </w:r>
          <w:r w:rsidRPr="00855B13" w:rsidR="007A58B0">
            <w:t xml:space="preserve">waarbij </w:t>
          </w:r>
          <w:r w:rsidRPr="00855B13" w:rsidR="00723585">
            <w:t xml:space="preserve">niet </w:t>
          </w:r>
          <w:r w:rsidRPr="00855B13" w:rsidR="00F402EB">
            <w:t xml:space="preserve">direct </w:t>
          </w:r>
          <w:r w:rsidRPr="00855B13" w:rsidR="00A80C11">
            <w:t>naar of door Nederland is gesmokkeld.</w:t>
          </w:r>
        </w:p>
        <w:p w:rsidR="00E374EA" w:rsidP="00494FC4" w:rsidRDefault="00E374EA" w14:paraId="2382408C" w14:textId="77777777"/>
        <w:p w:rsidR="0050662C" w:rsidRDefault="0050662C" w14:paraId="2AF04BFE" w14:textId="77777777">
          <w:r>
            <w:br w:type="page"/>
          </w:r>
        </w:p>
        <w:p w:rsidR="004A28B3" w:rsidP="00494FC4" w:rsidRDefault="004A28B3" w14:paraId="49C0CDC4" w14:textId="05F5349E">
          <w:pPr>
            <w:rPr>
              <w:u w:val="single"/>
            </w:rPr>
          </w:pPr>
          <w:r>
            <w:t xml:space="preserve">3. </w:t>
          </w:r>
          <w:r>
            <w:tab/>
          </w:r>
          <w:r w:rsidRPr="004A28B3">
            <w:rPr>
              <w:u w:val="single"/>
            </w:rPr>
            <w:t xml:space="preserve">De verhoging van </w:t>
          </w:r>
          <w:r w:rsidR="00D13279">
            <w:rPr>
              <w:u w:val="single"/>
            </w:rPr>
            <w:t>de strafmaxima</w:t>
          </w:r>
        </w:p>
        <w:p w:rsidR="00A56915" w:rsidP="00494FC4" w:rsidRDefault="00A56915" w14:paraId="623888C0" w14:textId="77777777">
          <w:pPr>
            <w:rPr>
              <w:u w:val="single"/>
            </w:rPr>
          </w:pPr>
        </w:p>
        <w:p w:rsidRPr="00B16727" w:rsidR="00FD6F41" w:rsidP="00FD6F41" w:rsidRDefault="00FD6F41" w14:paraId="3AB69E95" w14:textId="76F8A79E">
          <w:pPr>
            <w:rPr>
              <w:i/>
              <w:iCs/>
            </w:rPr>
          </w:pPr>
          <w:r>
            <w:t xml:space="preserve">a. </w:t>
          </w:r>
          <w:r>
            <w:tab/>
          </w:r>
          <w:r>
            <w:rPr>
              <w:i/>
              <w:iCs/>
            </w:rPr>
            <w:t xml:space="preserve">Doel van het </w:t>
          </w:r>
          <w:r w:rsidR="00807DCC">
            <w:rPr>
              <w:i/>
              <w:iCs/>
            </w:rPr>
            <w:t>wets</w:t>
          </w:r>
          <w:r>
            <w:rPr>
              <w:i/>
              <w:iCs/>
            </w:rPr>
            <w:t>voorstel</w:t>
          </w:r>
        </w:p>
        <w:p w:rsidR="00555FC0" w:rsidP="00FD6F41" w:rsidRDefault="00FD6F41" w14:paraId="22E0EFFD" w14:textId="4E7DD0DF">
          <w:r>
            <w:t>Het voorstel is om de strafmaxima voor mensensmokkel in artikel 179a Sr te verhogen</w:t>
          </w:r>
          <w:r w:rsidR="003F33DC">
            <w:t xml:space="preserve"> van 6 tot 8 jaar voor het basisdelict. </w:t>
          </w:r>
          <w:r w:rsidR="004E453C">
            <w:t>Wanneer de verdachte mensen smokkel</w:t>
          </w:r>
          <w:r w:rsidR="00794047">
            <w:t>t</w:t>
          </w:r>
          <w:r w:rsidR="004E453C">
            <w:t xml:space="preserve"> in de uitoefening van ambt of beroep, gaat het strafmaximum van 8 naar 10 jaar. Als de verdachte hiervan </w:t>
          </w:r>
          <w:r w:rsidR="00D13279">
            <w:t xml:space="preserve">een </w:t>
          </w:r>
          <w:r w:rsidR="004E453C">
            <w:t xml:space="preserve">beroep of gewoonte heeft gemaakt, of </w:t>
          </w:r>
          <w:r w:rsidR="005D008D">
            <w:t xml:space="preserve">als </w:t>
          </w:r>
          <w:r w:rsidR="004E453C">
            <w:t>het delict in vereniging wordt gepleegd</w:t>
          </w:r>
          <w:r w:rsidR="005D008D">
            <w:t xml:space="preserve">, gaat het maximum van 10 naar 12 jaar. Wanneer de mensensmokkel </w:t>
          </w:r>
          <w:r w:rsidR="0074752C">
            <w:t>zwaar lichamelijk letsel tot gevolg heeft</w:t>
          </w:r>
          <w:r w:rsidR="00B40833">
            <w:t xml:space="preserve"> of iemand daarvan levensgevaar te duchten heeft</w:t>
          </w:r>
          <w:r w:rsidR="0074752C">
            <w:t xml:space="preserve">, </w:t>
          </w:r>
          <w:r w:rsidR="00D13279">
            <w:t xml:space="preserve">wordt </w:t>
          </w:r>
          <w:r w:rsidR="0074752C">
            <w:t xml:space="preserve">het maximum </w:t>
          </w:r>
          <w:r w:rsidR="00D13279">
            <w:t xml:space="preserve">verhoogd </w:t>
          </w:r>
          <w:r w:rsidR="0074752C">
            <w:t xml:space="preserve">van 15 naar 18 jaar. </w:t>
          </w:r>
          <w:r w:rsidR="00231CE4">
            <w:t xml:space="preserve">Wanneer dit de dood tot gevolg heeft, </w:t>
          </w:r>
          <w:r w:rsidR="00425FE0">
            <w:t xml:space="preserve">gaat het maximum </w:t>
          </w:r>
          <w:r w:rsidR="00231CE4">
            <w:t xml:space="preserve">van 18 jaar </w:t>
          </w:r>
          <w:r w:rsidR="00E73306">
            <w:t xml:space="preserve">naar </w:t>
          </w:r>
          <w:r w:rsidR="00231CE4">
            <w:t>21 jaar. In Caribisch Nederland g</w:t>
          </w:r>
          <w:r w:rsidR="00555FC0">
            <w:t>e</w:t>
          </w:r>
          <w:r w:rsidR="00231CE4">
            <w:t>lden</w:t>
          </w:r>
          <w:r w:rsidR="00555FC0">
            <w:t xml:space="preserve"> nu</w:t>
          </w:r>
          <w:r w:rsidR="00231CE4">
            <w:t xml:space="preserve"> </w:t>
          </w:r>
          <w:r w:rsidR="00555FC0">
            <w:t>lagere strafmaxima dan in Europees Nederland. Met het wetsvoorstel wordt dit gelijk getrokken.</w:t>
          </w:r>
        </w:p>
        <w:p w:rsidR="00555FC0" w:rsidP="00FD6F41" w:rsidRDefault="00555FC0" w14:paraId="42A1BF7F" w14:textId="77777777"/>
        <w:p w:rsidR="00555FC0" w:rsidP="00FD6F41" w:rsidRDefault="00FD6F41" w14:paraId="1E9F955F" w14:textId="0642DF10">
          <w:r>
            <w:t>Voor de verhoging van de strafmaxima worden de volgende argumenten aangedragen.</w:t>
          </w:r>
          <w:r>
            <w:rPr>
              <w:rStyle w:val="Voetnootmarkering"/>
            </w:rPr>
            <w:footnoteReference w:id="33"/>
          </w:r>
          <w:r>
            <w:t xml:space="preserve"> D</w:t>
          </w:r>
          <w:r w:rsidR="00555FC0">
            <w:t>oor de verhoging worden voorbereidingshandelingen met betrekking tot mensensmokkel strafbaar.</w:t>
          </w:r>
          <w:r w:rsidR="00541EE3">
            <w:t xml:space="preserve"> Voorbereidingshandelingen zijn namelijk strafbaar bij delicten waarop een gevangenisstraf van acht jaar of hoger zijn gesteld.</w:t>
          </w:r>
          <w:r w:rsidR="00541EE3">
            <w:rPr>
              <w:rStyle w:val="Voetnootmarkering"/>
            </w:rPr>
            <w:footnoteReference w:id="34"/>
          </w:r>
          <w:r w:rsidR="00FD5C70">
            <w:t xml:space="preserve"> Dit </w:t>
          </w:r>
          <w:r w:rsidR="00362ADE">
            <w:t>maakt het voor opsporingsdiensten mog</w:t>
          </w:r>
          <w:r w:rsidR="004670B0">
            <w:t>elijk in een vroeg stadium in te grijpen.</w:t>
          </w:r>
        </w:p>
        <w:p w:rsidR="004670B0" w:rsidP="00FD6F41" w:rsidRDefault="004670B0" w14:paraId="5A3E982E" w14:textId="77777777"/>
        <w:p w:rsidR="004670B0" w:rsidP="00FD6F41" w:rsidRDefault="004670B0" w14:paraId="6AEBF331" w14:textId="147FB618">
          <w:r>
            <w:t xml:space="preserve">Daarnaast maakt een hoger strafmaximum </w:t>
          </w:r>
          <w:r w:rsidR="00D6413E">
            <w:t xml:space="preserve">het mogelijk om een verscherpt </w:t>
          </w:r>
          <w:r w:rsidR="004601FB">
            <w:t>strafvorderingsbeleid</w:t>
          </w:r>
          <w:r w:rsidR="00D6413E">
            <w:t xml:space="preserve"> te voeren. </w:t>
          </w:r>
          <w:r w:rsidR="004601FB">
            <w:t xml:space="preserve">Dit doet volgens de regering meer recht aan de ernst van mensensmokkel. Het versterkt bovendien </w:t>
          </w:r>
          <w:r w:rsidR="00262E3D">
            <w:t xml:space="preserve">het signaal dat het profiteren en stimuleren van irreguliere immigratie niet wordt geaccepteerd. </w:t>
          </w:r>
          <w:r w:rsidR="00425FE0">
            <w:t>Verder</w:t>
          </w:r>
          <w:r w:rsidR="00262E3D">
            <w:t xml:space="preserve"> heeft dit een ontmoedigende werking omdat mensensmokkelaars </w:t>
          </w:r>
          <w:r w:rsidR="00373885">
            <w:t xml:space="preserve">hun praktijk uitoefenen </w:t>
          </w:r>
          <w:r w:rsidR="00381B45">
            <w:t>naar en van</w:t>
          </w:r>
          <w:r w:rsidR="00373885">
            <w:t xml:space="preserve"> de la</w:t>
          </w:r>
          <w:r w:rsidR="007C63F8">
            <w:t>n</w:t>
          </w:r>
          <w:r w:rsidR="00373885">
            <w:t>den met de minste risico’s.</w:t>
          </w:r>
        </w:p>
        <w:p w:rsidR="00373885" w:rsidP="00FD6F41" w:rsidRDefault="00373885" w14:paraId="265734AD" w14:textId="77777777"/>
        <w:p w:rsidR="00373885" w:rsidP="00FD6F41" w:rsidRDefault="00373885" w14:paraId="30182A14" w14:textId="2A5FB5A1">
          <w:r>
            <w:t xml:space="preserve">Tot slot wordt opgemerkt dat door de verhoging </w:t>
          </w:r>
          <w:r w:rsidR="005A0037">
            <w:t xml:space="preserve">van de strafmaxima van mensensmokkel deze meer in balans worden gebracht met de strafmaxima voor mensenhandel. Hierop is thans een gevangenisstraf </w:t>
          </w:r>
          <w:r w:rsidR="00D34883">
            <w:t>van twaalf jaar gesteld.</w:t>
          </w:r>
        </w:p>
        <w:p w:rsidR="00FD6F41" w:rsidP="00FD6F41" w:rsidRDefault="00FD6F41" w14:paraId="26EF87DA" w14:textId="77777777">
          <w:r>
            <w:t xml:space="preserve"> </w:t>
          </w:r>
        </w:p>
        <w:p w:rsidR="00FD6F41" w:rsidP="00FD6F41" w:rsidRDefault="00FD6F41" w14:paraId="4E3B81CC" w14:textId="73536AC7">
          <w:r>
            <w:t xml:space="preserve">b. </w:t>
          </w:r>
          <w:r>
            <w:tab/>
          </w:r>
          <w:r w:rsidR="004625CE">
            <w:rPr>
              <w:i/>
              <w:iCs/>
            </w:rPr>
            <w:t xml:space="preserve">De evaluatie van de verhoging </w:t>
          </w:r>
          <w:r w:rsidR="00486AC1">
            <w:rPr>
              <w:i/>
              <w:iCs/>
            </w:rPr>
            <w:t>in 2015</w:t>
          </w:r>
        </w:p>
        <w:p w:rsidR="00264FD4" w:rsidP="00264FD4" w:rsidRDefault="00D13279" w14:paraId="33B1B5B6" w14:textId="5E8A45BF">
          <w:r>
            <w:t>De strafmaxima</w:t>
          </w:r>
          <w:r w:rsidR="00FD6F41">
            <w:t xml:space="preserve"> </w:t>
          </w:r>
          <w:r>
            <w:t>zijn</w:t>
          </w:r>
          <w:r w:rsidR="00FD6F41">
            <w:t xml:space="preserve"> in 2015 voor het laatst verhoogd van </w:t>
          </w:r>
          <w:r w:rsidR="00071389">
            <w:t>vier</w:t>
          </w:r>
          <w:r w:rsidR="00FD6F41">
            <w:t xml:space="preserve"> tot </w:t>
          </w:r>
          <w:r w:rsidR="00071389">
            <w:t>zes</w:t>
          </w:r>
          <w:r w:rsidR="00FD6F41">
            <w:t xml:space="preserve"> jaar voor het Europees deel van Nederland. Bij de parlementaire behandeling in 2015 is toegezegd dat de verhoging van de mensensmokkel vijf jaar na inwerkingtreding van de wetswijziging </w:t>
          </w:r>
          <w:r w:rsidR="00264FD4">
            <w:t>zou worden</w:t>
          </w:r>
          <w:r w:rsidR="00FD6F41">
            <w:t xml:space="preserve"> geëvalueerd.</w:t>
          </w:r>
          <w:r w:rsidR="00FD6F41">
            <w:rPr>
              <w:rStyle w:val="Voetnootmarkering"/>
            </w:rPr>
            <w:footnoteReference w:id="35"/>
          </w:r>
          <w:r w:rsidR="00FD6F41">
            <w:t xml:space="preserve"> </w:t>
          </w:r>
        </w:p>
        <w:p w:rsidR="00264FD4" w:rsidP="00264FD4" w:rsidRDefault="00264FD4" w14:paraId="426C2229" w14:textId="77777777"/>
        <w:p w:rsidR="00FD6F41" w:rsidP="00FD6F41" w:rsidRDefault="004D4277" w14:paraId="16A58D41" w14:textId="4071A033">
          <w:r w:rsidRPr="004D4277">
            <w:t>De verhoging van de strafmaxima is in de Verzamelwet Justitie en Veiligheid in 2021 aan de Afdeling voorgelegd.</w:t>
          </w:r>
          <w:r w:rsidRPr="004D4277">
            <w:rPr>
              <w:vertAlign w:val="superscript"/>
            </w:rPr>
            <w:footnoteReference w:id="36"/>
          </w:r>
          <w:r w:rsidR="0061250F">
            <w:t xml:space="preserve"> </w:t>
          </w:r>
          <w:r w:rsidRPr="004D4277">
            <w:t>De Afdeling heeft toen gewezen op het ontbreken van de evaluatie van de straf</w:t>
          </w:r>
          <w:r w:rsidR="0011370C">
            <w:t>verhoging</w:t>
          </w:r>
          <w:r w:rsidR="00EA0C53">
            <w:t xml:space="preserve"> in 2015</w:t>
          </w:r>
          <w:r>
            <w:t>.</w:t>
          </w:r>
          <w:r w:rsidR="00EA0C53">
            <w:t xml:space="preserve"> </w:t>
          </w:r>
          <w:r w:rsidR="0011370C">
            <w:t>De</w:t>
          </w:r>
          <w:r w:rsidR="00FD6F41">
            <w:t xml:space="preserve"> uitkomsten van een dergelijke evaluatie </w:t>
          </w:r>
          <w:r w:rsidR="0011370C">
            <w:t xml:space="preserve">dienden volgens de Afdeling </w:t>
          </w:r>
          <w:r w:rsidR="00FD6F41">
            <w:t>te worden betrokken bij de afweging of een verhoging noodzakelijk is en welke gevolgen die heeft voor de uitvoering.</w:t>
          </w:r>
        </w:p>
        <w:p w:rsidR="00FD6F41" w:rsidP="00FD6F41" w:rsidRDefault="00FD6F41" w14:paraId="6828ACEF" w14:textId="77777777"/>
        <w:p w:rsidR="00FD6F41" w:rsidP="00FD6F41" w:rsidRDefault="00FD6F41" w14:paraId="5BF1CBC7" w14:textId="5A7FF7D5">
          <w:r>
            <w:t>Uit de toelichting op het onderhavige voorstel blijkt dat in het kader van deze evaluatie gegevens bij het OM zijn opgevraagd. Het is echter niet mogelijk gebleken de doelmatigheid van de vorige verhoging vast te stellen omdat in 2015 geen nulmeting heeft plaatsgevonden.</w:t>
          </w:r>
          <w:r>
            <w:rPr>
              <w:rStyle w:val="Voetnootmarkering"/>
            </w:rPr>
            <w:footnoteReference w:id="37"/>
          </w:r>
          <w:r>
            <w:t xml:space="preserve"> </w:t>
          </w:r>
          <w:r w:rsidR="003D12E0">
            <w:t>In</w:t>
          </w:r>
          <w:r>
            <w:t xml:space="preserve"> het </w:t>
          </w:r>
          <w:r w:rsidR="00DE3694">
            <w:t>huidige</w:t>
          </w:r>
          <w:r>
            <w:t xml:space="preserve"> voorstel </w:t>
          </w:r>
          <w:r w:rsidR="003D12E0">
            <w:t xml:space="preserve">is </w:t>
          </w:r>
          <w:r>
            <w:t>geen evaluatiebepaling opgenomen.</w:t>
          </w:r>
        </w:p>
        <w:p w:rsidR="00F7650D" w:rsidP="00FD6F41" w:rsidRDefault="00F7650D" w14:paraId="18BFEEEA" w14:textId="77777777"/>
        <w:p w:rsidRPr="00EA4390" w:rsidR="00FD6F41" w:rsidP="00FD6F41" w:rsidRDefault="00FD6F41" w14:paraId="66236DD4" w14:textId="77777777">
          <w:r>
            <w:t xml:space="preserve">c. </w:t>
          </w:r>
          <w:r>
            <w:tab/>
          </w:r>
          <w:r>
            <w:rPr>
              <w:i/>
              <w:iCs/>
            </w:rPr>
            <w:t>Beoordeling</w:t>
          </w:r>
        </w:p>
        <w:p w:rsidR="00BD2A7C" w:rsidP="006A05F3" w:rsidRDefault="00DE3694" w14:paraId="506A071B" w14:textId="77777777">
          <w:r>
            <w:t xml:space="preserve">Het voorstel leidt ertoe dat </w:t>
          </w:r>
          <w:r w:rsidR="00D13279">
            <w:t>de strafmaxima</w:t>
          </w:r>
          <w:r>
            <w:t xml:space="preserve"> voor mensensmokkel in minder dan tien jaar tijd wordt verdubbeld. </w:t>
          </w:r>
          <w:r w:rsidR="00B37A10">
            <w:t xml:space="preserve">Bij </w:t>
          </w:r>
          <w:r w:rsidR="00D40D35">
            <w:t>b</w:t>
          </w:r>
          <w:r w:rsidR="00B67F94">
            <w:t xml:space="preserve">epalen van een strafmaximum geldt </w:t>
          </w:r>
          <w:r w:rsidR="00370619">
            <w:t xml:space="preserve">dat </w:t>
          </w:r>
          <w:r w:rsidR="00B37A10">
            <w:t xml:space="preserve">de ernst van het strafbare feit </w:t>
          </w:r>
          <w:r w:rsidR="00B41554">
            <w:t xml:space="preserve">in beginsel </w:t>
          </w:r>
          <w:r w:rsidR="00BC572B">
            <w:t>een belangrijk</w:t>
          </w:r>
          <w:r w:rsidR="00B67F94">
            <w:t xml:space="preserve"> ijkpunt</w:t>
          </w:r>
          <w:r w:rsidR="00370619">
            <w:t xml:space="preserve"> is</w:t>
          </w:r>
          <w:r w:rsidR="00165022">
            <w:t xml:space="preserve">. </w:t>
          </w:r>
          <w:r w:rsidRPr="000A158F" w:rsidR="00A33310">
            <w:t>De beoordeling van de ernst van het feit speelt bovendien een rol bij de beoordeling van de wenselijkheid om voorbereidingshandelingen strafbaar te stellen en bij het bepalen van een balans tussen verschillende strafmaxima.</w:t>
          </w:r>
        </w:p>
        <w:p w:rsidR="00BD2A7C" w:rsidP="006A05F3" w:rsidRDefault="00BD2A7C" w14:paraId="20E477A5" w14:textId="77777777"/>
        <w:p w:rsidR="000454CF" w:rsidP="006A05F3" w:rsidRDefault="00165022" w14:paraId="075331F5" w14:textId="56D0C78E">
          <w:r>
            <w:t xml:space="preserve">In de toelichting wordt gewezen op de mensonterende praktijken </w:t>
          </w:r>
          <w:r w:rsidR="00B41554">
            <w:t xml:space="preserve">die met mensensmokkel gepaard gaan. </w:t>
          </w:r>
          <w:r w:rsidR="00A234E5">
            <w:t xml:space="preserve">Deze praktijken zijn helaas geen nieuw fenomeen, maar vonden ook </w:t>
          </w:r>
          <w:r w:rsidR="006630B9">
            <w:t xml:space="preserve">plaats in 2015 toen </w:t>
          </w:r>
          <w:r w:rsidR="00D13279">
            <w:t>de strafmaxima</w:t>
          </w:r>
          <w:r w:rsidR="006630B9">
            <w:t xml:space="preserve"> in Europees Nederland voor het laatst werd</w:t>
          </w:r>
          <w:r w:rsidR="00D13279">
            <w:t>en</w:t>
          </w:r>
          <w:r w:rsidR="006630B9">
            <w:t xml:space="preserve"> verhoogd. </w:t>
          </w:r>
          <w:r w:rsidR="000C6389">
            <w:t>Uit de toelichting blijkt niet dat sinds</w:t>
          </w:r>
          <w:r w:rsidR="006630B9">
            <w:t>dien</w:t>
          </w:r>
          <w:r w:rsidR="000C6389">
            <w:t xml:space="preserve"> dusdanige ontwikkelingen hebben plaatsgevonden dat de ernst van mensensmokkel </w:t>
          </w:r>
          <w:r w:rsidR="003B4F1F">
            <w:t>anders gewaardeerd</w:t>
          </w:r>
          <w:r w:rsidR="00085563">
            <w:t xml:space="preserve"> wordt</w:t>
          </w:r>
          <w:r w:rsidR="003B4F1F">
            <w:t xml:space="preserve">. </w:t>
          </w:r>
          <w:r w:rsidR="0094624F">
            <w:t xml:space="preserve">Dit roept de vraag op wat de aanleiding is om (nogmaals) tot een verhoging van </w:t>
          </w:r>
          <w:r w:rsidR="00D13279">
            <w:t>de strafmaxima</w:t>
          </w:r>
          <w:r w:rsidR="0094624F">
            <w:t xml:space="preserve"> over te gaan. </w:t>
          </w:r>
          <w:r w:rsidRPr="000A158F" w:rsidR="000A158F">
            <w:t xml:space="preserve"> </w:t>
          </w:r>
        </w:p>
        <w:p w:rsidR="00976550" w:rsidP="006A05F3" w:rsidRDefault="00976550" w14:paraId="7A64821C" w14:textId="77777777"/>
        <w:p w:rsidR="00806400" w:rsidP="0011370C" w:rsidRDefault="00976550" w14:paraId="0D0E5BDB" w14:textId="2284812F">
          <w:r>
            <w:t xml:space="preserve">De regering wijst, evenals in 2015, op de ontmoedigende werking en de mogelijkheid een aangescherpt strafvorderingsbeleid te voeren. </w:t>
          </w:r>
          <w:r w:rsidR="00BD5D6B">
            <w:t xml:space="preserve">Zonder evaluatie is het echter niet goed mogelijk om </w:t>
          </w:r>
          <w:r w:rsidR="000971D2">
            <w:t xml:space="preserve">te </w:t>
          </w:r>
          <w:r w:rsidR="002634A8">
            <w:t xml:space="preserve">motiveren </w:t>
          </w:r>
          <w:r w:rsidR="000971D2">
            <w:t>dat</w:t>
          </w:r>
          <w:r w:rsidR="00E36D17">
            <w:t xml:space="preserve"> dergelijke strafverhogingen daadwerkelijk het beoogde effect hebben. </w:t>
          </w:r>
          <w:r w:rsidR="005A3B69">
            <w:t xml:space="preserve">Evenmin </w:t>
          </w:r>
          <w:r w:rsidR="00E36D17">
            <w:t xml:space="preserve">blijkt uit de toelichting dat </w:t>
          </w:r>
          <w:r w:rsidR="00806400">
            <w:t xml:space="preserve">de huidige strafmaxima ontoereikend worden gevonden door het OM of de rechtspraak. </w:t>
          </w:r>
        </w:p>
        <w:p w:rsidR="006557D1" w:rsidP="006557D1" w:rsidRDefault="006557D1" w14:paraId="60A22D54" w14:textId="295FF240"/>
        <w:p w:rsidR="00830176" w:rsidP="00494FC4" w:rsidRDefault="00BB11F3" w14:paraId="5B8B6328" w14:textId="055177F5">
          <w:r>
            <w:t xml:space="preserve">De Afdeling </w:t>
          </w:r>
          <w:r w:rsidR="00AD793D">
            <w:t xml:space="preserve">merkt </w:t>
          </w:r>
          <w:r w:rsidR="00A62D67">
            <w:t>in dit verband nog op dat</w:t>
          </w:r>
          <w:r>
            <w:t xml:space="preserve"> het w</w:t>
          </w:r>
          <w:r w:rsidR="00830176">
            <w:t xml:space="preserve">el wenselijk </w:t>
          </w:r>
          <w:r w:rsidR="00A62D67">
            <w:t xml:space="preserve">is </w:t>
          </w:r>
          <w:r w:rsidR="00830176">
            <w:t>de strafmaxima voor mensensmokkel in Europees Nederland en Caribisch Nederland gelijk</w:t>
          </w:r>
          <w:r w:rsidR="00A62D67">
            <w:t xml:space="preserve"> t</w:t>
          </w:r>
          <w:r w:rsidR="00830176">
            <w:t>e</w:t>
          </w:r>
          <w:r w:rsidR="00A62D67">
            <w:t xml:space="preserve"> </w:t>
          </w:r>
          <w:r w:rsidR="00830176">
            <w:t>tr</w:t>
          </w:r>
          <w:r w:rsidR="00A62D67">
            <w:t>e</w:t>
          </w:r>
          <w:r w:rsidR="00830176">
            <w:t xml:space="preserve">kken. </w:t>
          </w:r>
        </w:p>
        <w:p w:rsidR="00830176" w:rsidP="00494FC4" w:rsidRDefault="00830176" w14:paraId="4F7B8D85" w14:textId="77777777"/>
        <w:p w:rsidR="004236EC" w:rsidP="00494FC4" w:rsidRDefault="00830176" w14:paraId="47FDC5FD" w14:textId="3AD165B3">
          <w:r>
            <w:t xml:space="preserve">De Afdeling adviseert </w:t>
          </w:r>
          <w:r w:rsidR="004236EC">
            <w:t>de</w:t>
          </w:r>
          <w:r w:rsidR="0011370C">
            <w:t xml:space="preserve"> noodzaak van de</w:t>
          </w:r>
          <w:r w:rsidR="004236EC">
            <w:t xml:space="preserve"> voorgestelde strafverhoging dragend te motiveren. Als dat niet mogelijk is, adviseert zij de strafmaxima in artikel 197a Sr ongewijzigd te laten en de strafmaxima in artikel 203a Sr</w:t>
          </w:r>
          <w:r w:rsidR="6A672337">
            <w:t xml:space="preserve"> </w:t>
          </w:r>
          <w:r w:rsidR="004236EC">
            <w:t xml:space="preserve">BES </w:t>
          </w:r>
          <w:r w:rsidR="004E4C3E">
            <w:t xml:space="preserve">hiermee in overeenstemming te brengen. </w:t>
          </w:r>
        </w:p>
        <w:p w:rsidR="004E4C3E" w:rsidP="00494FC4" w:rsidRDefault="004E4C3E" w14:paraId="061B07A8" w14:textId="1984B48C"/>
        <w:p w:rsidR="0050662C" w:rsidRDefault="0050662C" w14:paraId="2FB81F7A" w14:textId="77777777">
          <w:r>
            <w:br w:type="page"/>
          </w:r>
        </w:p>
        <w:p w:rsidR="00994A10" w:rsidRDefault="00554F62" w14:paraId="0FA3486A" w14:textId="0A5310CC">
          <w:r>
            <w:t xml:space="preserve">Tevens adviseert de Afdeling om in het </w:t>
          </w:r>
          <w:r w:rsidR="00221778">
            <w:t>wetsvoorstel</w:t>
          </w:r>
          <w:r>
            <w:t xml:space="preserve"> een evaluatiebepaling op te nemen</w:t>
          </w:r>
          <w:r w:rsidR="000F16FF">
            <w:t xml:space="preserve"> met betrekking tot de strafverhoging</w:t>
          </w:r>
          <w:r>
            <w:t>.</w:t>
          </w:r>
        </w:p>
      </w:sdtContent>
    </w:sdt>
    <w:p w:rsidR="00CE7262" w:rsidRDefault="00CE7262" w14:paraId="5F4716E4" w14:textId="06B80CDA"/>
    <w:p w:rsidR="00E43865" w:rsidRDefault="00E43865" w14:paraId="5DD1AF48" w14:textId="77777777"/>
    <w:sdt>
      <w:sdtPr>
        <w:tag w:val="bmDictum"/>
        <w:id w:val="1468315795"/>
        <w:lock w:val="sdtLocked"/>
        <w:placeholder>
          <w:docPart w:val="DefaultPlaceholder_-1854013440"/>
        </w:placeholder>
      </w:sdtPr>
      <w:sdtEndPr/>
      <w:sdtContent>
        <w:p w:rsidR="005E14FB" w:rsidRDefault="00E43865" w14:paraId="64F9E455" w14:textId="44FA2662">
          <w:r>
            <w:t xml:space="preserve">De Afdeling advisering van de Raad van State heeft een aantal opmerkingen bij het voorstel en adviseert daarmee rekening te houden voordat het voorstel bij de Tweede Kamer der Staten-Generaal wordt ingediend. </w:t>
          </w:r>
          <w:r>
            <w:br/>
          </w:r>
          <w:r>
            <w:br/>
          </w:r>
          <w:r>
            <w:br/>
          </w:r>
          <w:r>
            <w:br/>
          </w:r>
          <w:r>
            <w:br/>
          </w:r>
          <w:r>
            <w:br/>
            <w:t>De vice-president van de Raad van State,</w:t>
          </w:r>
        </w:p>
      </w:sdtContent>
    </w:sdt>
    <w:p w:rsidR="00E43865" w:rsidRDefault="00E43865" w14:paraId="0A60872E" w14:textId="2A8D8D63"/>
    <w:sectPr w:rsidR="00E43865" w:rsidSect="00A84AF8">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4062D" w14:textId="77777777" w:rsidR="00791724" w:rsidRDefault="00791724">
      <w:r>
        <w:separator/>
      </w:r>
    </w:p>
  </w:endnote>
  <w:endnote w:type="continuationSeparator" w:id="0">
    <w:p w14:paraId="35A0A25E" w14:textId="77777777" w:rsidR="00791724" w:rsidRDefault="00791724">
      <w:r>
        <w:continuationSeparator/>
      </w:r>
    </w:p>
  </w:endnote>
  <w:endnote w:type="continuationNotice" w:id="1">
    <w:p w14:paraId="02B351A8" w14:textId="77777777" w:rsidR="00791724" w:rsidRDefault="00791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E7115" w14:textId="77777777" w:rsidR="00E43865" w:rsidRDefault="00E438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59465F" w14:paraId="0FA34872" w14:textId="77777777" w:rsidTr="00D90098">
      <w:tc>
        <w:tcPr>
          <w:tcW w:w="4815" w:type="dxa"/>
        </w:tcPr>
        <w:p w14:paraId="0FA34870" w14:textId="77777777" w:rsidR="00D90098" w:rsidRDefault="009C0F62" w:rsidP="00D90098">
          <w:pPr>
            <w:pStyle w:val="Voettekst"/>
          </w:pPr>
        </w:p>
      </w:tc>
      <w:tc>
        <w:tcPr>
          <w:tcW w:w="4247" w:type="dxa"/>
        </w:tcPr>
        <w:p w14:paraId="0FA34871" w14:textId="77777777" w:rsidR="00D90098" w:rsidRDefault="009C0F62" w:rsidP="00D90098">
          <w:pPr>
            <w:pStyle w:val="Voettekst"/>
            <w:jc w:val="right"/>
          </w:pPr>
        </w:p>
      </w:tc>
    </w:tr>
  </w:tbl>
  <w:p w14:paraId="0FA34873" w14:textId="77777777" w:rsidR="00D90098" w:rsidRDefault="009C0F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0796D" w14:textId="33FE9EDE" w:rsidR="00A84AF8" w:rsidRPr="00A84AF8" w:rsidRDefault="00A84AF8">
    <w:pPr>
      <w:pStyle w:val="Voettekst"/>
      <w:rPr>
        <w:rFonts w:ascii="Bembo" w:hAnsi="Bembo"/>
        <w:sz w:val="32"/>
      </w:rPr>
    </w:pPr>
    <w:r w:rsidRPr="00A84AF8">
      <w:rPr>
        <w:rFonts w:ascii="Bembo" w:hAnsi="Bembo"/>
        <w:sz w:val="32"/>
      </w:rPr>
      <w:t>AAN DE KONING</w:t>
    </w:r>
  </w:p>
  <w:p w14:paraId="79DECE99" w14:textId="77777777" w:rsidR="00A84AF8" w:rsidRDefault="00A84A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C352A" w14:textId="77777777" w:rsidR="00791724" w:rsidRDefault="00791724">
      <w:r>
        <w:separator/>
      </w:r>
    </w:p>
  </w:footnote>
  <w:footnote w:type="continuationSeparator" w:id="0">
    <w:p w14:paraId="58D19ACD" w14:textId="77777777" w:rsidR="00791724" w:rsidRDefault="00791724">
      <w:r>
        <w:continuationSeparator/>
      </w:r>
    </w:p>
  </w:footnote>
  <w:footnote w:type="continuationNotice" w:id="1">
    <w:p w14:paraId="56B0F6A2" w14:textId="77777777" w:rsidR="00791724" w:rsidRDefault="00791724"/>
  </w:footnote>
  <w:footnote w:id="2">
    <w:p w14:paraId="45C552F7" w14:textId="1CA7E4A9" w:rsidR="00677021" w:rsidRDefault="00677021">
      <w:pPr>
        <w:pStyle w:val="Voetnoottekst"/>
      </w:pPr>
      <w:r>
        <w:rPr>
          <w:rStyle w:val="Voetnootmarkering"/>
        </w:rPr>
        <w:footnoteRef/>
      </w:r>
      <w:r>
        <w:t xml:space="preserve"> Toelichting, </w:t>
      </w:r>
      <w:r w:rsidR="0047271A">
        <w:t xml:space="preserve">Algemeen Deel, </w:t>
      </w:r>
      <w:r>
        <w:t xml:space="preserve">par.1, Inleiding. </w:t>
      </w:r>
    </w:p>
  </w:footnote>
  <w:footnote w:id="3">
    <w:p w14:paraId="1B1F5501" w14:textId="58DD09BF" w:rsidR="00D13279" w:rsidRPr="00780D16" w:rsidRDefault="00D13279">
      <w:pPr>
        <w:pStyle w:val="Voetnoottekst"/>
        <w:rPr>
          <w:lang w:val="de-DE"/>
        </w:rPr>
      </w:pPr>
      <w:r>
        <w:rPr>
          <w:rStyle w:val="Voetnootmarkering"/>
        </w:rPr>
        <w:footnoteRef/>
      </w:r>
      <w:r w:rsidRPr="00780D16">
        <w:rPr>
          <w:lang w:val="de-DE"/>
        </w:rPr>
        <w:t xml:space="preserve"> Artikel 197a Sr; Artikel 203a Sr BES.</w:t>
      </w:r>
    </w:p>
  </w:footnote>
  <w:footnote w:id="4">
    <w:p w14:paraId="07617A0B" w14:textId="5980F68E" w:rsidR="00850927" w:rsidRDefault="00850927">
      <w:pPr>
        <w:pStyle w:val="Voetnoottekst"/>
      </w:pPr>
      <w:r>
        <w:rPr>
          <w:rStyle w:val="Voetnootmarkering"/>
        </w:rPr>
        <w:footnoteRef/>
      </w:r>
      <w:r>
        <w:t xml:space="preserve"> </w:t>
      </w:r>
      <w:r w:rsidR="008324D8" w:rsidRPr="002A3B51">
        <w:t>Protocol van 15 november 2000, Trb. 2004, 36.</w:t>
      </w:r>
    </w:p>
  </w:footnote>
  <w:footnote w:id="5">
    <w:p w14:paraId="79099EC0" w14:textId="6DD9ADF5" w:rsidR="006B7FAF" w:rsidRDefault="006B7FAF" w:rsidP="006B7FAF">
      <w:pPr>
        <w:pStyle w:val="Voetnoottekst"/>
      </w:pPr>
      <w:r>
        <w:rPr>
          <w:rStyle w:val="Voetnootmarkering"/>
        </w:rPr>
        <w:footnoteRef/>
      </w:r>
      <w:r>
        <w:t xml:space="preserve"> Toelichting, </w:t>
      </w:r>
      <w:r w:rsidR="0047271A">
        <w:t xml:space="preserve">Algemeen Deel, </w:t>
      </w:r>
      <w:r w:rsidR="000F16FF">
        <w:t xml:space="preserve">paragraaf </w:t>
      </w:r>
      <w:r>
        <w:t xml:space="preserve">1, Inleiding. </w:t>
      </w:r>
    </w:p>
  </w:footnote>
  <w:footnote w:id="6">
    <w:p w14:paraId="016C1695" w14:textId="7D57B87F" w:rsidR="003F2837" w:rsidRDefault="003F2837">
      <w:pPr>
        <w:pStyle w:val="Voetnoottekst"/>
      </w:pPr>
      <w:r>
        <w:rPr>
          <w:rStyle w:val="Voetnootmarkering"/>
        </w:rPr>
        <w:footnoteRef/>
      </w:r>
      <w:r>
        <w:t xml:space="preserve"> </w:t>
      </w:r>
      <w:r w:rsidR="00822E0C" w:rsidRPr="00822E0C">
        <w:t>Coalitieakkoord 2021 – 2025, Omzien naar elkaar, vooruitkijken naar de toekomst</w:t>
      </w:r>
      <w:r w:rsidR="00822E0C">
        <w:t>, Kamerstukken II 20</w:t>
      </w:r>
      <w:r w:rsidR="00A82C62">
        <w:t xml:space="preserve">21/22, 35788, nr. 77. </w:t>
      </w:r>
      <w:r w:rsidR="007A22FB">
        <w:t xml:space="preserve">Zie ook de motie van Van Ojik en Becker, </w:t>
      </w:r>
      <w:r w:rsidR="00B35BD5">
        <w:t xml:space="preserve">Kamerstukken II 2019/20, 35300 VI, nr.8. </w:t>
      </w:r>
    </w:p>
  </w:footnote>
  <w:footnote w:id="7">
    <w:p w14:paraId="51531042" w14:textId="52F36F33" w:rsidR="000D1BA0" w:rsidRDefault="000D1BA0" w:rsidP="000D1BA0">
      <w:pPr>
        <w:pStyle w:val="Voetnoottekst"/>
      </w:pPr>
      <w:r>
        <w:rPr>
          <w:rStyle w:val="Voetnootmarkering"/>
        </w:rPr>
        <w:footnoteRef/>
      </w:r>
      <w:r>
        <w:t xml:space="preserve"> Toelichting, </w:t>
      </w:r>
      <w:r w:rsidR="0047271A">
        <w:t xml:space="preserve">Algemeen Deel, </w:t>
      </w:r>
      <w:r w:rsidR="000F16FF">
        <w:t xml:space="preserve">paragraaf </w:t>
      </w:r>
      <w:r>
        <w:t xml:space="preserve">1, Inleiding. </w:t>
      </w:r>
    </w:p>
  </w:footnote>
  <w:footnote w:id="8">
    <w:p w14:paraId="537E6FFB" w14:textId="15C0A571" w:rsidR="00EC0931" w:rsidRDefault="00EC0931" w:rsidP="00EC0931">
      <w:pPr>
        <w:pStyle w:val="Voetnoottekst"/>
      </w:pPr>
      <w:r>
        <w:rPr>
          <w:rStyle w:val="Voetnootmarkering"/>
        </w:rPr>
        <w:footnoteRef/>
      </w:r>
      <w:r>
        <w:t xml:space="preserve"> </w:t>
      </w:r>
      <w:r w:rsidRPr="00822E0C">
        <w:t>Coalitieakkoord 2021 – 2025, Omzien naar elkaar, vooruitkijken naar de toekomst</w:t>
      </w:r>
      <w:r>
        <w:t xml:space="preserve">, Kamerstukken II 2021/22, 35788, nr. 77. </w:t>
      </w:r>
    </w:p>
  </w:footnote>
  <w:footnote w:id="9">
    <w:p w14:paraId="6EE7DB22" w14:textId="047602C0" w:rsidR="00B04199" w:rsidRDefault="00B04199">
      <w:pPr>
        <w:pStyle w:val="Voetnoottekst"/>
      </w:pPr>
      <w:r>
        <w:rPr>
          <w:rStyle w:val="Voetnootmarkering"/>
        </w:rPr>
        <w:footnoteRef/>
      </w:r>
      <w:r>
        <w:t xml:space="preserve"> </w:t>
      </w:r>
      <w:r w:rsidR="009B3330">
        <w:t>R. van Elst, T&amp;C Strafrecht, commentaar op art. 2 Sr</w:t>
      </w:r>
      <w:r w:rsidR="000868DA">
        <w:t xml:space="preserve">, onder 1a. </w:t>
      </w:r>
    </w:p>
  </w:footnote>
  <w:footnote w:id="10">
    <w:p w14:paraId="3D842529" w14:textId="1132503A" w:rsidR="00465F9E" w:rsidRPr="00780D16" w:rsidRDefault="00465F9E" w:rsidP="00465F9E">
      <w:pPr>
        <w:pStyle w:val="Voetnoottekst"/>
        <w:rPr>
          <w:lang w:val="de-DE"/>
        </w:rPr>
      </w:pPr>
      <w:r>
        <w:rPr>
          <w:rStyle w:val="Voetnootmarkering"/>
        </w:rPr>
        <w:footnoteRef/>
      </w:r>
      <w:r w:rsidRPr="00780D16">
        <w:rPr>
          <w:lang w:val="de-DE"/>
        </w:rPr>
        <w:t xml:space="preserve"> Artikel 2 Sr</w:t>
      </w:r>
      <w:r w:rsidR="000435DB" w:rsidRPr="00780D16">
        <w:rPr>
          <w:lang w:val="de-DE"/>
        </w:rPr>
        <w:t>; Artikel 2 SrBES</w:t>
      </w:r>
      <w:r w:rsidRPr="00780D16" w:rsidDel="000435DB">
        <w:rPr>
          <w:lang w:val="de-DE"/>
        </w:rPr>
        <w:t>.</w:t>
      </w:r>
      <w:r w:rsidRPr="00780D16">
        <w:rPr>
          <w:lang w:val="de-DE"/>
        </w:rPr>
        <w:t xml:space="preserve"> </w:t>
      </w:r>
    </w:p>
  </w:footnote>
  <w:footnote w:id="11">
    <w:p w14:paraId="11927AE7" w14:textId="6C05911D" w:rsidR="00465F9E" w:rsidRPr="00780D16" w:rsidRDefault="00465F9E" w:rsidP="00465F9E">
      <w:pPr>
        <w:pStyle w:val="Voetnoottekst"/>
        <w:rPr>
          <w:lang w:val="de-DE"/>
        </w:rPr>
      </w:pPr>
      <w:r>
        <w:rPr>
          <w:rStyle w:val="Voetnootmarkering"/>
        </w:rPr>
        <w:footnoteRef/>
      </w:r>
      <w:r w:rsidRPr="00780D16">
        <w:rPr>
          <w:lang w:val="de-DE"/>
        </w:rPr>
        <w:t xml:space="preserve"> Artikel 3 Sr</w:t>
      </w:r>
      <w:r w:rsidR="000435DB" w:rsidRPr="00780D16">
        <w:rPr>
          <w:lang w:val="de-DE"/>
        </w:rPr>
        <w:t>; Artikel 3 SrBES</w:t>
      </w:r>
      <w:r w:rsidRPr="00780D16">
        <w:rPr>
          <w:lang w:val="de-DE"/>
        </w:rPr>
        <w:t xml:space="preserve">. </w:t>
      </w:r>
    </w:p>
  </w:footnote>
  <w:footnote w:id="12">
    <w:p w14:paraId="3B819DB3" w14:textId="665BC290" w:rsidR="00465F9E" w:rsidRDefault="00465F9E" w:rsidP="00465F9E">
      <w:pPr>
        <w:pStyle w:val="Voetnoottekst"/>
      </w:pPr>
      <w:r>
        <w:rPr>
          <w:rStyle w:val="Voetnootmarkering"/>
        </w:rPr>
        <w:footnoteRef/>
      </w:r>
      <w:r>
        <w:t xml:space="preserve"> Artikel 7 Sr</w:t>
      </w:r>
      <w:r w:rsidR="008C53B3">
        <w:t>; Artikel 5 SrBES</w:t>
      </w:r>
      <w:r>
        <w:t xml:space="preserve">. </w:t>
      </w:r>
    </w:p>
  </w:footnote>
  <w:footnote w:id="13">
    <w:p w14:paraId="68B2F87B" w14:textId="5FFDDC01" w:rsidR="00465F9E" w:rsidRDefault="00465F9E" w:rsidP="00465F9E">
      <w:pPr>
        <w:pStyle w:val="Voetnoottekst"/>
      </w:pPr>
      <w:r>
        <w:rPr>
          <w:rStyle w:val="Voetnootmarkering"/>
        </w:rPr>
        <w:footnoteRef/>
      </w:r>
      <w:r>
        <w:t xml:space="preserve"> Toelichting, </w:t>
      </w:r>
      <w:r w:rsidR="0047271A">
        <w:t xml:space="preserve">Algemeen Deel, </w:t>
      </w:r>
      <w:r w:rsidR="000F16FF">
        <w:t xml:space="preserve">paragraaf </w:t>
      </w:r>
      <w:r>
        <w:t>2.1, Uitbreiding van de extraterritoriale rechtsmacht.</w:t>
      </w:r>
    </w:p>
  </w:footnote>
  <w:footnote w:id="14">
    <w:p w14:paraId="302405FB" w14:textId="28EE0275" w:rsidR="00DE4FB0" w:rsidRDefault="00DE4FB0" w:rsidP="00DE4FB0">
      <w:pPr>
        <w:pStyle w:val="Voetnoottekst"/>
      </w:pPr>
      <w:r>
        <w:rPr>
          <w:rStyle w:val="Voetnootmarkering"/>
        </w:rPr>
        <w:footnoteRef/>
      </w:r>
      <w:r>
        <w:t xml:space="preserve"> Toelichting, Algemeen Deel, </w:t>
      </w:r>
      <w:r w:rsidR="000F16FF">
        <w:t xml:space="preserve">paragraaf </w:t>
      </w:r>
      <w:r>
        <w:t>2.1, Uitbreiding van de extraterritoriale rechtsmacht.</w:t>
      </w:r>
    </w:p>
  </w:footnote>
  <w:footnote w:id="15">
    <w:p w14:paraId="44BA8A27" w14:textId="1BA4F246" w:rsidR="00DF43AA" w:rsidRPr="002A3B51" w:rsidRDefault="00DF43AA" w:rsidP="00DF43AA">
      <w:pPr>
        <w:pStyle w:val="Voetnoottekst"/>
      </w:pPr>
      <w:r w:rsidRPr="002A3B51">
        <w:rPr>
          <w:rStyle w:val="Voetnootmarkering"/>
        </w:rPr>
        <w:footnoteRef/>
      </w:r>
      <w:r w:rsidRPr="002A3B51">
        <w:t xml:space="preserve"> </w:t>
      </w:r>
      <w:r w:rsidR="00AD145E" w:rsidRPr="002A3B51">
        <w:t xml:space="preserve">Protocol </w:t>
      </w:r>
      <w:r w:rsidR="001746B3" w:rsidRPr="00DF43AA">
        <w:t>tegen de smokkel van migranten over land, over zee en door de lucht</w:t>
      </w:r>
      <w:r w:rsidR="001746B3">
        <w:t xml:space="preserve"> </w:t>
      </w:r>
      <w:r w:rsidR="00AD145E" w:rsidRPr="002A3B51">
        <w:t>van 15 november 2000, Trb. 2004, 36</w:t>
      </w:r>
      <w:r w:rsidR="000610D3" w:rsidRPr="002A3B51">
        <w:t>.</w:t>
      </w:r>
    </w:p>
  </w:footnote>
  <w:footnote w:id="16">
    <w:p w14:paraId="7F564A92" w14:textId="4E823F3A" w:rsidR="00AD145E" w:rsidRDefault="00AD145E">
      <w:pPr>
        <w:pStyle w:val="Voetnoottekst"/>
      </w:pPr>
      <w:r w:rsidRPr="002A3B51">
        <w:rPr>
          <w:rStyle w:val="Voetnootmarkering"/>
        </w:rPr>
        <w:footnoteRef/>
      </w:r>
      <w:r w:rsidRPr="002A3B51">
        <w:t xml:space="preserve"> </w:t>
      </w:r>
      <w:r w:rsidR="00823ED7">
        <w:t xml:space="preserve">Toelichting, Algemeen Deel, </w:t>
      </w:r>
      <w:r w:rsidR="000F16FF">
        <w:t xml:space="preserve">paragraaf </w:t>
      </w:r>
      <w:r w:rsidR="00823ED7">
        <w:t xml:space="preserve">2.1, Uitbreiding van de extraterritoriale rechtsmacht, </w:t>
      </w:r>
      <w:r w:rsidR="00EC37FE">
        <w:t>met</w:t>
      </w:r>
      <w:r w:rsidR="00823ED7">
        <w:t xml:space="preserve"> verwijzing naar </w:t>
      </w:r>
      <w:r w:rsidRPr="002A3B51">
        <w:rPr>
          <w:rFonts w:eastAsiaTheme="minorHAnsi" w:cstheme="minorBidi"/>
          <w:lang w:eastAsia="en-US"/>
        </w:rPr>
        <w:t>Kamerstukken II 2003/04, 29291, nr. 3, blz. 5.</w:t>
      </w:r>
    </w:p>
  </w:footnote>
  <w:footnote w:id="17">
    <w:p w14:paraId="024682C9" w14:textId="70EA9613" w:rsidR="000E78A6" w:rsidRDefault="000E78A6">
      <w:pPr>
        <w:pStyle w:val="Voetnoottekst"/>
      </w:pPr>
      <w:r>
        <w:rPr>
          <w:rStyle w:val="Voetnootmarkering"/>
        </w:rPr>
        <w:footnoteRef/>
      </w:r>
      <w:r>
        <w:t xml:space="preserve"> Italië heeft het </w:t>
      </w:r>
      <w:r w:rsidR="00F10A51">
        <w:t xml:space="preserve">Europees Verdrag betreffende de overdracht van strafvervolging </w:t>
      </w:r>
      <w:r w:rsidR="00326032">
        <w:t>(T</w:t>
      </w:r>
      <w:r w:rsidR="006819F9">
        <w:t xml:space="preserve">rb. 1974, 94) </w:t>
      </w:r>
      <w:r w:rsidR="00F10A51">
        <w:t xml:space="preserve">niet geratificeerd. Daardoor kan de strafvervolging niet worden </w:t>
      </w:r>
      <w:r w:rsidR="00326032">
        <w:t xml:space="preserve">overgedragen aan Nederland. </w:t>
      </w:r>
    </w:p>
  </w:footnote>
  <w:footnote w:id="18">
    <w:p w14:paraId="66EF9C38" w14:textId="75C084D6" w:rsidR="00004FC1" w:rsidRDefault="00004FC1" w:rsidP="00004FC1">
      <w:pPr>
        <w:pStyle w:val="Voetnoottekst"/>
      </w:pPr>
      <w:r>
        <w:rPr>
          <w:rStyle w:val="Voetnootmarkering"/>
        </w:rPr>
        <w:footnoteRef/>
      </w:r>
      <w:r>
        <w:t xml:space="preserve"> Toelichting, </w:t>
      </w:r>
      <w:r w:rsidR="0047271A">
        <w:t xml:space="preserve">Algemeen Deel, </w:t>
      </w:r>
      <w:r w:rsidR="000F16FF">
        <w:t xml:space="preserve">paragraaf </w:t>
      </w:r>
      <w:r>
        <w:t>2.1, Uitbreiding van de extraterritoriale rechtsmacht.</w:t>
      </w:r>
    </w:p>
  </w:footnote>
  <w:footnote w:id="19">
    <w:p w14:paraId="177EB135" w14:textId="3911705C" w:rsidR="006159F6" w:rsidRDefault="006159F6">
      <w:pPr>
        <w:pStyle w:val="Voetnoottekst"/>
      </w:pPr>
      <w:r>
        <w:rPr>
          <w:rStyle w:val="Voetnootmarkering"/>
        </w:rPr>
        <w:footnoteRef/>
      </w:r>
      <w:r>
        <w:t xml:space="preserve"> </w:t>
      </w:r>
      <w:r w:rsidR="00AC1B08">
        <w:t xml:space="preserve">Toelichting, </w:t>
      </w:r>
      <w:r w:rsidR="00B961CF">
        <w:t xml:space="preserve">Algemeen Deel, </w:t>
      </w:r>
      <w:r w:rsidR="000F16FF">
        <w:t xml:space="preserve">paragraaf </w:t>
      </w:r>
      <w:r w:rsidR="00B961CF">
        <w:t>1</w:t>
      </w:r>
      <w:r w:rsidR="0047271A">
        <w:t xml:space="preserve">, </w:t>
      </w:r>
      <w:r w:rsidR="00B961CF">
        <w:t>Inleiding,</w:t>
      </w:r>
      <w:r w:rsidR="0047271A">
        <w:t xml:space="preserve"> en</w:t>
      </w:r>
      <w:r w:rsidR="00B961CF">
        <w:t xml:space="preserve"> </w:t>
      </w:r>
      <w:r w:rsidR="000F16FF">
        <w:t xml:space="preserve">paragraaf </w:t>
      </w:r>
      <w:r w:rsidR="00B961CF">
        <w:t>2</w:t>
      </w:r>
      <w:r w:rsidR="0047271A">
        <w:t>.1</w:t>
      </w:r>
      <w:r w:rsidR="00B961CF">
        <w:t xml:space="preserve">, Uitbreiding van de extraterritoriale rechtsmacht. </w:t>
      </w:r>
    </w:p>
  </w:footnote>
  <w:footnote w:id="20">
    <w:p w14:paraId="36BBFA2D" w14:textId="77777777" w:rsidR="00CE3564" w:rsidRPr="00780D16" w:rsidRDefault="00CE3564" w:rsidP="00CE3564">
      <w:pPr>
        <w:pStyle w:val="Voetnoottekst"/>
        <w:rPr>
          <w:lang w:val="de-DE"/>
        </w:rPr>
      </w:pPr>
      <w:r>
        <w:rPr>
          <w:rStyle w:val="Voetnootmarkering"/>
        </w:rPr>
        <w:footnoteRef/>
      </w:r>
      <w:r w:rsidRPr="00780D16">
        <w:rPr>
          <w:lang w:val="de-DE"/>
        </w:rPr>
        <w:t xml:space="preserve"> Artikel 197a Sr; Artikel 203a Sr BES.</w:t>
      </w:r>
    </w:p>
  </w:footnote>
  <w:footnote w:id="21">
    <w:p w14:paraId="00C09BB8" w14:textId="58CA8935" w:rsidR="0041166A" w:rsidRDefault="0041166A">
      <w:pPr>
        <w:pStyle w:val="Voetnoottekst"/>
      </w:pPr>
      <w:r>
        <w:rPr>
          <w:rStyle w:val="Voetnootmarkering"/>
        </w:rPr>
        <w:footnoteRef/>
      </w:r>
      <w:r>
        <w:t xml:space="preserve"> </w:t>
      </w:r>
      <w:r w:rsidR="008D3811">
        <w:t xml:space="preserve">Artikel 5 Sr. </w:t>
      </w:r>
    </w:p>
  </w:footnote>
  <w:footnote w:id="22">
    <w:p w14:paraId="73B3D54E" w14:textId="4489F03B" w:rsidR="00046B09" w:rsidRDefault="00046B09">
      <w:pPr>
        <w:pStyle w:val="Voetnoottekst"/>
      </w:pPr>
      <w:r>
        <w:rPr>
          <w:rStyle w:val="Voetnootmarkering"/>
        </w:rPr>
        <w:footnoteRef/>
      </w:r>
      <w:r>
        <w:t xml:space="preserve"> Artikel 8 Sr. </w:t>
      </w:r>
    </w:p>
  </w:footnote>
  <w:footnote w:id="23">
    <w:p w14:paraId="41E630EE" w14:textId="77777777" w:rsidR="00D42645" w:rsidRPr="006B2658" w:rsidRDefault="00D42645" w:rsidP="00D42645">
      <w:pPr>
        <w:pStyle w:val="Voetnoottekst"/>
      </w:pPr>
      <w:r>
        <w:rPr>
          <w:rStyle w:val="Voetnootmarkering"/>
        </w:rPr>
        <w:footnoteRef/>
      </w:r>
      <w:r>
        <w:t xml:space="preserve"> Zie R. van Elst, Rechtsmacht, in: R. van Elst en E. van Sliegdregt (red.), Handboek internationaal strafrecht: internationaal en Europees strafrecht vanuit Nederlands perspectief, Deventer: Wolters Kluwer 2022, p. 100-106; J. de Hullu, Materieel strafrecht, p. 140-141; A.H. Klip &amp; A.-S Massa, Communicerende grondslagen van extraterritoriale rechtsmacht, WODC/Maastricht University 2010. </w:t>
      </w:r>
    </w:p>
  </w:footnote>
  <w:footnote w:id="24">
    <w:p w14:paraId="3F77D861" w14:textId="72D2ACE3" w:rsidR="007C0659" w:rsidRDefault="007C0659">
      <w:pPr>
        <w:pStyle w:val="Voetnoottekst"/>
      </w:pPr>
      <w:r>
        <w:rPr>
          <w:rStyle w:val="Voetnootmarkering"/>
        </w:rPr>
        <w:footnoteRef/>
      </w:r>
      <w:r>
        <w:t xml:space="preserve"> Kamerstukken II 2012/13, 33572, nr. 3, p. 22. </w:t>
      </w:r>
    </w:p>
  </w:footnote>
  <w:footnote w:id="25">
    <w:p w14:paraId="4603DC9D" w14:textId="248B17B5" w:rsidR="00D42645" w:rsidRDefault="00D42645" w:rsidP="00D42645">
      <w:pPr>
        <w:pStyle w:val="Voetnoottekst"/>
      </w:pPr>
      <w:r>
        <w:rPr>
          <w:rStyle w:val="Voetnootmarkering"/>
        </w:rPr>
        <w:footnoteRef/>
      </w:r>
      <w:r>
        <w:t xml:space="preserve"> Toelichting, Algemeen Deel, </w:t>
      </w:r>
      <w:r w:rsidR="000F16FF">
        <w:t xml:space="preserve">paragraaf </w:t>
      </w:r>
      <w:r>
        <w:t xml:space="preserve">2.1, Uitbreiding van de extraterritoriale rechtsmacht en </w:t>
      </w:r>
      <w:r w:rsidR="000F16FF">
        <w:t xml:space="preserve">paragraaf </w:t>
      </w:r>
      <w:r>
        <w:t xml:space="preserve">4.2 Europese deel van Nederland, onder ‘Redactionele opmerkingen’. </w:t>
      </w:r>
    </w:p>
  </w:footnote>
  <w:footnote w:id="26">
    <w:p w14:paraId="1D3342D6" w14:textId="77777777" w:rsidR="00D42645" w:rsidRDefault="00D42645" w:rsidP="00D42645">
      <w:pPr>
        <w:pStyle w:val="Voetnoottekst"/>
      </w:pPr>
      <w:r>
        <w:rPr>
          <w:rStyle w:val="Voetnootmarkering"/>
        </w:rPr>
        <w:footnoteRef/>
      </w:r>
      <w:r>
        <w:t xml:space="preserve"> De NOvA stelt in de consultatiereactie van 26 april 2022 de vraag waarom niet gekozen is om de rechtsmacht uit te breiden via artikel 6 Sr. Dit artikel is voor misdrijven waarvoor Nederland op grond van internationale verplichtingen rechtsmacht vestigt. </w:t>
      </w:r>
    </w:p>
  </w:footnote>
  <w:footnote w:id="27">
    <w:p w14:paraId="5297D060" w14:textId="07193520" w:rsidR="00D42645" w:rsidRDefault="00D42645" w:rsidP="00D42645">
      <w:pPr>
        <w:pStyle w:val="Voetnoottekst"/>
      </w:pPr>
      <w:r>
        <w:rPr>
          <w:rStyle w:val="Voetnootmarkering"/>
        </w:rPr>
        <w:footnoteRef/>
      </w:r>
      <w:r>
        <w:t xml:space="preserve"> Toelichting, Algemeen Deel, </w:t>
      </w:r>
      <w:r w:rsidR="000F16FF">
        <w:t xml:space="preserve">paragraaf </w:t>
      </w:r>
      <w:r>
        <w:t>2.1, Uitbreiding van de extraterritoriale rechtsmacht.</w:t>
      </w:r>
    </w:p>
  </w:footnote>
  <w:footnote w:id="28">
    <w:p w14:paraId="4F36646D" w14:textId="23630E0B" w:rsidR="000D133D" w:rsidRDefault="000D133D" w:rsidP="000D133D">
      <w:pPr>
        <w:pStyle w:val="Voetnoottekst"/>
      </w:pPr>
      <w:r>
        <w:rPr>
          <w:rStyle w:val="Voetnootmarkering"/>
        </w:rPr>
        <w:footnoteRef/>
      </w:r>
      <w:r>
        <w:t xml:space="preserve"> </w:t>
      </w:r>
      <w:r w:rsidR="0068638D" w:rsidRPr="002A3B51">
        <w:t xml:space="preserve">Verdrag van 15 november 2000, Trb. 2004, 184. </w:t>
      </w:r>
    </w:p>
  </w:footnote>
  <w:footnote w:id="29">
    <w:p w14:paraId="74B786E2" w14:textId="725E8505" w:rsidR="000D133D" w:rsidRPr="00872000" w:rsidRDefault="000D133D" w:rsidP="000D133D">
      <w:pPr>
        <w:pStyle w:val="Voetnoottekst"/>
        <w:rPr>
          <w:lang w:val="en-GB"/>
        </w:rPr>
      </w:pPr>
      <w:r>
        <w:rPr>
          <w:rStyle w:val="Voetnootmarkering"/>
        </w:rPr>
        <w:footnoteRef/>
      </w:r>
      <w:r>
        <w:t xml:space="preserve"> </w:t>
      </w:r>
      <w:r w:rsidR="0068638D">
        <w:t xml:space="preserve">Artikel 1 van het Protocol in samenhang met </w:t>
      </w:r>
      <w:r>
        <w:t>Artikel 15 van het Verdrag</w:t>
      </w:r>
      <w:r w:rsidR="00676285">
        <w:t xml:space="preserve"> van de Verenigde Naties tegen grensoverschrijdende georganiseerde misdaad</w:t>
      </w:r>
      <w:r>
        <w:t xml:space="preserve">. </w:t>
      </w:r>
      <w:r w:rsidRPr="004B4AEB">
        <w:rPr>
          <w:lang w:val="en-GB"/>
        </w:rPr>
        <w:t>Zie ook UN Office on Drugs a</w:t>
      </w:r>
      <w:r>
        <w:rPr>
          <w:lang w:val="en-GB"/>
        </w:rPr>
        <w:t xml:space="preserve">nd Crime, </w:t>
      </w:r>
      <w:r w:rsidRPr="004B4AEB">
        <w:rPr>
          <w:lang w:val="en-GB"/>
        </w:rPr>
        <w:t>Legislative Guide For The Implementation Of The Protocol Against The Smuggling Of Migrants By Land, Sea And Air, Supplementing The United Nations Convention Against Transnational Organized Crime</w:t>
      </w:r>
      <w:r>
        <w:rPr>
          <w:lang w:val="en-GB"/>
        </w:rPr>
        <w:t xml:space="preserve">, </w:t>
      </w:r>
      <w:hyperlink r:id="rId1" w:history="1">
        <w:r w:rsidRPr="008A6C17">
          <w:rPr>
            <w:rStyle w:val="Hyperlink"/>
            <w:lang w:val="en-GB"/>
          </w:rPr>
          <w:t>https://www.unodc.org/unodc/en/human-trafficking/tools.html</w:t>
        </w:r>
      </w:hyperlink>
      <w:r>
        <w:rPr>
          <w:lang w:val="en-GB"/>
        </w:rPr>
        <w:t xml:space="preserve">, p. 353-354. </w:t>
      </w:r>
    </w:p>
  </w:footnote>
  <w:footnote w:id="30">
    <w:p w14:paraId="13FB3A16" w14:textId="10940370" w:rsidR="00E837B3" w:rsidRDefault="00E837B3" w:rsidP="00E837B3">
      <w:pPr>
        <w:pStyle w:val="Voetnoottekst"/>
      </w:pPr>
      <w:r>
        <w:rPr>
          <w:rStyle w:val="Voetnootmarkering"/>
        </w:rPr>
        <w:footnoteRef/>
      </w:r>
      <w:r>
        <w:t xml:space="preserve"> Zie het Besluit internationale verplichtingen extraterritoriale rechtsmacht</w:t>
      </w:r>
      <w:r w:rsidR="00923E9E">
        <w:t xml:space="preserve">, Stb. 2014, 7. </w:t>
      </w:r>
    </w:p>
  </w:footnote>
  <w:footnote w:id="31">
    <w:p w14:paraId="59A1BD78" w14:textId="158D9E64" w:rsidR="001F5295" w:rsidRDefault="001F5295">
      <w:pPr>
        <w:pStyle w:val="Voetnoottekst"/>
      </w:pPr>
      <w:r>
        <w:rPr>
          <w:rStyle w:val="Voetnootmarkering"/>
        </w:rPr>
        <w:footnoteRef/>
      </w:r>
      <w:r>
        <w:t xml:space="preserve"> Artikel 2 van de Wet internationale misdrijven</w:t>
      </w:r>
      <w:r w:rsidR="0032585D">
        <w:t>, Stb. 2003, 270.</w:t>
      </w:r>
    </w:p>
  </w:footnote>
  <w:footnote w:id="32">
    <w:p w14:paraId="799926AD" w14:textId="6D17D334" w:rsidR="00B83DA6" w:rsidRDefault="00B83DA6" w:rsidP="00B83DA6">
      <w:pPr>
        <w:pStyle w:val="Voetnoottekst"/>
      </w:pPr>
      <w:r>
        <w:rPr>
          <w:rStyle w:val="Voetnootmarkering"/>
        </w:rPr>
        <w:footnoteRef/>
      </w:r>
      <w:r>
        <w:t xml:space="preserve"> Toelichting, Algemeen Deel, </w:t>
      </w:r>
      <w:r w:rsidR="000F16FF">
        <w:t xml:space="preserve">paragraaf </w:t>
      </w:r>
      <w:r>
        <w:t xml:space="preserve">3, Gevolgen voor de uitvoering en financiën. </w:t>
      </w:r>
    </w:p>
  </w:footnote>
  <w:footnote w:id="33">
    <w:p w14:paraId="76A3FA5C" w14:textId="460E7624" w:rsidR="00FD6F41" w:rsidRDefault="00FD6F41" w:rsidP="00FD6F41">
      <w:pPr>
        <w:pStyle w:val="Voetnoottekst"/>
      </w:pPr>
      <w:r>
        <w:rPr>
          <w:rStyle w:val="Voetnootmarkering"/>
        </w:rPr>
        <w:footnoteRef/>
      </w:r>
      <w:r>
        <w:t xml:space="preserve"> </w:t>
      </w:r>
      <w:r w:rsidR="0047271A">
        <w:t xml:space="preserve">Toelichting, Algemeen Deel, </w:t>
      </w:r>
      <w:r w:rsidR="000F16FF">
        <w:t xml:space="preserve">paragraaf </w:t>
      </w:r>
      <w:r>
        <w:t xml:space="preserve">2.2, Verhoging van de strafmaxima. </w:t>
      </w:r>
    </w:p>
  </w:footnote>
  <w:footnote w:id="34">
    <w:p w14:paraId="53B5A32D" w14:textId="123DA681" w:rsidR="00541EE3" w:rsidRDefault="00541EE3">
      <w:pPr>
        <w:pStyle w:val="Voetnoottekst"/>
      </w:pPr>
      <w:r>
        <w:rPr>
          <w:rStyle w:val="Voetnootmarkering"/>
        </w:rPr>
        <w:footnoteRef/>
      </w:r>
      <w:r>
        <w:t xml:space="preserve"> </w:t>
      </w:r>
      <w:r w:rsidR="00EB0BA9">
        <w:t>Artikel 46 Sr</w:t>
      </w:r>
      <w:r w:rsidR="00FD5C70">
        <w:t xml:space="preserve"> respectievelijk artikel 48a SrBES. </w:t>
      </w:r>
    </w:p>
  </w:footnote>
  <w:footnote w:id="35">
    <w:p w14:paraId="2AD331C4" w14:textId="77777777" w:rsidR="00FD6F41" w:rsidRDefault="00FD6F41" w:rsidP="00FD6F41">
      <w:pPr>
        <w:pStyle w:val="Voetnoottekst"/>
      </w:pPr>
      <w:r>
        <w:rPr>
          <w:rStyle w:val="Voetnootmarkering"/>
        </w:rPr>
        <w:footnoteRef/>
      </w:r>
      <w:r>
        <w:t xml:space="preserve"> Kamerstukken II 2016/16, 34345, nr. 8. </w:t>
      </w:r>
    </w:p>
  </w:footnote>
  <w:footnote w:id="36">
    <w:p w14:paraId="7012087C" w14:textId="3F20B76E" w:rsidR="004D4277" w:rsidRDefault="004D4277" w:rsidP="00B3299C">
      <w:pPr>
        <w:pStyle w:val="Voetnoottekst"/>
      </w:pPr>
      <w:r>
        <w:rPr>
          <w:rStyle w:val="Voetnootmarkering"/>
        </w:rPr>
        <w:footnoteRef/>
      </w:r>
      <w:r>
        <w:t xml:space="preserve"> </w:t>
      </w:r>
      <w:r w:rsidR="00265012">
        <w:t xml:space="preserve">Advies van de Afdeling advisering van 15 juni 2021, </w:t>
      </w:r>
      <w:r w:rsidR="00A01B4A">
        <w:t xml:space="preserve">Verzamelwet Justitie en Veiligheid 2021, </w:t>
      </w:r>
      <w:r w:rsidR="00B3299C">
        <w:t>Kamerstukken II 2021/22, 36003, nr. 4.</w:t>
      </w:r>
      <w:r>
        <w:t xml:space="preserve"> </w:t>
      </w:r>
    </w:p>
  </w:footnote>
  <w:footnote w:id="37">
    <w:p w14:paraId="21E7F476" w14:textId="5C2D0FAF" w:rsidR="00FD6F41" w:rsidRDefault="00FD6F41" w:rsidP="00FD6F41">
      <w:pPr>
        <w:pStyle w:val="Voetnoottekst"/>
      </w:pPr>
      <w:r>
        <w:rPr>
          <w:rStyle w:val="Voetnootmarkering"/>
        </w:rPr>
        <w:footnoteRef/>
      </w:r>
      <w:r>
        <w:t xml:space="preserve"> Toelichting, </w:t>
      </w:r>
      <w:r w:rsidR="0047271A">
        <w:t xml:space="preserve">Algemeen Deel, </w:t>
      </w:r>
      <w:r w:rsidR="000F16FF">
        <w:t xml:space="preserve">paragraaf </w:t>
      </w:r>
      <w:r>
        <w:t xml:space="preserve">2.2, Verhoging van de strafmaxima.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B657B" w14:textId="77777777" w:rsidR="00E43865" w:rsidRDefault="00E438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3486E" w14:textId="77777777" w:rsidR="00FA7BCD" w:rsidRDefault="002C6A7A"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34874" w14:textId="77777777" w:rsidR="00DA0CDA" w:rsidRDefault="002C6A7A"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FA34875" w14:textId="77777777" w:rsidR="00993C75" w:rsidRDefault="002C6A7A">
    <w:pPr>
      <w:pStyle w:val="Koptekst"/>
    </w:pPr>
    <w:r>
      <w:rPr>
        <w:noProof/>
      </w:rPr>
      <w:drawing>
        <wp:anchor distT="0" distB="0" distL="114300" distR="114300" simplePos="0" relativeHeight="251658240" behindDoc="1" locked="0" layoutInCell="1" allowOverlap="1" wp14:anchorId="0FA34880" wp14:editId="0FA34881">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B4EA5"/>
    <w:multiLevelType w:val="hybridMultilevel"/>
    <w:tmpl w:val="FDF0775A"/>
    <w:lvl w:ilvl="0" w:tplc="11E6E1A4">
      <w:start w:val="1"/>
      <w:numFmt w:val="lowerLetter"/>
      <w:lvlText w:val="%1)"/>
      <w:lvlJc w:val="left"/>
      <w:pPr>
        <w:ind w:left="720" w:hanging="360"/>
      </w:pPr>
      <w:rPr>
        <w:rFonts w:hint="default"/>
        <w:sz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9003CB"/>
    <w:multiLevelType w:val="hybridMultilevel"/>
    <w:tmpl w:val="83C24EB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555717"/>
    <w:multiLevelType w:val="multilevel"/>
    <w:tmpl w:val="A60A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5C1B28"/>
    <w:multiLevelType w:val="hybridMultilevel"/>
    <w:tmpl w:val="59F45656"/>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A0916D1"/>
    <w:multiLevelType w:val="hybridMultilevel"/>
    <w:tmpl w:val="3F44A1E6"/>
    <w:lvl w:ilvl="0" w:tplc="C91CB842">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65F"/>
    <w:rsid w:val="000009F2"/>
    <w:rsid w:val="00001F1A"/>
    <w:rsid w:val="0000307B"/>
    <w:rsid w:val="00004FC1"/>
    <w:rsid w:val="00006795"/>
    <w:rsid w:val="00006943"/>
    <w:rsid w:val="0001229C"/>
    <w:rsid w:val="000168E9"/>
    <w:rsid w:val="000205BF"/>
    <w:rsid w:val="00021386"/>
    <w:rsid w:val="0003032B"/>
    <w:rsid w:val="000330A5"/>
    <w:rsid w:val="0003318C"/>
    <w:rsid w:val="00036B84"/>
    <w:rsid w:val="000377D2"/>
    <w:rsid w:val="000401D7"/>
    <w:rsid w:val="00041BF3"/>
    <w:rsid w:val="000429C4"/>
    <w:rsid w:val="000435DB"/>
    <w:rsid w:val="0004479A"/>
    <w:rsid w:val="00044BF1"/>
    <w:rsid w:val="000454CF"/>
    <w:rsid w:val="00046B09"/>
    <w:rsid w:val="0004733C"/>
    <w:rsid w:val="00047518"/>
    <w:rsid w:val="00051BE2"/>
    <w:rsid w:val="00051E47"/>
    <w:rsid w:val="00052402"/>
    <w:rsid w:val="000549E6"/>
    <w:rsid w:val="00055E13"/>
    <w:rsid w:val="00056DBB"/>
    <w:rsid w:val="000603BA"/>
    <w:rsid w:val="000610D3"/>
    <w:rsid w:val="00061AA3"/>
    <w:rsid w:val="000623FA"/>
    <w:rsid w:val="00065201"/>
    <w:rsid w:val="00065358"/>
    <w:rsid w:val="00065EA4"/>
    <w:rsid w:val="000660C5"/>
    <w:rsid w:val="00066182"/>
    <w:rsid w:val="000677DF"/>
    <w:rsid w:val="000705D5"/>
    <w:rsid w:val="00070901"/>
    <w:rsid w:val="00071389"/>
    <w:rsid w:val="00071FBF"/>
    <w:rsid w:val="00072205"/>
    <w:rsid w:val="00072A12"/>
    <w:rsid w:val="000752F5"/>
    <w:rsid w:val="00077EFE"/>
    <w:rsid w:val="00080261"/>
    <w:rsid w:val="00080832"/>
    <w:rsid w:val="000819C5"/>
    <w:rsid w:val="000839E7"/>
    <w:rsid w:val="00084871"/>
    <w:rsid w:val="00085563"/>
    <w:rsid w:val="000856D4"/>
    <w:rsid w:val="00085E9A"/>
    <w:rsid w:val="0008631E"/>
    <w:rsid w:val="000868DA"/>
    <w:rsid w:val="00086D6A"/>
    <w:rsid w:val="000872E2"/>
    <w:rsid w:val="00092AF0"/>
    <w:rsid w:val="000937E4"/>
    <w:rsid w:val="000945B7"/>
    <w:rsid w:val="00096200"/>
    <w:rsid w:val="000968EC"/>
    <w:rsid w:val="000971D2"/>
    <w:rsid w:val="0009742E"/>
    <w:rsid w:val="000976E8"/>
    <w:rsid w:val="000A158F"/>
    <w:rsid w:val="000A2804"/>
    <w:rsid w:val="000A3B0E"/>
    <w:rsid w:val="000A4587"/>
    <w:rsid w:val="000A55FB"/>
    <w:rsid w:val="000A5935"/>
    <w:rsid w:val="000A59A4"/>
    <w:rsid w:val="000A5BA0"/>
    <w:rsid w:val="000A752B"/>
    <w:rsid w:val="000A783D"/>
    <w:rsid w:val="000B0C46"/>
    <w:rsid w:val="000B2951"/>
    <w:rsid w:val="000B3414"/>
    <w:rsid w:val="000B587F"/>
    <w:rsid w:val="000B6C17"/>
    <w:rsid w:val="000C1BC9"/>
    <w:rsid w:val="000C3A36"/>
    <w:rsid w:val="000C4040"/>
    <w:rsid w:val="000C6389"/>
    <w:rsid w:val="000D04A7"/>
    <w:rsid w:val="000D08BB"/>
    <w:rsid w:val="000D0BDD"/>
    <w:rsid w:val="000D133D"/>
    <w:rsid w:val="000D1BA0"/>
    <w:rsid w:val="000D1BAC"/>
    <w:rsid w:val="000D1CA4"/>
    <w:rsid w:val="000D552D"/>
    <w:rsid w:val="000D6217"/>
    <w:rsid w:val="000D6F30"/>
    <w:rsid w:val="000D733F"/>
    <w:rsid w:val="000E0233"/>
    <w:rsid w:val="000E0392"/>
    <w:rsid w:val="000E0662"/>
    <w:rsid w:val="000E0783"/>
    <w:rsid w:val="000E2438"/>
    <w:rsid w:val="000E2959"/>
    <w:rsid w:val="000E78A6"/>
    <w:rsid w:val="000F0E56"/>
    <w:rsid w:val="000F16FF"/>
    <w:rsid w:val="000F20EC"/>
    <w:rsid w:val="000F21BE"/>
    <w:rsid w:val="000F3EF5"/>
    <w:rsid w:val="000F47A2"/>
    <w:rsid w:val="000F57A7"/>
    <w:rsid w:val="000F7551"/>
    <w:rsid w:val="000F7A8D"/>
    <w:rsid w:val="001008A3"/>
    <w:rsid w:val="00102A48"/>
    <w:rsid w:val="00102EB4"/>
    <w:rsid w:val="00105286"/>
    <w:rsid w:val="00106C35"/>
    <w:rsid w:val="001075B2"/>
    <w:rsid w:val="00107C2C"/>
    <w:rsid w:val="00111D4A"/>
    <w:rsid w:val="00112F38"/>
    <w:rsid w:val="0011340D"/>
    <w:rsid w:val="0011370C"/>
    <w:rsid w:val="001149FD"/>
    <w:rsid w:val="001158FB"/>
    <w:rsid w:val="001166C4"/>
    <w:rsid w:val="00121127"/>
    <w:rsid w:val="00122A7E"/>
    <w:rsid w:val="001242B5"/>
    <w:rsid w:val="0012435D"/>
    <w:rsid w:val="00124AAA"/>
    <w:rsid w:val="00126F8E"/>
    <w:rsid w:val="0013260F"/>
    <w:rsid w:val="0013261C"/>
    <w:rsid w:val="00133640"/>
    <w:rsid w:val="0013376A"/>
    <w:rsid w:val="001337BE"/>
    <w:rsid w:val="00133FB9"/>
    <w:rsid w:val="0013499D"/>
    <w:rsid w:val="0013542A"/>
    <w:rsid w:val="001365A0"/>
    <w:rsid w:val="00140128"/>
    <w:rsid w:val="00141E0A"/>
    <w:rsid w:val="00143391"/>
    <w:rsid w:val="00143E90"/>
    <w:rsid w:val="00146218"/>
    <w:rsid w:val="00146D0A"/>
    <w:rsid w:val="00150A8E"/>
    <w:rsid w:val="00153F59"/>
    <w:rsid w:val="0015407C"/>
    <w:rsid w:val="00154210"/>
    <w:rsid w:val="00154556"/>
    <w:rsid w:val="001546EF"/>
    <w:rsid w:val="0015714E"/>
    <w:rsid w:val="00165022"/>
    <w:rsid w:val="001660DE"/>
    <w:rsid w:val="00166F75"/>
    <w:rsid w:val="001675BF"/>
    <w:rsid w:val="001724EF"/>
    <w:rsid w:val="0017255E"/>
    <w:rsid w:val="001746B3"/>
    <w:rsid w:val="001750AB"/>
    <w:rsid w:val="00176C3B"/>
    <w:rsid w:val="00177E05"/>
    <w:rsid w:val="001811F0"/>
    <w:rsid w:val="00181402"/>
    <w:rsid w:val="00181DF6"/>
    <w:rsid w:val="00182FEB"/>
    <w:rsid w:val="001844F0"/>
    <w:rsid w:val="00187B04"/>
    <w:rsid w:val="0019287B"/>
    <w:rsid w:val="00192AAE"/>
    <w:rsid w:val="00192D70"/>
    <w:rsid w:val="00192D93"/>
    <w:rsid w:val="001936B1"/>
    <w:rsid w:val="001947BE"/>
    <w:rsid w:val="001978FB"/>
    <w:rsid w:val="001A0F18"/>
    <w:rsid w:val="001A3844"/>
    <w:rsid w:val="001A45A2"/>
    <w:rsid w:val="001A4881"/>
    <w:rsid w:val="001A5B5D"/>
    <w:rsid w:val="001A6572"/>
    <w:rsid w:val="001A7851"/>
    <w:rsid w:val="001B0E21"/>
    <w:rsid w:val="001B2721"/>
    <w:rsid w:val="001B3687"/>
    <w:rsid w:val="001B6AAC"/>
    <w:rsid w:val="001B6E7E"/>
    <w:rsid w:val="001B76CC"/>
    <w:rsid w:val="001B7759"/>
    <w:rsid w:val="001C1B84"/>
    <w:rsid w:val="001C30E5"/>
    <w:rsid w:val="001C5244"/>
    <w:rsid w:val="001C5BFA"/>
    <w:rsid w:val="001C5D2A"/>
    <w:rsid w:val="001C63CA"/>
    <w:rsid w:val="001C6D69"/>
    <w:rsid w:val="001C7C17"/>
    <w:rsid w:val="001C7F9F"/>
    <w:rsid w:val="001D2166"/>
    <w:rsid w:val="001D2407"/>
    <w:rsid w:val="001D546C"/>
    <w:rsid w:val="001D5C54"/>
    <w:rsid w:val="001D64D1"/>
    <w:rsid w:val="001D763B"/>
    <w:rsid w:val="001E0341"/>
    <w:rsid w:val="001E07E0"/>
    <w:rsid w:val="001E0A3D"/>
    <w:rsid w:val="001E237B"/>
    <w:rsid w:val="001E3C73"/>
    <w:rsid w:val="001E3DD1"/>
    <w:rsid w:val="001E79FD"/>
    <w:rsid w:val="001F2111"/>
    <w:rsid w:val="001F2395"/>
    <w:rsid w:val="001F2B9A"/>
    <w:rsid w:val="001F3A83"/>
    <w:rsid w:val="001F4D31"/>
    <w:rsid w:val="001F5295"/>
    <w:rsid w:val="001F63B0"/>
    <w:rsid w:val="001F7B72"/>
    <w:rsid w:val="00200D58"/>
    <w:rsid w:val="0020102A"/>
    <w:rsid w:val="00203120"/>
    <w:rsid w:val="00204693"/>
    <w:rsid w:val="00205990"/>
    <w:rsid w:val="0021057C"/>
    <w:rsid w:val="0021160F"/>
    <w:rsid w:val="00212568"/>
    <w:rsid w:val="002156D6"/>
    <w:rsid w:val="00216460"/>
    <w:rsid w:val="00217434"/>
    <w:rsid w:val="002202E6"/>
    <w:rsid w:val="0022161B"/>
    <w:rsid w:val="002216B2"/>
    <w:rsid w:val="00221778"/>
    <w:rsid w:val="00222860"/>
    <w:rsid w:val="002241FC"/>
    <w:rsid w:val="00225572"/>
    <w:rsid w:val="00225A3A"/>
    <w:rsid w:val="00226DE4"/>
    <w:rsid w:val="0022758B"/>
    <w:rsid w:val="0023144C"/>
    <w:rsid w:val="00231CE4"/>
    <w:rsid w:val="00232C92"/>
    <w:rsid w:val="002348C7"/>
    <w:rsid w:val="00234D20"/>
    <w:rsid w:val="00234D30"/>
    <w:rsid w:val="00236844"/>
    <w:rsid w:val="00236A15"/>
    <w:rsid w:val="00240DA9"/>
    <w:rsid w:val="002453B4"/>
    <w:rsid w:val="00250426"/>
    <w:rsid w:val="00250C0C"/>
    <w:rsid w:val="002520A2"/>
    <w:rsid w:val="002532B9"/>
    <w:rsid w:val="0025608F"/>
    <w:rsid w:val="00256B5E"/>
    <w:rsid w:val="0026109C"/>
    <w:rsid w:val="00261426"/>
    <w:rsid w:val="00261929"/>
    <w:rsid w:val="00261A35"/>
    <w:rsid w:val="0026285C"/>
    <w:rsid w:val="00262E3D"/>
    <w:rsid w:val="002634A8"/>
    <w:rsid w:val="00263A60"/>
    <w:rsid w:val="00263E9D"/>
    <w:rsid w:val="00264401"/>
    <w:rsid w:val="002649DD"/>
    <w:rsid w:val="00264FD4"/>
    <w:rsid w:val="00265012"/>
    <w:rsid w:val="00273B47"/>
    <w:rsid w:val="00274271"/>
    <w:rsid w:val="00274651"/>
    <w:rsid w:val="00274A13"/>
    <w:rsid w:val="00277D5A"/>
    <w:rsid w:val="00281BD5"/>
    <w:rsid w:val="00281EDE"/>
    <w:rsid w:val="0028247A"/>
    <w:rsid w:val="0028281B"/>
    <w:rsid w:val="0028702A"/>
    <w:rsid w:val="00290EB3"/>
    <w:rsid w:val="00291ECA"/>
    <w:rsid w:val="00292A53"/>
    <w:rsid w:val="00292B51"/>
    <w:rsid w:val="00293E49"/>
    <w:rsid w:val="00294C0B"/>
    <w:rsid w:val="002A0AF9"/>
    <w:rsid w:val="002A0B8A"/>
    <w:rsid w:val="002A0FA6"/>
    <w:rsid w:val="002A11DC"/>
    <w:rsid w:val="002A14AD"/>
    <w:rsid w:val="002A2598"/>
    <w:rsid w:val="002A34B4"/>
    <w:rsid w:val="002A3B51"/>
    <w:rsid w:val="002A3D57"/>
    <w:rsid w:val="002A4B34"/>
    <w:rsid w:val="002A54AC"/>
    <w:rsid w:val="002A64D8"/>
    <w:rsid w:val="002B66E3"/>
    <w:rsid w:val="002B7A9A"/>
    <w:rsid w:val="002B7CAD"/>
    <w:rsid w:val="002C0038"/>
    <w:rsid w:val="002C1C8E"/>
    <w:rsid w:val="002C29DC"/>
    <w:rsid w:val="002C31F0"/>
    <w:rsid w:val="002C42F7"/>
    <w:rsid w:val="002C6A7A"/>
    <w:rsid w:val="002C7591"/>
    <w:rsid w:val="002C76A4"/>
    <w:rsid w:val="002D0A08"/>
    <w:rsid w:val="002D2724"/>
    <w:rsid w:val="002D40B4"/>
    <w:rsid w:val="002D5800"/>
    <w:rsid w:val="002D67A7"/>
    <w:rsid w:val="002D7834"/>
    <w:rsid w:val="002E35A4"/>
    <w:rsid w:val="002E36AF"/>
    <w:rsid w:val="002E4600"/>
    <w:rsid w:val="002E513B"/>
    <w:rsid w:val="002F0288"/>
    <w:rsid w:val="002F0969"/>
    <w:rsid w:val="002F159C"/>
    <w:rsid w:val="002F25BB"/>
    <w:rsid w:val="002F2BA6"/>
    <w:rsid w:val="002F365E"/>
    <w:rsid w:val="002F5ECA"/>
    <w:rsid w:val="002F7745"/>
    <w:rsid w:val="00301824"/>
    <w:rsid w:val="0030275E"/>
    <w:rsid w:val="00303BE8"/>
    <w:rsid w:val="003045E0"/>
    <w:rsid w:val="00304ED5"/>
    <w:rsid w:val="00306DB8"/>
    <w:rsid w:val="003070F2"/>
    <w:rsid w:val="0030721D"/>
    <w:rsid w:val="00307B84"/>
    <w:rsid w:val="00307E42"/>
    <w:rsid w:val="00310C2D"/>
    <w:rsid w:val="00311EE0"/>
    <w:rsid w:val="0031443B"/>
    <w:rsid w:val="0031591B"/>
    <w:rsid w:val="00317612"/>
    <w:rsid w:val="00320009"/>
    <w:rsid w:val="00323854"/>
    <w:rsid w:val="00324C92"/>
    <w:rsid w:val="0032585D"/>
    <w:rsid w:val="00325A2B"/>
    <w:rsid w:val="00326032"/>
    <w:rsid w:val="0032694B"/>
    <w:rsid w:val="003274B3"/>
    <w:rsid w:val="00330C41"/>
    <w:rsid w:val="00330DC7"/>
    <w:rsid w:val="00336732"/>
    <w:rsid w:val="00336B84"/>
    <w:rsid w:val="00336E2D"/>
    <w:rsid w:val="00343A5C"/>
    <w:rsid w:val="0034733F"/>
    <w:rsid w:val="00347914"/>
    <w:rsid w:val="00350BE5"/>
    <w:rsid w:val="00355343"/>
    <w:rsid w:val="003567D3"/>
    <w:rsid w:val="00356F06"/>
    <w:rsid w:val="0036146B"/>
    <w:rsid w:val="00361CC1"/>
    <w:rsid w:val="00362ADE"/>
    <w:rsid w:val="00363CD8"/>
    <w:rsid w:val="003641A0"/>
    <w:rsid w:val="00370619"/>
    <w:rsid w:val="00370CD9"/>
    <w:rsid w:val="00371DF4"/>
    <w:rsid w:val="00372756"/>
    <w:rsid w:val="003728F0"/>
    <w:rsid w:val="00372C1B"/>
    <w:rsid w:val="00373885"/>
    <w:rsid w:val="00375B92"/>
    <w:rsid w:val="00375FA4"/>
    <w:rsid w:val="0037709A"/>
    <w:rsid w:val="00377D35"/>
    <w:rsid w:val="00381B45"/>
    <w:rsid w:val="003866B6"/>
    <w:rsid w:val="00387634"/>
    <w:rsid w:val="00390F5E"/>
    <w:rsid w:val="0039302D"/>
    <w:rsid w:val="003932FA"/>
    <w:rsid w:val="00394299"/>
    <w:rsid w:val="003A01AE"/>
    <w:rsid w:val="003A2CAD"/>
    <w:rsid w:val="003A2E55"/>
    <w:rsid w:val="003A2E70"/>
    <w:rsid w:val="003A4281"/>
    <w:rsid w:val="003A5552"/>
    <w:rsid w:val="003A6A64"/>
    <w:rsid w:val="003A6B92"/>
    <w:rsid w:val="003A6D55"/>
    <w:rsid w:val="003B1CC4"/>
    <w:rsid w:val="003B2AA0"/>
    <w:rsid w:val="003B3386"/>
    <w:rsid w:val="003B4F1F"/>
    <w:rsid w:val="003B5755"/>
    <w:rsid w:val="003B6A72"/>
    <w:rsid w:val="003B6C1A"/>
    <w:rsid w:val="003B6FA3"/>
    <w:rsid w:val="003C1595"/>
    <w:rsid w:val="003C2D65"/>
    <w:rsid w:val="003C68EB"/>
    <w:rsid w:val="003D0942"/>
    <w:rsid w:val="003D0E98"/>
    <w:rsid w:val="003D12E0"/>
    <w:rsid w:val="003D5A33"/>
    <w:rsid w:val="003D784F"/>
    <w:rsid w:val="003E074B"/>
    <w:rsid w:val="003E2170"/>
    <w:rsid w:val="003E4413"/>
    <w:rsid w:val="003E44E6"/>
    <w:rsid w:val="003E58BF"/>
    <w:rsid w:val="003E7534"/>
    <w:rsid w:val="003F136A"/>
    <w:rsid w:val="003F17E9"/>
    <w:rsid w:val="003F2837"/>
    <w:rsid w:val="003F33DC"/>
    <w:rsid w:val="003F4A5A"/>
    <w:rsid w:val="003F4B7A"/>
    <w:rsid w:val="003F62BB"/>
    <w:rsid w:val="00400D9D"/>
    <w:rsid w:val="00401ED8"/>
    <w:rsid w:val="00402C91"/>
    <w:rsid w:val="004031C2"/>
    <w:rsid w:val="00404EF2"/>
    <w:rsid w:val="00405443"/>
    <w:rsid w:val="0040784C"/>
    <w:rsid w:val="0041166A"/>
    <w:rsid w:val="00412591"/>
    <w:rsid w:val="00420AE5"/>
    <w:rsid w:val="004236EC"/>
    <w:rsid w:val="00425FE0"/>
    <w:rsid w:val="004266B8"/>
    <w:rsid w:val="00426A02"/>
    <w:rsid w:val="004274AF"/>
    <w:rsid w:val="004276DD"/>
    <w:rsid w:val="004307D2"/>
    <w:rsid w:val="00434928"/>
    <w:rsid w:val="004379B7"/>
    <w:rsid w:val="0044468A"/>
    <w:rsid w:val="00444BB6"/>
    <w:rsid w:val="004459EA"/>
    <w:rsid w:val="00447A7C"/>
    <w:rsid w:val="00450C55"/>
    <w:rsid w:val="00451FE5"/>
    <w:rsid w:val="00452C90"/>
    <w:rsid w:val="00455F9A"/>
    <w:rsid w:val="00457891"/>
    <w:rsid w:val="004601FB"/>
    <w:rsid w:val="00461158"/>
    <w:rsid w:val="004625CE"/>
    <w:rsid w:val="00462BD7"/>
    <w:rsid w:val="00465A2C"/>
    <w:rsid w:val="00465CF1"/>
    <w:rsid w:val="00465F9E"/>
    <w:rsid w:val="004670B0"/>
    <w:rsid w:val="0047271A"/>
    <w:rsid w:val="00472F61"/>
    <w:rsid w:val="00476ACF"/>
    <w:rsid w:val="00477070"/>
    <w:rsid w:val="00481F0E"/>
    <w:rsid w:val="0048362A"/>
    <w:rsid w:val="004837C7"/>
    <w:rsid w:val="0048389D"/>
    <w:rsid w:val="00484661"/>
    <w:rsid w:val="00486AC1"/>
    <w:rsid w:val="00486FB8"/>
    <w:rsid w:val="00487B8F"/>
    <w:rsid w:val="00490BC9"/>
    <w:rsid w:val="004927C0"/>
    <w:rsid w:val="004936E4"/>
    <w:rsid w:val="0049458F"/>
    <w:rsid w:val="00494640"/>
    <w:rsid w:val="00494FC4"/>
    <w:rsid w:val="00496145"/>
    <w:rsid w:val="004A28B3"/>
    <w:rsid w:val="004A32E0"/>
    <w:rsid w:val="004A470C"/>
    <w:rsid w:val="004A4D95"/>
    <w:rsid w:val="004A608D"/>
    <w:rsid w:val="004A7448"/>
    <w:rsid w:val="004B131C"/>
    <w:rsid w:val="004B3871"/>
    <w:rsid w:val="004B4AEB"/>
    <w:rsid w:val="004C0191"/>
    <w:rsid w:val="004C0728"/>
    <w:rsid w:val="004C674E"/>
    <w:rsid w:val="004D04CD"/>
    <w:rsid w:val="004D1846"/>
    <w:rsid w:val="004D18AA"/>
    <w:rsid w:val="004D4277"/>
    <w:rsid w:val="004D5B73"/>
    <w:rsid w:val="004D5E09"/>
    <w:rsid w:val="004D61F6"/>
    <w:rsid w:val="004D6967"/>
    <w:rsid w:val="004D7A3D"/>
    <w:rsid w:val="004E01E7"/>
    <w:rsid w:val="004E1B3E"/>
    <w:rsid w:val="004E231C"/>
    <w:rsid w:val="004E41DD"/>
    <w:rsid w:val="004E442D"/>
    <w:rsid w:val="004E453C"/>
    <w:rsid w:val="004E4892"/>
    <w:rsid w:val="004E4C3E"/>
    <w:rsid w:val="004E50D8"/>
    <w:rsid w:val="004F0D9D"/>
    <w:rsid w:val="004F0F1F"/>
    <w:rsid w:val="004F2C3C"/>
    <w:rsid w:val="004F3293"/>
    <w:rsid w:val="004F3D78"/>
    <w:rsid w:val="004F412A"/>
    <w:rsid w:val="004F52FA"/>
    <w:rsid w:val="004F608C"/>
    <w:rsid w:val="004F6E25"/>
    <w:rsid w:val="004F6FE4"/>
    <w:rsid w:val="00503F8D"/>
    <w:rsid w:val="00506385"/>
    <w:rsid w:val="0050662C"/>
    <w:rsid w:val="00506E0B"/>
    <w:rsid w:val="0051062E"/>
    <w:rsid w:val="005109DE"/>
    <w:rsid w:val="00513D92"/>
    <w:rsid w:val="0051484A"/>
    <w:rsid w:val="005150EA"/>
    <w:rsid w:val="00515345"/>
    <w:rsid w:val="00515417"/>
    <w:rsid w:val="00517ED6"/>
    <w:rsid w:val="005216C6"/>
    <w:rsid w:val="00526BCC"/>
    <w:rsid w:val="00526CB7"/>
    <w:rsid w:val="0053298A"/>
    <w:rsid w:val="00532AC9"/>
    <w:rsid w:val="00533E1E"/>
    <w:rsid w:val="00536FAB"/>
    <w:rsid w:val="00540A2E"/>
    <w:rsid w:val="005419FD"/>
    <w:rsid w:val="00541EE3"/>
    <w:rsid w:val="00542C8F"/>
    <w:rsid w:val="00543275"/>
    <w:rsid w:val="00543EAD"/>
    <w:rsid w:val="00545924"/>
    <w:rsid w:val="00545F7D"/>
    <w:rsid w:val="00550AB2"/>
    <w:rsid w:val="00554F62"/>
    <w:rsid w:val="00555FC0"/>
    <w:rsid w:val="00556D8F"/>
    <w:rsid w:val="00557108"/>
    <w:rsid w:val="00560981"/>
    <w:rsid w:val="00562237"/>
    <w:rsid w:val="00562F29"/>
    <w:rsid w:val="0056353C"/>
    <w:rsid w:val="00563BC2"/>
    <w:rsid w:val="00565030"/>
    <w:rsid w:val="0056647E"/>
    <w:rsid w:val="00566EEA"/>
    <w:rsid w:val="00567E5C"/>
    <w:rsid w:val="005731CD"/>
    <w:rsid w:val="0057512D"/>
    <w:rsid w:val="005771B4"/>
    <w:rsid w:val="005773B4"/>
    <w:rsid w:val="00580699"/>
    <w:rsid w:val="00581203"/>
    <w:rsid w:val="00582A85"/>
    <w:rsid w:val="0059031C"/>
    <w:rsid w:val="0059129C"/>
    <w:rsid w:val="005913BA"/>
    <w:rsid w:val="00591DFB"/>
    <w:rsid w:val="005940D0"/>
    <w:rsid w:val="0059432E"/>
    <w:rsid w:val="0059465F"/>
    <w:rsid w:val="00594BCF"/>
    <w:rsid w:val="00595128"/>
    <w:rsid w:val="00597819"/>
    <w:rsid w:val="00597E51"/>
    <w:rsid w:val="005A0037"/>
    <w:rsid w:val="005A1D8B"/>
    <w:rsid w:val="005A3512"/>
    <w:rsid w:val="005A3B69"/>
    <w:rsid w:val="005A7557"/>
    <w:rsid w:val="005A7A30"/>
    <w:rsid w:val="005B0281"/>
    <w:rsid w:val="005B11A9"/>
    <w:rsid w:val="005B22D0"/>
    <w:rsid w:val="005B2378"/>
    <w:rsid w:val="005B2E3D"/>
    <w:rsid w:val="005B3899"/>
    <w:rsid w:val="005B5673"/>
    <w:rsid w:val="005B5746"/>
    <w:rsid w:val="005C1034"/>
    <w:rsid w:val="005C6AD8"/>
    <w:rsid w:val="005C6F98"/>
    <w:rsid w:val="005D008D"/>
    <w:rsid w:val="005D0190"/>
    <w:rsid w:val="005D0E11"/>
    <w:rsid w:val="005D16B7"/>
    <w:rsid w:val="005D17BA"/>
    <w:rsid w:val="005D2E5C"/>
    <w:rsid w:val="005D37F4"/>
    <w:rsid w:val="005D4D71"/>
    <w:rsid w:val="005D5380"/>
    <w:rsid w:val="005D5C65"/>
    <w:rsid w:val="005D62DB"/>
    <w:rsid w:val="005E0520"/>
    <w:rsid w:val="005E0C13"/>
    <w:rsid w:val="005E14FB"/>
    <w:rsid w:val="005E1A60"/>
    <w:rsid w:val="005E35AE"/>
    <w:rsid w:val="005E6466"/>
    <w:rsid w:val="005E7A66"/>
    <w:rsid w:val="005F0E30"/>
    <w:rsid w:val="005F104C"/>
    <w:rsid w:val="005F17E2"/>
    <w:rsid w:val="005F1F9D"/>
    <w:rsid w:val="005F296F"/>
    <w:rsid w:val="005F29B4"/>
    <w:rsid w:val="005F59DC"/>
    <w:rsid w:val="005F7326"/>
    <w:rsid w:val="00601669"/>
    <w:rsid w:val="00601A71"/>
    <w:rsid w:val="00603D43"/>
    <w:rsid w:val="006051FC"/>
    <w:rsid w:val="00605D54"/>
    <w:rsid w:val="0060681D"/>
    <w:rsid w:val="00610027"/>
    <w:rsid w:val="006108DB"/>
    <w:rsid w:val="00610930"/>
    <w:rsid w:val="006110A7"/>
    <w:rsid w:val="00612249"/>
    <w:rsid w:val="0061250F"/>
    <w:rsid w:val="00612C8C"/>
    <w:rsid w:val="00614A2B"/>
    <w:rsid w:val="006159F6"/>
    <w:rsid w:val="00620A70"/>
    <w:rsid w:val="006213CB"/>
    <w:rsid w:val="0062552A"/>
    <w:rsid w:val="006260A4"/>
    <w:rsid w:val="00626121"/>
    <w:rsid w:val="006264F5"/>
    <w:rsid w:val="0062689A"/>
    <w:rsid w:val="00627A65"/>
    <w:rsid w:val="00630FFE"/>
    <w:rsid w:val="0063524D"/>
    <w:rsid w:val="006369A6"/>
    <w:rsid w:val="00636E73"/>
    <w:rsid w:val="00640EBD"/>
    <w:rsid w:val="00642439"/>
    <w:rsid w:val="00644552"/>
    <w:rsid w:val="00646A29"/>
    <w:rsid w:val="00647454"/>
    <w:rsid w:val="006501E3"/>
    <w:rsid w:val="00650440"/>
    <w:rsid w:val="00651178"/>
    <w:rsid w:val="00651197"/>
    <w:rsid w:val="0065378B"/>
    <w:rsid w:val="00654BB7"/>
    <w:rsid w:val="006557D1"/>
    <w:rsid w:val="00656621"/>
    <w:rsid w:val="00656759"/>
    <w:rsid w:val="00657439"/>
    <w:rsid w:val="00657AEF"/>
    <w:rsid w:val="00660375"/>
    <w:rsid w:val="006630B9"/>
    <w:rsid w:val="00663318"/>
    <w:rsid w:val="00665544"/>
    <w:rsid w:val="006670B4"/>
    <w:rsid w:val="00672C4B"/>
    <w:rsid w:val="0067462F"/>
    <w:rsid w:val="00676285"/>
    <w:rsid w:val="0067646E"/>
    <w:rsid w:val="00677021"/>
    <w:rsid w:val="006819F9"/>
    <w:rsid w:val="00681F07"/>
    <w:rsid w:val="00686027"/>
    <w:rsid w:val="0068638D"/>
    <w:rsid w:val="00690456"/>
    <w:rsid w:val="00690B39"/>
    <w:rsid w:val="00692060"/>
    <w:rsid w:val="0069210E"/>
    <w:rsid w:val="006926A8"/>
    <w:rsid w:val="00692B0D"/>
    <w:rsid w:val="00693752"/>
    <w:rsid w:val="0069727C"/>
    <w:rsid w:val="006A05F3"/>
    <w:rsid w:val="006A435D"/>
    <w:rsid w:val="006A4F7E"/>
    <w:rsid w:val="006A742A"/>
    <w:rsid w:val="006B03AC"/>
    <w:rsid w:val="006B06F7"/>
    <w:rsid w:val="006B4A4F"/>
    <w:rsid w:val="006B4BBE"/>
    <w:rsid w:val="006B5A0A"/>
    <w:rsid w:val="006B7FAF"/>
    <w:rsid w:val="006C1722"/>
    <w:rsid w:val="006C4F82"/>
    <w:rsid w:val="006C4FB1"/>
    <w:rsid w:val="006C7C67"/>
    <w:rsid w:val="006C7E79"/>
    <w:rsid w:val="006D13D6"/>
    <w:rsid w:val="006D21AA"/>
    <w:rsid w:val="006D37BA"/>
    <w:rsid w:val="006D40C8"/>
    <w:rsid w:val="006D5502"/>
    <w:rsid w:val="006D6455"/>
    <w:rsid w:val="006E3298"/>
    <w:rsid w:val="006E3554"/>
    <w:rsid w:val="006E5852"/>
    <w:rsid w:val="006F0241"/>
    <w:rsid w:val="006F1194"/>
    <w:rsid w:val="006F1AF1"/>
    <w:rsid w:val="006F1D65"/>
    <w:rsid w:val="006F46A5"/>
    <w:rsid w:val="00701DD9"/>
    <w:rsid w:val="00702316"/>
    <w:rsid w:val="00702817"/>
    <w:rsid w:val="007054DA"/>
    <w:rsid w:val="00705B19"/>
    <w:rsid w:val="00705C08"/>
    <w:rsid w:val="00707C28"/>
    <w:rsid w:val="007102A9"/>
    <w:rsid w:val="00710FA5"/>
    <w:rsid w:val="00711D22"/>
    <w:rsid w:val="00712154"/>
    <w:rsid w:val="00712F7E"/>
    <w:rsid w:val="007165F8"/>
    <w:rsid w:val="00716BFB"/>
    <w:rsid w:val="00716E19"/>
    <w:rsid w:val="00720B9B"/>
    <w:rsid w:val="00720E80"/>
    <w:rsid w:val="007210C4"/>
    <w:rsid w:val="007212EF"/>
    <w:rsid w:val="00722371"/>
    <w:rsid w:val="00722A20"/>
    <w:rsid w:val="00723585"/>
    <w:rsid w:val="00724408"/>
    <w:rsid w:val="00725456"/>
    <w:rsid w:val="00725C8D"/>
    <w:rsid w:val="00726293"/>
    <w:rsid w:val="007303D6"/>
    <w:rsid w:val="0073208D"/>
    <w:rsid w:val="00733237"/>
    <w:rsid w:val="0073577C"/>
    <w:rsid w:val="00735D3E"/>
    <w:rsid w:val="00736EC2"/>
    <w:rsid w:val="007370F3"/>
    <w:rsid w:val="007409EF"/>
    <w:rsid w:val="00743619"/>
    <w:rsid w:val="007461E2"/>
    <w:rsid w:val="0074752C"/>
    <w:rsid w:val="0075065C"/>
    <w:rsid w:val="00751E8A"/>
    <w:rsid w:val="0075234B"/>
    <w:rsid w:val="007530D7"/>
    <w:rsid w:val="007570EA"/>
    <w:rsid w:val="00757FF2"/>
    <w:rsid w:val="00761C17"/>
    <w:rsid w:val="00761F21"/>
    <w:rsid w:val="007646F8"/>
    <w:rsid w:val="007665DB"/>
    <w:rsid w:val="00770302"/>
    <w:rsid w:val="00773907"/>
    <w:rsid w:val="0077477C"/>
    <w:rsid w:val="007753A5"/>
    <w:rsid w:val="00775E2A"/>
    <w:rsid w:val="00775FBC"/>
    <w:rsid w:val="00777957"/>
    <w:rsid w:val="0078020C"/>
    <w:rsid w:val="00780D16"/>
    <w:rsid w:val="00782F53"/>
    <w:rsid w:val="00784AE1"/>
    <w:rsid w:val="00785512"/>
    <w:rsid w:val="0078699F"/>
    <w:rsid w:val="00786DF7"/>
    <w:rsid w:val="007905D8"/>
    <w:rsid w:val="00791724"/>
    <w:rsid w:val="00792EFD"/>
    <w:rsid w:val="007930B8"/>
    <w:rsid w:val="00793E42"/>
    <w:rsid w:val="00794047"/>
    <w:rsid w:val="007940E0"/>
    <w:rsid w:val="0079510E"/>
    <w:rsid w:val="00795F78"/>
    <w:rsid w:val="007A02FC"/>
    <w:rsid w:val="007A22FB"/>
    <w:rsid w:val="007A2B73"/>
    <w:rsid w:val="007A2D8B"/>
    <w:rsid w:val="007A3531"/>
    <w:rsid w:val="007A58B0"/>
    <w:rsid w:val="007A663B"/>
    <w:rsid w:val="007B1080"/>
    <w:rsid w:val="007B34D3"/>
    <w:rsid w:val="007B4069"/>
    <w:rsid w:val="007B426B"/>
    <w:rsid w:val="007B4911"/>
    <w:rsid w:val="007C0659"/>
    <w:rsid w:val="007C2E0B"/>
    <w:rsid w:val="007C4327"/>
    <w:rsid w:val="007C4861"/>
    <w:rsid w:val="007C63F8"/>
    <w:rsid w:val="007C661B"/>
    <w:rsid w:val="007D0E17"/>
    <w:rsid w:val="007D110A"/>
    <w:rsid w:val="007D161A"/>
    <w:rsid w:val="007D19B9"/>
    <w:rsid w:val="007D1CFF"/>
    <w:rsid w:val="007D4E6B"/>
    <w:rsid w:val="007D4F94"/>
    <w:rsid w:val="007D5F69"/>
    <w:rsid w:val="007D7486"/>
    <w:rsid w:val="007D7C79"/>
    <w:rsid w:val="007E0507"/>
    <w:rsid w:val="007E1386"/>
    <w:rsid w:val="007E17BD"/>
    <w:rsid w:val="007E7F84"/>
    <w:rsid w:val="007F0832"/>
    <w:rsid w:val="007F31F4"/>
    <w:rsid w:val="007F384C"/>
    <w:rsid w:val="007F3B32"/>
    <w:rsid w:val="007F400E"/>
    <w:rsid w:val="007F44FF"/>
    <w:rsid w:val="007F5016"/>
    <w:rsid w:val="007F6891"/>
    <w:rsid w:val="007F7F24"/>
    <w:rsid w:val="00800F0E"/>
    <w:rsid w:val="00801A6F"/>
    <w:rsid w:val="0080274E"/>
    <w:rsid w:val="00802DC7"/>
    <w:rsid w:val="008034C1"/>
    <w:rsid w:val="00803B2F"/>
    <w:rsid w:val="0080449A"/>
    <w:rsid w:val="00804C5D"/>
    <w:rsid w:val="008061D8"/>
    <w:rsid w:val="00806400"/>
    <w:rsid w:val="00807DCC"/>
    <w:rsid w:val="00814A4C"/>
    <w:rsid w:val="00815BE5"/>
    <w:rsid w:val="0081674B"/>
    <w:rsid w:val="00816F7C"/>
    <w:rsid w:val="0082099F"/>
    <w:rsid w:val="00820CD7"/>
    <w:rsid w:val="00821391"/>
    <w:rsid w:val="00822AE0"/>
    <w:rsid w:val="00822E0C"/>
    <w:rsid w:val="00823ED7"/>
    <w:rsid w:val="00824BF6"/>
    <w:rsid w:val="00825073"/>
    <w:rsid w:val="008254F5"/>
    <w:rsid w:val="00830176"/>
    <w:rsid w:val="00830F58"/>
    <w:rsid w:val="00831DB1"/>
    <w:rsid w:val="00832154"/>
    <w:rsid w:val="008324D8"/>
    <w:rsid w:val="00835783"/>
    <w:rsid w:val="008357EC"/>
    <w:rsid w:val="00836E6E"/>
    <w:rsid w:val="00837AF4"/>
    <w:rsid w:val="00841BFC"/>
    <w:rsid w:val="00841F83"/>
    <w:rsid w:val="00844481"/>
    <w:rsid w:val="00844DD2"/>
    <w:rsid w:val="00845DA4"/>
    <w:rsid w:val="00847A71"/>
    <w:rsid w:val="008504E7"/>
    <w:rsid w:val="00850927"/>
    <w:rsid w:val="0085290F"/>
    <w:rsid w:val="00854DC9"/>
    <w:rsid w:val="00855451"/>
    <w:rsid w:val="008554FB"/>
    <w:rsid w:val="008558D3"/>
    <w:rsid w:val="00855B13"/>
    <w:rsid w:val="00857864"/>
    <w:rsid w:val="0086042D"/>
    <w:rsid w:val="00860DE8"/>
    <w:rsid w:val="00864AEE"/>
    <w:rsid w:val="00864B9C"/>
    <w:rsid w:val="00865B37"/>
    <w:rsid w:val="00865FD6"/>
    <w:rsid w:val="008668BC"/>
    <w:rsid w:val="00867200"/>
    <w:rsid w:val="00870523"/>
    <w:rsid w:val="00870666"/>
    <w:rsid w:val="00872000"/>
    <w:rsid w:val="00873AAD"/>
    <w:rsid w:val="0087629A"/>
    <w:rsid w:val="008765A0"/>
    <w:rsid w:val="00876BB4"/>
    <w:rsid w:val="00881FA0"/>
    <w:rsid w:val="0088299F"/>
    <w:rsid w:val="00882AF6"/>
    <w:rsid w:val="00883420"/>
    <w:rsid w:val="00883DA7"/>
    <w:rsid w:val="008866E4"/>
    <w:rsid w:val="0088728F"/>
    <w:rsid w:val="00890E05"/>
    <w:rsid w:val="00892F78"/>
    <w:rsid w:val="00896AFF"/>
    <w:rsid w:val="008A2A4B"/>
    <w:rsid w:val="008A4BE9"/>
    <w:rsid w:val="008A70DB"/>
    <w:rsid w:val="008B1142"/>
    <w:rsid w:val="008B1856"/>
    <w:rsid w:val="008B5D57"/>
    <w:rsid w:val="008B7E90"/>
    <w:rsid w:val="008C0158"/>
    <w:rsid w:val="008C1576"/>
    <w:rsid w:val="008C4391"/>
    <w:rsid w:val="008C53B3"/>
    <w:rsid w:val="008D0697"/>
    <w:rsid w:val="008D2163"/>
    <w:rsid w:val="008D3811"/>
    <w:rsid w:val="008D437E"/>
    <w:rsid w:val="008D4493"/>
    <w:rsid w:val="008D4B00"/>
    <w:rsid w:val="008D64C5"/>
    <w:rsid w:val="008D6ECA"/>
    <w:rsid w:val="008D7168"/>
    <w:rsid w:val="008E0F26"/>
    <w:rsid w:val="008E4E55"/>
    <w:rsid w:val="008E589C"/>
    <w:rsid w:val="008E58D5"/>
    <w:rsid w:val="008E63DE"/>
    <w:rsid w:val="008F12D5"/>
    <w:rsid w:val="008F1423"/>
    <w:rsid w:val="008F18D2"/>
    <w:rsid w:val="008F202C"/>
    <w:rsid w:val="008F30BC"/>
    <w:rsid w:val="008F3EB4"/>
    <w:rsid w:val="008F4364"/>
    <w:rsid w:val="008F6A3F"/>
    <w:rsid w:val="008F7276"/>
    <w:rsid w:val="00900846"/>
    <w:rsid w:val="00901363"/>
    <w:rsid w:val="00902368"/>
    <w:rsid w:val="00902523"/>
    <w:rsid w:val="00904250"/>
    <w:rsid w:val="0090499D"/>
    <w:rsid w:val="00905CF3"/>
    <w:rsid w:val="00906448"/>
    <w:rsid w:val="009074A1"/>
    <w:rsid w:val="00921A3A"/>
    <w:rsid w:val="00922220"/>
    <w:rsid w:val="00923E9E"/>
    <w:rsid w:val="00924DF3"/>
    <w:rsid w:val="00924F30"/>
    <w:rsid w:val="00925DC1"/>
    <w:rsid w:val="009263AB"/>
    <w:rsid w:val="009374D3"/>
    <w:rsid w:val="009422DD"/>
    <w:rsid w:val="0094624F"/>
    <w:rsid w:val="00952172"/>
    <w:rsid w:val="0095483F"/>
    <w:rsid w:val="009557CC"/>
    <w:rsid w:val="00955821"/>
    <w:rsid w:val="009576BE"/>
    <w:rsid w:val="009648ED"/>
    <w:rsid w:val="00967C5A"/>
    <w:rsid w:val="0097091C"/>
    <w:rsid w:val="00971078"/>
    <w:rsid w:val="009726E8"/>
    <w:rsid w:val="00972B7B"/>
    <w:rsid w:val="00974F0C"/>
    <w:rsid w:val="00975363"/>
    <w:rsid w:val="00975C1B"/>
    <w:rsid w:val="00976550"/>
    <w:rsid w:val="00980C14"/>
    <w:rsid w:val="009817E3"/>
    <w:rsid w:val="009818A7"/>
    <w:rsid w:val="00982566"/>
    <w:rsid w:val="00984C3F"/>
    <w:rsid w:val="00984EE9"/>
    <w:rsid w:val="0098503E"/>
    <w:rsid w:val="009859A3"/>
    <w:rsid w:val="009867B0"/>
    <w:rsid w:val="00987500"/>
    <w:rsid w:val="0098751C"/>
    <w:rsid w:val="00990B68"/>
    <w:rsid w:val="00991BE5"/>
    <w:rsid w:val="0099411A"/>
    <w:rsid w:val="00994195"/>
    <w:rsid w:val="009954E2"/>
    <w:rsid w:val="00995773"/>
    <w:rsid w:val="00995BF1"/>
    <w:rsid w:val="00995C9C"/>
    <w:rsid w:val="0099743A"/>
    <w:rsid w:val="009A0411"/>
    <w:rsid w:val="009A073C"/>
    <w:rsid w:val="009A1DCC"/>
    <w:rsid w:val="009A27EE"/>
    <w:rsid w:val="009A41AC"/>
    <w:rsid w:val="009A4262"/>
    <w:rsid w:val="009A50D1"/>
    <w:rsid w:val="009A55AF"/>
    <w:rsid w:val="009A576B"/>
    <w:rsid w:val="009A6008"/>
    <w:rsid w:val="009A6C1D"/>
    <w:rsid w:val="009B082C"/>
    <w:rsid w:val="009B0E97"/>
    <w:rsid w:val="009B21AA"/>
    <w:rsid w:val="009B2F78"/>
    <w:rsid w:val="009B3330"/>
    <w:rsid w:val="009B3D61"/>
    <w:rsid w:val="009B4262"/>
    <w:rsid w:val="009B57BB"/>
    <w:rsid w:val="009B6D88"/>
    <w:rsid w:val="009B6E24"/>
    <w:rsid w:val="009C005A"/>
    <w:rsid w:val="009C05AC"/>
    <w:rsid w:val="009C0F62"/>
    <w:rsid w:val="009C1BE7"/>
    <w:rsid w:val="009C2A86"/>
    <w:rsid w:val="009C2EEB"/>
    <w:rsid w:val="009C317E"/>
    <w:rsid w:val="009C3870"/>
    <w:rsid w:val="009C5FEA"/>
    <w:rsid w:val="009C6626"/>
    <w:rsid w:val="009C6C01"/>
    <w:rsid w:val="009C79BA"/>
    <w:rsid w:val="009D02EE"/>
    <w:rsid w:val="009D1AA1"/>
    <w:rsid w:val="009D3D41"/>
    <w:rsid w:val="009D42DB"/>
    <w:rsid w:val="009D6001"/>
    <w:rsid w:val="009D6AF0"/>
    <w:rsid w:val="009D7297"/>
    <w:rsid w:val="009E0D67"/>
    <w:rsid w:val="009E1C4B"/>
    <w:rsid w:val="009E3766"/>
    <w:rsid w:val="009E3C6E"/>
    <w:rsid w:val="009F564F"/>
    <w:rsid w:val="009F656C"/>
    <w:rsid w:val="009F734F"/>
    <w:rsid w:val="00A0028B"/>
    <w:rsid w:val="00A00410"/>
    <w:rsid w:val="00A01B4A"/>
    <w:rsid w:val="00A025A0"/>
    <w:rsid w:val="00A027FF"/>
    <w:rsid w:val="00A035E8"/>
    <w:rsid w:val="00A03739"/>
    <w:rsid w:val="00A03B18"/>
    <w:rsid w:val="00A06BA5"/>
    <w:rsid w:val="00A07723"/>
    <w:rsid w:val="00A116EB"/>
    <w:rsid w:val="00A11A51"/>
    <w:rsid w:val="00A133EB"/>
    <w:rsid w:val="00A13E82"/>
    <w:rsid w:val="00A14FCA"/>
    <w:rsid w:val="00A154B5"/>
    <w:rsid w:val="00A20CF7"/>
    <w:rsid w:val="00A223C0"/>
    <w:rsid w:val="00A2299B"/>
    <w:rsid w:val="00A234E5"/>
    <w:rsid w:val="00A24EA1"/>
    <w:rsid w:val="00A30A35"/>
    <w:rsid w:val="00A32CE2"/>
    <w:rsid w:val="00A33310"/>
    <w:rsid w:val="00A334E5"/>
    <w:rsid w:val="00A34D12"/>
    <w:rsid w:val="00A366AC"/>
    <w:rsid w:val="00A37C52"/>
    <w:rsid w:val="00A37FA3"/>
    <w:rsid w:val="00A40F28"/>
    <w:rsid w:val="00A415C8"/>
    <w:rsid w:val="00A431DD"/>
    <w:rsid w:val="00A43262"/>
    <w:rsid w:val="00A44E7D"/>
    <w:rsid w:val="00A4553A"/>
    <w:rsid w:val="00A46025"/>
    <w:rsid w:val="00A4689F"/>
    <w:rsid w:val="00A471BE"/>
    <w:rsid w:val="00A50CE8"/>
    <w:rsid w:val="00A52006"/>
    <w:rsid w:val="00A55822"/>
    <w:rsid w:val="00A55A03"/>
    <w:rsid w:val="00A560F9"/>
    <w:rsid w:val="00A56915"/>
    <w:rsid w:val="00A600C2"/>
    <w:rsid w:val="00A60991"/>
    <w:rsid w:val="00A611FA"/>
    <w:rsid w:val="00A61889"/>
    <w:rsid w:val="00A62D67"/>
    <w:rsid w:val="00A646D1"/>
    <w:rsid w:val="00A6511C"/>
    <w:rsid w:val="00A656C4"/>
    <w:rsid w:val="00A70E82"/>
    <w:rsid w:val="00A70E8B"/>
    <w:rsid w:val="00A71248"/>
    <w:rsid w:val="00A72C26"/>
    <w:rsid w:val="00A74F01"/>
    <w:rsid w:val="00A76EBA"/>
    <w:rsid w:val="00A80C11"/>
    <w:rsid w:val="00A82C62"/>
    <w:rsid w:val="00A84AF8"/>
    <w:rsid w:val="00A84D14"/>
    <w:rsid w:val="00A85A05"/>
    <w:rsid w:val="00A90C63"/>
    <w:rsid w:val="00A90DCB"/>
    <w:rsid w:val="00A91481"/>
    <w:rsid w:val="00A91546"/>
    <w:rsid w:val="00A949CF"/>
    <w:rsid w:val="00A9517A"/>
    <w:rsid w:val="00A9607C"/>
    <w:rsid w:val="00AA0414"/>
    <w:rsid w:val="00AA306C"/>
    <w:rsid w:val="00AA58D1"/>
    <w:rsid w:val="00AA6D2B"/>
    <w:rsid w:val="00AA6EC1"/>
    <w:rsid w:val="00AB070E"/>
    <w:rsid w:val="00AB088F"/>
    <w:rsid w:val="00AB2BDD"/>
    <w:rsid w:val="00AB313D"/>
    <w:rsid w:val="00AB3297"/>
    <w:rsid w:val="00AB3D18"/>
    <w:rsid w:val="00AB5CCD"/>
    <w:rsid w:val="00AB6CBF"/>
    <w:rsid w:val="00AB7D7A"/>
    <w:rsid w:val="00AC1B08"/>
    <w:rsid w:val="00AC6F00"/>
    <w:rsid w:val="00AC7B47"/>
    <w:rsid w:val="00AD145E"/>
    <w:rsid w:val="00AD1E12"/>
    <w:rsid w:val="00AD2F2F"/>
    <w:rsid w:val="00AD44BC"/>
    <w:rsid w:val="00AD793D"/>
    <w:rsid w:val="00AE1B05"/>
    <w:rsid w:val="00AE50BB"/>
    <w:rsid w:val="00AF1934"/>
    <w:rsid w:val="00AF288B"/>
    <w:rsid w:val="00AF40BC"/>
    <w:rsid w:val="00AF42E8"/>
    <w:rsid w:val="00AF5579"/>
    <w:rsid w:val="00AF5B91"/>
    <w:rsid w:val="00AF6432"/>
    <w:rsid w:val="00AF6B7E"/>
    <w:rsid w:val="00AF795A"/>
    <w:rsid w:val="00B00205"/>
    <w:rsid w:val="00B03167"/>
    <w:rsid w:val="00B03389"/>
    <w:rsid w:val="00B0370B"/>
    <w:rsid w:val="00B04199"/>
    <w:rsid w:val="00B10C6C"/>
    <w:rsid w:val="00B110B2"/>
    <w:rsid w:val="00B145B3"/>
    <w:rsid w:val="00B17986"/>
    <w:rsid w:val="00B20437"/>
    <w:rsid w:val="00B2060B"/>
    <w:rsid w:val="00B20ACD"/>
    <w:rsid w:val="00B20F1B"/>
    <w:rsid w:val="00B21800"/>
    <w:rsid w:val="00B232A2"/>
    <w:rsid w:val="00B23947"/>
    <w:rsid w:val="00B24453"/>
    <w:rsid w:val="00B24DB8"/>
    <w:rsid w:val="00B26460"/>
    <w:rsid w:val="00B274A8"/>
    <w:rsid w:val="00B276F7"/>
    <w:rsid w:val="00B27E9F"/>
    <w:rsid w:val="00B30E17"/>
    <w:rsid w:val="00B31972"/>
    <w:rsid w:val="00B3299C"/>
    <w:rsid w:val="00B334FA"/>
    <w:rsid w:val="00B35BD5"/>
    <w:rsid w:val="00B37A10"/>
    <w:rsid w:val="00B40444"/>
    <w:rsid w:val="00B40833"/>
    <w:rsid w:val="00B41554"/>
    <w:rsid w:val="00B425F0"/>
    <w:rsid w:val="00B43EDD"/>
    <w:rsid w:val="00B440EB"/>
    <w:rsid w:val="00B46459"/>
    <w:rsid w:val="00B47ADD"/>
    <w:rsid w:val="00B50A13"/>
    <w:rsid w:val="00B52D70"/>
    <w:rsid w:val="00B555E9"/>
    <w:rsid w:val="00B565D3"/>
    <w:rsid w:val="00B56773"/>
    <w:rsid w:val="00B57484"/>
    <w:rsid w:val="00B577FE"/>
    <w:rsid w:val="00B60965"/>
    <w:rsid w:val="00B62A85"/>
    <w:rsid w:val="00B62B09"/>
    <w:rsid w:val="00B62DDC"/>
    <w:rsid w:val="00B6499E"/>
    <w:rsid w:val="00B65232"/>
    <w:rsid w:val="00B6659E"/>
    <w:rsid w:val="00B677D8"/>
    <w:rsid w:val="00B67F94"/>
    <w:rsid w:val="00B70D26"/>
    <w:rsid w:val="00B731E9"/>
    <w:rsid w:val="00B74089"/>
    <w:rsid w:val="00B74E2D"/>
    <w:rsid w:val="00B7788B"/>
    <w:rsid w:val="00B80416"/>
    <w:rsid w:val="00B80720"/>
    <w:rsid w:val="00B83DA6"/>
    <w:rsid w:val="00B84063"/>
    <w:rsid w:val="00B8548D"/>
    <w:rsid w:val="00B855CC"/>
    <w:rsid w:val="00B86010"/>
    <w:rsid w:val="00B872C2"/>
    <w:rsid w:val="00B900D4"/>
    <w:rsid w:val="00B90A47"/>
    <w:rsid w:val="00B91BD3"/>
    <w:rsid w:val="00B93A02"/>
    <w:rsid w:val="00B961CF"/>
    <w:rsid w:val="00BA0F3B"/>
    <w:rsid w:val="00BA33A7"/>
    <w:rsid w:val="00BA3515"/>
    <w:rsid w:val="00BA5143"/>
    <w:rsid w:val="00BA64F1"/>
    <w:rsid w:val="00BB117D"/>
    <w:rsid w:val="00BB119F"/>
    <w:rsid w:val="00BB11F3"/>
    <w:rsid w:val="00BB164B"/>
    <w:rsid w:val="00BB2DDC"/>
    <w:rsid w:val="00BB4DA0"/>
    <w:rsid w:val="00BB58D4"/>
    <w:rsid w:val="00BB5C0D"/>
    <w:rsid w:val="00BB66C8"/>
    <w:rsid w:val="00BB6F74"/>
    <w:rsid w:val="00BB7352"/>
    <w:rsid w:val="00BC034A"/>
    <w:rsid w:val="00BC38E1"/>
    <w:rsid w:val="00BC572B"/>
    <w:rsid w:val="00BC59A3"/>
    <w:rsid w:val="00BC5B08"/>
    <w:rsid w:val="00BC5BAE"/>
    <w:rsid w:val="00BC5FBB"/>
    <w:rsid w:val="00BC7072"/>
    <w:rsid w:val="00BC7442"/>
    <w:rsid w:val="00BC75E2"/>
    <w:rsid w:val="00BC7DD8"/>
    <w:rsid w:val="00BD15DD"/>
    <w:rsid w:val="00BD18DB"/>
    <w:rsid w:val="00BD2A73"/>
    <w:rsid w:val="00BD2A7C"/>
    <w:rsid w:val="00BD40BB"/>
    <w:rsid w:val="00BD5D6B"/>
    <w:rsid w:val="00BD60F7"/>
    <w:rsid w:val="00BE04E1"/>
    <w:rsid w:val="00BE0A6A"/>
    <w:rsid w:val="00BE117D"/>
    <w:rsid w:val="00BF079C"/>
    <w:rsid w:val="00BF1574"/>
    <w:rsid w:val="00BF1727"/>
    <w:rsid w:val="00BF241B"/>
    <w:rsid w:val="00BF3443"/>
    <w:rsid w:val="00BF3B5C"/>
    <w:rsid w:val="00BF497D"/>
    <w:rsid w:val="00BF4C2C"/>
    <w:rsid w:val="00BF5E97"/>
    <w:rsid w:val="00BF7B72"/>
    <w:rsid w:val="00C0023F"/>
    <w:rsid w:val="00C01C1E"/>
    <w:rsid w:val="00C02012"/>
    <w:rsid w:val="00C021EE"/>
    <w:rsid w:val="00C061C4"/>
    <w:rsid w:val="00C07BA1"/>
    <w:rsid w:val="00C11FC8"/>
    <w:rsid w:val="00C14C33"/>
    <w:rsid w:val="00C15639"/>
    <w:rsid w:val="00C179AC"/>
    <w:rsid w:val="00C17CF5"/>
    <w:rsid w:val="00C207CC"/>
    <w:rsid w:val="00C231A7"/>
    <w:rsid w:val="00C232A2"/>
    <w:rsid w:val="00C2361E"/>
    <w:rsid w:val="00C2367D"/>
    <w:rsid w:val="00C239E3"/>
    <w:rsid w:val="00C23A1B"/>
    <w:rsid w:val="00C25691"/>
    <w:rsid w:val="00C304BA"/>
    <w:rsid w:val="00C315B3"/>
    <w:rsid w:val="00C31AC5"/>
    <w:rsid w:val="00C325B0"/>
    <w:rsid w:val="00C34899"/>
    <w:rsid w:val="00C36FEE"/>
    <w:rsid w:val="00C4218A"/>
    <w:rsid w:val="00C431D5"/>
    <w:rsid w:val="00C446E4"/>
    <w:rsid w:val="00C4498A"/>
    <w:rsid w:val="00C453D6"/>
    <w:rsid w:val="00C459C3"/>
    <w:rsid w:val="00C46711"/>
    <w:rsid w:val="00C47E27"/>
    <w:rsid w:val="00C52776"/>
    <w:rsid w:val="00C52D31"/>
    <w:rsid w:val="00C53F4F"/>
    <w:rsid w:val="00C5494C"/>
    <w:rsid w:val="00C574A4"/>
    <w:rsid w:val="00C57941"/>
    <w:rsid w:val="00C63B26"/>
    <w:rsid w:val="00C64714"/>
    <w:rsid w:val="00C673FD"/>
    <w:rsid w:val="00C70670"/>
    <w:rsid w:val="00C71874"/>
    <w:rsid w:val="00C71FDE"/>
    <w:rsid w:val="00C7215B"/>
    <w:rsid w:val="00C7445E"/>
    <w:rsid w:val="00C74632"/>
    <w:rsid w:val="00C74B2E"/>
    <w:rsid w:val="00C76650"/>
    <w:rsid w:val="00C7670F"/>
    <w:rsid w:val="00C80692"/>
    <w:rsid w:val="00C82844"/>
    <w:rsid w:val="00C908C1"/>
    <w:rsid w:val="00C9350E"/>
    <w:rsid w:val="00C9726F"/>
    <w:rsid w:val="00CA0A5B"/>
    <w:rsid w:val="00CA0DBA"/>
    <w:rsid w:val="00CA3AE8"/>
    <w:rsid w:val="00CA3B19"/>
    <w:rsid w:val="00CA4BE1"/>
    <w:rsid w:val="00CA742D"/>
    <w:rsid w:val="00CA7B4E"/>
    <w:rsid w:val="00CB3B5F"/>
    <w:rsid w:val="00CB48AB"/>
    <w:rsid w:val="00CB593A"/>
    <w:rsid w:val="00CB6BB7"/>
    <w:rsid w:val="00CB6BF6"/>
    <w:rsid w:val="00CB7E72"/>
    <w:rsid w:val="00CB7EEC"/>
    <w:rsid w:val="00CD03B7"/>
    <w:rsid w:val="00CD0608"/>
    <w:rsid w:val="00CD1CB0"/>
    <w:rsid w:val="00CD220C"/>
    <w:rsid w:val="00CD3F9B"/>
    <w:rsid w:val="00CD6A03"/>
    <w:rsid w:val="00CE32BD"/>
    <w:rsid w:val="00CE3564"/>
    <w:rsid w:val="00CE53C2"/>
    <w:rsid w:val="00CE7262"/>
    <w:rsid w:val="00CF2FD5"/>
    <w:rsid w:val="00CF5079"/>
    <w:rsid w:val="00CF5882"/>
    <w:rsid w:val="00CF64F5"/>
    <w:rsid w:val="00D0037B"/>
    <w:rsid w:val="00D0116D"/>
    <w:rsid w:val="00D0315E"/>
    <w:rsid w:val="00D03418"/>
    <w:rsid w:val="00D03F7A"/>
    <w:rsid w:val="00D05DB7"/>
    <w:rsid w:val="00D06291"/>
    <w:rsid w:val="00D07E65"/>
    <w:rsid w:val="00D10C14"/>
    <w:rsid w:val="00D11911"/>
    <w:rsid w:val="00D13279"/>
    <w:rsid w:val="00D13F36"/>
    <w:rsid w:val="00D16A26"/>
    <w:rsid w:val="00D173F5"/>
    <w:rsid w:val="00D24592"/>
    <w:rsid w:val="00D27AE0"/>
    <w:rsid w:val="00D30658"/>
    <w:rsid w:val="00D3160A"/>
    <w:rsid w:val="00D3289A"/>
    <w:rsid w:val="00D34883"/>
    <w:rsid w:val="00D357DD"/>
    <w:rsid w:val="00D40D35"/>
    <w:rsid w:val="00D42645"/>
    <w:rsid w:val="00D42D30"/>
    <w:rsid w:val="00D42D6C"/>
    <w:rsid w:val="00D4561E"/>
    <w:rsid w:val="00D46303"/>
    <w:rsid w:val="00D47499"/>
    <w:rsid w:val="00D507D9"/>
    <w:rsid w:val="00D50CE8"/>
    <w:rsid w:val="00D53112"/>
    <w:rsid w:val="00D53FDB"/>
    <w:rsid w:val="00D543E8"/>
    <w:rsid w:val="00D5777F"/>
    <w:rsid w:val="00D60505"/>
    <w:rsid w:val="00D6166D"/>
    <w:rsid w:val="00D6288A"/>
    <w:rsid w:val="00D63223"/>
    <w:rsid w:val="00D6413E"/>
    <w:rsid w:val="00D654B7"/>
    <w:rsid w:val="00D6621E"/>
    <w:rsid w:val="00D6767B"/>
    <w:rsid w:val="00D71D4E"/>
    <w:rsid w:val="00D72715"/>
    <w:rsid w:val="00D728F7"/>
    <w:rsid w:val="00D74882"/>
    <w:rsid w:val="00D75727"/>
    <w:rsid w:val="00D761EC"/>
    <w:rsid w:val="00D80EF8"/>
    <w:rsid w:val="00D85714"/>
    <w:rsid w:val="00D90429"/>
    <w:rsid w:val="00D910C6"/>
    <w:rsid w:val="00D928D1"/>
    <w:rsid w:val="00D9404C"/>
    <w:rsid w:val="00D94EB9"/>
    <w:rsid w:val="00D951FB"/>
    <w:rsid w:val="00D95FDB"/>
    <w:rsid w:val="00DA222B"/>
    <w:rsid w:val="00DA4526"/>
    <w:rsid w:val="00DA4786"/>
    <w:rsid w:val="00DA67E3"/>
    <w:rsid w:val="00DA6A28"/>
    <w:rsid w:val="00DA7DCC"/>
    <w:rsid w:val="00DB204E"/>
    <w:rsid w:val="00DB2BD3"/>
    <w:rsid w:val="00DB36FB"/>
    <w:rsid w:val="00DB3FC4"/>
    <w:rsid w:val="00DB4540"/>
    <w:rsid w:val="00DB4AD9"/>
    <w:rsid w:val="00DB5DDC"/>
    <w:rsid w:val="00DB61FD"/>
    <w:rsid w:val="00DB69AD"/>
    <w:rsid w:val="00DC24CD"/>
    <w:rsid w:val="00DC2EA8"/>
    <w:rsid w:val="00DC4025"/>
    <w:rsid w:val="00DC40B6"/>
    <w:rsid w:val="00DC41A7"/>
    <w:rsid w:val="00DC4458"/>
    <w:rsid w:val="00DC4566"/>
    <w:rsid w:val="00DC7492"/>
    <w:rsid w:val="00DC7621"/>
    <w:rsid w:val="00DD42F8"/>
    <w:rsid w:val="00DD45C5"/>
    <w:rsid w:val="00DD583D"/>
    <w:rsid w:val="00DD59EA"/>
    <w:rsid w:val="00DD62FC"/>
    <w:rsid w:val="00DD63EA"/>
    <w:rsid w:val="00DD7600"/>
    <w:rsid w:val="00DE34CF"/>
    <w:rsid w:val="00DE3694"/>
    <w:rsid w:val="00DE4FB0"/>
    <w:rsid w:val="00DE6B27"/>
    <w:rsid w:val="00DE6E4B"/>
    <w:rsid w:val="00DE75BB"/>
    <w:rsid w:val="00DE75D0"/>
    <w:rsid w:val="00DF1C28"/>
    <w:rsid w:val="00DF3E16"/>
    <w:rsid w:val="00DF43AA"/>
    <w:rsid w:val="00DF43CC"/>
    <w:rsid w:val="00DF56F2"/>
    <w:rsid w:val="00DF57AB"/>
    <w:rsid w:val="00DF612C"/>
    <w:rsid w:val="00DF61D6"/>
    <w:rsid w:val="00DF67BB"/>
    <w:rsid w:val="00E01CE5"/>
    <w:rsid w:val="00E0222E"/>
    <w:rsid w:val="00E0469B"/>
    <w:rsid w:val="00E04912"/>
    <w:rsid w:val="00E04CE9"/>
    <w:rsid w:val="00E06D34"/>
    <w:rsid w:val="00E10589"/>
    <w:rsid w:val="00E105F0"/>
    <w:rsid w:val="00E1302C"/>
    <w:rsid w:val="00E13185"/>
    <w:rsid w:val="00E13262"/>
    <w:rsid w:val="00E13F7C"/>
    <w:rsid w:val="00E14335"/>
    <w:rsid w:val="00E16904"/>
    <w:rsid w:val="00E21C56"/>
    <w:rsid w:val="00E22939"/>
    <w:rsid w:val="00E24C66"/>
    <w:rsid w:val="00E25016"/>
    <w:rsid w:val="00E328C5"/>
    <w:rsid w:val="00E35052"/>
    <w:rsid w:val="00E36594"/>
    <w:rsid w:val="00E36D17"/>
    <w:rsid w:val="00E374EA"/>
    <w:rsid w:val="00E41798"/>
    <w:rsid w:val="00E43865"/>
    <w:rsid w:val="00E47ADC"/>
    <w:rsid w:val="00E50724"/>
    <w:rsid w:val="00E5212B"/>
    <w:rsid w:val="00E5237A"/>
    <w:rsid w:val="00E533B5"/>
    <w:rsid w:val="00E53F94"/>
    <w:rsid w:val="00E540F4"/>
    <w:rsid w:val="00E54620"/>
    <w:rsid w:val="00E63245"/>
    <w:rsid w:val="00E633DB"/>
    <w:rsid w:val="00E653A3"/>
    <w:rsid w:val="00E67985"/>
    <w:rsid w:val="00E72043"/>
    <w:rsid w:val="00E73306"/>
    <w:rsid w:val="00E75575"/>
    <w:rsid w:val="00E75966"/>
    <w:rsid w:val="00E777D8"/>
    <w:rsid w:val="00E81753"/>
    <w:rsid w:val="00E81D65"/>
    <w:rsid w:val="00E832F8"/>
    <w:rsid w:val="00E837B3"/>
    <w:rsid w:val="00E87CDF"/>
    <w:rsid w:val="00E910E2"/>
    <w:rsid w:val="00E917D2"/>
    <w:rsid w:val="00E91CB3"/>
    <w:rsid w:val="00E922CA"/>
    <w:rsid w:val="00E93798"/>
    <w:rsid w:val="00E9640F"/>
    <w:rsid w:val="00E9778A"/>
    <w:rsid w:val="00EA0BC5"/>
    <w:rsid w:val="00EA0C53"/>
    <w:rsid w:val="00EA20FA"/>
    <w:rsid w:val="00EA247B"/>
    <w:rsid w:val="00EA2B4A"/>
    <w:rsid w:val="00EA335C"/>
    <w:rsid w:val="00EB0BA9"/>
    <w:rsid w:val="00EB2208"/>
    <w:rsid w:val="00EB23DD"/>
    <w:rsid w:val="00EB3C1A"/>
    <w:rsid w:val="00EB4E26"/>
    <w:rsid w:val="00EB5304"/>
    <w:rsid w:val="00EB5EBA"/>
    <w:rsid w:val="00EB7763"/>
    <w:rsid w:val="00EC0931"/>
    <w:rsid w:val="00EC0BE3"/>
    <w:rsid w:val="00EC1866"/>
    <w:rsid w:val="00EC37FE"/>
    <w:rsid w:val="00EC6313"/>
    <w:rsid w:val="00EC640A"/>
    <w:rsid w:val="00EC6705"/>
    <w:rsid w:val="00EC7BAA"/>
    <w:rsid w:val="00ED145B"/>
    <w:rsid w:val="00ED2026"/>
    <w:rsid w:val="00ED4ECF"/>
    <w:rsid w:val="00EE09D0"/>
    <w:rsid w:val="00EE301D"/>
    <w:rsid w:val="00EE375F"/>
    <w:rsid w:val="00EE3DDC"/>
    <w:rsid w:val="00EE78D1"/>
    <w:rsid w:val="00EE7C97"/>
    <w:rsid w:val="00EF0CF5"/>
    <w:rsid w:val="00EF1B93"/>
    <w:rsid w:val="00EF4DC3"/>
    <w:rsid w:val="00EF517D"/>
    <w:rsid w:val="00F00016"/>
    <w:rsid w:val="00F00B04"/>
    <w:rsid w:val="00F013B0"/>
    <w:rsid w:val="00F02101"/>
    <w:rsid w:val="00F02A3D"/>
    <w:rsid w:val="00F02C4C"/>
    <w:rsid w:val="00F038E6"/>
    <w:rsid w:val="00F03D86"/>
    <w:rsid w:val="00F06380"/>
    <w:rsid w:val="00F07174"/>
    <w:rsid w:val="00F10A51"/>
    <w:rsid w:val="00F14E4A"/>
    <w:rsid w:val="00F15677"/>
    <w:rsid w:val="00F15AC7"/>
    <w:rsid w:val="00F15F10"/>
    <w:rsid w:val="00F16A9D"/>
    <w:rsid w:val="00F21B9F"/>
    <w:rsid w:val="00F23434"/>
    <w:rsid w:val="00F2360F"/>
    <w:rsid w:val="00F24155"/>
    <w:rsid w:val="00F25CA0"/>
    <w:rsid w:val="00F270E2"/>
    <w:rsid w:val="00F27501"/>
    <w:rsid w:val="00F32132"/>
    <w:rsid w:val="00F341CB"/>
    <w:rsid w:val="00F349DB"/>
    <w:rsid w:val="00F3578F"/>
    <w:rsid w:val="00F36432"/>
    <w:rsid w:val="00F37549"/>
    <w:rsid w:val="00F402EB"/>
    <w:rsid w:val="00F44741"/>
    <w:rsid w:val="00F45A20"/>
    <w:rsid w:val="00F467CB"/>
    <w:rsid w:val="00F478AC"/>
    <w:rsid w:val="00F47D0B"/>
    <w:rsid w:val="00F47DEF"/>
    <w:rsid w:val="00F522C2"/>
    <w:rsid w:val="00F53DC1"/>
    <w:rsid w:val="00F54F8B"/>
    <w:rsid w:val="00F56896"/>
    <w:rsid w:val="00F56D69"/>
    <w:rsid w:val="00F5768F"/>
    <w:rsid w:val="00F65C74"/>
    <w:rsid w:val="00F66B22"/>
    <w:rsid w:val="00F71363"/>
    <w:rsid w:val="00F7650D"/>
    <w:rsid w:val="00F766E3"/>
    <w:rsid w:val="00F76D5E"/>
    <w:rsid w:val="00F800BB"/>
    <w:rsid w:val="00F8215A"/>
    <w:rsid w:val="00F82D62"/>
    <w:rsid w:val="00F877ED"/>
    <w:rsid w:val="00F92678"/>
    <w:rsid w:val="00F934BE"/>
    <w:rsid w:val="00F93ABC"/>
    <w:rsid w:val="00F94562"/>
    <w:rsid w:val="00F95174"/>
    <w:rsid w:val="00FA1445"/>
    <w:rsid w:val="00FA1604"/>
    <w:rsid w:val="00FA5785"/>
    <w:rsid w:val="00FA59D0"/>
    <w:rsid w:val="00FA5FF6"/>
    <w:rsid w:val="00FB078E"/>
    <w:rsid w:val="00FB158E"/>
    <w:rsid w:val="00FB224C"/>
    <w:rsid w:val="00FB2E84"/>
    <w:rsid w:val="00FB2F17"/>
    <w:rsid w:val="00FB3C9A"/>
    <w:rsid w:val="00FB3F17"/>
    <w:rsid w:val="00FC05FB"/>
    <w:rsid w:val="00FC1C6C"/>
    <w:rsid w:val="00FC24E0"/>
    <w:rsid w:val="00FC2E60"/>
    <w:rsid w:val="00FC32ED"/>
    <w:rsid w:val="00FC4B88"/>
    <w:rsid w:val="00FC57CF"/>
    <w:rsid w:val="00FC5C9A"/>
    <w:rsid w:val="00FC61AA"/>
    <w:rsid w:val="00FD0215"/>
    <w:rsid w:val="00FD263B"/>
    <w:rsid w:val="00FD3C38"/>
    <w:rsid w:val="00FD5C70"/>
    <w:rsid w:val="00FD6F41"/>
    <w:rsid w:val="00FE00AB"/>
    <w:rsid w:val="00FE04A9"/>
    <w:rsid w:val="00FE2A32"/>
    <w:rsid w:val="00FE3E92"/>
    <w:rsid w:val="00FE435B"/>
    <w:rsid w:val="00FE5284"/>
    <w:rsid w:val="00FE6AF9"/>
    <w:rsid w:val="00FE725F"/>
    <w:rsid w:val="00FE7DF6"/>
    <w:rsid w:val="00FF09A4"/>
    <w:rsid w:val="00FF0E1F"/>
    <w:rsid w:val="00FF34B3"/>
    <w:rsid w:val="00FF3838"/>
    <w:rsid w:val="00FF4E5D"/>
    <w:rsid w:val="00FF4EDD"/>
    <w:rsid w:val="00FF5660"/>
    <w:rsid w:val="00FF59FF"/>
    <w:rsid w:val="00FF757A"/>
    <w:rsid w:val="2088CB05"/>
    <w:rsid w:val="32DB64CD"/>
    <w:rsid w:val="3477352E"/>
    <w:rsid w:val="6A672337"/>
    <w:rsid w:val="7684A1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3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A07723"/>
    <w:rPr>
      <w:color w:val="808080"/>
    </w:rPr>
  </w:style>
  <w:style w:type="paragraph" w:styleId="Lijstalinea">
    <w:name w:val="List Paragraph"/>
    <w:basedOn w:val="Standaard"/>
    <w:uiPriority w:val="34"/>
    <w:qFormat/>
    <w:rsid w:val="000937E4"/>
    <w:pPr>
      <w:ind w:left="720"/>
      <w:contextualSpacing/>
    </w:pPr>
  </w:style>
  <w:style w:type="character" w:styleId="Verwijzingopmerking">
    <w:name w:val="annotation reference"/>
    <w:basedOn w:val="Standaardalinea-lettertype"/>
    <w:uiPriority w:val="99"/>
    <w:semiHidden/>
    <w:unhideWhenUsed/>
    <w:rsid w:val="00047518"/>
    <w:rPr>
      <w:sz w:val="16"/>
      <w:szCs w:val="16"/>
    </w:rPr>
  </w:style>
  <w:style w:type="paragraph" w:styleId="Tekstopmerking">
    <w:name w:val="annotation text"/>
    <w:basedOn w:val="Standaard"/>
    <w:link w:val="TekstopmerkingChar"/>
    <w:uiPriority w:val="99"/>
    <w:unhideWhenUsed/>
    <w:rsid w:val="00047518"/>
    <w:rPr>
      <w:sz w:val="20"/>
      <w:szCs w:val="20"/>
    </w:rPr>
  </w:style>
  <w:style w:type="character" w:customStyle="1" w:styleId="TekstopmerkingChar">
    <w:name w:val="Tekst opmerking Char"/>
    <w:basedOn w:val="Standaardalinea-lettertype"/>
    <w:link w:val="Tekstopmerking"/>
    <w:uiPriority w:val="99"/>
    <w:rsid w:val="00047518"/>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047518"/>
    <w:rPr>
      <w:b/>
      <w:bCs/>
    </w:rPr>
  </w:style>
  <w:style w:type="character" w:customStyle="1" w:styleId="OnderwerpvanopmerkingChar">
    <w:name w:val="Onderwerp van opmerking Char"/>
    <w:basedOn w:val="TekstopmerkingChar"/>
    <w:link w:val="Onderwerpvanopmerking"/>
    <w:uiPriority w:val="99"/>
    <w:semiHidden/>
    <w:rsid w:val="00047518"/>
    <w:rPr>
      <w:rFonts w:ascii="Univers" w:hAnsi="Univers"/>
      <w:b/>
      <w:bCs/>
    </w:rPr>
  </w:style>
  <w:style w:type="paragraph" w:styleId="Voetnoottekst">
    <w:name w:val="footnote text"/>
    <w:basedOn w:val="Standaard"/>
    <w:link w:val="VoetnoottekstChar"/>
    <w:unhideWhenUsed/>
    <w:rsid w:val="00677021"/>
    <w:rPr>
      <w:sz w:val="20"/>
      <w:szCs w:val="20"/>
    </w:rPr>
  </w:style>
  <w:style w:type="character" w:customStyle="1" w:styleId="VoetnoottekstChar">
    <w:name w:val="Voetnoottekst Char"/>
    <w:basedOn w:val="Standaardalinea-lettertype"/>
    <w:link w:val="Voetnoottekst"/>
    <w:rsid w:val="00677021"/>
    <w:rPr>
      <w:rFonts w:ascii="Univers" w:hAnsi="Univers"/>
    </w:rPr>
  </w:style>
  <w:style w:type="character" w:styleId="Voetnootmarkering">
    <w:name w:val="footnote reference"/>
    <w:basedOn w:val="Standaardalinea-lettertype"/>
    <w:semiHidden/>
    <w:unhideWhenUsed/>
    <w:rsid w:val="00677021"/>
    <w:rPr>
      <w:vertAlign w:val="superscript"/>
    </w:rPr>
  </w:style>
  <w:style w:type="character" w:styleId="Nadruk">
    <w:name w:val="Emphasis"/>
    <w:basedOn w:val="Standaardalinea-lettertype"/>
    <w:uiPriority w:val="20"/>
    <w:qFormat/>
    <w:rsid w:val="00BD18DB"/>
    <w:rPr>
      <w:i/>
      <w:iCs/>
    </w:rPr>
  </w:style>
  <w:style w:type="paragraph" w:customStyle="1" w:styleId="al">
    <w:name w:val="al"/>
    <w:basedOn w:val="Standaard"/>
    <w:rsid w:val="00234D30"/>
    <w:pPr>
      <w:spacing w:before="100" w:beforeAutospacing="1" w:after="100" w:afterAutospacing="1"/>
    </w:pPr>
    <w:rPr>
      <w:rFonts w:ascii="Times New Roman" w:hAnsi="Times New Roman"/>
      <w:sz w:val="24"/>
    </w:rPr>
  </w:style>
  <w:style w:type="paragraph" w:customStyle="1" w:styleId="labeled">
    <w:name w:val="labeled"/>
    <w:basedOn w:val="Standaard"/>
    <w:rsid w:val="00234D30"/>
    <w:pPr>
      <w:spacing w:before="100" w:beforeAutospacing="1" w:after="100" w:afterAutospacing="1"/>
    </w:pPr>
    <w:rPr>
      <w:rFonts w:ascii="Times New Roman" w:hAnsi="Times New Roman"/>
      <w:sz w:val="24"/>
    </w:rPr>
  </w:style>
  <w:style w:type="character" w:customStyle="1" w:styleId="ol">
    <w:name w:val="ol"/>
    <w:basedOn w:val="Standaardalinea-lettertype"/>
    <w:rsid w:val="00234D30"/>
  </w:style>
  <w:style w:type="character" w:styleId="Hyperlink">
    <w:name w:val="Hyperlink"/>
    <w:basedOn w:val="Standaardalinea-lettertype"/>
    <w:uiPriority w:val="99"/>
    <w:unhideWhenUsed/>
    <w:rsid w:val="0095483F"/>
    <w:rPr>
      <w:color w:val="0000FF"/>
      <w:u w:val="single"/>
    </w:rPr>
  </w:style>
  <w:style w:type="paragraph" w:styleId="Revisie">
    <w:name w:val="Revision"/>
    <w:hidden/>
    <w:uiPriority w:val="99"/>
    <w:semiHidden/>
    <w:rsid w:val="00E43865"/>
    <w:rPr>
      <w:rFonts w:ascii="Univers" w:hAnsi="Univers"/>
      <w:sz w:val="22"/>
      <w:szCs w:val="24"/>
    </w:rPr>
  </w:style>
  <w:style w:type="character" w:customStyle="1" w:styleId="UnresolvedMention">
    <w:name w:val="Unresolved Mention"/>
    <w:basedOn w:val="Standaardalinea-lettertype"/>
    <w:uiPriority w:val="99"/>
    <w:rsid w:val="00E43865"/>
    <w:rPr>
      <w:color w:val="605E5C"/>
      <w:shd w:val="clear" w:color="auto" w:fill="E1DFDD"/>
    </w:rPr>
  </w:style>
  <w:style w:type="character" w:customStyle="1" w:styleId="Mention">
    <w:name w:val="Mention"/>
    <w:basedOn w:val="Standaardalinea-lettertype"/>
    <w:uiPriority w:val="99"/>
    <w:rsid w:val="00E438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254697">
      <w:bodyDiv w:val="1"/>
      <w:marLeft w:val="0"/>
      <w:marRight w:val="0"/>
      <w:marTop w:val="0"/>
      <w:marBottom w:val="0"/>
      <w:divBdr>
        <w:top w:val="none" w:sz="0" w:space="0" w:color="auto"/>
        <w:left w:val="none" w:sz="0" w:space="0" w:color="auto"/>
        <w:bottom w:val="none" w:sz="0" w:space="0" w:color="auto"/>
        <w:right w:val="none" w:sz="0" w:space="0" w:color="auto"/>
      </w:divBdr>
    </w:div>
    <w:div w:id="178245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unodc.org/unodc/en/human-trafficking/tools.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41C00AF6-33BD-47CE-AB71-A242E4466D4A}"/>
      </w:docPartPr>
      <w:docPartBody>
        <w:p w:rsidR="00710D1C" w:rsidRDefault="00BD2A73">
          <w:r w:rsidRPr="001A2B8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A73"/>
    <w:rsid w:val="00481A24"/>
    <w:rsid w:val="00710D1C"/>
    <w:rsid w:val="00B7784B"/>
    <w:rsid w:val="00BD2A73"/>
    <w:rsid w:val="00F303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D2A7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3259</ap:Words>
  <ap:Characters>17927</ap:Characters>
  <ap:DocSecurity>0</ap:DocSecurity>
  <ap:Lines>149</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2023-02-14T11:46:00.0000000Z</lastPrinted>
  <dcterms:created xsi:type="dcterms:W3CDTF">2023-09-13T14:43:00.0000000Z</dcterms:created>
  <dcterms:modified xsi:type="dcterms:W3CDTF">2023-09-13T14:43:00.0000000Z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W16.22.00174/II</vt:lpwstr>
  </property>
  <property fmtid="{D5CDD505-2E9C-101B-9397-08002B2CF9AE}" pid="5" name="zaaktype">
    <vt:lpwstr>WET</vt:lpwstr>
  </property>
  <property fmtid="{D5CDD505-2E9C-101B-9397-08002B2CF9AE}" pid="6" name="ContentTypeId">
    <vt:lpwstr>0x010100FA5A77795FEADA4EA51227303613444600AF3CEB993C45124FBEEDB5BD75B9F9F2</vt:lpwstr>
  </property>
  <property fmtid="{D5CDD505-2E9C-101B-9397-08002B2CF9AE}" pid="7" name="_dlc_DocIdItemGuid">
    <vt:lpwstr>07cdde28-70a6-45f6-8b63-78b8a48f1e96</vt:lpwstr>
  </property>
  <property fmtid="{D5CDD505-2E9C-101B-9397-08002B2CF9AE}" pid="8" name="RedactioneleBijlage">
    <vt:lpwstr>Nee</vt:lpwstr>
  </property>
  <property fmtid="{D5CDD505-2E9C-101B-9397-08002B2CF9AE}" pid="9" name="dictum">
    <vt:lpwstr>B</vt:lpwstr>
  </property>
  <property fmtid="{D5CDD505-2E9C-101B-9397-08002B2CF9AE}" pid="10" name="onderdeel">
    <vt:lpwstr>Advies</vt:lpwstr>
  </property>
  <property fmtid="{D5CDD505-2E9C-101B-9397-08002B2CF9AE}" pid="11" name="DocumentSetDescription">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Order">
    <vt:r8>3700</vt:r8>
  </property>
  <property fmtid="{D5CDD505-2E9C-101B-9397-08002B2CF9AE}" pid="19" name="processtap">
    <vt:lpwstr>Advies (ter ondertekening)</vt:lpwstr>
  </property>
</Properties>
</file>