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B4677" w:rsidTr="00CB4677" w14:paraId="771F499B" w14:textId="77777777">
        <w:bookmarkStart w:name="_GoBack" w:displacedByCustomXml="next" w:id="0"/>
        <w:bookmarkEnd w:displacedByCustomXml="next" w:id="0"/>
        <w:sdt>
          <w:sdtPr>
            <w:tag w:val="bmZaakNummerAdvies"/>
            <w:id w:val="-1275333181"/>
            <w:lock w:val="sdtLocked"/>
            <w:placeholder>
              <w:docPart w:val="DefaultPlaceholder_-1854013440"/>
            </w:placeholder>
          </w:sdtPr>
          <w:sdtEndPr/>
          <w:sdtContent>
            <w:tc>
              <w:tcPr>
                <w:tcW w:w="4251" w:type="dxa"/>
              </w:tcPr>
              <w:p w:rsidR="00CB4677" w:rsidRDefault="00CB4677" w14:paraId="72940011" w14:textId="45E2B792">
                <w:r>
                  <w:t>No. W16.23.00076/II</w:t>
                </w:r>
              </w:p>
            </w:tc>
          </w:sdtContent>
        </w:sdt>
        <w:sdt>
          <w:sdtPr>
            <w:tag w:val="bmDatumAdvies"/>
            <w:id w:val="1876418068"/>
            <w:lock w:val="sdtLocked"/>
            <w:placeholder>
              <w:docPart w:val="DefaultPlaceholder_-1854013440"/>
            </w:placeholder>
          </w:sdtPr>
          <w:sdtEndPr/>
          <w:sdtContent>
            <w:tc>
              <w:tcPr>
                <w:tcW w:w="4252" w:type="dxa"/>
              </w:tcPr>
              <w:p w:rsidR="00CB4677" w:rsidRDefault="00CB4677" w14:paraId="32D38197" w14:textId="1521CE28">
                <w:r>
                  <w:t>'s-Gravenhage, 14 juni 2023</w:t>
                </w:r>
              </w:p>
            </w:tc>
          </w:sdtContent>
        </w:sdt>
      </w:tr>
    </w:tbl>
    <w:p w:rsidR="00CB4677" w:rsidRDefault="00CB4677" w14:paraId="233952A6" w14:textId="77777777"/>
    <w:p w:rsidR="00CB4677" w:rsidRDefault="00CB4677" w14:paraId="3883F5E6" w14:textId="77777777"/>
    <w:p w:rsidRPr="00402030" w:rsidR="00994A10" w:rsidRDefault="009B7802" w14:paraId="52599ABD" w14:textId="2D2CFFD3">
      <w:pPr>
        <w:rPr>
          <w:color w:val="000000"/>
        </w:rPr>
      </w:pPr>
      <w:sdt>
        <w:sdtPr>
          <w:tag w:val="bmAanhef"/>
          <w:id w:val="-1186745365"/>
          <w:lock w:val="sdtLocked"/>
          <w:placeholder>
            <w:docPart w:val="DefaultPlaceholder_-1854013440"/>
          </w:placeholder>
        </w:sdtPr>
        <w:sdtEndPr/>
        <w:sdtContent>
          <w:r w:rsidR="00CB4677">
            <w:rPr>
              <w:color w:val="000000"/>
            </w:rPr>
            <w:t>Bij Kabinetsmissive van 28 maart 2023, no.2021001439, heeft Uwe Majesteit, op voordracht van de Minister van Justitie en Veiligheid, bij de Afdeling advisering van de Raad van State ter overweging aanhangig gemaakt de nota van wijziging bij het voorstel van wet houdende regels ten behoeve van de verwerking van persoonsgegevens in het kader van de coördinatie en analyse in verband met terrorismebestrijding en bescherming van de nationale veiligheid door het versterken van de weerbaarheid van de samenleving (Wet verwerking persoonsgegevens coördinatie en analyse terrorismebestrijding en nationale veiligheid), met toelichting.</w:t>
          </w:r>
        </w:sdtContent>
      </w:sdt>
    </w:p>
    <w:p w:rsidR="00994A10" w:rsidRDefault="009B7802" w14:paraId="52599ABE" w14:textId="77777777"/>
    <w:sdt>
      <w:sdtPr>
        <w:tag w:val="bmVrijeTekst1"/>
        <w:id w:val="-875775921"/>
        <w:lock w:val="sdtLocked"/>
        <w:placeholder>
          <w:docPart w:val="DefaultPlaceholder_-1854013440"/>
        </w:placeholder>
      </w:sdtPr>
      <w:sdtEndPr/>
      <w:sdtContent>
        <w:p w:rsidR="0006722F" w:rsidRDefault="00613307" w14:paraId="169DAE7A" w14:textId="5EC5BED6">
          <w:r>
            <w:t xml:space="preserve">De nota van wijziging </w:t>
          </w:r>
          <w:r w:rsidR="00246EEC">
            <w:t xml:space="preserve">voorziet in een </w:t>
          </w:r>
          <w:r w:rsidR="006D20F8">
            <w:t>aanpass</w:t>
          </w:r>
          <w:r w:rsidR="00246EEC">
            <w:t xml:space="preserve">ing van het voorstel voor </w:t>
          </w:r>
          <w:r w:rsidR="004C7A93">
            <w:t xml:space="preserve">de wet verwerking persoonsgegevens coördinatie en analyse terrorismebestrijding en nationale veiligheid. </w:t>
          </w:r>
          <w:r w:rsidR="00BB1E85">
            <w:t xml:space="preserve">De analysetaak van de </w:t>
          </w:r>
          <w:r w:rsidR="00B60E4E">
            <w:t xml:space="preserve">Nationaal Coördinator Terrorisme en Veiligheid (NCTV) </w:t>
          </w:r>
          <w:r w:rsidR="00BB1E85">
            <w:t xml:space="preserve">die in het wetsvoorstel was opgenomen, wordt met deze nota van wijziging geschrapt. </w:t>
          </w:r>
          <w:r w:rsidR="00FA3849">
            <w:t xml:space="preserve">Het verrichten van analyses en het daarbij verwerken van persoonsgegevens </w:t>
          </w:r>
          <w:r w:rsidR="0006722F">
            <w:t xml:space="preserve">is </w:t>
          </w:r>
          <w:r w:rsidR="00E901AD">
            <w:t>alleen</w:t>
          </w:r>
          <w:r w:rsidR="0006722F">
            <w:t xml:space="preserve"> mogelijk als dat noodzakelijk is voor de uitvoering van de coördinatietaak van de NCTV.</w:t>
          </w:r>
          <w:r w:rsidR="004075A9">
            <w:t xml:space="preserve"> </w:t>
          </w:r>
          <w:r w:rsidR="00C435DF">
            <w:t xml:space="preserve">De nota van wijziging </w:t>
          </w:r>
          <w:r w:rsidR="007C6369">
            <w:t xml:space="preserve">beoogt daarnaast </w:t>
          </w:r>
          <w:r w:rsidR="00C435DF">
            <w:t xml:space="preserve">de mogelijkheden tot </w:t>
          </w:r>
          <w:r w:rsidR="00C41310">
            <w:t xml:space="preserve">verstrekking van persoonsgegevens aan andere instanties </w:t>
          </w:r>
          <w:r w:rsidR="007C6369">
            <w:t xml:space="preserve">in te perken </w:t>
          </w:r>
          <w:r w:rsidR="00C435DF">
            <w:t>en</w:t>
          </w:r>
          <w:r w:rsidR="00C401EA">
            <w:t xml:space="preserve"> </w:t>
          </w:r>
          <w:r w:rsidRPr="005B2101" w:rsidR="00C401EA">
            <w:t xml:space="preserve">de </w:t>
          </w:r>
          <w:r w:rsidRPr="005B2101" w:rsidR="00C435DF">
            <w:t>controle op de naleving van de regels in het wetsvoorstel</w:t>
          </w:r>
          <w:r w:rsidRPr="005B2101" w:rsidR="007C6369">
            <w:t xml:space="preserve"> te </w:t>
          </w:r>
          <w:r w:rsidRPr="005B2101" w:rsidR="004B1E45">
            <w:t>versterken</w:t>
          </w:r>
          <w:r w:rsidR="00C41310">
            <w:t>.</w:t>
          </w:r>
        </w:p>
        <w:p w:rsidR="00613307" w:rsidRDefault="00613307" w14:paraId="05A86086" w14:textId="77777777"/>
        <w:p w:rsidR="00C401EA" w:rsidRDefault="00C401EA" w14:paraId="40595498" w14:textId="503D3783">
          <w:r>
            <w:t xml:space="preserve">De Afdeling </w:t>
          </w:r>
          <w:r w:rsidR="00A762BB">
            <w:t xml:space="preserve">advisering van de Raad van State </w:t>
          </w:r>
          <w:r w:rsidR="00B60E4E">
            <w:t xml:space="preserve">adviseert nader te concretiseren hoe de verwerking van persoonsgegevens bij de NCTV </w:t>
          </w:r>
          <w:r w:rsidR="00AD00D8">
            <w:t xml:space="preserve">vorm zal krijgen, </w:t>
          </w:r>
          <w:r w:rsidR="002E014E">
            <w:t>in het bijzonder</w:t>
          </w:r>
          <w:r w:rsidR="00AD00D8">
            <w:t xml:space="preserve"> in het licht van de beginselen van noodzakelijkheid en subsidiariteit. </w:t>
          </w:r>
          <w:r w:rsidR="00325C56">
            <w:t xml:space="preserve">De voorgestelde bepaling over de verstrekking van </w:t>
          </w:r>
          <w:r w:rsidR="00224907">
            <w:t xml:space="preserve">gegevens bevat daarnaast </w:t>
          </w:r>
          <w:r w:rsidR="00FC37AA">
            <w:t xml:space="preserve">een </w:t>
          </w:r>
          <w:r w:rsidR="002D2E5B">
            <w:t>afbakening</w:t>
          </w:r>
          <w:r w:rsidR="00FC37AA">
            <w:t xml:space="preserve"> </w:t>
          </w:r>
          <w:r w:rsidR="00FB7F68">
            <w:t xml:space="preserve">die niet nader is toegelicht en waarvan de Afdeling zich afvraagt of deze passend is. Tot slot </w:t>
          </w:r>
          <w:r w:rsidR="00CB0B2A">
            <w:t xml:space="preserve">adviseert </w:t>
          </w:r>
          <w:r w:rsidR="00FB7F68">
            <w:t xml:space="preserve">de </w:t>
          </w:r>
          <w:r w:rsidR="0006321B">
            <w:t xml:space="preserve">Afdeling de voorgestelde bepaling over het toezicht op de </w:t>
          </w:r>
          <w:r w:rsidR="00C744C5">
            <w:t>naleving van het wetsvoorstel</w:t>
          </w:r>
          <w:r w:rsidR="00CB0B2A">
            <w:t xml:space="preserve"> te schrappen en in plaats daarvan in de toelichting te concretiseren hoe </w:t>
          </w:r>
          <w:r w:rsidR="00B510F8">
            <w:t>het</w:t>
          </w:r>
          <w:r w:rsidR="00CB0B2A">
            <w:t xml:space="preserve"> toezicht </w:t>
          </w:r>
          <w:r w:rsidR="00B510F8">
            <w:t xml:space="preserve">in de praktijk </w:t>
          </w:r>
          <w:r w:rsidR="00CB0B2A">
            <w:t>op passende wijze kan worden vormgegeven</w:t>
          </w:r>
          <w:r w:rsidR="0006321B">
            <w:t xml:space="preserve">. </w:t>
          </w:r>
        </w:p>
        <w:p w:rsidR="00755065" w:rsidRDefault="00755065" w14:paraId="36DE0675" w14:textId="77777777"/>
        <w:p w:rsidR="0006321B" w:rsidRDefault="00755065" w14:paraId="1C77F5B1" w14:textId="1FD0D6E2">
          <w:r>
            <w:t>In het licht van deze opmerkingen is aanpassing</w:t>
          </w:r>
          <w:r w:rsidR="0006321B">
            <w:t xml:space="preserve"> wenselijk</w:t>
          </w:r>
          <w:r>
            <w:t xml:space="preserve"> van de toelichting en zo nodig van de nota van wijziging.</w:t>
          </w:r>
        </w:p>
        <w:p w:rsidR="00361328" w:rsidRDefault="00361328" w14:paraId="0F3B0BDD" w14:textId="77777777">
          <w:pPr>
            <w:rPr>
              <w:u w:val="single"/>
            </w:rPr>
          </w:pPr>
        </w:p>
        <w:p w:rsidRPr="00195078" w:rsidR="003F0D1D" w:rsidP="00375D94" w:rsidRDefault="003F0D1D" w14:paraId="0B66A4B8" w14:textId="3EC4BC48">
          <w:pPr>
            <w:pStyle w:val="Lijstalinea"/>
            <w:numPr>
              <w:ilvl w:val="0"/>
              <w:numId w:val="3"/>
            </w:numPr>
            <w:rPr>
              <w:u w:val="single"/>
            </w:rPr>
          </w:pPr>
          <w:r w:rsidRPr="00195078">
            <w:rPr>
              <w:u w:val="single"/>
            </w:rPr>
            <w:t>Achtergrond en inhoud nota van wijziging</w:t>
          </w:r>
        </w:p>
        <w:p w:rsidR="00375D94" w:rsidP="00375D94" w:rsidRDefault="00375D94" w14:paraId="5BE60FF8" w14:textId="77777777"/>
        <w:p w:rsidR="009F1DA6" w:rsidP="009F1DA6" w:rsidRDefault="00237D8E" w14:paraId="408DB6F0" w14:textId="30FD1063">
          <w:r>
            <w:t xml:space="preserve">In </w:t>
          </w:r>
          <w:r w:rsidR="00AF74A3">
            <w:t>novemb</w:t>
          </w:r>
          <w:r w:rsidR="0085657E">
            <w:t>e</w:t>
          </w:r>
          <w:r w:rsidR="00AF74A3">
            <w:t xml:space="preserve">r 2021 </w:t>
          </w:r>
          <w:r w:rsidR="00142656">
            <w:t xml:space="preserve">is </w:t>
          </w:r>
          <w:r w:rsidR="0085657E">
            <w:t xml:space="preserve">bij de Tweede Kamer </w:t>
          </w:r>
          <w:r w:rsidR="00003025">
            <w:t xml:space="preserve">het </w:t>
          </w:r>
          <w:r w:rsidR="0085657E">
            <w:t>wetsvoorstel verwerking persoonsgegevens coördinatie en an</w:t>
          </w:r>
          <w:r w:rsidR="00D35D30">
            <w:t>a</w:t>
          </w:r>
          <w:r w:rsidR="0085657E">
            <w:t xml:space="preserve">lyse </w:t>
          </w:r>
          <w:r w:rsidR="00D35D30">
            <w:t>terrorismebestrijding en nationale veiligheid in</w:t>
          </w:r>
          <w:r w:rsidR="00142656">
            <w:t>gediend</w:t>
          </w:r>
          <w:r w:rsidR="00D35D30">
            <w:t>. Het wetsvoorstel beoog</w:t>
          </w:r>
          <w:r w:rsidR="00555621">
            <w:t>de</w:t>
          </w:r>
          <w:r w:rsidR="00D35D30">
            <w:t xml:space="preserve"> twee </w:t>
          </w:r>
          <w:r w:rsidR="00555621">
            <w:t xml:space="preserve">bestaande taken van de </w:t>
          </w:r>
          <w:r w:rsidR="00E75AD7">
            <w:t>M</w:t>
          </w:r>
          <w:r w:rsidR="00555621">
            <w:t xml:space="preserve">inister van </w:t>
          </w:r>
          <w:r w:rsidR="00142656">
            <w:t>Justitie en Veiligheid (</w:t>
          </w:r>
          <w:r w:rsidR="00F4634A">
            <w:t>JenV</w:t>
          </w:r>
          <w:r w:rsidR="00142656">
            <w:t>)</w:t>
          </w:r>
          <w:r w:rsidR="00F4634A">
            <w:t xml:space="preserve"> wettelijk te verankeren</w:t>
          </w:r>
          <w:r w:rsidR="00F5637E">
            <w:t>: de coördinatietaak en de analysetaak</w:t>
          </w:r>
          <w:r w:rsidR="00F4634A">
            <w:t>. Het gaat om taken die in de praktijk door de NCTV</w:t>
          </w:r>
          <w:r w:rsidR="00165144">
            <w:t xml:space="preserve"> </w:t>
          </w:r>
          <w:r w:rsidR="008C5D71">
            <w:t>worden uitgevoerd. De voornaamste reden om deze taken wettelijk te verankeren is dat bij de uitoefening daarvan (bijzondere) persoonsgegevens worden verwerkt</w:t>
          </w:r>
          <w:r w:rsidR="00806EB0">
            <w:t>, w</w:t>
          </w:r>
          <w:r w:rsidR="008C5D71">
            <w:t xml:space="preserve">aarvoor een wettelijke grondslag nodig is. </w:t>
          </w:r>
          <w:r w:rsidR="00B510F8">
            <w:t>Tijdens</w:t>
          </w:r>
          <w:r w:rsidR="007F046D">
            <w:t xml:space="preserve"> een debat </w:t>
          </w:r>
          <w:r w:rsidR="00B510F8">
            <w:t>i</w:t>
          </w:r>
          <w:r w:rsidR="00DF1B6C">
            <w:t>n de Tweede Kamer</w:t>
          </w:r>
          <w:r w:rsidR="00B84411">
            <w:t xml:space="preserve"> </w:t>
          </w:r>
          <w:r w:rsidR="007F046D">
            <w:t xml:space="preserve">over de werkwijze van de NCTV werden </w:t>
          </w:r>
          <w:r w:rsidR="009F1DA6">
            <w:t>verschillende moties aangenomen, waaronder de oproep om te bewerkstelligen dat de NCTV niet langer</w:t>
          </w:r>
          <w:r w:rsidR="007243DF">
            <w:t xml:space="preserve"> </w:t>
          </w:r>
          <w:r w:rsidR="0024369E">
            <w:t>zelf</w:t>
          </w:r>
          <w:r w:rsidR="007243DF">
            <w:t>standig onderzoek doet naar of</w:t>
          </w:r>
          <w:r w:rsidR="009F1DA6">
            <w:t xml:space="preserve"> informatie verzamelt over personen of organisaties.</w:t>
          </w:r>
          <w:r w:rsidR="009F1DA6">
            <w:rPr>
              <w:rStyle w:val="Voetnootmarkering"/>
            </w:rPr>
            <w:footnoteReference w:id="2"/>
          </w:r>
          <w:r w:rsidR="009F1DA6">
            <w:t xml:space="preserve"> </w:t>
          </w:r>
        </w:p>
        <w:p w:rsidR="00A869D2" w:rsidP="00375D94" w:rsidRDefault="00A869D2" w14:paraId="2FA23112" w14:textId="17AFF027"/>
        <w:p w:rsidR="00793215" w:rsidP="00375D94" w:rsidRDefault="00501240" w14:paraId="0F8D62FB" w14:textId="77777777">
          <w:r>
            <w:lastRenderedPageBreak/>
            <w:t>De</w:t>
          </w:r>
          <w:r w:rsidR="008C5237">
            <w:t xml:space="preserve"> nota van wijziging </w:t>
          </w:r>
          <w:r w:rsidR="002E6F1E">
            <w:t>is een reactie hierop</w:t>
          </w:r>
          <w:r w:rsidR="008C5237">
            <w:t xml:space="preserve">. </w:t>
          </w:r>
          <w:r w:rsidR="00594DC4">
            <w:t>Het u</w:t>
          </w:r>
          <w:r w:rsidR="00B66FDF">
            <w:t xml:space="preserve">itgangspunt </w:t>
          </w:r>
          <w:r w:rsidR="00594DC4">
            <w:t xml:space="preserve">van de </w:t>
          </w:r>
          <w:r w:rsidR="00B66FDF">
            <w:t xml:space="preserve">nota van wijziging is </w:t>
          </w:r>
          <w:r w:rsidR="00594DC4">
            <w:t xml:space="preserve">om </w:t>
          </w:r>
          <w:r w:rsidR="00B66FDF">
            <w:t xml:space="preserve">terug </w:t>
          </w:r>
          <w:r w:rsidR="00E35FAD">
            <w:t xml:space="preserve">te keren </w:t>
          </w:r>
          <w:r w:rsidR="00B66FDF">
            <w:t xml:space="preserve">naar de kerntaak van de NCTV, namelijk </w:t>
          </w:r>
          <w:r w:rsidR="00E35FAD">
            <w:t xml:space="preserve">het coördineren van beleid en maatregelen </w:t>
          </w:r>
          <w:r w:rsidR="00A35416">
            <w:t xml:space="preserve">in het kader van terrorismebestrijding en </w:t>
          </w:r>
          <w:r w:rsidR="000259F9">
            <w:t>de bescherming van de nationale veiligheid</w:t>
          </w:r>
          <w:r w:rsidR="002B6C72">
            <w:t xml:space="preserve">. </w:t>
          </w:r>
          <w:r w:rsidR="008C5237">
            <w:t xml:space="preserve">Daartoe wordt de </w:t>
          </w:r>
          <w:r w:rsidR="003B745D">
            <w:t>analysetaa</w:t>
          </w:r>
          <w:r w:rsidR="00F5637E">
            <w:t xml:space="preserve">k geschrapt. </w:t>
          </w:r>
          <w:r w:rsidR="00501A09">
            <w:t xml:space="preserve">De NCTV blijft wel bevoegd </w:t>
          </w:r>
          <w:r w:rsidR="00B5498D">
            <w:t>om in verband met de coördinatietaak analyses uit te voeren</w:t>
          </w:r>
          <w:r w:rsidR="00B45647">
            <w:t xml:space="preserve"> en daarbij persoonsgegevens te verwerken</w:t>
          </w:r>
          <w:r w:rsidR="00B5498D">
            <w:t>.</w:t>
          </w:r>
          <w:r w:rsidR="000C515A">
            <w:rPr>
              <w:rStyle w:val="Voetnootmarkering"/>
            </w:rPr>
            <w:footnoteReference w:id="3"/>
          </w:r>
          <w:r w:rsidR="00B5498D">
            <w:t xml:space="preserve"> </w:t>
          </w:r>
          <w:r w:rsidR="00B47A07">
            <w:t xml:space="preserve">Verder wordt geregeld </w:t>
          </w:r>
          <w:r w:rsidR="00915C97">
            <w:t xml:space="preserve">dat het </w:t>
          </w:r>
          <w:r w:rsidR="00F53293">
            <w:t xml:space="preserve">de NCTV </w:t>
          </w:r>
          <w:r w:rsidR="00CC6BA2">
            <w:t xml:space="preserve">niet </w:t>
          </w:r>
          <w:r w:rsidR="00915C97">
            <w:t xml:space="preserve">is </w:t>
          </w:r>
          <w:r w:rsidR="00CC6BA2">
            <w:t xml:space="preserve">toegestaan </w:t>
          </w:r>
          <w:r w:rsidR="000A7F15">
            <w:t>analyses te verstrekken waar</w:t>
          </w:r>
          <w:r w:rsidR="00C6538A">
            <w:t xml:space="preserve">in </w:t>
          </w:r>
          <w:r w:rsidR="000A7F15">
            <w:t xml:space="preserve">personen </w:t>
          </w:r>
          <w:r w:rsidR="00C6538A">
            <w:t xml:space="preserve">vanwege </w:t>
          </w:r>
          <w:r w:rsidR="000A7F15">
            <w:t xml:space="preserve">hun uitingen </w:t>
          </w:r>
          <w:r w:rsidR="00C6538A">
            <w:t>in verband worden gebracht met een trend of een fenomeen.</w:t>
          </w:r>
          <w:r w:rsidR="00C6538A">
            <w:rPr>
              <w:rStyle w:val="Voetnootmarkering"/>
            </w:rPr>
            <w:footnoteReference w:id="4"/>
          </w:r>
          <w:r w:rsidR="00C6538A">
            <w:t xml:space="preserve"> </w:t>
          </w:r>
        </w:p>
        <w:p w:rsidR="00793215" w:rsidP="00375D94" w:rsidRDefault="00793215" w14:paraId="4AD79E04" w14:textId="77777777"/>
        <w:p w:rsidR="00974C83" w:rsidP="00375D94" w:rsidRDefault="00C6538A" w14:paraId="3F7EA7B0" w14:textId="08CA1015">
          <w:r>
            <w:t xml:space="preserve">Daarnaast </w:t>
          </w:r>
          <w:r w:rsidR="000259F9">
            <w:t xml:space="preserve">beoogt de nota van wijziging de </w:t>
          </w:r>
          <w:r w:rsidR="002B6C72">
            <w:t>controle op de naleving van de regels van</w:t>
          </w:r>
          <w:r w:rsidR="00A52045">
            <w:t xml:space="preserve"> </w:t>
          </w:r>
          <w:r w:rsidR="00F27FD3">
            <w:t>het wetsvoorstel</w:t>
          </w:r>
          <w:r w:rsidR="000259F9">
            <w:t xml:space="preserve"> </w:t>
          </w:r>
          <w:r w:rsidR="005C6BEB">
            <w:t>te versterken.</w:t>
          </w:r>
          <w:r>
            <w:t xml:space="preserve"> </w:t>
          </w:r>
          <w:r w:rsidR="001B2095">
            <w:t>Er zal een functionaris gegevensbescherming worden benoemd die binnen de NCTV wordt belast met toezicht op de naleving van de Algemene Verordening Gegevensbescherming (AVG)</w:t>
          </w:r>
          <w:r w:rsidR="00CD4579">
            <w:t>.</w:t>
          </w:r>
          <w:r w:rsidR="00CD4579">
            <w:rPr>
              <w:rStyle w:val="Voetnootmarkering"/>
            </w:rPr>
            <w:footnoteReference w:id="5"/>
          </w:r>
          <w:r w:rsidR="00BC043E">
            <w:t xml:space="preserve"> Tot slot is vastgelegd dat de minister de </w:t>
          </w:r>
          <w:r w:rsidR="004B57D5">
            <w:t>uitvoering van de wet zal laten toetsen, waarbij de resultaten van deze toetsing aan de Staten-Generaal worden gezonden.</w:t>
          </w:r>
          <w:r w:rsidR="004B57D5">
            <w:rPr>
              <w:rStyle w:val="Voetnootmarkering"/>
            </w:rPr>
            <w:footnoteReference w:id="6"/>
          </w:r>
          <w:r w:rsidR="004B57D5">
            <w:t xml:space="preserve"> </w:t>
          </w:r>
        </w:p>
        <w:p w:rsidR="00A91177" w:rsidP="00375D94" w:rsidRDefault="00A91177" w14:paraId="03D5A58C" w14:textId="77777777"/>
        <w:p w:rsidR="00A91177" w:rsidP="00571540" w:rsidRDefault="005A0AB8" w14:paraId="13E51AFD" w14:textId="3E29F6C1">
          <w:pPr>
            <w:pStyle w:val="Lijstalinea"/>
            <w:numPr>
              <w:ilvl w:val="0"/>
              <w:numId w:val="3"/>
            </w:numPr>
            <w:rPr>
              <w:u w:val="single"/>
            </w:rPr>
          </w:pPr>
          <w:r w:rsidRPr="00195078">
            <w:rPr>
              <w:u w:val="single"/>
            </w:rPr>
            <w:t>Analys</w:t>
          </w:r>
          <w:r w:rsidR="00ED100E">
            <w:rPr>
              <w:u w:val="single"/>
            </w:rPr>
            <w:t>ebevoegdheid</w:t>
          </w:r>
          <w:r w:rsidR="00AE2AB9">
            <w:rPr>
              <w:u w:val="single"/>
            </w:rPr>
            <w:t xml:space="preserve"> en verwerking van persoonsgegevens</w:t>
          </w:r>
        </w:p>
        <w:p w:rsidR="0091106B" w:rsidP="00ED100E" w:rsidRDefault="0091106B" w14:paraId="4789BB6B" w14:textId="77777777"/>
        <w:p w:rsidR="00D317FD" w:rsidP="00ED100E" w:rsidRDefault="00D20D11" w14:paraId="4E81C38C" w14:textId="0BB34AE5">
          <w:r>
            <w:t xml:space="preserve">De bevoegdheid van de NCTV tot het analyseren van (persoons)gegevens is met de nota van wijziging niet langer een </w:t>
          </w:r>
          <w:r w:rsidR="004D380D">
            <w:t>op zichzelf</w:t>
          </w:r>
          <w:r w:rsidR="00022015">
            <w:t xml:space="preserve"> </w:t>
          </w:r>
          <w:r w:rsidR="004D380D">
            <w:t>staand doel</w:t>
          </w:r>
          <w:r w:rsidR="00BE38C9">
            <w:t xml:space="preserve">. De analyse van trends en fenomenen dient plaats te vinden </w:t>
          </w:r>
          <w:r w:rsidR="00120AD3">
            <w:t>in verband met de coördinatietaak</w:t>
          </w:r>
          <w:r w:rsidR="00022015">
            <w:t xml:space="preserve">. </w:t>
          </w:r>
          <w:r w:rsidR="00D36BB7">
            <w:t xml:space="preserve">De NCTV bundelt inlichtingen, analyses en informatie van ketenpartners </w:t>
          </w:r>
          <w:r w:rsidR="00CE4A20">
            <w:t>(zoals de AIVD, Nationale Po</w:t>
          </w:r>
          <w:r w:rsidR="007578EC">
            <w:t>litie</w:t>
          </w:r>
          <w:r w:rsidR="00110432">
            <w:t xml:space="preserve">, wetenschappers en overige ministeries) </w:t>
          </w:r>
          <w:r w:rsidR="00D36BB7">
            <w:t>en vult deze aan met eigen expertise, aldus de toelichting</w:t>
          </w:r>
          <w:r w:rsidR="005E097B">
            <w:t xml:space="preserve">. </w:t>
          </w:r>
          <w:r w:rsidR="00182932">
            <w:t>De</w:t>
          </w:r>
          <w:r w:rsidR="002D52EF">
            <w:t xml:space="preserve"> eigen expertise </w:t>
          </w:r>
          <w:r w:rsidR="00182932">
            <w:t xml:space="preserve">omvat </w:t>
          </w:r>
          <w:r w:rsidR="002D52EF">
            <w:t xml:space="preserve">onder meer het </w:t>
          </w:r>
          <w:r w:rsidR="00734851">
            <w:t xml:space="preserve">raadplegen </w:t>
          </w:r>
          <w:r w:rsidR="00E46F7A">
            <w:t>van open (online)</w:t>
          </w:r>
          <w:r w:rsidR="005E097B">
            <w:t xml:space="preserve"> </w:t>
          </w:r>
          <w:r w:rsidR="00734851">
            <w:t xml:space="preserve">bronnen </w:t>
          </w:r>
          <w:r w:rsidR="005E097B">
            <w:t>waar discussies plaatsvinden</w:t>
          </w:r>
          <w:r w:rsidR="00940008">
            <w:t xml:space="preserve">, zonder dat sprake is van een </w:t>
          </w:r>
          <w:r w:rsidR="00016608">
            <w:t xml:space="preserve">onderzoek </w:t>
          </w:r>
          <w:r w:rsidR="00552420">
            <w:t>gericht op personen en organisaties.</w:t>
          </w:r>
          <w:r w:rsidR="00552420">
            <w:rPr>
              <w:rStyle w:val="Voetnootmarkering"/>
            </w:rPr>
            <w:footnoteReference w:id="7"/>
          </w:r>
          <w:r w:rsidR="00DA5BF3">
            <w:t xml:space="preserve"> De verwerking van persoonsgegevens door de NCTV </w:t>
          </w:r>
          <w:r w:rsidR="00A605CF">
            <w:t xml:space="preserve">is </w:t>
          </w:r>
          <w:r w:rsidR="00DA5BF3">
            <w:t>noodzakelijk voor de uitvoering van de coördinatietaak.</w:t>
          </w:r>
          <w:r w:rsidR="00B44172">
            <w:t xml:space="preserve"> Ook dient deze waar mogelijk gepseudonimiseerd plaats te vinden.</w:t>
          </w:r>
          <w:r w:rsidR="00DA5BF3">
            <w:rPr>
              <w:rStyle w:val="Voetnootmarkering"/>
            </w:rPr>
            <w:footnoteReference w:id="8"/>
          </w:r>
          <w:r w:rsidR="00DA5BF3">
            <w:t xml:space="preserve"> </w:t>
          </w:r>
          <w:r w:rsidR="00AC33CF">
            <w:t xml:space="preserve">Deze begrenzing van de </w:t>
          </w:r>
          <w:r w:rsidR="00BF2EE8">
            <w:t xml:space="preserve">analysebevoegdheid in zijn algemeenheid, en </w:t>
          </w:r>
          <w:r w:rsidR="00241ACF">
            <w:t xml:space="preserve">van </w:t>
          </w:r>
          <w:r w:rsidR="00BF2EE8">
            <w:t xml:space="preserve">de verwerking van persoonsgegevens in het bijzonder, </w:t>
          </w:r>
          <w:r w:rsidR="00752888">
            <w:t xml:space="preserve">vergt een nieuwe werkwijze die in werkprocessen verankerd dient te worden, zo </w:t>
          </w:r>
          <w:r w:rsidR="00FA7E5C">
            <w:t>vermeldt</w:t>
          </w:r>
          <w:r w:rsidR="00752888">
            <w:t xml:space="preserve"> de toelichting.</w:t>
          </w:r>
          <w:r w:rsidR="00752888">
            <w:rPr>
              <w:rStyle w:val="Voetnootmarkering"/>
            </w:rPr>
            <w:footnoteReference w:id="9"/>
          </w:r>
          <w:r w:rsidR="00752888">
            <w:t xml:space="preserve"> </w:t>
          </w:r>
        </w:p>
        <w:p w:rsidR="00D317FD" w:rsidP="00ED100E" w:rsidRDefault="00D317FD" w14:paraId="23444E94" w14:textId="77777777"/>
        <w:p w:rsidR="001837F7" w:rsidP="00ED100E" w:rsidRDefault="00C36E6A" w14:paraId="1BB33629" w14:textId="45AD16E2">
          <w:r>
            <w:t xml:space="preserve">Als het gaat om de aanpassing van de werkwijze </w:t>
          </w:r>
          <w:r w:rsidR="0092366F">
            <w:t>verdient in het bijzonder</w:t>
          </w:r>
          <w:r w:rsidR="00E827E4">
            <w:t xml:space="preserve"> het</w:t>
          </w:r>
          <w:r w:rsidR="00205692">
            <w:t xml:space="preserve"> door de NCTV </w:t>
          </w:r>
          <w:r w:rsidRPr="00205692" w:rsidR="00E827E4">
            <w:rPr>
              <w:i/>
              <w:iCs/>
            </w:rPr>
            <w:t>zelf</w:t>
          </w:r>
          <w:r w:rsidR="00E827E4">
            <w:t xml:space="preserve"> signaleren en duiden van </w:t>
          </w:r>
          <w:r w:rsidR="00CD33A0">
            <w:t>trends en fenomenen</w:t>
          </w:r>
          <w:r w:rsidR="00665030">
            <w:t xml:space="preserve"> in de samenleving door middel van </w:t>
          </w:r>
          <w:r w:rsidR="00A20A87">
            <w:t>de monitoring van</w:t>
          </w:r>
          <w:r w:rsidR="00E23BB0">
            <w:t xml:space="preserve"> </w:t>
          </w:r>
          <w:r w:rsidR="00A20A87">
            <w:t>sociale media aandacht.</w:t>
          </w:r>
          <w:r w:rsidR="00DE64B7">
            <w:rPr>
              <w:rStyle w:val="Voetnootmarkering"/>
            </w:rPr>
            <w:footnoteReference w:id="10"/>
          </w:r>
          <w:r w:rsidR="00A20A87">
            <w:t xml:space="preserve"> </w:t>
          </w:r>
          <w:r w:rsidR="002F52F6">
            <w:t>De toelichting</w:t>
          </w:r>
          <w:r w:rsidR="00417FB3">
            <w:t xml:space="preserve"> legt niet uit in welke situaties </w:t>
          </w:r>
          <w:r w:rsidR="007948AB">
            <w:t xml:space="preserve">het </w:t>
          </w:r>
          <w:r w:rsidR="004F72A2">
            <w:t xml:space="preserve">voor de coördinatietaak </w:t>
          </w:r>
          <w:r w:rsidR="007948AB">
            <w:t xml:space="preserve">noodzakelijk </w:t>
          </w:r>
          <w:r w:rsidR="002126C3">
            <w:t xml:space="preserve">kan zijn dat de NCTV </w:t>
          </w:r>
          <w:r w:rsidR="00CB0B2A">
            <w:t>dit doet</w:t>
          </w:r>
          <w:r w:rsidR="00B04C19">
            <w:t xml:space="preserve">. </w:t>
          </w:r>
          <w:r w:rsidR="00CE328C">
            <w:t>Voor een beter begrip</w:t>
          </w:r>
          <w:r w:rsidR="00651997">
            <w:t xml:space="preserve"> van de</w:t>
          </w:r>
          <w:r w:rsidR="002524D9">
            <w:t xml:space="preserve"> praktische betekenis van de</w:t>
          </w:r>
          <w:r w:rsidR="00651997">
            <w:t xml:space="preserve"> begrenzing </w:t>
          </w:r>
          <w:r w:rsidR="00B92CAE">
            <w:t xml:space="preserve">van de analysebevoegdheid is dit wel nodig. </w:t>
          </w:r>
        </w:p>
        <w:p w:rsidR="001837F7" w:rsidP="00ED100E" w:rsidRDefault="001837F7" w14:paraId="7E63528D" w14:textId="77777777"/>
        <w:p w:rsidR="005A247D" w:rsidP="00ED100E" w:rsidRDefault="00B04C19" w14:paraId="7743EBE5" w14:textId="4FF81D09">
          <w:r>
            <w:t>De Afdeling wijst er</w:t>
          </w:r>
          <w:r w:rsidR="00DE60C4">
            <w:t xml:space="preserve"> </w:t>
          </w:r>
          <w:r w:rsidR="004E1363">
            <w:t xml:space="preserve">in dat verband </w:t>
          </w:r>
          <w:r>
            <w:t xml:space="preserve">op dat </w:t>
          </w:r>
          <w:r w:rsidR="004D423B">
            <w:t xml:space="preserve">de door de regering beoogde wijziging </w:t>
          </w:r>
          <w:r w:rsidR="00D93BD3">
            <w:t>(alleen analyse in verband met de coördinatietaak)</w:t>
          </w:r>
          <w:r w:rsidR="009100B0">
            <w:t xml:space="preserve"> </w:t>
          </w:r>
          <w:r w:rsidR="004D423B">
            <w:t>impliceert</w:t>
          </w:r>
          <w:r w:rsidR="008865EB">
            <w:t xml:space="preserve"> dat of en zo ja, op welke wijze </w:t>
          </w:r>
          <w:r w:rsidR="00BF3E5E">
            <w:t xml:space="preserve">de NCTV zelf informatie mag verzamelen afhangt van de situatie. </w:t>
          </w:r>
          <w:r w:rsidR="00C449C4">
            <w:t>Indien</w:t>
          </w:r>
          <w:r w:rsidR="00B42017">
            <w:t xml:space="preserve"> </w:t>
          </w:r>
          <w:r w:rsidR="002A0078">
            <w:t xml:space="preserve">voor een </w:t>
          </w:r>
          <w:r w:rsidR="00564380">
            <w:t xml:space="preserve">door de NCTV </w:t>
          </w:r>
          <w:r w:rsidR="00AA3296">
            <w:t xml:space="preserve">op te stellen </w:t>
          </w:r>
          <w:r w:rsidR="002B5B4E">
            <w:t xml:space="preserve">rapportage of dreigingsbeeld </w:t>
          </w:r>
          <w:r w:rsidR="00326045">
            <w:t xml:space="preserve">meer </w:t>
          </w:r>
          <w:r w:rsidR="00962474">
            <w:t xml:space="preserve">informatie </w:t>
          </w:r>
          <w:r w:rsidR="00326045">
            <w:t xml:space="preserve">nodig is </w:t>
          </w:r>
          <w:r w:rsidR="001D1F9D">
            <w:t xml:space="preserve">dan die </w:t>
          </w:r>
          <w:r w:rsidR="00B42017">
            <w:t xml:space="preserve">ketenpartners </w:t>
          </w:r>
          <w:r w:rsidR="002B5B4E">
            <w:t>kunnen aanleveren,</w:t>
          </w:r>
          <w:r w:rsidR="00E70EAA">
            <w:t xml:space="preserve"> </w:t>
          </w:r>
          <w:r w:rsidR="00C449C4">
            <w:t>dan kan</w:t>
          </w:r>
          <w:r w:rsidR="0069470E">
            <w:t>, zo begrijpt de Afdeling de voorgestelde wijziging,</w:t>
          </w:r>
          <w:r w:rsidR="00C449C4">
            <w:t xml:space="preserve"> het aangewezen zijn </w:t>
          </w:r>
          <w:r w:rsidR="000A3430">
            <w:t xml:space="preserve">dat </w:t>
          </w:r>
          <w:r w:rsidR="00DB315A">
            <w:t xml:space="preserve">de NCTV </w:t>
          </w:r>
          <w:r w:rsidR="00C449C4">
            <w:t>zelf open (online) bronnen onderzoek</w:t>
          </w:r>
          <w:r w:rsidR="000A3430">
            <w:t>t</w:t>
          </w:r>
          <w:r w:rsidR="00C577AF">
            <w:t xml:space="preserve"> en daarbij persoonsgegevens verwerk</w:t>
          </w:r>
          <w:r w:rsidR="000A3430">
            <w:t>t</w:t>
          </w:r>
          <w:r w:rsidR="00C449C4">
            <w:t xml:space="preserve">. </w:t>
          </w:r>
          <w:r w:rsidR="009A623D">
            <w:t>Indien deze ketenpartners al wel dit open (online) bronnenonderzoek hebben verricht</w:t>
          </w:r>
          <w:r w:rsidR="00B949F6">
            <w:t xml:space="preserve"> naar trends en fenomenen in de samenleving</w:t>
          </w:r>
          <w:r w:rsidR="009A623D">
            <w:t xml:space="preserve"> en in hun analyses </w:t>
          </w:r>
          <w:r w:rsidR="005F15AB">
            <w:t>inzicht (kunnen) geven</w:t>
          </w:r>
          <w:r w:rsidR="00D64B87">
            <w:t xml:space="preserve"> in hun bevindingen</w:t>
          </w:r>
          <w:r w:rsidR="009A623D">
            <w:t xml:space="preserve">, dan </w:t>
          </w:r>
          <w:r w:rsidR="00AE2AB9">
            <w:t xml:space="preserve">ligt </w:t>
          </w:r>
          <w:r w:rsidR="009A623D">
            <w:t>een aanvullend onderzoek door de NCTV</w:t>
          </w:r>
          <w:r w:rsidR="0069470E">
            <w:t>, mede</w:t>
          </w:r>
          <w:r w:rsidR="009A623D">
            <w:t xml:space="preserve"> </w:t>
          </w:r>
          <w:r w:rsidR="00130672">
            <w:t xml:space="preserve">vanuit </w:t>
          </w:r>
          <w:r w:rsidR="00EC649F">
            <w:t>de beginselen</w:t>
          </w:r>
          <w:r w:rsidR="00130672">
            <w:t xml:space="preserve"> van </w:t>
          </w:r>
          <w:r w:rsidR="00EC649F">
            <w:t xml:space="preserve">proportionaliteit en </w:t>
          </w:r>
          <w:r w:rsidR="00130672">
            <w:t xml:space="preserve">subsidiariteit </w:t>
          </w:r>
          <w:r w:rsidR="00A25731">
            <w:t>echter</w:t>
          </w:r>
          <w:r w:rsidR="00130672">
            <w:t xml:space="preserve"> </w:t>
          </w:r>
          <w:r w:rsidR="00A629BE">
            <w:t>minder</w:t>
          </w:r>
          <w:r w:rsidR="009A623D">
            <w:t xml:space="preserve"> </w:t>
          </w:r>
          <w:r w:rsidR="00AE2AB9">
            <w:t xml:space="preserve">in de rede. </w:t>
          </w:r>
        </w:p>
        <w:p w:rsidR="005A247D" w:rsidP="00ED100E" w:rsidRDefault="005A247D" w14:paraId="2123630F" w14:textId="77777777"/>
        <w:p w:rsidR="00D64B87" w:rsidP="00ED100E" w:rsidRDefault="00AE2AB9" w14:paraId="0FB87A9A" w14:textId="7C7EBB5B">
          <w:r>
            <w:t xml:space="preserve">De Afdeling adviseert </w:t>
          </w:r>
          <w:r w:rsidR="00F97D93">
            <w:t>gelet op</w:t>
          </w:r>
          <w:r>
            <w:t xml:space="preserve"> </w:t>
          </w:r>
          <w:r w:rsidR="00F97D93">
            <w:t xml:space="preserve">het </w:t>
          </w:r>
          <w:r w:rsidR="00252BB5">
            <w:t>voorg</w:t>
          </w:r>
          <w:r w:rsidR="00F97D93">
            <w:t>aande</w:t>
          </w:r>
          <w:r>
            <w:t xml:space="preserve"> de toelichting te </w:t>
          </w:r>
          <w:r w:rsidR="00F97D93">
            <w:t>verdui</w:t>
          </w:r>
          <w:r w:rsidR="0094299C">
            <w:t>delijken</w:t>
          </w:r>
          <w:r>
            <w:t>.</w:t>
          </w:r>
          <w:r w:rsidR="00B949F6">
            <w:t xml:space="preserve"> </w:t>
          </w:r>
        </w:p>
        <w:p w:rsidR="0002033F" w:rsidP="0002033F" w:rsidRDefault="0002033F" w14:paraId="20F95411" w14:textId="77777777"/>
        <w:p w:rsidRPr="00195078" w:rsidR="00D831B6" w:rsidP="00402030" w:rsidRDefault="00A5740E" w14:paraId="5F215B87" w14:textId="2CBEC2D9">
          <w:pPr>
            <w:rPr>
              <w:u w:val="single"/>
            </w:rPr>
          </w:pPr>
          <w:r>
            <w:t>3.</w:t>
          </w:r>
          <w:r>
            <w:tab/>
          </w:r>
          <w:r w:rsidR="000E60E7">
            <w:rPr>
              <w:u w:val="single"/>
            </w:rPr>
            <w:t>Verstrekking van persoonsgegevens</w:t>
          </w:r>
        </w:p>
        <w:p w:rsidR="00E64CE1" w:rsidP="00195078" w:rsidRDefault="00E64CE1" w14:paraId="01B31A15" w14:textId="77777777"/>
        <w:p w:rsidRPr="00402030" w:rsidR="0094299C" w:rsidP="003F0D1D" w:rsidRDefault="0094299C" w14:paraId="6A9DBA87" w14:textId="0843E7B5">
          <w:pPr>
            <w:rPr>
              <w:i/>
              <w:iCs/>
            </w:rPr>
          </w:pPr>
          <w:r>
            <w:rPr>
              <w:i/>
              <w:iCs/>
            </w:rPr>
            <w:t xml:space="preserve">a. </w:t>
          </w:r>
          <w:r w:rsidR="003B663B">
            <w:rPr>
              <w:i/>
              <w:iCs/>
            </w:rPr>
            <w:tab/>
          </w:r>
          <w:r>
            <w:rPr>
              <w:i/>
              <w:iCs/>
            </w:rPr>
            <w:t>Inleiding</w:t>
          </w:r>
        </w:p>
        <w:p w:rsidR="000F4D72" w:rsidP="003F0D1D" w:rsidRDefault="0094299C" w14:paraId="2BFC02D0" w14:textId="2A96401D">
          <w:r>
            <w:t>V</w:t>
          </w:r>
          <w:r w:rsidR="00403BA6">
            <w:t>erstrekking van g</w:t>
          </w:r>
          <w:r w:rsidR="00C507AD">
            <w:t>egeven</w:t>
          </w:r>
          <w:r w:rsidR="00403BA6">
            <w:t>s, waaronder persoonsgegevens,</w:t>
          </w:r>
          <w:r w:rsidR="00C507AD">
            <w:t xml:space="preserve"> door de NCTV</w:t>
          </w:r>
          <w:r w:rsidR="00586B66">
            <w:t xml:space="preserve"> </w:t>
          </w:r>
          <w:r w:rsidR="00403BA6">
            <w:t>kan</w:t>
          </w:r>
          <w:r w:rsidR="00586B66">
            <w:t xml:space="preserve"> plaatsvinden</w:t>
          </w:r>
          <w:r w:rsidR="00581560">
            <w:t xml:space="preserve"> als dat noodzakelijk is voor de uitvoering </w:t>
          </w:r>
          <w:r w:rsidR="00586B66">
            <w:t>van de coördinatietaak.</w:t>
          </w:r>
          <w:r w:rsidR="00581560">
            <w:rPr>
              <w:rStyle w:val="Voetnootmarkering"/>
            </w:rPr>
            <w:footnoteReference w:id="11"/>
          </w:r>
          <w:r w:rsidR="00403BA6">
            <w:t xml:space="preserve"> De </w:t>
          </w:r>
          <w:r w:rsidR="007B7FF5">
            <w:t>nota</w:t>
          </w:r>
          <w:r w:rsidR="00574CD4">
            <w:t xml:space="preserve"> van wijziging</w:t>
          </w:r>
          <w:r w:rsidR="007B7FF5">
            <w:t xml:space="preserve"> voorziet in een limitatieve opsomming van </w:t>
          </w:r>
          <w:r w:rsidR="00403BA6">
            <w:t>ontvange</w:t>
          </w:r>
          <w:r w:rsidR="00884491">
            <w:t>nde instanties</w:t>
          </w:r>
          <w:r w:rsidR="007B7FF5">
            <w:t>.</w:t>
          </w:r>
          <w:r w:rsidR="00285CFA">
            <w:rPr>
              <w:rStyle w:val="Voetnootmarkering"/>
            </w:rPr>
            <w:footnoteReference w:id="12"/>
          </w:r>
          <w:r w:rsidR="00403BA6">
            <w:t xml:space="preserve"> </w:t>
          </w:r>
          <w:r w:rsidR="00285CFA">
            <w:t xml:space="preserve">De verstrekking mag daarnaast </w:t>
          </w:r>
          <w:r w:rsidR="00621297">
            <w:t xml:space="preserve">volgens het voorstel </w:t>
          </w:r>
          <w:r w:rsidR="00285CFA">
            <w:t xml:space="preserve">niet zien op “een duiding van de uiting van een persoon waardoor die persoon in verband wordt gebracht </w:t>
          </w:r>
          <w:r w:rsidR="00AC761B">
            <w:t>met een trend of fenomeen</w:t>
          </w:r>
          <w:r w:rsidR="0024588D">
            <w:t>”.</w:t>
          </w:r>
          <w:r w:rsidR="0024588D">
            <w:rPr>
              <w:rStyle w:val="Voetnootmarkering"/>
            </w:rPr>
            <w:footnoteReference w:id="13"/>
          </w:r>
          <w:r w:rsidR="00C1628B">
            <w:t xml:space="preserve"> De toelichting legt uit dat het geen taak is van de NCTV om antwoord te geven op de vraag of een persoon aangemerkt kan worden als passend binnen een trend of fenomeen zoals jihadisme.</w:t>
          </w:r>
          <w:r w:rsidR="000E60E7">
            <w:t xml:space="preserve"> </w:t>
          </w:r>
          <w:r w:rsidR="00B41377">
            <w:t xml:space="preserve">Bij vragen </w:t>
          </w:r>
          <w:r w:rsidR="00C34420">
            <w:t xml:space="preserve">van andere overheidsinstanties over </w:t>
          </w:r>
          <w:r w:rsidR="008537DF">
            <w:t>uitingen van een persoon zal de NCTV doorverwijzen naar AIVD of politie</w:t>
          </w:r>
          <w:r w:rsidR="00621297">
            <w:t>, aldus de toelichting</w:t>
          </w:r>
          <w:r w:rsidR="00C34420">
            <w:t>.</w:t>
          </w:r>
          <w:r w:rsidR="00C34420">
            <w:rPr>
              <w:rStyle w:val="Voetnootmarkering"/>
            </w:rPr>
            <w:footnoteReference w:id="14"/>
          </w:r>
          <w:r w:rsidR="00C34420">
            <w:t xml:space="preserve"> </w:t>
          </w:r>
        </w:p>
        <w:p w:rsidR="00CD6B63" w:rsidP="003F0D1D" w:rsidRDefault="00CD6B63" w14:paraId="17D39C4C" w14:textId="77777777"/>
        <w:p w:rsidR="00CD6B63" w:rsidP="003F0D1D" w:rsidRDefault="00CD6B63" w14:paraId="5E58DFEE" w14:textId="5E953C38">
          <w:r>
            <w:t xml:space="preserve">De Afdeling maakt over dit </w:t>
          </w:r>
          <w:r w:rsidR="002E1D80">
            <w:t>onderdeel van het voorstel de volgende opmerkingen.</w:t>
          </w:r>
        </w:p>
        <w:p w:rsidR="00574CD4" w:rsidP="003F0D1D" w:rsidRDefault="00574CD4" w14:paraId="6BFDD741" w14:textId="77777777"/>
        <w:p w:rsidRPr="00F21101" w:rsidR="00574CD4" w:rsidP="00574CD4" w:rsidRDefault="00DC61E2" w14:paraId="0E1CB516" w14:textId="38C012FA">
          <w:pPr>
            <w:rPr>
              <w:i/>
              <w:iCs/>
            </w:rPr>
          </w:pPr>
          <w:r>
            <w:t>b</w:t>
          </w:r>
          <w:r w:rsidR="00574CD4">
            <w:t>.</w:t>
          </w:r>
          <w:r w:rsidR="00574CD4">
            <w:tab/>
          </w:r>
          <w:r>
            <w:rPr>
              <w:i/>
              <w:iCs/>
            </w:rPr>
            <w:t xml:space="preserve">Beperking tot </w:t>
          </w:r>
          <w:r w:rsidR="00C50947">
            <w:rPr>
              <w:i/>
              <w:iCs/>
            </w:rPr>
            <w:t>u</w:t>
          </w:r>
          <w:r w:rsidR="00574CD4">
            <w:rPr>
              <w:i/>
              <w:iCs/>
            </w:rPr>
            <w:t>iting</w:t>
          </w:r>
          <w:r w:rsidR="00C50947">
            <w:rPr>
              <w:i/>
              <w:iCs/>
            </w:rPr>
            <w:t>en</w:t>
          </w:r>
          <w:r w:rsidR="00574CD4">
            <w:rPr>
              <w:i/>
              <w:iCs/>
            </w:rPr>
            <w:t xml:space="preserve"> van person</w:t>
          </w:r>
          <w:r w:rsidR="00C50947">
            <w:rPr>
              <w:i/>
              <w:iCs/>
            </w:rPr>
            <w:t>en</w:t>
          </w:r>
        </w:p>
        <w:p w:rsidR="00EF62F3" w:rsidP="003F0D1D" w:rsidRDefault="003F1D3F" w14:paraId="625A1BB0" w14:textId="01B5A620">
          <w:r>
            <w:t>U</w:t>
          </w:r>
          <w:r w:rsidR="00E15054">
            <w:t xml:space="preserve">it </w:t>
          </w:r>
          <w:r w:rsidR="00EB20FA">
            <w:t xml:space="preserve">de toelichting </w:t>
          </w:r>
          <w:r w:rsidR="00E15054">
            <w:t xml:space="preserve">blijkt </w:t>
          </w:r>
          <w:r>
            <w:t xml:space="preserve">niet </w:t>
          </w:r>
          <w:r w:rsidR="00E15054">
            <w:t xml:space="preserve">waarom enkel </w:t>
          </w:r>
          <w:r w:rsidR="00223DE8">
            <w:t xml:space="preserve">wordt uitgesloten dat </w:t>
          </w:r>
          <w:r w:rsidRPr="000D077D" w:rsidR="00FB0124">
            <w:t xml:space="preserve">een duiding van de </w:t>
          </w:r>
          <w:r w:rsidR="00FB0124">
            <w:rPr>
              <w:i/>
              <w:iCs/>
            </w:rPr>
            <w:t xml:space="preserve">uiting van </w:t>
          </w:r>
          <w:r w:rsidRPr="002B0667" w:rsidR="00FB0124">
            <w:rPr>
              <w:i/>
              <w:iCs/>
            </w:rPr>
            <w:t>een persoon</w:t>
          </w:r>
          <w:r w:rsidR="00FB0124">
            <w:t xml:space="preserve"> </w:t>
          </w:r>
          <w:r w:rsidR="008704F3">
            <w:t xml:space="preserve">wordt verstrekt waarmee </w:t>
          </w:r>
          <w:r w:rsidR="00223DE8">
            <w:t>die persoon in verband wordt gebracht met een trend of fenomeen</w:t>
          </w:r>
          <w:r w:rsidR="00C017BE">
            <w:t xml:space="preserve">. </w:t>
          </w:r>
          <w:r w:rsidR="002C4BF5">
            <w:t xml:space="preserve">De Afdeling kan zich voorstellen dat ook </w:t>
          </w:r>
          <w:r w:rsidR="002D0E2E">
            <w:t xml:space="preserve">bij andere gedragingen dan uitingen </w:t>
          </w:r>
          <w:r w:rsidR="00C41AFE">
            <w:t xml:space="preserve">een dergelijke duiding </w:t>
          </w:r>
          <w:r w:rsidR="002C4BF5">
            <w:t xml:space="preserve">kan </w:t>
          </w:r>
          <w:r w:rsidR="00C41AFE">
            <w:t>plaatsvinden.</w:t>
          </w:r>
          <w:r w:rsidR="008027E4">
            <w:t xml:space="preserve"> </w:t>
          </w:r>
          <w:r w:rsidR="002C4BF5">
            <w:t xml:space="preserve">Niet duidelijk is in hoeverre </w:t>
          </w:r>
          <w:r w:rsidR="008724B7">
            <w:t xml:space="preserve">de NCTV </w:t>
          </w:r>
          <w:r w:rsidR="002C4BF5">
            <w:t xml:space="preserve">in die gevallen wel tot </w:t>
          </w:r>
          <w:r w:rsidR="008724B7">
            <w:t>een verstrekking</w:t>
          </w:r>
          <w:r w:rsidR="002C4BF5">
            <w:t xml:space="preserve"> mag overgaan</w:t>
          </w:r>
          <w:r w:rsidR="000C393D">
            <w:t xml:space="preserve">. </w:t>
          </w:r>
          <w:r w:rsidR="00CB5F38">
            <w:t>De wettekst en de toelichting omschrijven niet</w:t>
          </w:r>
          <w:r w:rsidR="00402030">
            <w:t xml:space="preserve"> wat in het voorstel precies moet worden verstaan onder een ‘uiting’</w:t>
          </w:r>
          <w:r w:rsidR="00CB5F38">
            <w:t>.</w:t>
          </w:r>
          <w:r w:rsidR="00C77DE4">
            <w:t xml:space="preserve"> </w:t>
          </w:r>
          <w:r w:rsidR="002C4BF5">
            <w:t xml:space="preserve">De Afdeling adviseert de toelichting op dit punt aan te vullen en zo nodig de </w:t>
          </w:r>
          <w:r w:rsidR="00CB0B2A">
            <w:t xml:space="preserve">voorgestelde </w:t>
          </w:r>
          <w:r w:rsidR="002C4BF5">
            <w:t xml:space="preserve">bepaling aan te passen. </w:t>
          </w:r>
        </w:p>
        <w:p w:rsidR="00FB0124" w:rsidP="003F0D1D" w:rsidRDefault="00FB0124" w14:paraId="41B043D6" w14:textId="77777777"/>
        <w:p w:rsidRPr="00402030" w:rsidR="002C4BF5" w:rsidP="003F0D1D" w:rsidRDefault="00517E25" w14:paraId="6A39B3B4" w14:textId="7B7C1B96">
          <w:pPr>
            <w:rPr>
              <w:i/>
              <w:iCs/>
            </w:rPr>
          </w:pPr>
          <w:r>
            <w:t>c</w:t>
          </w:r>
          <w:r w:rsidR="002C4BF5">
            <w:t>.</w:t>
          </w:r>
          <w:r w:rsidR="002C4BF5">
            <w:tab/>
          </w:r>
          <w:r w:rsidR="002C4BF5">
            <w:rPr>
              <w:i/>
              <w:iCs/>
            </w:rPr>
            <w:t>Concretiseren noodzaak verstrekking</w:t>
          </w:r>
        </w:p>
        <w:p w:rsidR="00B600A3" w:rsidRDefault="00E00224" w14:paraId="3C592305" w14:textId="30B2BBDE">
          <w:r>
            <w:t xml:space="preserve">De </w:t>
          </w:r>
          <w:r w:rsidR="00F7618D">
            <w:t>toelichting is</w:t>
          </w:r>
          <w:r w:rsidR="0002361F">
            <w:t xml:space="preserve"> daarnaast</w:t>
          </w:r>
          <w:r w:rsidR="00F7618D">
            <w:t xml:space="preserve"> summier </w:t>
          </w:r>
          <w:r w:rsidR="001B6333">
            <w:t xml:space="preserve">waar het gaat om situaties wanneer </w:t>
          </w:r>
          <w:r>
            <w:t xml:space="preserve">het </w:t>
          </w:r>
          <w:r w:rsidR="000C393D">
            <w:t xml:space="preserve">wel </w:t>
          </w:r>
          <w:r>
            <w:t>noodzakelijk kan zijn voor de NCTV om in het kader van zijn coördinatietaak persoonsgege</w:t>
          </w:r>
          <w:r w:rsidR="00802479">
            <w:t>v</w:t>
          </w:r>
          <w:r>
            <w:t>ens te ve</w:t>
          </w:r>
          <w:r w:rsidR="00802479">
            <w:t>r</w:t>
          </w:r>
          <w:r>
            <w:t>strekken</w:t>
          </w:r>
          <w:r w:rsidR="000C393D">
            <w:t xml:space="preserve"> en </w:t>
          </w:r>
          <w:r w:rsidR="0024369E">
            <w:t>wanneer</w:t>
          </w:r>
          <w:r w:rsidR="000C393D">
            <w:t xml:space="preserve"> het niet mogelijk is persoonsgegevens te anonimiseren of te pseudonimiseren</w:t>
          </w:r>
          <w:r w:rsidR="00802479">
            <w:t>.</w:t>
          </w:r>
          <w:r w:rsidR="00B51F3B">
            <w:t xml:space="preserve"> De Afdeling adviseert </w:t>
          </w:r>
          <w:r w:rsidR="00E4213C">
            <w:t xml:space="preserve">dit </w:t>
          </w:r>
          <w:r w:rsidR="00B51F3B">
            <w:t xml:space="preserve">in de toelichting nader te concretiseren </w:t>
          </w:r>
          <w:r w:rsidR="009578AD">
            <w:t>en voor</w:t>
          </w:r>
          <w:r w:rsidR="00B16063">
            <w:t xml:space="preserve">beelden te geven van verstrekkingen van persoonsgegevens die de NCTV </w:t>
          </w:r>
          <w:r w:rsidR="00E4213C">
            <w:t xml:space="preserve">op grond van deze bepaling </w:t>
          </w:r>
          <w:r w:rsidR="00B16063">
            <w:t>zal verrichten</w:t>
          </w:r>
          <w:r w:rsidR="00E4213C">
            <w:t>.</w:t>
          </w:r>
        </w:p>
        <w:p w:rsidR="00574CD4" w:rsidP="00574CD4" w:rsidRDefault="00574CD4" w14:paraId="5CCAA0B2" w14:textId="77777777"/>
        <w:p w:rsidRPr="00BF73FC" w:rsidR="00223932" w:rsidP="00402030" w:rsidRDefault="00574CD4" w14:paraId="40C9F63D" w14:textId="18C1A02F">
          <w:pPr>
            <w:rPr>
              <w:i/>
              <w:u w:val="single"/>
            </w:rPr>
          </w:pPr>
          <w:r w:rsidRPr="00402030">
            <w:t xml:space="preserve">4. </w:t>
          </w:r>
          <w:r w:rsidRPr="00402030">
            <w:tab/>
          </w:r>
          <w:r w:rsidRPr="00BF73FC" w:rsidR="0017793B">
            <w:rPr>
              <w:u w:val="single"/>
            </w:rPr>
            <w:t>Toetsing en rapportage</w:t>
          </w:r>
        </w:p>
        <w:p w:rsidRPr="00820899" w:rsidR="00E54FDA" w:rsidP="00223932" w:rsidRDefault="00E54FDA" w14:paraId="521BC172" w14:textId="70E18FB7"/>
        <w:p w:rsidR="00223932" w:rsidP="00223932" w:rsidRDefault="0017793B" w14:paraId="38616402" w14:textId="6FA0D853">
          <w:r>
            <w:t xml:space="preserve">De nota </w:t>
          </w:r>
          <w:r w:rsidR="00223932">
            <w:t xml:space="preserve">van wijziging </w:t>
          </w:r>
          <w:r>
            <w:t xml:space="preserve">beoogt te </w:t>
          </w:r>
          <w:r w:rsidR="00223932">
            <w:t xml:space="preserve">voorzien in aanvullende waarborgen ter versterking van de controle op de werkzaamheden van de NCTV. </w:t>
          </w:r>
          <w:r w:rsidR="0024369E">
            <w:t xml:space="preserve">Naast het benoemen van </w:t>
          </w:r>
          <w:r w:rsidR="00E54FDA">
            <w:t xml:space="preserve">een </w:t>
          </w:r>
          <w:r w:rsidR="00223932">
            <w:t>functionaris gegevensbescherming</w:t>
          </w:r>
          <w:r w:rsidR="0024369E">
            <w:t>,</w:t>
          </w:r>
          <w:r w:rsidR="00223932">
            <w:rPr>
              <w:rStyle w:val="Voetnootmarkering"/>
            </w:rPr>
            <w:footnoteReference w:id="15"/>
          </w:r>
          <w:r w:rsidR="00E54FDA">
            <w:t xml:space="preserve"> </w:t>
          </w:r>
          <w:r w:rsidR="00EA37F6">
            <w:t xml:space="preserve">dient </w:t>
          </w:r>
          <w:r w:rsidR="00223932">
            <w:t xml:space="preserve">de minister de wijze waarop uitvoering wordt gegeven aan zijn </w:t>
          </w:r>
          <w:r w:rsidR="00EA37F6">
            <w:t xml:space="preserve">wettelijke </w:t>
          </w:r>
          <w:r w:rsidR="00223932">
            <w:t>taken</w:t>
          </w:r>
          <w:r w:rsidR="00EA37F6">
            <w:t xml:space="preserve"> </w:t>
          </w:r>
          <w:r w:rsidR="00223932">
            <w:t>te laten toetsen. De rapportage van de resultaten van deze toetsing wordt aan de Staten-Generaal gezonden.</w:t>
          </w:r>
          <w:r w:rsidR="00223932">
            <w:rPr>
              <w:rStyle w:val="Voetnootmarkering"/>
            </w:rPr>
            <w:footnoteReference w:id="16"/>
          </w:r>
          <w:r w:rsidR="00DC0F10">
            <w:t xml:space="preserve"> De toelichting legt ui</w:t>
          </w:r>
          <w:r w:rsidR="00037981">
            <w:t>t dat de Autoriteit Persoonsgegevens (AP) zal toezien op de verwerking van persoonsgegevens en de Inspectie</w:t>
          </w:r>
          <w:r w:rsidR="00DF4009">
            <w:t xml:space="preserve"> </w:t>
          </w:r>
          <w:r w:rsidR="007A009C">
            <w:t>Justitie en</w:t>
          </w:r>
          <w:r w:rsidR="00256111">
            <w:t xml:space="preserve"> </w:t>
          </w:r>
          <w:r w:rsidR="007A009C">
            <w:t>Veiligheid (</w:t>
          </w:r>
          <w:r w:rsidR="00DF4009">
            <w:t>JenV</w:t>
          </w:r>
          <w:r w:rsidR="007A009C">
            <w:t>)</w:t>
          </w:r>
          <w:r w:rsidR="00037981">
            <w:t xml:space="preserve"> op </w:t>
          </w:r>
          <w:r w:rsidR="00AF0655">
            <w:t>de naleving van de andere normen in het wetsvoorstel.</w:t>
          </w:r>
          <w:r w:rsidR="00AF0655">
            <w:rPr>
              <w:rStyle w:val="Voetnootmarkering"/>
            </w:rPr>
            <w:footnoteReference w:id="17"/>
          </w:r>
        </w:p>
        <w:p w:rsidRPr="00820899" w:rsidR="00E54FDA" w:rsidP="00223932" w:rsidRDefault="00E54FDA" w14:paraId="51972477" w14:textId="53A1962A"/>
        <w:p w:rsidR="002C4BF5" w:rsidP="00223932" w:rsidRDefault="008F13F1" w14:paraId="76D8BD32" w14:textId="6DB93384">
          <w:r>
            <w:t xml:space="preserve">De Afdeling </w:t>
          </w:r>
          <w:r w:rsidR="00FF0A82">
            <w:t xml:space="preserve">merkt op dat </w:t>
          </w:r>
          <w:r w:rsidR="00B86BD8">
            <w:t xml:space="preserve">de NCTV reeds valt onder het toezicht door </w:t>
          </w:r>
          <w:r w:rsidR="00054052">
            <w:t xml:space="preserve">de AP </w:t>
          </w:r>
          <w:r w:rsidR="00B86BD8">
            <w:t xml:space="preserve">en </w:t>
          </w:r>
          <w:r w:rsidR="00054052">
            <w:t>de Inspectie JenV</w:t>
          </w:r>
          <w:r w:rsidR="005A568D">
            <w:t>. D</w:t>
          </w:r>
          <w:r w:rsidR="00D972C0">
            <w:t xml:space="preserve">e AP </w:t>
          </w:r>
          <w:r w:rsidR="005A568D">
            <w:t>is</w:t>
          </w:r>
          <w:r w:rsidR="00D972C0">
            <w:t xml:space="preserve"> </w:t>
          </w:r>
          <w:r w:rsidR="000D46E9">
            <w:t>op grond van de Uit</w:t>
          </w:r>
          <w:r w:rsidR="00811156">
            <w:t xml:space="preserve">voeringswet Algemene </w:t>
          </w:r>
          <w:r w:rsidR="00CB0B2A">
            <w:t>V</w:t>
          </w:r>
          <w:r w:rsidR="00811156">
            <w:t xml:space="preserve">erordening </w:t>
          </w:r>
          <w:r w:rsidR="00CB0B2A">
            <w:t>G</w:t>
          </w:r>
          <w:r w:rsidR="00811156">
            <w:t xml:space="preserve">egevensbescherming (UAVG) </w:t>
          </w:r>
          <w:r w:rsidR="00D972C0">
            <w:t xml:space="preserve">bevoegd om toezicht </w:t>
          </w:r>
          <w:r w:rsidR="00811156">
            <w:t>uit te oefenen op de gegevensverwerking door de NCTV</w:t>
          </w:r>
          <w:r w:rsidR="00DA7576">
            <w:t>.</w:t>
          </w:r>
          <w:r w:rsidR="00DA7576">
            <w:rPr>
              <w:rStyle w:val="Voetnootmarkering"/>
            </w:rPr>
            <w:footnoteReference w:id="18"/>
          </w:r>
          <w:r w:rsidR="00840665">
            <w:t xml:space="preserve"> </w:t>
          </w:r>
          <w:r w:rsidR="00DA7576">
            <w:t>D</w:t>
          </w:r>
          <w:r>
            <w:t>e I</w:t>
          </w:r>
          <w:r w:rsidR="00DF4009">
            <w:t xml:space="preserve">nspectie </w:t>
          </w:r>
          <w:r>
            <w:t xml:space="preserve">JenV </w:t>
          </w:r>
          <w:r w:rsidR="00DA7576">
            <w:t xml:space="preserve">is </w:t>
          </w:r>
          <w:r>
            <w:t xml:space="preserve">op basis van het </w:t>
          </w:r>
          <w:r w:rsidR="005A039C">
            <w:t>Organisatiebesluit JenV belast met het houden van toezicht op de uitvoering en de naleving van wet- en regelgeving op het terrein van het ministerie van JenV</w:t>
          </w:r>
          <w:r w:rsidR="0072675F">
            <w:t>, waaronder de NCTV</w:t>
          </w:r>
          <w:r w:rsidR="005A039C">
            <w:t>.</w:t>
          </w:r>
          <w:r w:rsidR="00DF4009">
            <w:rPr>
              <w:rStyle w:val="Voetnootmarkering"/>
            </w:rPr>
            <w:footnoteReference w:id="19"/>
          </w:r>
          <w:r w:rsidR="005A039C">
            <w:t xml:space="preserve"> </w:t>
          </w:r>
          <w:r w:rsidR="00B55720">
            <w:t xml:space="preserve">In de praktijk </w:t>
          </w:r>
          <w:r w:rsidR="00C72E43">
            <w:t xml:space="preserve">worden veel van de </w:t>
          </w:r>
          <w:r w:rsidR="00E87542">
            <w:t xml:space="preserve">rapportages </w:t>
          </w:r>
          <w:r w:rsidR="000E5462">
            <w:t xml:space="preserve">van </w:t>
          </w:r>
          <w:r w:rsidR="00C72E43">
            <w:t xml:space="preserve">beide instanties </w:t>
          </w:r>
          <w:r w:rsidR="000E5462">
            <w:t>aan de Tweede Kamer toegezonden</w:t>
          </w:r>
          <w:r w:rsidR="00B70761">
            <w:t xml:space="preserve">. </w:t>
          </w:r>
        </w:p>
        <w:p w:rsidR="002C4BF5" w:rsidP="00223932" w:rsidRDefault="002C4BF5" w14:paraId="1BC712E6" w14:textId="77777777"/>
        <w:p w:rsidR="00445C27" w:rsidP="00223932" w:rsidRDefault="002C4BF5" w14:paraId="7DCCA28B" w14:textId="0897D387">
          <w:r>
            <w:t xml:space="preserve">De toelichting legt niet uit wat </w:t>
          </w:r>
          <w:r w:rsidR="0018451A">
            <w:t>daarmee</w:t>
          </w:r>
          <w:r>
            <w:t xml:space="preserve"> </w:t>
          </w:r>
          <w:r w:rsidR="00B70761">
            <w:t xml:space="preserve">de toegevoegde </w:t>
          </w:r>
          <w:r w:rsidR="00C72E43">
            <w:t xml:space="preserve">waarde </w:t>
          </w:r>
          <w:r>
            <w:t xml:space="preserve">is </w:t>
          </w:r>
          <w:r w:rsidR="00C72E43">
            <w:t>van de voorgestelde wettelijke bepaling</w:t>
          </w:r>
          <w:r w:rsidR="00F13288">
            <w:t>.</w:t>
          </w:r>
          <w:r>
            <w:t xml:space="preserve"> Gelet op de bestaande bevoegdheden van de toezichthouders, ligt het niet in de rede om </w:t>
          </w:r>
          <w:r w:rsidR="004D5584">
            <w:t xml:space="preserve">voor </w:t>
          </w:r>
          <w:r w:rsidR="0072675F">
            <w:t xml:space="preserve">het toezicht op </w:t>
          </w:r>
          <w:r w:rsidR="004D5584">
            <w:t>de NCTV</w:t>
          </w:r>
          <w:r w:rsidR="00AF233D">
            <w:t xml:space="preserve"> </w:t>
          </w:r>
          <w:r w:rsidR="00CB0B2A">
            <w:t xml:space="preserve">een </w:t>
          </w:r>
          <w:r>
            <w:t xml:space="preserve">aparte wettelijke regeling </w:t>
          </w:r>
          <w:r w:rsidR="0072675F">
            <w:t>te creëren</w:t>
          </w:r>
          <w:r w:rsidR="008066BF">
            <w:t xml:space="preserve">. </w:t>
          </w:r>
          <w:r w:rsidR="00445C27">
            <w:t>Hiermee lijkt bovendien voor wat betreft de Inspectie JenV vooruit te worden gelopen op het wetsvoorstel op de rijksinspecties</w:t>
          </w:r>
          <w:r w:rsidR="00CB0B2A">
            <w:t xml:space="preserve">. Dit wetsvoorstel is momenteel in voorbereiding. Het streven is hierin </w:t>
          </w:r>
          <w:r w:rsidR="00445C27">
            <w:t>te voorzien in een wettelijk verankering van de taakuitoefening en werkwijze van rijksinspecties.</w:t>
          </w:r>
          <w:r w:rsidR="00445C27">
            <w:rPr>
              <w:rStyle w:val="Voetnootmarkering"/>
            </w:rPr>
            <w:footnoteReference w:id="20"/>
          </w:r>
        </w:p>
        <w:p w:rsidR="00445C27" w:rsidP="00223932" w:rsidRDefault="00445C27" w14:paraId="639E1CC2" w14:textId="77777777"/>
        <w:p w:rsidR="00B73911" w:rsidP="00402030" w:rsidRDefault="00145338" w14:paraId="4EA68B18" w14:textId="77777777">
          <w:r>
            <w:t xml:space="preserve">De Afdeling heeft wel begrip voor de gedachte dat </w:t>
          </w:r>
          <w:r w:rsidR="005C4BF8">
            <w:t xml:space="preserve">voorzieningen moeten worden getroffen om het toezicht effectief te laten functioneren. </w:t>
          </w:r>
          <w:r w:rsidR="008066BF">
            <w:t xml:space="preserve">In haar </w:t>
          </w:r>
          <w:r w:rsidR="004D5584">
            <w:t>eerdere</w:t>
          </w:r>
          <w:r w:rsidR="008066BF">
            <w:t xml:space="preserve"> advies over het wetsvoorstel wees </w:t>
          </w:r>
          <w:r w:rsidR="00CA2264">
            <w:t xml:space="preserve">zij </w:t>
          </w:r>
          <w:r w:rsidR="000B2277">
            <w:t>daarom</w:t>
          </w:r>
          <w:r w:rsidR="008066BF">
            <w:t xml:space="preserve"> op </w:t>
          </w:r>
          <w:r w:rsidR="00CB0B2A">
            <w:t xml:space="preserve">het belang </w:t>
          </w:r>
          <w:r w:rsidR="008066BF">
            <w:t xml:space="preserve">dat het toezicht in de praktijk passend wordt vormgegeven. </w:t>
          </w:r>
          <w:r w:rsidR="000B2277">
            <w:t xml:space="preserve">In dat licht bezien dient </w:t>
          </w:r>
          <w:r w:rsidR="00864C7E">
            <w:t>d</w:t>
          </w:r>
          <w:r w:rsidR="00AF233D">
            <w:t xml:space="preserve">e </w:t>
          </w:r>
          <w:r w:rsidR="008066BF">
            <w:t xml:space="preserve">toelichting </w:t>
          </w:r>
          <w:r w:rsidR="00AF233D">
            <w:t xml:space="preserve">te verduidelijken </w:t>
          </w:r>
          <w:r w:rsidR="008066BF">
            <w:t>wat dit betekent voor de noodzakelijke capaciteit, expertise en de frequentie van toezicht.</w:t>
          </w:r>
          <w:r w:rsidR="00AF233D">
            <w:rPr>
              <w:rStyle w:val="Voetnootmarkering"/>
            </w:rPr>
            <w:footnoteReference w:id="21"/>
          </w:r>
          <w:r w:rsidR="008066BF">
            <w:t xml:space="preserve"> Dat geldt ook voor de gewenste afstemming tussen de AP en de Inspectie JenV. </w:t>
          </w:r>
        </w:p>
        <w:p w:rsidR="00B73911" w:rsidP="00402030" w:rsidRDefault="00B73911" w14:paraId="6FA99D74" w14:textId="77777777"/>
        <w:p w:rsidR="00994A10" w:rsidP="00402030" w:rsidRDefault="00AF233D" w14:paraId="52599ABF" w14:textId="552460FD">
          <w:r>
            <w:t xml:space="preserve">De Afdeling adviseert voorgesteld artikel 5a te schrappen en </w:t>
          </w:r>
          <w:r w:rsidR="00445C27">
            <w:t xml:space="preserve">in </w:t>
          </w:r>
          <w:r>
            <w:t>de toelichting tot uitdrukking te brengen hoe de minister er in de praktijk voor zal zorgen dat</w:t>
          </w:r>
          <w:r w:rsidR="00445C27">
            <w:t xml:space="preserve"> het toezicht en de rapportage hierover </w:t>
          </w:r>
          <w:r w:rsidR="00CB0B2A">
            <w:t xml:space="preserve">op een passende wijze </w:t>
          </w:r>
          <w:r w:rsidR="00445C27">
            <w:t>kan plaatsvinden</w:t>
          </w:r>
          <w:r>
            <w:t xml:space="preserve">. </w:t>
          </w:r>
        </w:p>
      </w:sdtContent>
    </w:sdt>
    <w:p w:rsidR="000A1F7D" w:rsidRDefault="009B7802" w14:paraId="52599AC0" w14:textId="77777777"/>
    <w:sdt>
      <w:sdtPr>
        <w:tag w:val="bmDictum"/>
        <w:id w:val="672688316"/>
        <w:lock w:val="sdtLocked"/>
        <w:placeholder>
          <w:docPart w:val="DefaultPlaceholder_-1854013440"/>
        </w:placeholder>
      </w:sdtPr>
      <w:sdtEndPr/>
      <w:sdtContent>
        <w:p w:rsidR="00017C54" w:rsidP="00017C54" w:rsidRDefault="008C7659" w14:paraId="52599AC1" w14:textId="1166AD19">
          <w:r>
            <w:t>De Afdeling advisering van de Raad van State heeft een aantal opmerkingen bij de nota van wijziging en adviseert daarmee rekening te houden voordat deze bij de Tweede Kamer der Staten-Generaal wordt ingediend.</w:t>
          </w:r>
          <w:r>
            <w:br/>
          </w:r>
          <w:r>
            <w:br/>
          </w:r>
          <w:r>
            <w:br/>
          </w:r>
          <w:r>
            <w:br/>
          </w:r>
          <w:r>
            <w:br/>
          </w:r>
          <w:r>
            <w:br/>
            <w:t>De vice-president van de Raad van State,</w:t>
          </w:r>
        </w:p>
      </w:sdtContent>
    </w:sdt>
    <w:sectPr w:rsidR="00017C54" w:rsidSect="00CB4677">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C2ED5" w14:textId="77777777" w:rsidR="00202325" w:rsidRDefault="009D37AD">
      <w:r>
        <w:separator/>
      </w:r>
    </w:p>
  </w:endnote>
  <w:endnote w:type="continuationSeparator" w:id="0">
    <w:p w14:paraId="4E9FE5FE" w14:textId="77777777" w:rsidR="00202325" w:rsidRDefault="009D37AD">
      <w:r>
        <w:continuationSeparator/>
      </w:r>
    </w:p>
  </w:endnote>
  <w:endnote w:type="continuationNotice" w:id="1">
    <w:p w14:paraId="30187FFD" w14:textId="77777777" w:rsidR="00CD27BE" w:rsidRDefault="00CD2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99AC4" w14:textId="77777777" w:rsidR="00631ADE" w:rsidRDefault="009B78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18295F" w14:paraId="52599AC7" w14:textId="77777777" w:rsidTr="00D90098">
      <w:tc>
        <w:tcPr>
          <w:tcW w:w="4815" w:type="dxa"/>
        </w:tcPr>
        <w:p w14:paraId="52599AC5" w14:textId="77777777" w:rsidR="00D90098" w:rsidRDefault="009B7802" w:rsidP="00D90098">
          <w:pPr>
            <w:pStyle w:val="Voettekst"/>
          </w:pPr>
        </w:p>
      </w:tc>
      <w:tc>
        <w:tcPr>
          <w:tcW w:w="4247" w:type="dxa"/>
        </w:tcPr>
        <w:p w14:paraId="52599AC6" w14:textId="77777777" w:rsidR="00D90098" w:rsidRDefault="009B7802" w:rsidP="00D90098">
          <w:pPr>
            <w:pStyle w:val="Voettekst"/>
            <w:jc w:val="right"/>
          </w:pPr>
        </w:p>
      </w:tc>
    </w:tr>
  </w:tbl>
  <w:p w14:paraId="52599AC8" w14:textId="77777777" w:rsidR="00D90098" w:rsidRDefault="009B78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CA3BE" w14:textId="6DE24098" w:rsidR="00CB4677" w:rsidRPr="00CB4677" w:rsidRDefault="00CB4677">
    <w:pPr>
      <w:pStyle w:val="Voettekst"/>
      <w:rPr>
        <w:rFonts w:ascii="Bembo" w:hAnsi="Bembo"/>
        <w:sz w:val="32"/>
      </w:rPr>
    </w:pPr>
    <w:r w:rsidRPr="00CB4677">
      <w:rPr>
        <w:rFonts w:ascii="Bembo" w:hAnsi="Bembo"/>
        <w:sz w:val="32"/>
      </w:rPr>
      <w:t>AAN DE KONING</w:t>
    </w:r>
  </w:p>
  <w:p w14:paraId="6D2CE5A3" w14:textId="77777777" w:rsidR="00CB4677" w:rsidRDefault="00CB46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113A7" w14:textId="77777777" w:rsidR="00202325" w:rsidRDefault="009D37AD">
      <w:r>
        <w:separator/>
      </w:r>
    </w:p>
  </w:footnote>
  <w:footnote w:type="continuationSeparator" w:id="0">
    <w:p w14:paraId="3EBF3468" w14:textId="77777777" w:rsidR="00202325" w:rsidRDefault="009D37AD">
      <w:r>
        <w:continuationSeparator/>
      </w:r>
    </w:p>
  </w:footnote>
  <w:footnote w:type="continuationNotice" w:id="1">
    <w:p w14:paraId="66F8269D" w14:textId="77777777" w:rsidR="00CD27BE" w:rsidRDefault="00CD27BE"/>
  </w:footnote>
  <w:footnote w:id="2">
    <w:p w14:paraId="539CCF46" w14:textId="77777777" w:rsidR="009F1DA6" w:rsidRDefault="009F1DA6" w:rsidP="009F1DA6">
      <w:pPr>
        <w:pStyle w:val="Voetnoottekst"/>
      </w:pPr>
      <w:r>
        <w:rPr>
          <w:rStyle w:val="Voetnootmarkering"/>
        </w:rPr>
        <w:footnoteRef/>
      </w:r>
      <w:r>
        <w:t xml:space="preserve"> Kamerstukken 2021/22, 32761, nr. 227.</w:t>
      </w:r>
    </w:p>
  </w:footnote>
  <w:footnote w:id="3">
    <w:p w14:paraId="18A8A69B" w14:textId="5A949481" w:rsidR="000C515A" w:rsidRDefault="000C515A">
      <w:pPr>
        <w:pStyle w:val="Voetnoottekst"/>
      </w:pPr>
      <w:r>
        <w:rPr>
          <w:rStyle w:val="Voetnootmarkering"/>
        </w:rPr>
        <w:footnoteRef/>
      </w:r>
      <w:r>
        <w:t xml:space="preserve"> Voorgesteld artikel 2, derde lid. </w:t>
      </w:r>
    </w:p>
  </w:footnote>
  <w:footnote w:id="4">
    <w:p w14:paraId="680EA062" w14:textId="7312EA4E" w:rsidR="00C6538A" w:rsidRDefault="00C6538A">
      <w:pPr>
        <w:pStyle w:val="Voetnoottekst"/>
      </w:pPr>
      <w:r>
        <w:rPr>
          <w:rStyle w:val="Voetnootmarkering"/>
        </w:rPr>
        <w:footnoteRef/>
      </w:r>
      <w:r>
        <w:t xml:space="preserve"> Voorgesteld artikel 7, tweede lid.</w:t>
      </w:r>
      <w:r w:rsidR="00B47A07">
        <w:t xml:space="preserve"> In het wetsvoorstel werd onderzoek naar personen al uitgesloten.</w:t>
      </w:r>
    </w:p>
  </w:footnote>
  <w:footnote w:id="5">
    <w:p w14:paraId="006CEE15" w14:textId="09C1B4E5" w:rsidR="00CD4579" w:rsidRDefault="00CD4579">
      <w:pPr>
        <w:pStyle w:val="Voetnoottekst"/>
      </w:pPr>
      <w:r>
        <w:rPr>
          <w:rStyle w:val="Voetnootmarkering"/>
        </w:rPr>
        <w:footnoteRef/>
      </w:r>
      <w:r>
        <w:t xml:space="preserve"> Voorgesteld artikel 4.</w:t>
      </w:r>
    </w:p>
  </w:footnote>
  <w:footnote w:id="6">
    <w:p w14:paraId="1E2D1FDF" w14:textId="1B455538" w:rsidR="004B57D5" w:rsidRDefault="004B57D5">
      <w:pPr>
        <w:pStyle w:val="Voetnoottekst"/>
      </w:pPr>
      <w:r>
        <w:rPr>
          <w:rStyle w:val="Voetnootmarkering"/>
        </w:rPr>
        <w:footnoteRef/>
      </w:r>
      <w:r>
        <w:t xml:space="preserve"> Voorgesteld artikel 5a.</w:t>
      </w:r>
    </w:p>
  </w:footnote>
  <w:footnote w:id="7">
    <w:p w14:paraId="61227109" w14:textId="3C194B07" w:rsidR="00552420" w:rsidRDefault="00552420">
      <w:pPr>
        <w:pStyle w:val="Voetnoottekst"/>
      </w:pPr>
      <w:r>
        <w:rPr>
          <w:rStyle w:val="Voetnootmarkering"/>
        </w:rPr>
        <w:footnoteRef/>
      </w:r>
      <w:r>
        <w:t xml:space="preserve"> Voorgesteld artikel 2, derde lid</w:t>
      </w:r>
      <w:r w:rsidR="002C4BF5">
        <w:t xml:space="preserve"> en artikel 3, eerste lid, onder a.</w:t>
      </w:r>
    </w:p>
  </w:footnote>
  <w:footnote w:id="8">
    <w:p w14:paraId="1DACB697" w14:textId="0B473C43" w:rsidR="00DA5BF3" w:rsidRDefault="00DA5BF3">
      <w:pPr>
        <w:pStyle w:val="Voetnoottekst"/>
      </w:pPr>
      <w:r>
        <w:rPr>
          <w:rStyle w:val="Voetnootmarkering"/>
        </w:rPr>
        <w:footnoteRef/>
      </w:r>
      <w:r>
        <w:t xml:space="preserve"> Voorgesteld artikel 3, eerste </w:t>
      </w:r>
      <w:r w:rsidR="00B44172">
        <w:t xml:space="preserve">en tweede </w:t>
      </w:r>
      <w:r>
        <w:t xml:space="preserve">lid. </w:t>
      </w:r>
    </w:p>
  </w:footnote>
  <w:footnote w:id="9">
    <w:p w14:paraId="290D2CA5" w14:textId="77777777" w:rsidR="00752888" w:rsidRDefault="00752888" w:rsidP="00752888">
      <w:pPr>
        <w:pStyle w:val="Voetnoottekst"/>
      </w:pPr>
      <w:r>
        <w:rPr>
          <w:rStyle w:val="Voetnootmarkering"/>
        </w:rPr>
        <w:footnoteRef/>
      </w:r>
      <w:r>
        <w:t xml:space="preserve"> Toelichting, algemeen deel.</w:t>
      </w:r>
    </w:p>
  </w:footnote>
  <w:footnote w:id="10">
    <w:p w14:paraId="705F5E6E" w14:textId="48DF007F" w:rsidR="00DE64B7" w:rsidRDefault="00DE64B7">
      <w:pPr>
        <w:pStyle w:val="Voetnoottekst"/>
      </w:pPr>
      <w:r>
        <w:rPr>
          <w:rStyle w:val="Voetnootmarkering"/>
        </w:rPr>
        <w:footnoteRef/>
      </w:r>
      <w:r>
        <w:t xml:space="preserve"> </w:t>
      </w:r>
      <w:r w:rsidR="005A247D">
        <w:t>Kamerstukken II 2021/22. 30821, nr. 160.</w:t>
      </w:r>
    </w:p>
  </w:footnote>
  <w:footnote w:id="11">
    <w:p w14:paraId="1A2718EA" w14:textId="58592E3E" w:rsidR="00581560" w:rsidRDefault="00581560">
      <w:pPr>
        <w:pStyle w:val="Voetnoottekst"/>
      </w:pPr>
      <w:r>
        <w:rPr>
          <w:rStyle w:val="Voetnootmarkering"/>
        </w:rPr>
        <w:footnoteRef/>
      </w:r>
      <w:r>
        <w:t xml:space="preserve"> Voorgesteld artikel 3</w:t>
      </w:r>
      <w:r w:rsidR="00945B00">
        <w:t>, eerste lid en artikel 7, eerste lid.</w:t>
      </w:r>
    </w:p>
  </w:footnote>
  <w:footnote w:id="12">
    <w:p w14:paraId="592E41DF" w14:textId="50EB69C4" w:rsidR="00285CFA" w:rsidRDefault="00285CFA">
      <w:pPr>
        <w:pStyle w:val="Voetnoottekst"/>
      </w:pPr>
      <w:r>
        <w:rPr>
          <w:rStyle w:val="Voetnootmarkering"/>
        </w:rPr>
        <w:footnoteRef/>
      </w:r>
      <w:r>
        <w:t xml:space="preserve"> Voorgesteld artikel 7, eerste lid.</w:t>
      </w:r>
    </w:p>
  </w:footnote>
  <w:footnote w:id="13">
    <w:p w14:paraId="04E7789A" w14:textId="44DD2D2E" w:rsidR="0024588D" w:rsidRDefault="0024588D">
      <w:pPr>
        <w:pStyle w:val="Voetnoottekst"/>
      </w:pPr>
      <w:r>
        <w:rPr>
          <w:rStyle w:val="Voetnootmarkering"/>
        </w:rPr>
        <w:footnoteRef/>
      </w:r>
      <w:r>
        <w:t xml:space="preserve"> Voorgesteld artikel 7, tweede lid. </w:t>
      </w:r>
    </w:p>
  </w:footnote>
  <w:footnote w:id="14">
    <w:p w14:paraId="0AA21F13" w14:textId="77777777" w:rsidR="00C34420" w:rsidRDefault="00C34420" w:rsidP="00C34420">
      <w:pPr>
        <w:pStyle w:val="Voetnoottekst"/>
      </w:pPr>
      <w:r>
        <w:rPr>
          <w:rStyle w:val="Voetnootmarkering"/>
        </w:rPr>
        <w:footnoteRef/>
      </w:r>
      <w:r>
        <w:t xml:space="preserve"> Toelichting, algemeen deel.</w:t>
      </w:r>
    </w:p>
  </w:footnote>
  <w:footnote w:id="15">
    <w:p w14:paraId="0D749239" w14:textId="77777777" w:rsidR="00223932" w:rsidRDefault="00223932" w:rsidP="00223932">
      <w:pPr>
        <w:pStyle w:val="Voetnoottekst"/>
      </w:pPr>
      <w:r>
        <w:rPr>
          <w:rStyle w:val="Voetnootmarkering"/>
        </w:rPr>
        <w:footnoteRef/>
      </w:r>
      <w:r>
        <w:t xml:space="preserve"> Voorgesteld artikel 4.</w:t>
      </w:r>
    </w:p>
  </w:footnote>
  <w:footnote w:id="16">
    <w:p w14:paraId="5AF11D61" w14:textId="77777777" w:rsidR="00223932" w:rsidRDefault="00223932" w:rsidP="00223932">
      <w:pPr>
        <w:pStyle w:val="Voetnoottekst"/>
      </w:pPr>
      <w:r>
        <w:rPr>
          <w:rStyle w:val="Voetnootmarkering"/>
        </w:rPr>
        <w:footnoteRef/>
      </w:r>
      <w:r>
        <w:t xml:space="preserve"> Voorgesteld artikel 5a.</w:t>
      </w:r>
    </w:p>
  </w:footnote>
  <w:footnote w:id="17">
    <w:p w14:paraId="210E7D6A" w14:textId="1395B6E8" w:rsidR="00AF0655" w:rsidRDefault="00AF0655">
      <w:pPr>
        <w:pStyle w:val="Voetnoottekst"/>
      </w:pPr>
      <w:r>
        <w:rPr>
          <w:rStyle w:val="Voetnootmarkering"/>
        </w:rPr>
        <w:footnoteRef/>
      </w:r>
      <w:r>
        <w:t xml:space="preserve"> </w:t>
      </w:r>
      <w:r w:rsidR="00157770">
        <w:t xml:space="preserve">Toelichting, algemeen deel. </w:t>
      </w:r>
    </w:p>
  </w:footnote>
  <w:footnote w:id="18">
    <w:p w14:paraId="2C2F5C57" w14:textId="03E0CDEE" w:rsidR="00DA7576" w:rsidRDefault="00DA7576">
      <w:pPr>
        <w:pStyle w:val="Voetnoottekst"/>
      </w:pPr>
      <w:r>
        <w:rPr>
          <w:rStyle w:val="Voetnootmarkering"/>
        </w:rPr>
        <w:footnoteRef/>
      </w:r>
      <w:r>
        <w:t xml:space="preserve"> </w:t>
      </w:r>
      <w:r w:rsidR="00642D60">
        <w:t xml:space="preserve">UAVG, artikelen 6 en 14. </w:t>
      </w:r>
    </w:p>
  </w:footnote>
  <w:footnote w:id="19">
    <w:p w14:paraId="504031E3" w14:textId="01392C12" w:rsidR="00DF4009" w:rsidRDefault="00DF4009">
      <w:pPr>
        <w:pStyle w:val="Voetnoottekst"/>
      </w:pPr>
      <w:r>
        <w:rPr>
          <w:rStyle w:val="Voetnootmarkering"/>
        </w:rPr>
        <w:footnoteRef/>
      </w:r>
      <w:r>
        <w:t xml:space="preserve"> Organisatiebesluit JenV, artikel 60.</w:t>
      </w:r>
    </w:p>
  </w:footnote>
  <w:footnote w:id="20">
    <w:p w14:paraId="75523235" w14:textId="24F0AC31" w:rsidR="00445C27" w:rsidRDefault="00445C27">
      <w:pPr>
        <w:pStyle w:val="Voetnoottekst"/>
      </w:pPr>
      <w:r>
        <w:rPr>
          <w:rStyle w:val="Voetnootmarkering"/>
        </w:rPr>
        <w:footnoteRef/>
      </w:r>
      <w:r>
        <w:t xml:space="preserve"> Brief minister van BZK inzake Planning wetsvoorstel op de rijksinspecties, 20 maart</w:t>
      </w:r>
      <w:r w:rsidR="00402030">
        <w:t xml:space="preserve"> </w:t>
      </w:r>
      <w:r>
        <w:t xml:space="preserve">2023, Kamerstukken II </w:t>
      </w:r>
      <w:r w:rsidR="00402030">
        <w:t xml:space="preserve">2022/23, </w:t>
      </w:r>
      <w:r>
        <w:t xml:space="preserve">36149, nr. 5. </w:t>
      </w:r>
    </w:p>
  </w:footnote>
  <w:footnote w:id="21">
    <w:p w14:paraId="4D4BA311" w14:textId="5D87DF97" w:rsidR="00AF233D" w:rsidRDefault="00AF233D" w:rsidP="00AF233D">
      <w:pPr>
        <w:pStyle w:val="Voetnoottekst"/>
      </w:pPr>
      <w:r>
        <w:rPr>
          <w:rStyle w:val="Voetnootmarkering"/>
        </w:rPr>
        <w:footnoteRef/>
      </w:r>
      <w:r>
        <w:t xml:space="preserve"> Advies van de Afdeling advisering over het wetsvoorstel verwerking persoonsgegevens coördinatie en analyse terrorismebestrijding en nationale veiligheid, 2 september 2021, W16.21.0218/II, Kamerstukken II 2021/22, 35 958, nr. 4, punt 6. In het nader rapport en de toelichting bij het wetsvoorstel is hier niet nader op ingegaan.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99AC2" w14:textId="77777777" w:rsidR="00631ADE" w:rsidRDefault="009B78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99AC3" w14:textId="77798081" w:rsidR="00FA7BCD" w:rsidRDefault="009D37AD"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21E3B">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99AC9" w14:textId="77777777" w:rsidR="00DA0CDA" w:rsidRDefault="009D37AD"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2599ACA" w14:textId="77777777" w:rsidR="00993C75" w:rsidRDefault="009D37AD">
    <w:pPr>
      <w:pStyle w:val="Koptekst"/>
    </w:pPr>
    <w:r>
      <w:rPr>
        <w:noProof/>
      </w:rPr>
      <w:drawing>
        <wp:anchor distT="0" distB="0" distL="114300" distR="114300" simplePos="0" relativeHeight="251658240" behindDoc="1" locked="0" layoutInCell="1" allowOverlap="1" wp14:anchorId="52599AD5" wp14:editId="52599AD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E22B2"/>
    <w:multiLevelType w:val="hybridMultilevel"/>
    <w:tmpl w:val="BE30C3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AD3274"/>
    <w:multiLevelType w:val="hybridMultilevel"/>
    <w:tmpl w:val="3800AF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FC61B8F"/>
    <w:multiLevelType w:val="hybridMultilevel"/>
    <w:tmpl w:val="61FED0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90B49B6"/>
    <w:multiLevelType w:val="hybridMultilevel"/>
    <w:tmpl w:val="AC3E46AA"/>
    <w:lvl w:ilvl="0" w:tplc="6EA2C298">
      <w:start w:val="1"/>
      <w:numFmt w:val="decimal"/>
      <w:lvlText w:val="%1."/>
      <w:lvlJc w:val="left"/>
      <w:pPr>
        <w:ind w:left="705" w:hanging="705"/>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5F"/>
    <w:rsid w:val="00000255"/>
    <w:rsid w:val="00000516"/>
    <w:rsid w:val="00000687"/>
    <w:rsid w:val="00003025"/>
    <w:rsid w:val="0000476F"/>
    <w:rsid w:val="00011AB7"/>
    <w:rsid w:val="00013608"/>
    <w:rsid w:val="00015809"/>
    <w:rsid w:val="000165CE"/>
    <w:rsid w:val="00016608"/>
    <w:rsid w:val="00020161"/>
    <w:rsid w:val="0002033F"/>
    <w:rsid w:val="0002156D"/>
    <w:rsid w:val="00022015"/>
    <w:rsid w:val="0002361F"/>
    <w:rsid w:val="000259F9"/>
    <w:rsid w:val="000317CD"/>
    <w:rsid w:val="000317ED"/>
    <w:rsid w:val="00033139"/>
    <w:rsid w:val="00035AC3"/>
    <w:rsid w:val="00037981"/>
    <w:rsid w:val="0004254C"/>
    <w:rsid w:val="0004391E"/>
    <w:rsid w:val="0004495F"/>
    <w:rsid w:val="00051E17"/>
    <w:rsid w:val="00054052"/>
    <w:rsid w:val="000561DA"/>
    <w:rsid w:val="0006018A"/>
    <w:rsid w:val="00060691"/>
    <w:rsid w:val="00062B82"/>
    <w:rsid w:val="00062D20"/>
    <w:rsid w:val="0006321B"/>
    <w:rsid w:val="000637D5"/>
    <w:rsid w:val="00064D36"/>
    <w:rsid w:val="0006722F"/>
    <w:rsid w:val="000718E9"/>
    <w:rsid w:val="00072192"/>
    <w:rsid w:val="00075860"/>
    <w:rsid w:val="0007753B"/>
    <w:rsid w:val="00082E96"/>
    <w:rsid w:val="000835C8"/>
    <w:rsid w:val="000864A6"/>
    <w:rsid w:val="00093C39"/>
    <w:rsid w:val="000942E8"/>
    <w:rsid w:val="000A3430"/>
    <w:rsid w:val="000A38C0"/>
    <w:rsid w:val="000A3F67"/>
    <w:rsid w:val="000A440D"/>
    <w:rsid w:val="000A79B0"/>
    <w:rsid w:val="000A7F15"/>
    <w:rsid w:val="000B0048"/>
    <w:rsid w:val="000B2277"/>
    <w:rsid w:val="000B6725"/>
    <w:rsid w:val="000C07C4"/>
    <w:rsid w:val="000C393D"/>
    <w:rsid w:val="000C3DC4"/>
    <w:rsid w:val="000C515A"/>
    <w:rsid w:val="000C57E5"/>
    <w:rsid w:val="000D077D"/>
    <w:rsid w:val="000D0942"/>
    <w:rsid w:val="000D46E9"/>
    <w:rsid w:val="000D6BBA"/>
    <w:rsid w:val="000E0752"/>
    <w:rsid w:val="000E18F5"/>
    <w:rsid w:val="000E2441"/>
    <w:rsid w:val="000E2C96"/>
    <w:rsid w:val="000E3C65"/>
    <w:rsid w:val="000E40F1"/>
    <w:rsid w:val="000E5462"/>
    <w:rsid w:val="000E60E7"/>
    <w:rsid w:val="000E7F65"/>
    <w:rsid w:val="000F4992"/>
    <w:rsid w:val="000F4D72"/>
    <w:rsid w:val="000F50A1"/>
    <w:rsid w:val="000F5413"/>
    <w:rsid w:val="00110432"/>
    <w:rsid w:val="00112A61"/>
    <w:rsid w:val="0011369B"/>
    <w:rsid w:val="001139BE"/>
    <w:rsid w:val="00114987"/>
    <w:rsid w:val="00114B1D"/>
    <w:rsid w:val="0011657E"/>
    <w:rsid w:val="00120AD3"/>
    <w:rsid w:val="00124A3C"/>
    <w:rsid w:val="00124FEE"/>
    <w:rsid w:val="001253C0"/>
    <w:rsid w:val="001259DB"/>
    <w:rsid w:val="00127E70"/>
    <w:rsid w:val="00130151"/>
    <w:rsid w:val="00130672"/>
    <w:rsid w:val="00130B31"/>
    <w:rsid w:val="0013193A"/>
    <w:rsid w:val="0013547D"/>
    <w:rsid w:val="0013657B"/>
    <w:rsid w:val="00137CDE"/>
    <w:rsid w:val="001401C1"/>
    <w:rsid w:val="00140F94"/>
    <w:rsid w:val="0014127D"/>
    <w:rsid w:val="0014262E"/>
    <w:rsid w:val="00142656"/>
    <w:rsid w:val="001443A2"/>
    <w:rsid w:val="00144A36"/>
    <w:rsid w:val="00145338"/>
    <w:rsid w:val="0014557E"/>
    <w:rsid w:val="00155F65"/>
    <w:rsid w:val="00156AF0"/>
    <w:rsid w:val="00157770"/>
    <w:rsid w:val="001616E4"/>
    <w:rsid w:val="00161BC6"/>
    <w:rsid w:val="0016331D"/>
    <w:rsid w:val="0016361B"/>
    <w:rsid w:val="00165144"/>
    <w:rsid w:val="001655E3"/>
    <w:rsid w:val="0016731B"/>
    <w:rsid w:val="00171E6C"/>
    <w:rsid w:val="0017793B"/>
    <w:rsid w:val="00182932"/>
    <w:rsid w:val="0018295F"/>
    <w:rsid w:val="001837F7"/>
    <w:rsid w:val="0018451A"/>
    <w:rsid w:val="001856C8"/>
    <w:rsid w:val="00195078"/>
    <w:rsid w:val="00196D63"/>
    <w:rsid w:val="00196DEB"/>
    <w:rsid w:val="001A360B"/>
    <w:rsid w:val="001A4E34"/>
    <w:rsid w:val="001A62F4"/>
    <w:rsid w:val="001A70FB"/>
    <w:rsid w:val="001B2095"/>
    <w:rsid w:val="001B5156"/>
    <w:rsid w:val="001B5ED1"/>
    <w:rsid w:val="001B6333"/>
    <w:rsid w:val="001B65ED"/>
    <w:rsid w:val="001C4589"/>
    <w:rsid w:val="001D0976"/>
    <w:rsid w:val="001D1F9D"/>
    <w:rsid w:val="001D560D"/>
    <w:rsid w:val="001E1968"/>
    <w:rsid w:val="001E2F48"/>
    <w:rsid w:val="001E56E0"/>
    <w:rsid w:val="001F26DC"/>
    <w:rsid w:val="001F295A"/>
    <w:rsid w:val="001F3BC8"/>
    <w:rsid w:val="001F496D"/>
    <w:rsid w:val="001F5FA6"/>
    <w:rsid w:val="00200A1F"/>
    <w:rsid w:val="0020122A"/>
    <w:rsid w:val="00202325"/>
    <w:rsid w:val="00205692"/>
    <w:rsid w:val="00211224"/>
    <w:rsid w:val="002126C3"/>
    <w:rsid w:val="00213115"/>
    <w:rsid w:val="002144EF"/>
    <w:rsid w:val="00215069"/>
    <w:rsid w:val="00223932"/>
    <w:rsid w:val="00223DA4"/>
    <w:rsid w:val="00223DE8"/>
    <w:rsid w:val="00224624"/>
    <w:rsid w:val="00224907"/>
    <w:rsid w:val="002335F8"/>
    <w:rsid w:val="0023557C"/>
    <w:rsid w:val="00235CD3"/>
    <w:rsid w:val="002363AB"/>
    <w:rsid w:val="00237D8E"/>
    <w:rsid w:val="00240E30"/>
    <w:rsid w:val="00240F29"/>
    <w:rsid w:val="00241ACF"/>
    <w:rsid w:val="002431C8"/>
    <w:rsid w:val="0024369E"/>
    <w:rsid w:val="00245407"/>
    <w:rsid w:val="0024588D"/>
    <w:rsid w:val="00246EEC"/>
    <w:rsid w:val="00252383"/>
    <w:rsid w:val="002524D9"/>
    <w:rsid w:val="00252BB5"/>
    <w:rsid w:val="002551A9"/>
    <w:rsid w:val="00256111"/>
    <w:rsid w:val="0025629D"/>
    <w:rsid w:val="002578AD"/>
    <w:rsid w:val="002638AE"/>
    <w:rsid w:val="00263E3F"/>
    <w:rsid w:val="00264833"/>
    <w:rsid w:val="0027242E"/>
    <w:rsid w:val="00272B91"/>
    <w:rsid w:val="0028023A"/>
    <w:rsid w:val="00281D1D"/>
    <w:rsid w:val="002824C0"/>
    <w:rsid w:val="0028294E"/>
    <w:rsid w:val="00285CFA"/>
    <w:rsid w:val="00291E66"/>
    <w:rsid w:val="002953BD"/>
    <w:rsid w:val="002A0078"/>
    <w:rsid w:val="002A1D16"/>
    <w:rsid w:val="002A29AB"/>
    <w:rsid w:val="002A30C8"/>
    <w:rsid w:val="002B0480"/>
    <w:rsid w:val="002B0667"/>
    <w:rsid w:val="002B1CAA"/>
    <w:rsid w:val="002B3AC1"/>
    <w:rsid w:val="002B47B3"/>
    <w:rsid w:val="002B4BD5"/>
    <w:rsid w:val="002B5B4E"/>
    <w:rsid w:val="002B6C72"/>
    <w:rsid w:val="002C4BF5"/>
    <w:rsid w:val="002C7451"/>
    <w:rsid w:val="002D07B2"/>
    <w:rsid w:val="002D0E2E"/>
    <w:rsid w:val="002D176B"/>
    <w:rsid w:val="002D2E5B"/>
    <w:rsid w:val="002D3DFF"/>
    <w:rsid w:val="002D52EF"/>
    <w:rsid w:val="002E014E"/>
    <w:rsid w:val="002E1D80"/>
    <w:rsid w:val="002E32A2"/>
    <w:rsid w:val="002E3EFD"/>
    <w:rsid w:val="002E6F1E"/>
    <w:rsid w:val="002F1EF3"/>
    <w:rsid w:val="002F52F6"/>
    <w:rsid w:val="002F67A5"/>
    <w:rsid w:val="002F7D7A"/>
    <w:rsid w:val="003005C9"/>
    <w:rsid w:val="003048F3"/>
    <w:rsid w:val="0030672C"/>
    <w:rsid w:val="003071E0"/>
    <w:rsid w:val="00310702"/>
    <w:rsid w:val="00311579"/>
    <w:rsid w:val="00312BE7"/>
    <w:rsid w:val="00315AF3"/>
    <w:rsid w:val="0031705A"/>
    <w:rsid w:val="0031750C"/>
    <w:rsid w:val="0032216F"/>
    <w:rsid w:val="00322194"/>
    <w:rsid w:val="003226C0"/>
    <w:rsid w:val="00322D63"/>
    <w:rsid w:val="00323809"/>
    <w:rsid w:val="00324E31"/>
    <w:rsid w:val="00325C56"/>
    <w:rsid w:val="00326045"/>
    <w:rsid w:val="00327A6B"/>
    <w:rsid w:val="00330AF8"/>
    <w:rsid w:val="00340E65"/>
    <w:rsid w:val="003462B3"/>
    <w:rsid w:val="003472BE"/>
    <w:rsid w:val="0035140F"/>
    <w:rsid w:val="00352736"/>
    <w:rsid w:val="0035313F"/>
    <w:rsid w:val="0035647F"/>
    <w:rsid w:val="0036070E"/>
    <w:rsid w:val="00361328"/>
    <w:rsid w:val="00363995"/>
    <w:rsid w:val="003720A2"/>
    <w:rsid w:val="00372BAF"/>
    <w:rsid w:val="00375D94"/>
    <w:rsid w:val="00376E43"/>
    <w:rsid w:val="003774BF"/>
    <w:rsid w:val="003831C4"/>
    <w:rsid w:val="003859D2"/>
    <w:rsid w:val="00387360"/>
    <w:rsid w:val="00390499"/>
    <w:rsid w:val="003905B8"/>
    <w:rsid w:val="00392B08"/>
    <w:rsid w:val="003A1DA2"/>
    <w:rsid w:val="003A67A0"/>
    <w:rsid w:val="003A7EA8"/>
    <w:rsid w:val="003B3769"/>
    <w:rsid w:val="003B663B"/>
    <w:rsid w:val="003B745D"/>
    <w:rsid w:val="003B7DD0"/>
    <w:rsid w:val="003C2081"/>
    <w:rsid w:val="003C2360"/>
    <w:rsid w:val="003C25D5"/>
    <w:rsid w:val="003C4936"/>
    <w:rsid w:val="003C6841"/>
    <w:rsid w:val="003C6EE0"/>
    <w:rsid w:val="003C6EFF"/>
    <w:rsid w:val="003C760D"/>
    <w:rsid w:val="003D72D9"/>
    <w:rsid w:val="003E09DC"/>
    <w:rsid w:val="003E13B7"/>
    <w:rsid w:val="003E3217"/>
    <w:rsid w:val="003F0D1D"/>
    <w:rsid w:val="003F1D3F"/>
    <w:rsid w:val="003F2367"/>
    <w:rsid w:val="003F4831"/>
    <w:rsid w:val="00401467"/>
    <w:rsid w:val="00402030"/>
    <w:rsid w:val="00403BA6"/>
    <w:rsid w:val="00404D22"/>
    <w:rsid w:val="0040657B"/>
    <w:rsid w:val="004075A9"/>
    <w:rsid w:val="004130A1"/>
    <w:rsid w:val="00417FB3"/>
    <w:rsid w:val="00424D1D"/>
    <w:rsid w:val="00425AB9"/>
    <w:rsid w:val="004269A6"/>
    <w:rsid w:val="004326EB"/>
    <w:rsid w:val="00433687"/>
    <w:rsid w:val="004336D8"/>
    <w:rsid w:val="00433D01"/>
    <w:rsid w:val="0043500E"/>
    <w:rsid w:val="0043563F"/>
    <w:rsid w:val="00443E7E"/>
    <w:rsid w:val="00445C27"/>
    <w:rsid w:val="004504BC"/>
    <w:rsid w:val="00455477"/>
    <w:rsid w:val="0045776B"/>
    <w:rsid w:val="00457CDA"/>
    <w:rsid w:val="00465C5C"/>
    <w:rsid w:val="00465CF2"/>
    <w:rsid w:val="00467F43"/>
    <w:rsid w:val="0047198C"/>
    <w:rsid w:val="00473CD5"/>
    <w:rsid w:val="00474717"/>
    <w:rsid w:val="00475B29"/>
    <w:rsid w:val="00476193"/>
    <w:rsid w:val="004770DE"/>
    <w:rsid w:val="00481EAD"/>
    <w:rsid w:val="00483FF5"/>
    <w:rsid w:val="00484779"/>
    <w:rsid w:val="00485625"/>
    <w:rsid w:val="00486402"/>
    <w:rsid w:val="00486C35"/>
    <w:rsid w:val="0048712E"/>
    <w:rsid w:val="00491619"/>
    <w:rsid w:val="00492E44"/>
    <w:rsid w:val="004934EA"/>
    <w:rsid w:val="004A4069"/>
    <w:rsid w:val="004A67E9"/>
    <w:rsid w:val="004A6DA8"/>
    <w:rsid w:val="004A7F12"/>
    <w:rsid w:val="004B1E45"/>
    <w:rsid w:val="004B44DF"/>
    <w:rsid w:val="004B57D5"/>
    <w:rsid w:val="004B6BC0"/>
    <w:rsid w:val="004B7B67"/>
    <w:rsid w:val="004C4D15"/>
    <w:rsid w:val="004C52FC"/>
    <w:rsid w:val="004C7A93"/>
    <w:rsid w:val="004D1188"/>
    <w:rsid w:val="004D1D8D"/>
    <w:rsid w:val="004D380D"/>
    <w:rsid w:val="004D423B"/>
    <w:rsid w:val="004D541A"/>
    <w:rsid w:val="004D5584"/>
    <w:rsid w:val="004D5912"/>
    <w:rsid w:val="004D7C0E"/>
    <w:rsid w:val="004E0FCD"/>
    <w:rsid w:val="004E1363"/>
    <w:rsid w:val="004E74FB"/>
    <w:rsid w:val="004F07AA"/>
    <w:rsid w:val="004F2737"/>
    <w:rsid w:val="004F46A6"/>
    <w:rsid w:val="004F4D41"/>
    <w:rsid w:val="004F5AC8"/>
    <w:rsid w:val="004F650B"/>
    <w:rsid w:val="004F72A2"/>
    <w:rsid w:val="004F7808"/>
    <w:rsid w:val="005007FA"/>
    <w:rsid w:val="00500899"/>
    <w:rsid w:val="00501240"/>
    <w:rsid w:val="00501A09"/>
    <w:rsid w:val="00502152"/>
    <w:rsid w:val="0050622E"/>
    <w:rsid w:val="005079AB"/>
    <w:rsid w:val="00513019"/>
    <w:rsid w:val="00515C15"/>
    <w:rsid w:val="00517E25"/>
    <w:rsid w:val="0052422F"/>
    <w:rsid w:val="0052589B"/>
    <w:rsid w:val="00531C17"/>
    <w:rsid w:val="0053328E"/>
    <w:rsid w:val="0053374F"/>
    <w:rsid w:val="00536C34"/>
    <w:rsid w:val="00546B35"/>
    <w:rsid w:val="00552420"/>
    <w:rsid w:val="00555621"/>
    <w:rsid w:val="00556354"/>
    <w:rsid w:val="00564380"/>
    <w:rsid w:val="005647FB"/>
    <w:rsid w:val="00564B76"/>
    <w:rsid w:val="00565862"/>
    <w:rsid w:val="00567D86"/>
    <w:rsid w:val="00570A50"/>
    <w:rsid w:val="00571540"/>
    <w:rsid w:val="00574447"/>
    <w:rsid w:val="00574CD4"/>
    <w:rsid w:val="00576AF3"/>
    <w:rsid w:val="00580D27"/>
    <w:rsid w:val="005813E3"/>
    <w:rsid w:val="00581560"/>
    <w:rsid w:val="005843BD"/>
    <w:rsid w:val="005844D2"/>
    <w:rsid w:val="005862C1"/>
    <w:rsid w:val="00586B66"/>
    <w:rsid w:val="0059024C"/>
    <w:rsid w:val="005910BD"/>
    <w:rsid w:val="005918E4"/>
    <w:rsid w:val="00593E65"/>
    <w:rsid w:val="00594DC4"/>
    <w:rsid w:val="0059562D"/>
    <w:rsid w:val="005A039C"/>
    <w:rsid w:val="005A0AB8"/>
    <w:rsid w:val="005A1624"/>
    <w:rsid w:val="005A247D"/>
    <w:rsid w:val="005A49DA"/>
    <w:rsid w:val="005A568D"/>
    <w:rsid w:val="005A6794"/>
    <w:rsid w:val="005B2101"/>
    <w:rsid w:val="005B3317"/>
    <w:rsid w:val="005B5CB6"/>
    <w:rsid w:val="005B791A"/>
    <w:rsid w:val="005C06D1"/>
    <w:rsid w:val="005C4B9F"/>
    <w:rsid w:val="005C4BF8"/>
    <w:rsid w:val="005C6BEB"/>
    <w:rsid w:val="005D0485"/>
    <w:rsid w:val="005D4467"/>
    <w:rsid w:val="005D65E1"/>
    <w:rsid w:val="005D7EFE"/>
    <w:rsid w:val="005E097B"/>
    <w:rsid w:val="005E2CD9"/>
    <w:rsid w:val="005E389C"/>
    <w:rsid w:val="005E4BDD"/>
    <w:rsid w:val="005E61E4"/>
    <w:rsid w:val="005E6CB6"/>
    <w:rsid w:val="005F15AB"/>
    <w:rsid w:val="005F1A4E"/>
    <w:rsid w:val="005F1B95"/>
    <w:rsid w:val="005F62CB"/>
    <w:rsid w:val="005F7974"/>
    <w:rsid w:val="006007B8"/>
    <w:rsid w:val="0060400C"/>
    <w:rsid w:val="00613307"/>
    <w:rsid w:val="006139AA"/>
    <w:rsid w:val="00613F1B"/>
    <w:rsid w:val="00621297"/>
    <w:rsid w:val="00621C0C"/>
    <w:rsid w:val="00621F20"/>
    <w:rsid w:val="00622F7D"/>
    <w:rsid w:val="00634E2D"/>
    <w:rsid w:val="0064110A"/>
    <w:rsid w:val="00642D60"/>
    <w:rsid w:val="00642F30"/>
    <w:rsid w:val="00645689"/>
    <w:rsid w:val="00651997"/>
    <w:rsid w:val="00652CE8"/>
    <w:rsid w:val="00652D19"/>
    <w:rsid w:val="00654725"/>
    <w:rsid w:val="00656FB9"/>
    <w:rsid w:val="0066007C"/>
    <w:rsid w:val="006605A6"/>
    <w:rsid w:val="00661A37"/>
    <w:rsid w:val="00664CE1"/>
    <w:rsid w:val="00665030"/>
    <w:rsid w:val="006658F1"/>
    <w:rsid w:val="00667115"/>
    <w:rsid w:val="006716A0"/>
    <w:rsid w:val="006752B0"/>
    <w:rsid w:val="00691DB9"/>
    <w:rsid w:val="00692E37"/>
    <w:rsid w:val="0069470E"/>
    <w:rsid w:val="00695F49"/>
    <w:rsid w:val="00696BD0"/>
    <w:rsid w:val="006A1983"/>
    <w:rsid w:val="006A2D76"/>
    <w:rsid w:val="006A5CD4"/>
    <w:rsid w:val="006C26E5"/>
    <w:rsid w:val="006C2CBC"/>
    <w:rsid w:val="006C4190"/>
    <w:rsid w:val="006C6667"/>
    <w:rsid w:val="006C6EAA"/>
    <w:rsid w:val="006D20F8"/>
    <w:rsid w:val="006D7A6E"/>
    <w:rsid w:val="006E120D"/>
    <w:rsid w:val="006E13F1"/>
    <w:rsid w:val="006E1B6E"/>
    <w:rsid w:val="006E6819"/>
    <w:rsid w:val="006E6E29"/>
    <w:rsid w:val="006F02CD"/>
    <w:rsid w:val="006F43C8"/>
    <w:rsid w:val="006F5750"/>
    <w:rsid w:val="006F5EA8"/>
    <w:rsid w:val="006F6C14"/>
    <w:rsid w:val="00700770"/>
    <w:rsid w:val="00700BF0"/>
    <w:rsid w:val="00702A11"/>
    <w:rsid w:val="007072A1"/>
    <w:rsid w:val="0070760B"/>
    <w:rsid w:val="00712493"/>
    <w:rsid w:val="00712DF0"/>
    <w:rsid w:val="007136A4"/>
    <w:rsid w:val="0071446C"/>
    <w:rsid w:val="007243DF"/>
    <w:rsid w:val="0072473E"/>
    <w:rsid w:val="00724E86"/>
    <w:rsid w:val="00726404"/>
    <w:rsid w:val="0072675F"/>
    <w:rsid w:val="00730D95"/>
    <w:rsid w:val="0073209A"/>
    <w:rsid w:val="00734851"/>
    <w:rsid w:val="00736701"/>
    <w:rsid w:val="00740F5A"/>
    <w:rsid w:val="00742C1F"/>
    <w:rsid w:val="00744A4E"/>
    <w:rsid w:val="00750740"/>
    <w:rsid w:val="00750E2B"/>
    <w:rsid w:val="00751FC6"/>
    <w:rsid w:val="00752888"/>
    <w:rsid w:val="00755065"/>
    <w:rsid w:val="007578EC"/>
    <w:rsid w:val="007579BF"/>
    <w:rsid w:val="007623A2"/>
    <w:rsid w:val="00763E50"/>
    <w:rsid w:val="00765723"/>
    <w:rsid w:val="00766B62"/>
    <w:rsid w:val="00773C09"/>
    <w:rsid w:val="00774FDF"/>
    <w:rsid w:val="007770C4"/>
    <w:rsid w:val="00781746"/>
    <w:rsid w:val="0078369F"/>
    <w:rsid w:val="00786E25"/>
    <w:rsid w:val="00792970"/>
    <w:rsid w:val="00793215"/>
    <w:rsid w:val="00794255"/>
    <w:rsid w:val="007948AB"/>
    <w:rsid w:val="00797B25"/>
    <w:rsid w:val="007A009C"/>
    <w:rsid w:val="007A5BEA"/>
    <w:rsid w:val="007B4656"/>
    <w:rsid w:val="007B79CF"/>
    <w:rsid w:val="007B7FF5"/>
    <w:rsid w:val="007C177C"/>
    <w:rsid w:val="007C2D91"/>
    <w:rsid w:val="007C4B21"/>
    <w:rsid w:val="007C6369"/>
    <w:rsid w:val="007C6512"/>
    <w:rsid w:val="007C6651"/>
    <w:rsid w:val="007D110A"/>
    <w:rsid w:val="007D1D30"/>
    <w:rsid w:val="007D2851"/>
    <w:rsid w:val="007D2EF3"/>
    <w:rsid w:val="007D41B7"/>
    <w:rsid w:val="007E54E6"/>
    <w:rsid w:val="007E61B6"/>
    <w:rsid w:val="007F046D"/>
    <w:rsid w:val="007F0A37"/>
    <w:rsid w:val="007F30B0"/>
    <w:rsid w:val="007F61BE"/>
    <w:rsid w:val="007F7AC3"/>
    <w:rsid w:val="0080107E"/>
    <w:rsid w:val="00802479"/>
    <w:rsid w:val="008027E4"/>
    <w:rsid w:val="00804697"/>
    <w:rsid w:val="00804B6E"/>
    <w:rsid w:val="00806662"/>
    <w:rsid w:val="008066BF"/>
    <w:rsid w:val="00806EB0"/>
    <w:rsid w:val="00811156"/>
    <w:rsid w:val="00811E2C"/>
    <w:rsid w:val="00815751"/>
    <w:rsid w:val="00820899"/>
    <w:rsid w:val="008237EF"/>
    <w:rsid w:val="00826C1F"/>
    <w:rsid w:val="00827369"/>
    <w:rsid w:val="008276CC"/>
    <w:rsid w:val="00830A4B"/>
    <w:rsid w:val="008317F9"/>
    <w:rsid w:val="00835940"/>
    <w:rsid w:val="00836325"/>
    <w:rsid w:val="00840665"/>
    <w:rsid w:val="00842641"/>
    <w:rsid w:val="008427B6"/>
    <w:rsid w:val="008502D6"/>
    <w:rsid w:val="008537DF"/>
    <w:rsid w:val="008560E6"/>
    <w:rsid w:val="0085657E"/>
    <w:rsid w:val="008576ED"/>
    <w:rsid w:val="008606B7"/>
    <w:rsid w:val="00864C7E"/>
    <w:rsid w:val="008701C0"/>
    <w:rsid w:val="008704F3"/>
    <w:rsid w:val="00871B32"/>
    <w:rsid w:val="008724B7"/>
    <w:rsid w:val="00875280"/>
    <w:rsid w:val="00875A19"/>
    <w:rsid w:val="00875D7E"/>
    <w:rsid w:val="008808B7"/>
    <w:rsid w:val="008835FE"/>
    <w:rsid w:val="00884491"/>
    <w:rsid w:val="00884609"/>
    <w:rsid w:val="008865EB"/>
    <w:rsid w:val="008911EB"/>
    <w:rsid w:val="008944FD"/>
    <w:rsid w:val="008A0147"/>
    <w:rsid w:val="008A0563"/>
    <w:rsid w:val="008A33B8"/>
    <w:rsid w:val="008A3F82"/>
    <w:rsid w:val="008A4F23"/>
    <w:rsid w:val="008A50C6"/>
    <w:rsid w:val="008A72A1"/>
    <w:rsid w:val="008B0EA1"/>
    <w:rsid w:val="008B31FB"/>
    <w:rsid w:val="008B65A0"/>
    <w:rsid w:val="008C5185"/>
    <w:rsid w:val="008C5237"/>
    <w:rsid w:val="008C5D71"/>
    <w:rsid w:val="008C7659"/>
    <w:rsid w:val="008C779F"/>
    <w:rsid w:val="008C7C24"/>
    <w:rsid w:val="008D1DC7"/>
    <w:rsid w:val="008D43FE"/>
    <w:rsid w:val="008D5A06"/>
    <w:rsid w:val="008D6346"/>
    <w:rsid w:val="008D788D"/>
    <w:rsid w:val="008E0C07"/>
    <w:rsid w:val="008E3F03"/>
    <w:rsid w:val="008E678E"/>
    <w:rsid w:val="008E6E9A"/>
    <w:rsid w:val="008E7395"/>
    <w:rsid w:val="008F09D5"/>
    <w:rsid w:val="008F13F1"/>
    <w:rsid w:val="008F470C"/>
    <w:rsid w:val="009100B0"/>
    <w:rsid w:val="00910E19"/>
    <w:rsid w:val="0091106B"/>
    <w:rsid w:val="009115CC"/>
    <w:rsid w:val="009115EB"/>
    <w:rsid w:val="009128DE"/>
    <w:rsid w:val="00912B32"/>
    <w:rsid w:val="00914532"/>
    <w:rsid w:val="00915C97"/>
    <w:rsid w:val="00921F88"/>
    <w:rsid w:val="0092366F"/>
    <w:rsid w:val="0092657A"/>
    <w:rsid w:val="00932993"/>
    <w:rsid w:val="00933700"/>
    <w:rsid w:val="00933ABF"/>
    <w:rsid w:val="00935855"/>
    <w:rsid w:val="00940008"/>
    <w:rsid w:val="0094299C"/>
    <w:rsid w:val="00943E17"/>
    <w:rsid w:val="00945B00"/>
    <w:rsid w:val="00945DD1"/>
    <w:rsid w:val="00953AFD"/>
    <w:rsid w:val="00954123"/>
    <w:rsid w:val="009578AD"/>
    <w:rsid w:val="009608DC"/>
    <w:rsid w:val="00961CB3"/>
    <w:rsid w:val="00962474"/>
    <w:rsid w:val="0096325C"/>
    <w:rsid w:val="009675EF"/>
    <w:rsid w:val="0096793F"/>
    <w:rsid w:val="009700CA"/>
    <w:rsid w:val="00973358"/>
    <w:rsid w:val="009735CC"/>
    <w:rsid w:val="0097440B"/>
    <w:rsid w:val="00974ABE"/>
    <w:rsid w:val="00974C83"/>
    <w:rsid w:val="00980114"/>
    <w:rsid w:val="009830D6"/>
    <w:rsid w:val="00984DB5"/>
    <w:rsid w:val="009868AC"/>
    <w:rsid w:val="009961C7"/>
    <w:rsid w:val="009A0661"/>
    <w:rsid w:val="009A45C0"/>
    <w:rsid w:val="009A48F4"/>
    <w:rsid w:val="009A623D"/>
    <w:rsid w:val="009A71A6"/>
    <w:rsid w:val="009B1AD2"/>
    <w:rsid w:val="009B1C5A"/>
    <w:rsid w:val="009B3275"/>
    <w:rsid w:val="009B3C39"/>
    <w:rsid w:val="009B41D8"/>
    <w:rsid w:val="009B7802"/>
    <w:rsid w:val="009D2C05"/>
    <w:rsid w:val="009D3413"/>
    <w:rsid w:val="009D37AD"/>
    <w:rsid w:val="009D3A1B"/>
    <w:rsid w:val="009D7736"/>
    <w:rsid w:val="009E10EC"/>
    <w:rsid w:val="009E1618"/>
    <w:rsid w:val="009E29F1"/>
    <w:rsid w:val="009E5976"/>
    <w:rsid w:val="009E664D"/>
    <w:rsid w:val="009F0C0B"/>
    <w:rsid w:val="009F1D5B"/>
    <w:rsid w:val="009F1DA6"/>
    <w:rsid w:val="009F31FB"/>
    <w:rsid w:val="009F36B0"/>
    <w:rsid w:val="00A05852"/>
    <w:rsid w:val="00A139EC"/>
    <w:rsid w:val="00A15756"/>
    <w:rsid w:val="00A16853"/>
    <w:rsid w:val="00A20905"/>
    <w:rsid w:val="00A20A87"/>
    <w:rsid w:val="00A21197"/>
    <w:rsid w:val="00A25731"/>
    <w:rsid w:val="00A26381"/>
    <w:rsid w:val="00A269CE"/>
    <w:rsid w:val="00A32C90"/>
    <w:rsid w:val="00A32CA8"/>
    <w:rsid w:val="00A33CB6"/>
    <w:rsid w:val="00A34CB5"/>
    <w:rsid w:val="00A35416"/>
    <w:rsid w:val="00A35926"/>
    <w:rsid w:val="00A35A23"/>
    <w:rsid w:val="00A360CA"/>
    <w:rsid w:val="00A428CD"/>
    <w:rsid w:val="00A43543"/>
    <w:rsid w:val="00A43C2A"/>
    <w:rsid w:val="00A4466A"/>
    <w:rsid w:val="00A52045"/>
    <w:rsid w:val="00A52C90"/>
    <w:rsid w:val="00A54F0A"/>
    <w:rsid w:val="00A5740E"/>
    <w:rsid w:val="00A60079"/>
    <w:rsid w:val="00A605CF"/>
    <w:rsid w:val="00A60A81"/>
    <w:rsid w:val="00A629BE"/>
    <w:rsid w:val="00A669B8"/>
    <w:rsid w:val="00A70133"/>
    <w:rsid w:val="00A70A28"/>
    <w:rsid w:val="00A75844"/>
    <w:rsid w:val="00A75C7A"/>
    <w:rsid w:val="00A762BB"/>
    <w:rsid w:val="00A83388"/>
    <w:rsid w:val="00A83F0F"/>
    <w:rsid w:val="00A869D2"/>
    <w:rsid w:val="00A91177"/>
    <w:rsid w:val="00A92759"/>
    <w:rsid w:val="00A92888"/>
    <w:rsid w:val="00A92B9D"/>
    <w:rsid w:val="00A94712"/>
    <w:rsid w:val="00A9785A"/>
    <w:rsid w:val="00AA3296"/>
    <w:rsid w:val="00AA39F7"/>
    <w:rsid w:val="00AB280F"/>
    <w:rsid w:val="00AB514B"/>
    <w:rsid w:val="00AB5CDE"/>
    <w:rsid w:val="00AB61F6"/>
    <w:rsid w:val="00AB6F09"/>
    <w:rsid w:val="00AB6F7D"/>
    <w:rsid w:val="00AB7496"/>
    <w:rsid w:val="00AC2F1F"/>
    <w:rsid w:val="00AC33CF"/>
    <w:rsid w:val="00AC761B"/>
    <w:rsid w:val="00AD00D8"/>
    <w:rsid w:val="00AD1569"/>
    <w:rsid w:val="00AD185C"/>
    <w:rsid w:val="00AE1555"/>
    <w:rsid w:val="00AE1BE3"/>
    <w:rsid w:val="00AE2AB9"/>
    <w:rsid w:val="00AE35F4"/>
    <w:rsid w:val="00AE4D91"/>
    <w:rsid w:val="00AF0655"/>
    <w:rsid w:val="00AF233D"/>
    <w:rsid w:val="00AF74A3"/>
    <w:rsid w:val="00B02E58"/>
    <w:rsid w:val="00B04C19"/>
    <w:rsid w:val="00B05321"/>
    <w:rsid w:val="00B06318"/>
    <w:rsid w:val="00B07C9E"/>
    <w:rsid w:val="00B12EAC"/>
    <w:rsid w:val="00B16063"/>
    <w:rsid w:val="00B17841"/>
    <w:rsid w:val="00B2361D"/>
    <w:rsid w:val="00B302B1"/>
    <w:rsid w:val="00B305D2"/>
    <w:rsid w:val="00B327AB"/>
    <w:rsid w:val="00B37F97"/>
    <w:rsid w:val="00B40A33"/>
    <w:rsid w:val="00B41377"/>
    <w:rsid w:val="00B42017"/>
    <w:rsid w:val="00B44172"/>
    <w:rsid w:val="00B4452D"/>
    <w:rsid w:val="00B45647"/>
    <w:rsid w:val="00B4611D"/>
    <w:rsid w:val="00B474A1"/>
    <w:rsid w:val="00B47A07"/>
    <w:rsid w:val="00B510F8"/>
    <w:rsid w:val="00B51F3B"/>
    <w:rsid w:val="00B52960"/>
    <w:rsid w:val="00B52A0B"/>
    <w:rsid w:val="00B535D9"/>
    <w:rsid w:val="00B5498D"/>
    <w:rsid w:val="00B54D1C"/>
    <w:rsid w:val="00B55720"/>
    <w:rsid w:val="00B55954"/>
    <w:rsid w:val="00B600A3"/>
    <w:rsid w:val="00B60E4E"/>
    <w:rsid w:val="00B634D4"/>
    <w:rsid w:val="00B65332"/>
    <w:rsid w:val="00B66009"/>
    <w:rsid w:val="00B66FDF"/>
    <w:rsid w:val="00B7034B"/>
    <w:rsid w:val="00B70761"/>
    <w:rsid w:val="00B70DA7"/>
    <w:rsid w:val="00B73911"/>
    <w:rsid w:val="00B7516B"/>
    <w:rsid w:val="00B76574"/>
    <w:rsid w:val="00B779B0"/>
    <w:rsid w:val="00B84411"/>
    <w:rsid w:val="00B86BD8"/>
    <w:rsid w:val="00B87EA1"/>
    <w:rsid w:val="00B923F6"/>
    <w:rsid w:val="00B92CAE"/>
    <w:rsid w:val="00B9496C"/>
    <w:rsid w:val="00B949F6"/>
    <w:rsid w:val="00B97374"/>
    <w:rsid w:val="00BA0507"/>
    <w:rsid w:val="00BA10F2"/>
    <w:rsid w:val="00BA4758"/>
    <w:rsid w:val="00BB0759"/>
    <w:rsid w:val="00BB1E85"/>
    <w:rsid w:val="00BB460A"/>
    <w:rsid w:val="00BB52CB"/>
    <w:rsid w:val="00BB6E4D"/>
    <w:rsid w:val="00BC004C"/>
    <w:rsid w:val="00BC043E"/>
    <w:rsid w:val="00BC1531"/>
    <w:rsid w:val="00BC3D67"/>
    <w:rsid w:val="00BD1372"/>
    <w:rsid w:val="00BD2970"/>
    <w:rsid w:val="00BD4D38"/>
    <w:rsid w:val="00BE053E"/>
    <w:rsid w:val="00BE1758"/>
    <w:rsid w:val="00BE2BC3"/>
    <w:rsid w:val="00BE2F17"/>
    <w:rsid w:val="00BE3356"/>
    <w:rsid w:val="00BE38C9"/>
    <w:rsid w:val="00BE57BC"/>
    <w:rsid w:val="00BF292B"/>
    <w:rsid w:val="00BF2EE8"/>
    <w:rsid w:val="00BF3E5E"/>
    <w:rsid w:val="00BF5F96"/>
    <w:rsid w:val="00BF73FC"/>
    <w:rsid w:val="00C017BE"/>
    <w:rsid w:val="00C056D7"/>
    <w:rsid w:val="00C11A32"/>
    <w:rsid w:val="00C1304B"/>
    <w:rsid w:val="00C13CE7"/>
    <w:rsid w:val="00C15E0B"/>
    <w:rsid w:val="00C1628B"/>
    <w:rsid w:val="00C175B0"/>
    <w:rsid w:val="00C22B01"/>
    <w:rsid w:val="00C241F6"/>
    <w:rsid w:val="00C30FEB"/>
    <w:rsid w:val="00C31234"/>
    <w:rsid w:val="00C317A2"/>
    <w:rsid w:val="00C338C0"/>
    <w:rsid w:val="00C34420"/>
    <w:rsid w:val="00C34610"/>
    <w:rsid w:val="00C36079"/>
    <w:rsid w:val="00C36E6A"/>
    <w:rsid w:val="00C401EA"/>
    <w:rsid w:val="00C41310"/>
    <w:rsid w:val="00C41AFE"/>
    <w:rsid w:val="00C420A8"/>
    <w:rsid w:val="00C422B1"/>
    <w:rsid w:val="00C435DF"/>
    <w:rsid w:val="00C449C4"/>
    <w:rsid w:val="00C44E5D"/>
    <w:rsid w:val="00C4536C"/>
    <w:rsid w:val="00C46EE8"/>
    <w:rsid w:val="00C50574"/>
    <w:rsid w:val="00C507AD"/>
    <w:rsid w:val="00C507CC"/>
    <w:rsid w:val="00C50947"/>
    <w:rsid w:val="00C50CD6"/>
    <w:rsid w:val="00C53CDB"/>
    <w:rsid w:val="00C53D30"/>
    <w:rsid w:val="00C56AA8"/>
    <w:rsid w:val="00C577AF"/>
    <w:rsid w:val="00C60ADF"/>
    <w:rsid w:val="00C62E33"/>
    <w:rsid w:val="00C64FF7"/>
    <w:rsid w:val="00C6538A"/>
    <w:rsid w:val="00C65D12"/>
    <w:rsid w:val="00C71591"/>
    <w:rsid w:val="00C72E43"/>
    <w:rsid w:val="00C744C5"/>
    <w:rsid w:val="00C77DE4"/>
    <w:rsid w:val="00C81F2E"/>
    <w:rsid w:val="00C82537"/>
    <w:rsid w:val="00C836AF"/>
    <w:rsid w:val="00C8690C"/>
    <w:rsid w:val="00C9057C"/>
    <w:rsid w:val="00CA2200"/>
    <w:rsid w:val="00CA2264"/>
    <w:rsid w:val="00CA4E67"/>
    <w:rsid w:val="00CA7358"/>
    <w:rsid w:val="00CB05D6"/>
    <w:rsid w:val="00CB0B2A"/>
    <w:rsid w:val="00CB1694"/>
    <w:rsid w:val="00CB19C2"/>
    <w:rsid w:val="00CB1A87"/>
    <w:rsid w:val="00CB4677"/>
    <w:rsid w:val="00CB5F38"/>
    <w:rsid w:val="00CC4D50"/>
    <w:rsid w:val="00CC54DA"/>
    <w:rsid w:val="00CC69C8"/>
    <w:rsid w:val="00CC6BA2"/>
    <w:rsid w:val="00CC7BE9"/>
    <w:rsid w:val="00CC7D2B"/>
    <w:rsid w:val="00CD0D82"/>
    <w:rsid w:val="00CD158C"/>
    <w:rsid w:val="00CD27BE"/>
    <w:rsid w:val="00CD33A0"/>
    <w:rsid w:val="00CD3556"/>
    <w:rsid w:val="00CD36C8"/>
    <w:rsid w:val="00CD4579"/>
    <w:rsid w:val="00CD6B63"/>
    <w:rsid w:val="00CE328C"/>
    <w:rsid w:val="00CE4A20"/>
    <w:rsid w:val="00CE56FF"/>
    <w:rsid w:val="00CE7740"/>
    <w:rsid w:val="00CF0232"/>
    <w:rsid w:val="00CF0841"/>
    <w:rsid w:val="00CF2F70"/>
    <w:rsid w:val="00CF3A99"/>
    <w:rsid w:val="00CF4423"/>
    <w:rsid w:val="00CF62C5"/>
    <w:rsid w:val="00CF66F2"/>
    <w:rsid w:val="00D0647C"/>
    <w:rsid w:val="00D10E47"/>
    <w:rsid w:val="00D13159"/>
    <w:rsid w:val="00D1327D"/>
    <w:rsid w:val="00D1579D"/>
    <w:rsid w:val="00D17420"/>
    <w:rsid w:val="00D20D11"/>
    <w:rsid w:val="00D21911"/>
    <w:rsid w:val="00D23139"/>
    <w:rsid w:val="00D317FD"/>
    <w:rsid w:val="00D323F9"/>
    <w:rsid w:val="00D32C59"/>
    <w:rsid w:val="00D33B9F"/>
    <w:rsid w:val="00D35D30"/>
    <w:rsid w:val="00D36BB7"/>
    <w:rsid w:val="00D37674"/>
    <w:rsid w:val="00D37936"/>
    <w:rsid w:val="00D44AD9"/>
    <w:rsid w:val="00D5041F"/>
    <w:rsid w:val="00D5087A"/>
    <w:rsid w:val="00D52DAB"/>
    <w:rsid w:val="00D6225D"/>
    <w:rsid w:val="00D64B87"/>
    <w:rsid w:val="00D656E3"/>
    <w:rsid w:val="00D67486"/>
    <w:rsid w:val="00D70CF6"/>
    <w:rsid w:val="00D72AD1"/>
    <w:rsid w:val="00D757A5"/>
    <w:rsid w:val="00D75819"/>
    <w:rsid w:val="00D759B6"/>
    <w:rsid w:val="00D75C03"/>
    <w:rsid w:val="00D7697E"/>
    <w:rsid w:val="00D76B08"/>
    <w:rsid w:val="00D81E87"/>
    <w:rsid w:val="00D82AFF"/>
    <w:rsid w:val="00D831B6"/>
    <w:rsid w:val="00D87E5F"/>
    <w:rsid w:val="00D911B5"/>
    <w:rsid w:val="00D920D7"/>
    <w:rsid w:val="00D928B0"/>
    <w:rsid w:val="00D93BD3"/>
    <w:rsid w:val="00D972C0"/>
    <w:rsid w:val="00DA0861"/>
    <w:rsid w:val="00DA2CF8"/>
    <w:rsid w:val="00DA41E6"/>
    <w:rsid w:val="00DA5BF3"/>
    <w:rsid w:val="00DA7576"/>
    <w:rsid w:val="00DB0C0D"/>
    <w:rsid w:val="00DB1971"/>
    <w:rsid w:val="00DB1A30"/>
    <w:rsid w:val="00DB20B4"/>
    <w:rsid w:val="00DB315A"/>
    <w:rsid w:val="00DB36A5"/>
    <w:rsid w:val="00DB7856"/>
    <w:rsid w:val="00DC0740"/>
    <w:rsid w:val="00DC0F10"/>
    <w:rsid w:val="00DC2EB8"/>
    <w:rsid w:val="00DC61E2"/>
    <w:rsid w:val="00DD0BF4"/>
    <w:rsid w:val="00DD3F55"/>
    <w:rsid w:val="00DD5D9B"/>
    <w:rsid w:val="00DD62BB"/>
    <w:rsid w:val="00DE2DF0"/>
    <w:rsid w:val="00DE2EBA"/>
    <w:rsid w:val="00DE3E9F"/>
    <w:rsid w:val="00DE59F9"/>
    <w:rsid w:val="00DE60C4"/>
    <w:rsid w:val="00DE6264"/>
    <w:rsid w:val="00DE64B7"/>
    <w:rsid w:val="00DF1B6C"/>
    <w:rsid w:val="00DF3A7B"/>
    <w:rsid w:val="00DF4009"/>
    <w:rsid w:val="00DF75A2"/>
    <w:rsid w:val="00E00224"/>
    <w:rsid w:val="00E028F5"/>
    <w:rsid w:val="00E0373B"/>
    <w:rsid w:val="00E04AB7"/>
    <w:rsid w:val="00E07775"/>
    <w:rsid w:val="00E10CA9"/>
    <w:rsid w:val="00E10F06"/>
    <w:rsid w:val="00E1132D"/>
    <w:rsid w:val="00E1248D"/>
    <w:rsid w:val="00E15054"/>
    <w:rsid w:val="00E2058A"/>
    <w:rsid w:val="00E20B99"/>
    <w:rsid w:val="00E21E3B"/>
    <w:rsid w:val="00E224B4"/>
    <w:rsid w:val="00E2363D"/>
    <w:rsid w:val="00E23BB0"/>
    <w:rsid w:val="00E2776B"/>
    <w:rsid w:val="00E33D60"/>
    <w:rsid w:val="00E35FAD"/>
    <w:rsid w:val="00E369D2"/>
    <w:rsid w:val="00E40720"/>
    <w:rsid w:val="00E4213C"/>
    <w:rsid w:val="00E42885"/>
    <w:rsid w:val="00E4473E"/>
    <w:rsid w:val="00E44FD4"/>
    <w:rsid w:val="00E46056"/>
    <w:rsid w:val="00E46C8D"/>
    <w:rsid w:val="00E46F7A"/>
    <w:rsid w:val="00E50BFD"/>
    <w:rsid w:val="00E50D7E"/>
    <w:rsid w:val="00E521EB"/>
    <w:rsid w:val="00E54405"/>
    <w:rsid w:val="00E54FDA"/>
    <w:rsid w:val="00E60EDC"/>
    <w:rsid w:val="00E61723"/>
    <w:rsid w:val="00E64223"/>
    <w:rsid w:val="00E64CE1"/>
    <w:rsid w:val="00E6509D"/>
    <w:rsid w:val="00E66A9D"/>
    <w:rsid w:val="00E67130"/>
    <w:rsid w:val="00E70EAA"/>
    <w:rsid w:val="00E7134E"/>
    <w:rsid w:val="00E71ADD"/>
    <w:rsid w:val="00E71B52"/>
    <w:rsid w:val="00E73C05"/>
    <w:rsid w:val="00E75AD7"/>
    <w:rsid w:val="00E768F7"/>
    <w:rsid w:val="00E77556"/>
    <w:rsid w:val="00E80273"/>
    <w:rsid w:val="00E806B4"/>
    <w:rsid w:val="00E827E4"/>
    <w:rsid w:val="00E831FC"/>
    <w:rsid w:val="00E8353C"/>
    <w:rsid w:val="00E8496F"/>
    <w:rsid w:val="00E87542"/>
    <w:rsid w:val="00E87B45"/>
    <w:rsid w:val="00E901AD"/>
    <w:rsid w:val="00E91006"/>
    <w:rsid w:val="00E948D4"/>
    <w:rsid w:val="00EA23FB"/>
    <w:rsid w:val="00EA265F"/>
    <w:rsid w:val="00EA37F6"/>
    <w:rsid w:val="00EA6479"/>
    <w:rsid w:val="00EA78D2"/>
    <w:rsid w:val="00EB0966"/>
    <w:rsid w:val="00EB0F50"/>
    <w:rsid w:val="00EB1E59"/>
    <w:rsid w:val="00EB20FA"/>
    <w:rsid w:val="00EB258B"/>
    <w:rsid w:val="00EB2B78"/>
    <w:rsid w:val="00EB2D79"/>
    <w:rsid w:val="00EB5187"/>
    <w:rsid w:val="00EB597B"/>
    <w:rsid w:val="00EC11E9"/>
    <w:rsid w:val="00EC2C95"/>
    <w:rsid w:val="00EC4BFA"/>
    <w:rsid w:val="00EC4C27"/>
    <w:rsid w:val="00EC649F"/>
    <w:rsid w:val="00EC6DE4"/>
    <w:rsid w:val="00ED100E"/>
    <w:rsid w:val="00ED23B2"/>
    <w:rsid w:val="00ED532B"/>
    <w:rsid w:val="00ED7964"/>
    <w:rsid w:val="00EE54D6"/>
    <w:rsid w:val="00EE6613"/>
    <w:rsid w:val="00EF0472"/>
    <w:rsid w:val="00EF1404"/>
    <w:rsid w:val="00EF3650"/>
    <w:rsid w:val="00EF59B3"/>
    <w:rsid w:val="00EF62F3"/>
    <w:rsid w:val="00EF6D42"/>
    <w:rsid w:val="00EF71E9"/>
    <w:rsid w:val="00EF7569"/>
    <w:rsid w:val="00F00D46"/>
    <w:rsid w:val="00F01B53"/>
    <w:rsid w:val="00F01F59"/>
    <w:rsid w:val="00F01FAA"/>
    <w:rsid w:val="00F05625"/>
    <w:rsid w:val="00F06495"/>
    <w:rsid w:val="00F105E9"/>
    <w:rsid w:val="00F11E48"/>
    <w:rsid w:val="00F12F85"/>
    <w:rsid w:val="00F13288"/>
    <w:rsid w:val="00F1397D"/>
    <w:rsid w:val="00F15027"/>
    <w:rsid w:val="00F16D75"/>
    <w:rsid w:val="00F27FD3"/>
    <w:rsid w:val="00F30612"/>
    <w:rsid w:val="00F3313F"/>
    <w:rsid w:val="00F3490C"/>
    <w:rsid w:val="00F3781A"/>
    <w:rsid w:val="00F42B5C"/>
    <w:rsid w:val="00F42D61"/>
    <w:rsid w:val="00F430D7"/>
    <w:rsid w:val="00F4335A"/>
    <w:rsid w:val="00F44723"/>
    <w:rsid w:val="00F4634A"/>
    <w:rsid w:val="00F46A8D"/>
    <w:rsid w:val="00F47CA7"/>
    <w:rsid w:val="00F50777"/>
    <w:rsid w:val="00F50DF4"/>
    <w:rsid w:val="00F529E9"/>
    <w:rsid w:val="00F53293"/>
    <w:rsid w:val="00F53675"/>
    <w:rsid w:val="00F5637E"/>
    <w:rsid w:val="00F606F3"/>
    <w:rsid w:val="00F6138B"/>
    <w:rsid w:val="00F62324"/>
    <w:rsid w:val="00F635FD"/>
    <w:rsid w:val="00F67DC2"/>
    <w:rsid w:val="00F723C5"/>
    <w:rsid w:val="00F7336F"/>
    <w:rsid w:val="00F73745"/>
    <w:rsid w:val="00F73A67"/>
    <w:rsid w:val="00F747E7"/>
    <w:rsid w:val="00F756B5"/>
    <w:rsid w:val="00F760B7"/>
    <w:rsid w:val="00F7618D"/>
    <w:rsid w:val="00F774AF"/>
    <w:rsid w:val="00F82D3F"/>
    <w:rsid w:val="00F878A7"/>
    <w:rsid w:val="00F972FA"/>
    <w:rsid w:val="00F97D93"/>
    <w:rsid w:val="00FA21EE"/>
    <w:rsid w:val="00FA3849"/>
    <w:rsid w:val="00FA7E5C"/>
    <w:rsid w:val="00FB0124"/>
    <w:rsid w:val="00FB229D"/>
    <w:rsid w:val="00FB4BBB"/>
    <w:rsid w:val="00FB6E33"/>
    <w:rsid w:val="00FB7F68"/>
    <w:rsid w:val="00FC27EC"/>
    <w:rsid w:val="00FC3459"/>
    <w:rsid w:val="00FC37AA"/>
    <w:rsid w:val="00FC4A14"/>
    <w:rsid w:val="00FC5784"/>
    <w:rsid w:val="00FC6259"/>
    <w:rsid w:val="00FD5967"/>
    <w:rsid w:val="00FD7355"/>
    <w:rsid w:val="00FD7903"/>
    <w:rsid w:val="00FE05A8"/>
    <w:rsid w:val="00FE0668"/>
    <w:rsid w:val="00FE36BE"/>
    <w:rsid w:val="00FE4E73"/>
    <w:rsid w:val="00FF0314"/>
    <w:rsid w:val="00FF0A8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9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8C7659"/>
    <w:rPr>
      <w:color w:val="808080"/>
    </w:rPr>
  </w:style>
  <w:style w:type="paragraph" w:styleId="Revisie">
    <w:name w:val="Revision"/>
    <w:hidden/>
    <w:uiPriority w:val="99"/>
    <w:semiHidden/>
    <w:rsid w:val="008C7659"/>
    <w:rPr>
      <w:rFonts w:ascii="Univers" w:hAnsi="Univers"/>
      <w:sz w:val="22"/>
      <w:szCs w:val="24"/>
    </w:rPr>
  </w:style>
  <w:style w:type="paragraph" w:styleId="Lijstalinea">
    <w:name w:val="List Paragraph"/>
    <w:basedOn w:val="Standaard"/>
    <w:uiPriority w:val="34"/>
    <w:qFormat/>
    <w:rsid w:val="003F0D1D"/>
    <w:pPr>
      <w:ind w:left="720"/>
      <w:contextualSpacing/>
    </w:pPr>
  </w:style>
  <w:style w:type="paragraph" w:styleId="Voetnoottekst">
    <w:name w:val="footnote text"/>
    <w:basedOn w:val="Standaard"/>
    <w:link w:val="VoetnoottekstChar"/>
    <w:uiPriority w:val="99"/>
    <w:semiHidden/>
    <w:unhideWhenUsed/>
    <w:rsid w:val="009F1DA6"/>
    <w:rPr>
      <w:sz w:val="20"/>
      <w:szCs w:val="20"/>
    </w:rPr>
  </w:style>
  <w:style w:type="character" w:customStyle="1" w:styleId="VoetnoottekstChar">
    <w:name w:val="Voetnoottekst Char"/>
    <w:basedOn w:val="Standaardalinea-lettertype"/>
    <w:link w:val="Voetnoottekst"/>
    <w:uiPriority w:val="99"/>
    <w:semiHidden/>
    <w:rsid w:val="009F1DA6"/>
    <w:rPr>
      <w:rFonts w:ascii="Univers" w:hAnsi="Univers"/>
    </w:rPr>
  </w:style>
  <w:style w:type="character" w:styleId="Voetnootmarkering">
    <w:name w:val="footnote reference"/>
    <w:basedOn w:val="Standaardalinea-lettertype"/>
    <w:uiPriority w:val="99"/>
    <w:semiHidden/>
    <w:unhideWhenUsed/>
    <w:rsid w:val="009F1DA6"/>
    <w:rPr>
      <w:vertAlign w:val="superscript"/>
    </w:rPr>
  </w:style>
  <w:style w:type="character" w:styleId="Verwijzingopmerking">
    <w:name w:val="annotation reference"/>
    <w:basedOn w:val="Standaardalinea-lettertype"/>
    <w:uiPriority w:val="99"/>
    <w:semiHidden/>
    <w:unhideWhenUsed/>
    <w:rsid w:val="008E0C07"/>
    <w:rPr>
      <w:sz w:val="16"/>
      <w:szCs w:val="16"/>
    </w:rPr>
  </w:style>
  <w:style w:type="paragraph" w:styleId="Tekstopmerking">
    <w:name w:val="annotation text"/>
    <w:basedOn w:val="Standaard"/>
    <w:link w:val="TekstopmerkingChar"/>
    <w:uiPriority w:val="99"/>
    <w:semiHidden/>
    <w:unhideWhenUsed/>
    <w:rsid w:val="008E0C07"/>
    <w:rPr>
      <w:sz w:val="20"/>
      <w:szCs w:val="20"/>
    </w:rPr>
  </w:style>
  <w:style w:type="character" w:customStyle="1" w:styleId="TekstopmerkingChar">
    <w:name w:val="Tekst opmerking Char"/>
    <w:basedOn w:val="Standaardalinea-lettertype"/>
    <w:link w:val="Tekstopmerking"/>
    <w:uiPriority w:val="99"/>
    <w:semiHidden/>
    <w:rsid w:val="008E0C07"/>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8E0C07"/>
    <w:rPr>
      <w:b/>
      <w:bCs/>
    </w:rPr>
  </w:style>
  <w:style w:type="character" w:customStyle="1" w:styleId="OnderwerpvanopmerkingChar">
    <w:name w:val="Onderwerp van opmerking Char"/>
    <w:basedOn w:val="TekstopmerkingChar"/>
    <w:link w:val="Onderwerpvanopmerking"/>
    <w:uiPriority w:val="99"/>
    <w:semiHidden/>
    <w:rsid w:val="008E0C07"/>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43FB6C82-F91D-4D70-B113-995452202307}"/>
      </w:docPartPr>
      <w:docPartBody>
        <w:p w:rsidR="00C30B08" w:rsidRDefault="00797584">
          <w:r w:rsidRPr="00002D0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584"/>
    <w:rsid w:val="000D19CC"/>
    <w:rsid w:val="00305F70"/>
    <w:rsid w:val="00643515"/>
    <w:rsid w:val="00722925"/>
    <w:rsid w:val="00797584"/>
    <w:rsid w:val="00C30B0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975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1767</ap:Words>
  <ap:Characters>9722</ap:Characters>
  <ap:DocSecurity>0</ap:DocSecurity>
  <ap:Lines>81</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2023-09-13T14:17:00.0000000Z</dcterms:created>
  <dcterms:modified xsi:type="dcterms:W3CDTF">2023-09-13T14:17:00.0000000Z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W16.23.00076/II</vt:lpwstr>
  </property>
  <property fmtid="{D5CDD505-2E9C-101B-9397-08002B2CF9AE}" pid="5" name="zaaktype">
    <vt:lpwstr>NVW</vt:lpwstr>
  </property>
  <property fmtid="{D5CDD505-2E9C-101B-9397-08002B2CF9AE}" pid="6" name="ContentTypeId">
    <vt:lpwstr>0x010100FA5A77795FEADA4EA51227303613444600E31EB7F75A52E444A1F63A1008F9075D</vt:lpwstr>
  </property>
  <property fmtid="{D5CDD505-2E9C-101B-9397-08002B2CF9AE}" pid="7" name="Bestemming">
    <vt:lpwstr>2;#Corsa|a7721b99-8166-4953-a37e-7c8574fb4b8b</vt:lpwstr>
  </property>
  <property fmtid="{D5CDD505-2E9C-101B-9397-08002B2CF9AE}" pid="8" name="_dlc_DocIdItemGuid">
    <vt:lpwstr>e3ef8325-b872-4baa-b860-ac7739d78d82</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