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69F84682" wp14:anchorId="6AD78AE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5602A0">
                              <w:t>Buitenlandse Zaken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1E0E15">
                            <w:pPr>
                              <w:pStyle w:val="Huisstijl-Agendatitel"/>
                              <w:ind w:left="0" w:firstLine="0"/>
                              <w:jc w:val="right"/>
                            </w:pPr>
                            <w:r w:rsidRPr="008C3CCB">
                              <w:t>1</w:t>
                            </w:r>
                            <w:r w:rsidRPr="008C3CCB" w:rsidR="008C3CCB">
                              <w:t>1</w:t>
                            </w:r>
                            <w:r w:rsidRPr="008C3CCB">
                              <w:t xml:space="preserve"> september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5602A0">
                        <w:t>Buitenlandse Zaken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1E0E15">
                      <w:pPr>
                        <w:pStyle w:val="Huisstijl-Agendatitel"/>
                        <w:ind w:left="0" w:firstLine="0"/>
                        <w:jc w:val="right"/>
                      </w:pPr>
                      <w:r w:rsidRPr="008C3CCB">
                        <w:t>1</w:t>
                      </w:r>
                      <w:r w:rsidRPr="008C3CCB" w:rsidR="008C3CCB">
                        <w:t>1</w:t>
                      </w:r>
                      <w:r w:rsidRPr="008C3CCB">
                        <w:t xml:space="preserve"> september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4B5E8D4">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bookmarkStart w:name="_GoBack" w:id="0"/>
      <w:r w:rsidRPr="00E02D08">
        <w:rPr>
          <w:b/>
          <w:sz w:val="22"/>
        </w:rPr>
        <w:t>Lijst van nieuwe EU-voorstellen</w:t>
      </w:r>
      <w:r w:rsidRPr="00E02D08">
        <w:rPr>
          <w:b/>
          <w:sz w:val="22"/>
          <w:szCs w:val="18"/>
        </w:rPr>
        <w:t xml:space="preserve"> </w:t>
      </w:r>
    </w:p>
    <w:bookmarkEnd w:id="0"/>
    <w:p w:rsidRPr="00E02D08" w:rsidR="00E02D08" w:rsidP="00C727FA" w:rsidRDefault="00E02D08">
      <w:pPr>
        <w:rPr>
          <w:b/>
          <w:sz w:val="22"/>
          <w:szCs w:val="18"/>
        </w:rPr>
      </w:pPr>
    </w:p>
    <w:p w:rsidRPr="00E02D08" w:rsidR="006F2511" w:rsidP="00C727FA" w:rsidRDefault="006F2511">
      <w:pPr>
        <w:rPr>
          <w:sz w:val="16"/>
          <w:szCs w:val="18"/>
        </w:rPr>
      </w:pPr>
      <w:r w:rsidRPr="008C3CCB">
        <w:rPr>
          <w:sz w:val="16"/>
          <w:szCs w:val="18"/>
        </w:rPr>
        <w:t>De</w:t>
      </w:r>
      <w:r w:rsidRPr="008C3CCB">
        <w:rPr>
          <w:b/>
          <w:sz w:val="16"/>
          <w:szCs w:val="18"/>
        </w:rPr>
        <w:t xml:space="preserve"> </w:t>
      </w:r>
      <w:r w:rsidRPr="008C3CCB">
        <w:rPr>
          <w:sz w:val="16"/>
          <w:szCs w:val="18"/>
        </w:rPr>
        <w:t xml:space="preserve">Europese Commissie heeft in de periode </w:t>
      </w:r>
      <w:r w:rsidRPr="008C3CCB" w:rsidR="001E0E15">
        <w:rPr>
          <w:sz w:val="16"/>
          <w:szCs w:val="18"/>
        </w:rPr>
        <w:t>van</w:t>
      </w:r>
      <w:r w:rsidRPr="008C3CCB" w:rsidR="008C3CCB">
        <w:rPr>
          <w:sz w:val="16"/>
          <w:szCs w:val="18"/>
        </w:rPr>
        <w:t xml:space="preserve"> 6 juli </w:t>
      </w:r>
      <w:r w:rsidRPr="008C3CCB" w:rsidR="001E0E15">
        <w:rPr>
          <w:sz w:val="16"/>
          <w:szCs w:val="18"/>
        </w:rPr>
        <w:t xml:space="preserve">2023 tot en met </w:t>
      </w:r>
      <w:r w:rsidRPr="008C3CCB" w:rsidR="008C3CCB">
        <w:rPr>
          <w:sz w:val="16"/>
          <w:szCs w:val="18"/>
        </w:rPr>
        <w:t xml:space="preserve">5 september </w:t>
      </w:r>
      <w:r w:rsidRPr="008C3CCB" w:rsidR="001E0E15">
        <w:rPr>
          <w:sz w:val="16"/>
          <w:szCs w:val="18"/>
        </w:rPr>
        <w:t xml:space="preserve">2023 </w:t>
      </w:r>
      <w:r w:rsidRPr="008C3CCB">
        <w:rPr>
          <w:sz w:val="16"/>
          <w:szCs w:val="18"/>
        </w:rPr>
        <w:t>de</w:t>
      </w:r>
      <w:r w:rsidRPr="00E02D08">
        <w:rPr>
          <w:sz w:val="16"/>
          <w:szCs w:val="18"/>
        </w:rPr>
        <w:t xml:space="preserv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 xml:space="preserve">relevante </w:t>
      </w:r>
      <w:r w:rsidRPr="008C3CCB">
        <w:rPr>
          <w:sz w:val="16"/>
          <w:szCs w:val="18"/>
        </w:rPr>
        <w:t>voorstellen</w:t>
      </w:r>
      <w:r w:rsidRPr="00E02D08">
        <w:rPr>
          <w:sz w:val="16"/>
          <w:szCs w:val="18"/>
        </w:rPr>
        <w:t xml:space="preserve">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820149"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pPr>
        <w:rPr>
          <w:szCs w:val="18"/>
        </w:rPr>
      </w:pPr>
    </w:p>
    <w:p w:rsidR="00781BCD" w:rsidP="002A4BD8" w:rsidRDefault="00451D95">
      <w:pPr>
        <w:rPr>
          <w:szCs w:val="18"/>
        </w:rPr>
      </w:pPr>
      <w:r>
        <w:rPr>
          <w:szCs w:val="18"/>
        </w:rPr>
        <w:t>N.v.t.</w:t>
      </w:r>
    </w:p>
    <w:p w:rsidR="00451D95" w:rsidP="002A4BD8" w:rsidRDefault="00451D95">
      <w:pPr>
        <w:rPr>
          <w:szCs w:val="18"/>
        </w:rPr>
      </w:pPr>
    </w:p>
    <w:p w:rsidRPr="009547A1"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9547A1"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2A28" w:rsidR="009547A1" w:rsidTr="00D119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547A1" w:rsidP="00D11909" w:rsidRDefault="009547A1">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B2BAB" w:rsidR="009547A1" w:rsidP="00D11909" w:rsidRDefault="009547A1">
            <w:pPr>
              <w:spacing w:after="240"/>
              <w:rPr>
                <w:szCs w:val="18"/>
              </w:rPr>
            </w:pPr>
            <w:r w:rsidRPr="007B2BAB">
              <w:rPr>
                <w:szCs w:val="18"/>
              </w:rPr>
              <w:t>Titel</w:t>
            </w:r>
            <w:r w:rsidR="00451D95">
              <w:rPr>
                <w:szCs w:val="18"/>
              </w:rPr>
              <w:t xml:space="preserve"> </w:t>
            </w:r>
          </w:p>
        </w:tc>
        <w:tc>
          <w:tcPr>
            <w:tcW w:w="6529" w:type="dxa"/>
          </w:tcPr>
          <w:p w:rsidR="00451D95" w:rsidP="00451D95" w:rsidRDefault="00451D95">
            <w:pPr>
              <w:shd w:val="clear" w:color="auto" w:fill="FFFFFF"/>
              <w:spacing w:after="75"/>
              <w:rPr>
                <w:szCs w:val="18"/>
              </w:rPr>
            </w:pPr>
            <w:r>
              <w:rPr>
                <w:szCs w:val="18"/>
              </w:rPr>
              <w:t>GEZAMENLIJK VERSLAG AAN HET EUROPEES PARLEMENT EN DE RAAD Speciale Administratieve Regio Macau Jaarverslag 2022</w:t>
            </w:r>
          </w:p>
          <w:p w:rsidRPr="00F62A28" w:rsidR="009547A1" w:rsidP="00451D95" w:rsidRDefault="00766A0D">
            <w:pPr>
              <w:shd w:val="clear" w:color="auto" w:fill="FFFFFF"/>
              <w:spacing w:after="75"/>
              <w:rPr>
                <w:szCs w:val="18"/>
              </w:rPr>
            </w:pPr>
            <w:hyperlink w:history="1" r:id="rId11">
              <w:r w:rsidR="00451D95">
                <w:rPr>
                  <w:rStyle w:val="Hyperlink"/>
                  <w:szCs w:val="18"/>
                </w:rPr>
                <w:t>JOIN(2023)29</w:t>
              </w:r>
            </w:hyperlink>
          </w:p>
        </w:tc>
      </w:tr>
      <w:tr w:rsidR="009547A1" w:rsidTr="00B10344">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F62A28" w:rsidR="009547A1" w:rsidP="00D11909" w:rsidRDefault="009547A1">
            <w:pPr>
              <w:spacing w:after="240"/>
              <w:rPr>
                <w:szCs w:val="18"/>
              </w:rPr>
            </w:pPr>
          </w:p>
        </w:tc>
        <w:tc>
          <w:tcPr>
            <w:tcW w:w="1035" w:type="dxa"/>
          </w:tcPr>
          <w:p w:rsidRPr="007B2BAB" w:rsidR="009547A1" w:rsidP="00D11909" w:rsidRDefault="009547A1">
            <w:pPr>
              <w:spacing w:after="240"/>
              <w:rPr>
                <w:szCs w:val="18"/>
              </w:rPr>
            </w:pPr>
            <w:r w:rsidRPr="007B2BAB">
              <w:rPr>
                <w:szCs w:val="18"/>
              </w:rPr>
              <w:t>Voorstel</w:t>
            </w:r>
          </w:p>
        </w:tc>
        <w:tc>
          <w:tcPr>
            <w:tcW w:w="6529" w:type="dxa"/>
          </w:tcPr>
          <w:p w:rsidRPr="007B2BAB" w:rsidR="009547A1" w:rsidP="00F941A4" w:rsidRDefault="004E4D0E">
            <w:pPr>
              <w:spacing w:after="240"/>
              <w:rPr>
                <w:szCs w:val="18"/>
              </w:rPr>
            </w:pPr>
            <w:r>
              <w:rPr>
                <w:szCs w:val="18"/>
              </w:rPr>
              <w:t>Agenderen voor het Notaoverleg Mensenrechtenbeleid op 25 september 2023</w:t>
            </w:r>
          </w:p>
        </w:tc>
      </w:tr>
      <w:tr w:rsidR="009547A1" w:rsidTr="00D11909">
        <w:tc>
          <w:tcPr>
            <w:tcW w:w="421" w:type="dxa"/>
            <w:vMerge/>
            <w:tcBorders>
              <w:top w:val="nil"/>
              <w:bottom w:val="single" w:color="D9D9D9" w:themeColor="background1" w:themeShade="D9" w:sz="4" w:space="0"/>
            </w:tcBorders>
            <w:shd w:val="clear" w:color="auto" w:fill="F2F2F2" w:themeFill="background1" w:themeFillShade="F2"/>
          </w:tcPr>
          <w:p w:rsidRPr="00D75535" w:rsidR="009547A1" w:rsidP="00D11909" w:rsidRDefault="009547A1">
            <w:pPr>
              <w:spacing w:after="240"/>
              <w:rPr>
                <w:color w:val="595959" w:themeColor="text1" w:themeTint="A6"/>
                <w:szCs w:val="18"/>
              </w:rPr>
            </w:pPr>
          </w:p>
        </w:tc>
        <w:tc>
          <w:tcPr>
            <w:tcW w:w="1035" w:type="dxa"/>
          </w:tcPr>
          <w:p w:rsidRPr="007B2BAB" w:rsidR="009547A1" w:rsidP="00D11909" w:rsidRDefault="009547A1">
            <w:pPr>
              <w:spacing w:after="240"/>
              <w:rPr>
                <w:szCs w:val="18"/>
              </w:rPr>
            </w:pPr>
            <w:r w:rsidRPr="007B2BAB">
              <w:rPr>
                <w:szCs w:val="18"/>
              </w:rPr>
              <w:t>Noot</w:t>
            </w:r>
          </w:p>
        </w:tc>
        <w:tc>
          <w:tcPr>
            <w:tcW w:w="6529" w:type="dxa"/>
          </w:tcPr>
          <w:p w:rsidRPr="00514845" w:rsidR="00D05838" w:rsidP="00EF3853" w:rsidRDefault="00D05838">
            <w:pPr>
              <w:spacing w:after="240"/>
            </w:pPr>
            <w:r>
              <w:t xml:space="preserve">In dit verslag bespreken het Europees Parlement en de Raad het jaarverslag 2022 met betrekking tot Macau. De EU volgt de politieke en economische ontwikkelingen in Macau sinds het onderdeel werd van China </w:t>
            </w:r>
            <w:r w:rsidR="006A5DE8">
              <w:t xml:space="preserve">in 1999 </w:t>
            </w:r>
            <w:r>
              <w:t>binnen het ‘één land, twee systemen’-beginsel</w:t>
            </w:r>
            <w:r w:rsidR="00EF3853">
              <w:t xml:space="preserve">. </w:t>
            </w:r>
            <w:r w:rsidR="006A5DE8">
              <w:t>Naast andere ontwikkelingen bestonden e</w:t>
            </w:r>
            <w:r>
              <w:t xml:space="preserve">r in 2022 zorgen over </w:t>
            </w:r>
            <w:r w:rsidR="006A5DE8">
              <w:t xml:space="preserve">het verlies aan autonomie, </w:t>
            </w:r>
            <w:r>
              <w:t>rechten en vrijheden in Macao</w:t>
            </w:r>
            <w:r w:rsidR="006A5DE8">
              <w:t xml:space="preserve">. </w:t>
            </w:r>
            <w:r w:rsidR="00EF3853">
              <w:t>Daarom het advies om het verslag te behandelen b</w:t>
            </w:r>
            <w:r>
              <w:t xml:space="preserve">innen het </w:t>
            </w:r>
            <w:r w:rsidR="001B633D">
              <w:t>nota</w:t>
            </w:r>
            <w:r>
              <w:t>ov</w:t>
            </w:r>
            <w:r w:rsidR="001B633D">
              <w:t xml:space="preserve">erleg mensenrechtenbeleid op 25 september. </w:t>
            </w:r>
          </w:p>
        </w:tc>
      </w:tr>
    </w:tbl>
    <w:p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2A28" w:rsidR="00451D95" w:rsidTr="004D28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51D95" w:rsidP="004D2809" w:rsidRDefault="00451D95">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B2BAB" w:rsidR="00451D95" w:rsidP="004D2809" w:rsidRDefault="00451D95">
            <w:pPr>
              <w:spacing w:after="240"/>
              <w:rPr>
                <w:szCs w:val="18"/>
              </w:rPr>
            </w:pPr>
            <w:r w:rsidRPr="007B2BAB">
              <w:rPr>
                <w:szCs w:val="18"/>
              </w:rPr>
              <w:t>Titel</w:t>
            </w:r>
            <w:r>
              <w:rPr>
                <w:szCs w:val="18"/>
              </w:rPr>
              <w:t xml:space="preserve"> </w:t>
            </w:r>
          </w:p>
        </w:tc>
        <w:tc>
          <w:tcPr>
            <w:tcW w:w="6529" w:type="dxa"/>
          </w:tcPr>
          <w:p w:rsidRPr="00F62A28" w:rsidR="00451D95" w:rsidP="004D2809" w:rsidRDefault="00451D95">
            <w:pPr>
              <w:shd w:val="clear" w:color="auto" w:fill="FFFFFF"/>
              <w:spacing w:after="75"/>
              <w:rPr>
                <w:szCs w:val="18"/>
              </w:rPr>
            </w:pPr>
            <w:r>
              <w:rPr>
                <w:szCs w:val="18"/>
              </w:rPr>
              <w:t xml:space="preserve">GEZAMENLIJK VERSLAG AAN HET EUROPEES PARLEMENT EN DE RAAD Speciale Administratieve Regio Hongkong Jaarverslag 2022 </w:t>
            </w:r>
            <w:hyperlink w:history="1" r:id="rId12">
              <w:r>
                <w:rPr>
                  <w:rStyle w:val="Hyperlink"/>
                  <w:szCs w:val="18"/>
                </w:rPr>
                <w:t>JOIN(2023)30</w:t>
              </w:r>
            </w:hyperlink>
          </w:p>
        </w:tc>
      </w:tr>
      <w:tr w:rsidR="00451D95" w:rsidTr="004D2809">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F62A28" w:rsidR="00451D95" w:rsidP="004D2809" w:rsidRDefault="00451D95">
            <w:pPr>
              <w:spacing w:after="240"/>
              <w:rPr>
                <w:szCs w:val="18"/>
              </w:rPr>
            </w:pPr>
          </w:p>
        </w:tc>
        <w:tc>
          <w:tcPr>
            <w:tcW w:w="1035" w:type="dxa"/>
          </w:tcPr>
          <w:p w:rsidRPr="007B2BAB" w:rsidR="00451D95" w:rsidP="004D2809" w:rsidRDefault="00451D95">
            <w:pPr>
              <w:spacing w:after="240"/>
              <w:rPr>
                <w:szCs w:val="18"/>
              </w:rPr>
            </w:pPr>
            <w:r w:rsidRPr="007B2BAB">
              <w:rPr>
                <w:szCs w:val="18"/>
              </w:rPr>
              <w:t>Voorstel</w:t>
            </w:r>
          </w:p>
        </w:tc>
        <w:tc>
          <w:tcPr>
            <w:tcW w:w="6529" w:type="dxa"/>
          </w:tcPr>
          <w:p w:rsidRPr="007B2BAB" w:rsidR="00451D95" w:rsidP="004D2809" w:rsidRDefault="004E4D0E">
            <w:pPr>
              <w:spacing w:after="240"/>
              <w:rPr>
                <w:szCs w:val="18"/>
              </w:rPr>
            </w:pPr>
            <w:r>
              <w:rPr>
                <w:szCs w:val="18"/>
              </w:rPr>
              <w:t>Agenderen voor het Notaoverleg Mensenrechtenbeleid op 25 september 2023</w:t>
            </w:r>
          </w:p>
        </w:tc>
      </w:tr>
      <w:tr w:rsidR="00451D95" w:rsidTr="004D2809">
        <w:tc>
          <w:tcPr>
            <w:tcW w:w="421" w:type="dxa"/>
            <w:vMerge/>
            <w:tcBorders>
              <w:top w:val="nil"/>
              <w:bottom w:val="single" w:color="D9D9D9" w:themeColor="background1" w:themeShade="D9" w:sz="4" w:space="0"/>
            </w:tcBorders>
            <w:shd w:val="clear" w:color="auto" w:fill="F2F2F2" w:themeFill="background1" w:themeFillShade="F2"/>
          </w:tcPr>
          <w:p w:rsidRPr="00D75535" w:rsidR="00451D95" w:rsidP="004D2809" w:rsidRDefault="00451D95">
            <w:pPr>
              <w:spacing w:after="240"/>
              <w:rPr>
                <w:color w:val="595959" w:themeColor="text1" w:themeTint="A6"/>
                <w:szCs w:val="18"/>
              </w:rPr>
            </w:pPr>
          </w:p>
        </w:tc>
        <w:tc>
          <w:tcPr>
            <w:tcW w:w="1035" w:type="dxa"/>
          </w:tcPr>
          <w:p w:rsidRPr="007B2BAB" w:rsidR="00451D95" w:rsidP="004D2809" w:rsidRDefault="00451D95">
            <w:pPr>
              <w:spacing w:after="240"/>
              <w:rPr>
                <w:szCs w:val="18"/>
              </w:rPr>
            </w:pPr>
            <w:r w:rsidRPr="007B2BAB">
              <w:rPr>
                <w:szCs w:val="18"/>
              </w:rPr>
              <w:t>Noot</w:t>
            </w:r>
          </w:p>
        </w:tc>
        <w:tc>
          <w:tcPr>
            <w:tcW w:w="6529" w:type="dxa"/>
          </w:tcPr>
          <w:p w:rsidRPr="00514845" w:rsidR="00451D95" w:rsidP="00EF3853" w:rsidRDefault="00D05838">
            <w:pPr>
              <w:spacing w:after="240"/>
            </w:pPr>
            <w:r>
              <w:t xml:space="preserve">In dit verslag bespreken het Europees Parlement en de Raad het jaarverslag 2022 met betrekking tot Hongkong. De EU volgt de politieke en economische ontwikkelingen in </w:t>
            </w:r>
            <w:r w:rsidR="001B633D">
              <w:t>Hongkong</w:t>
            </w:r>
            <w:r>
              <w:t xml:space="preserve"> sinds het onderdeel werd van China </w:t>
            </w:r>
            <w:r w:rsidR="001B633D">
              <w:t>i</w:t>
            </w:r>
            <w:r w:rsidR="006A5DE8">
              <w:t xml:space="preserve">n 1997 </w:t>
            </w:r>
            <w:r>
              <w:t>binnen het ‘één land, twee systemen’</w:t>
            </w:r>
            <w:r w:rsidR="006A5DE8">
              <w:t>-beginsel</w:t>
            </w:r>
            <w:r>
              <w:t xml:space="preserve">. </w:t>
            </w:r>
            <w:r w:rsidR="006A5DE8">
              <w:t xml:space="preserve">Naast andere ontwikkelingen </w:t>
            </w:r>
            <w:r w:rsidR="001B633D">
              <w:t>bestonden er in</w:t>
            </w:r>
            <w:r>
              <w:t xml:space="preserve"> 2022 zorgen over </w:t>
            </w:r>
            <w:r w:rsidR="001B633D">
              <w:t>de rechtsstaat en het verlies aan</w:t>
            </w:r>
            <w:r>
              <w:t xml:space="preserve"> autonomie</w:t>
            </w:r>
            <w:r w:rsidR="006A5DE8">
              <w:t xml:space="preserve">, </w:t>
            </w:r>
            <w:r>
              <w:t xml:space="preserve">rechten en vrijheden in </w:t>
            </w:r>
            <w:r w:rsidR="001B633D">
              <w:t xml:space="preserve">Hongkong. </w:t>
            </w:r>
            <w:r w:rsidR="00EF3853">
              <w:t>Daarom het advies om het verslag te behandelen binnen het notaoverleg mensenrechtenbeleid op 25 september.</w:t>
            </w:r>
          </w:p>
        </w:tc>
      </w:tr>
    </w:tbl>
    <w:p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2A28" w:rsidR="00D7395C" w:rsidTr="004D28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395C" w:rsidP="004D2809" w:rsidRDefault="00D7395C">
            <w:pPr>
              <w:pStyle w:val="Lijstalinea"/>
              <w:numPr>
                <w:ilvl w:val="0"/>
                <w:numId w:val="10"/>
              </w:numPr>
              <w:spacing w:after="240"/>
              <w:ind w:left="312"/>
              <w:rPr>
                <w:color w:val="595959" w:themeColor="text1" w:themeTint="A6"/>
                <w:szCs w:val="18"/>
              </w:rPr>
            </w:pPr>
            <w:r>
              <w:rPr>
                <w:color w:val="595959" w:themeColor="text1" w:themeTint="A6"/>
                <w:szCs w:val="18"/>
              </w:rPr>
              <w:lastRenderedPageBreak/>
              <w:t>)</w:t>
            </w:r>
          </w:p>
        </w:tc>
        <w:tc>
          <w:tcPr>
            <w:tcW w:w="1035" w:type="dxa"/>
          </w:tcPr>
          <w:p w:rsidRPr="007B2BAB" w:rsidR="00D7395C" w:rsidP="004D2809" w:rsidRDefault="00D7395C">
            <w:pPr>
              <w:spacing w:after="240"/>
              <w:rPr>
                <w:szCs w:val="18"/>
              </w:rPr>
            </w:pPr>
            <w:r w:rsidRPr="007B2BAB">
              <w:rPr>
                <w:szCs w:val="18"/>
              </w:rPr>
              <w:t>Titel</w:t>
            </w:r>
            <w:r>
              <w:rPr>
                <w:szCs w:val="18"/>
              </w:rPr>
              <w:t xml:space="preserve"> </w:t>
            </w:r>
          </w:p>
        </w:tc>
        <w:tc>
          <w:tcPr>
            <w:tcW w:w="6529" w:type="dxa"/>
          </w:tcPr>
          <w:p w:rsidR="00D7395C" w:rsidP="00D7395C" w:rsidRDefault="00D7395C">
            <w:pPr>
              <w:shd w:val="clear" w:color="auto" w:fill="FFFFFF"/>
              <w:spacing w:after="75"/>
              <w:rPr>
                <w:szCs w:val="18"/>
              </w:rPr>
            </w:pPr>
            <w:r>
              <w:rPr>
                <w:szCs w:val="18"/>
              </w:rPr>
              <w:t>Voorstel voor een BESLUIT VAN DE RAAD betreffende de sluiting, namens de Europese Commissie, van een protocol bij de Europees-mediterrane Overeenkomst waarbij een associatie tot stand wordt gebracht tussen de Europese Gemeenschappen en hun lidstaten, enerzijds, en de Arabische Republiek Egypte, anderzijds, inzake een kaderovereenkomst tussen de Europese Unie en de Arabische Republiek Egypte over de algemene beginselen voor de deelname van de Arabische Republiek Egypte aan programma’s van de Unie</w:t>
            </w:r>
          </w:p>
          <w:p w:rsidRPr="00F62A28" w:rsidR="00D7395C" w:rsidP="00D7395C" w:rsidRDefault="00766A0D">
            <w:pPr>
              <w:shd w:val="clear" w:color="auto" w:fill="FFFFFF"/>
              <w:spacing w:after="75"/>
              <w:rPr>
                <w:szCs w:val="18"/>
              </w:rPr>
            </w:pPr>
            <w:hyperlink w:history="1" r:id="rId13">
              <w:r w:rsidR="00D7395C">
                <w:rPr>
                  <w:rStyle w:val="Hyperlink"/>
                  <w:szCs w:val="18"/>
                </w:rPr>
                <w:t>COM(2023)379</w:t>
              </w:r>
            </w:hyperlink>
          </w:p>
        </w:tc>
      </w:tr>
      <w:tr w:rsidR="00D7395C" w:rsidTr="004D2809">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F62A28" w:rsidR="00D7395C" w:rsidP="004D2809" w:rsidRDefault="00D7395C">
            <w:pPr>
              <w:spacing w:after="240"/>
              <w:rPr>
                <w:szCs w:val="18"/>
              </w:rPr>
            </w:pPr>
          </w:p>
        </w:tc>
        <w:tc>
          <w:tcPr>
            <w:tcW w:w="1035" w:type="dxa"/>
          </w:tcPr>
          <w:p w:rsidRPr="007B2BAB" w:rsidR="00D7395C" w:rsidP="004D2809" w:rsidRDefault="00D7395C">
            <w:pPr>
              <w:spacing w:after="240"/>
              <w:rPr>
                <w:szCs w:val="18"/>
              </w:rPr>
            </w:pPr>
            <w:r w:rsidRPr="007B2BAB">
              <w:rPr>
                <w:szCs w:val="18"/>
              </w:rPr>
              <w:t>Voorstel</w:t>
            </w:r>
          </w:p>
        </w:tc>
        <w:tc>
          <w:tcPr>
            <w:tcW w:w="6529" w:type="dxa"/>
          </w:tcPr>
          <w:p w:rsidRPr="007B2BAB" w:rsidR="00D7395C" w:rsidP="004D2809" w:rsidRDefault="004E4D0E">
            <w:pPr>
              <w:spacing w:after="240"/>
              <w:rPr>
                <w:szCs w:val="18"/>
              </w:rPr>
            </w:pPr>
            <w:r>
              <w:rPr>
                <w:szCs w:val="18"/>
              </w:rPr>
              <w:t>Voor kennisgeving aannemen</w:t>
            </w:r>
          </w:p>
        </w:tc>
      </w:tr>
      <w:tr w:rsidR="00D7395C" w:rsidTr="004D2809">
        <w:tc>
          <w:tcPr>
            <w:tcW w:w="421" w:type="dxa"/>
            <w:vMerge/>
            <w:tcBorders>
              <w:top w:val="nil"/>
              <w:bottom w:val="single" w:color="D9D9D9" w:themeColor="background1" w:themeShade="D9" w:sz="4" w:space="0"/>
            </w:tcBorders>
            <w:shd w:val="clear" w:color="auto" w:fill="F2F2F2" w:themeFill="background1" w:themeFillShade="F2"/>
          </w:tcPr>
          <w:p w:rsidRPr="00D75535" w:rsidR="00D7395C" w:rsidP="004D2809" w:rsidRDefault="00D7395C">
            <w:pPr>
              <w:spacing w:after="240"/>
              <w:rPr>
                <w:color w:val="595959" w:themeColor="text1" w:themeTint="A6"/>
                <w:szCs w:val="18"/>
              </w:rPr>
            </w:pPr>
          </w:p>
        </w:tc>
        <w:tc>
          <w:tcPr>
            <w:tcW w:w="1035" w:type="dxa"/>
          </w:tcPr>
          <w:p w:rsidRPr="007B2BAB" w:rsidR="00D7395C" w:rsidP="004D2809" w:rsidRDefault="00D7395C">
            <w:pPr>
              <w:spacing w:after="240"/>
              <w:rPr>
                <w:szCs w:val="18"/>
              </w:rPr>
            </w:pPr>
            <w:r w:rsidRPr="007B2BAB">
              <w:rPr>
                <w:szCs w:val="18"/>
              </w:rPr>
              <w:t>Noot</w:t>
            </w:r>
          </w:p>
        </w:tc>
        <w:tc>
          <w:tcPr>
            <w:tcW w:w="6529" w:type="dxa"/>
          </w:tcPr>
          <w:p w:rsidRPr="00514845" w:rsidR="00650D0F" w:rsidP="0040774A" w:rsidRDefault="00F716E1">
            <w:pPr>
              <w:spacing w:after="240"/>
            </w:pPr>
            <w:r>
              <w:t xml:space="preserve">In dit </w:t>
            </w:r>
            <w:r w:rsidR="00650D0F">
              <w:t>voorstel</w:t>
            </w:r>
            <w:r>
              <w:t xml:space="preserve"> </w:t>
            </w:r>
            <w:r w:rsidR="000B54BB">
              <w:t xml:space="preserve">voor een besluit </w:t>
            </w:r>
            <w:r>
              <w:t xml:space="preserve">van de Raad </w:t>
            </w:r>
            <w:r w:rsidR="00650D0F">
              <w:t xml:space="preserve">wordt de sluiting van een protocol bij de Europees-mediterrane Overeenkomst tussen de EU en Egypte (2004) besproken, waarin de financiële en technische regels worden vastgelegd waarmee Egypte kan deelnemen aan bepaalde EU-programma’s (Horizon Europa wordt genoemd). </w:t>
            </w:r>
            <w:r w:rsidR="0040774A">
              <w:t>Deze overeenkomst</w:t>
            </w:r>
            <w:r w:rsidR="00650D0F">
              <w:t xml:space="preserve"> </w:t>
            </w:r>
            <w:r w:rsidR="000B54BB">
              <w:t xml:space="preserve">is </w:t>
            </w:r>
            <w:r w:rsidR="00650D0F">
              <w:t xml:space="preserve">onderdeel van het Europees nabuurschapsbeleid (ENB). Soortgelijke protocollen zijn ondertekend met andere oostelijke en zuidelijke buurlanden van de EU.  </w:t>
            </w:r>
          </w:p>
        </w:tc>
      </w:tr>
    </w:tbl>
    <w:p w:rsidRPr="007B2BAB" w:rsidR="00C8718D" w:rsidP="009547A1" w:rsidRDefault="00C8718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2A28" w:rsidR="00D7395C" w:rsidTr="004D28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395C" w:rsidP="004D2809" w:rsidRDefault="00D7395C">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B2BAB" w:rsidR="00D7395C" w:rsidP="004D2809" w:rsidRDefault="00D7395C">
            <w:pPr>
              <w:spacing w:after="240"/>
              <w:rPr>
                <w:szCs w:val="18"/>
              </w:rPr>
            </w:pPr>
            <w:r w:rsidRPr="007B2BAB">
              <w:rPr>
                <w:szCs w:val="18"/>
              </w:rPr>
              <w:t>Titel</w:t>
            </w:r>
            <w:r>
              <w:rPr>
                <w:szCs w:val="18"/>
              </w:rPr>
              <w:t xml:space="preserve"> </w:t>
            </w:r>
          </w:p>
        </w:tc>
        <w:tc>
          <w:tcPr>
            <w:tcW w:w="6529" w:type="dxa"/>
          </w:tcPr>
          <w:p w:rsidRPr="00F62A28" w:rsidR="00D7395C" w:rsidP="004D2809" w:rsidRDefault="00D7395C">
            <w:pPr>
              <w:shd w:val="clear" w:color="auto" w:fill="FFFFFF"/>
              <w:spacing w:after="75"/>
              <w:rPr>
                <w:szCs w:val="18"/>
              </w:rPr>
            </w:pPr>
            <w:r>
              <w:rPr>
                <w:szCs w:val="18"/>
              </w:rPr>
              <w:t xml:space="preserve">Voorstel voor een BESLUIT VAN DE RAAD betreffende de ondertekening, namens de Europese Unie, en de voorlopige toepassing van een protocol bij de Europees-mediterrane Overeenkomst waarbij een associatie tot stand wordt gebracht tussen de Europese Gemeenschappen en hun lidstaten, enerzijds, en de Arabische Republiek Egypte, anderzijds, inzake een Kaderovereenkomst tussen de Europese Unie en de Arabische Republiek Egypte over de algemene beginselen voor de deelname van de Arabische Republiek Egypte aan EU-programma's </w:t>
            </w:r>
            <w:hyperlink w:history="1" r:id="rId14">
              <w:r>
                <w:rPr>
                  <w:rStyle w:val="Hyperlink"/>
                  <w:szCs w:val="18"/>
                </w:rPr>
                <w:t>COM(2023)382</w:t>
              </w:r>
            </w:hyperlink>
          </w:p>
        </w:tc>
      </w:tr>
      <w:tr w:rsidR="00D7395C" w:rsidTr="004D2809">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F62A28" w:rsidR="00D7395C" w:rsidP="004D2809" w:rsidRDefault="00D7395C">
            <w:pPr>
              <w:spacing w:after="240"/>
              <w:rPr>
                <w:szCs w:val="18"/>
              </w:rPr>
            </w:pPr>
          </w:p>
        </w:tc>
        <w:tc>
          <w:tcPr>
            <w:tcW w:w="1035" w:type="dxa"/>
          </w:tcPr>
          <w:p w:rsidRPr="007B2BAB" w:rsidR="00D7395C" w:rsidP="004D2809" w:rsidRDefault="00D7395C">
            <w:pPr>
              <w:spacing w:after="240"/>
              <w:rPr>
                <w:szCs w:val="18"/>
              </w:rPr>
            </w:pPr>
            <w:r w:rsidRPr="007B2BAB">
              <w:rPr>
                <w:szCs w:val="18"/>
              </w:rPr>
              <w:t>Voorstel</w:t>
            </w:r>
          </w:p>
        </w:tc>
        <w:tc>
          <w:tcPr>
            <w:tcW w:w="6529" w:type="dxa"/>
          </w:tcPr>
          <w:p w:rsidRPr="007B2BAB" w:rsidR="00D7395C" w:rsidP="004D2809" w:rsidRDefault="004E4D0E">
            <w:pPr>
              <w:spacing w:after="240"/>
              <w:rPr>
                <w:szCs w:val="18"/>
              </w:rPr>
            </w:pPr>
            <w:r>
              <w:rPr>
                <w:szCs w:val="18"/>
              </w:rPr>
              <w:t>Voor kennisgeving aannemen</w:t>
            </w:r>
          </w:p>
        </w:tc>
      </w:tr>
      <w:tr w:rsidR="00D7395C" w:rsidTr="004D2809">
        <w:tc>
          <w:tcPr>
            <w:tcW w:w="421" w:type="dxa"/>
            <w:vMerge/>
            <w:tcBorders>
              <w:top w:val="nil"/>
              <w:bottom w:val="single" w:color="D9D9D9" w:themeColor="background1" w:themeShade="D9" w:sz="4" w:space="0"/>
            </w:tcBorders>
            <w:shd w:val="clear" w:color="auto" w:fill="F2F2F2" w:themeFill="background1" w:themeFillShade="F2"/>
          </w:tcPr>
          <w:p w:rsidRPr="00D75535" w:rsidR="00D7395C" w:rsidP="004D2809" w:rsidRDefault="00D7395C">
            <w:pPr>
              <w:spacing w:after="240"/>
              <w:rPr>
                <w:color w:val="595959" w:themeColor="text1" w:themeTint="A6"/>
                <w:szCs w:val="18"/>
              </w:rPr>
            </w:pPr>
          </w:p>
        </w:tc>
        <w:tc>
          <w:tcPr>
            <w:tcW w:w="1035" w:type="dxa"/>
          </w:tcPr>
          <w:p w:rsidRPr="007B2BAB" w:rsidR="00D7395C" w:rsidP="004D2809" w:rsidRDefault="00D7395C">
            <w:pPr>
              <w:spacing w:after="240"/>
              <w:rPr>
                <w:szCs w:val="18"/>
              </w:rPr>
            </w:pPr>
            <w:r w:rsidRPr="007B2BAB">
              <w:rPr>
                <w:szCs w:val="18"/>
              </w:rPr>
              <w:t>Noot</w:t>
            </w:r>
          </w:p>
        </w:tc>
        <w:tc>
          <w:tcPr>
            <w:tcW w:w="6529" w:type="dxa"/>
          </w:tcPr>
          <w:p w:rsidRPr="00514845" w:rsidR="00D7395C" w:rsidP="00EF3853" w:rsidRDefault="00650D0F">
            <w:pPr>
              <w:spacing w:after="240"/>
            </w:pPr>
            <w:r>
              <w:t xml:space="preserve">In dit voorstel </w:t>
            </w:r>
            <w:r w:rsidR="000B54BB">
              <w:t xml:space="preserve">voor een besluit </w:t>
            </w:r>
            <w:r>
              <w:t xml:space="preserve">van de Raad wordt de ondertekening en voorlopige toepassing van een protocol bij de Europees-mediterrane Overeenkomst tussen de EU en Egypte (2004) besproken, waarin de </w:t>
            </w:r>
            <w:r w:rsidR="00EF3853">
              <w:t>algemene beginselen</w:t>
            </w:r>
            <w:r>
              <w:t xml:space="preserve"> worden vastgelegd waarmee Egypte kan deelnemen aan bepaalde EU-programma’s (Horizon Europa wordt genoemd). D</w:t>
            </w:r>
            <w:r w:rsidR="0040774A">
              <w:t>eze overeenkomst</w:t>
            </w:r>
            <w:r>
              <w:t xml:space="preserve"> is onderdeel van het Europees nabuurschapsbeleid (ENB). Soortgelijke protocollen zijn ondertekend met andere oostelijke en zuidelijke buurlanden van de EU.  </w:t>
            </w:r>
          </w:p>
        </w:tc>
      </w:tr>
    </w:tbl>
    <w:p w:rsidRPr="00E82772" w:rsidR="00C8718D" w:rsidP="009547A1" w:rsidRDefault="00C8718D">
      <w:pPr>
        <w:rPr>
          <w:szCs w:val="18"/>
        </w:rPr>
      </w:pPr>
    </w:p>
    <w:p w:rsidR="008C3CCB" w:rsidP="008C3CCB" w:rsidRDefault="008C3CCB">
      <w:pPr>
        <w:rPr>
          <w:szCs w:val="18"/>
        </w:rPr>
      </w:pPr>
    </w:p>
    <w:p w:rsidR="00451D95" w:rsidP="00451D95" w:rsidRDefault="00451D95">
      <w:pPr>
        <w:rPr>
          <w:rFonts w:eastAsiaTheme="minorHAnsi"/>
          <w:szCs w:val="18"/>
        </w:rPr>
      </w:pPr>
    </w:p>
    <w:p w:rsidR="008C3CCB" w:rsidP="008C3CCB" w:rsidRDefault="008C3CCB">
      <w:pPr>
        <w:rPr>
          <w:rFonts w:eastAsiaTheme="minorHAnsi"/>
          <w:szCs w:val="18"/>
        </w:rPr>
      </w:pPr>
    </w:p>
    <w:p w:rsidR="00C8718D" w:rsidP="009547A1" w:rsidRDefault="00C8718D">
      <w:pPr>
        <w:rPr>
          <w:szCs w:val="18"/>
        </w:rPr>
      </w:pPr>
    </w:p>
    <w:sectPr w:rsidR="00C8718D"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168" w:rsidRDefault="00E35168">
      <w:r>
        <w:separator/>
      </w:r>
    </w:p>
  </w:endnote>
  <w:endnote w:type="continuationSeparator" w:id="0">
    <w:p w:rsidR="00E35168" w:rsidRDefault="00E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66A0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66A0D">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66A0D">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66A0D">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168" w:rsidRDefault="00E35168">
      <w:r>
        <w:separator/>
      </w:r>
    </w:p>
  </w:footnote>
  <w:footnote w:type="continuationSeparator" w:id="0">
    <w:p w:rsidR="00E35168" w:rsidRDefault="00E35168">
      <w:r>
        <w:continuationSeparator/>
      </w:r>
    </w:p>
  </w:footnote>
  <w:footnote w:id="1">
    <w:p w:rsidR="002B21B2" w:rsidRPr="002B21B2" w:rsidRDefault="002B21B2">
      <w:pPr>
        <w:pStyle w:val="Voetnoottekst"/>
        <w:rPr>
          <w:rFonts w:ascii="Verdana" w:hAnsi="Verdan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AB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54BB"/>
    <w:rsid w:val="000B7C51"/>
    <w:rsid w:val="000C43D2"/>
    <w:rsid w:val="000C44F1"/>
    <w:rsid w:val="000C757C"/>
    <w:rsid w:val="000C7A3D"/>
    <w:rsid w:val="000D1563"/>
    <w:rsid w:val="000D3187"/>
    <w:rsid w:val="000E56B6"/>
    <w:rsid w:val="000E5890"/>
    <w:rsid w:val="000E59AA"/>
    <w:rsid w:val="000E6653"/>
    <w:rsid w:val="000E69FD"/>
    <w:rsid w:val="000E7C39"/>
    <w:rsid w:val="000F26C0"/>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633D"/>
    <w:rsid w:val="001B7CAE"/>
    <w:rsid w:val="001C14DB"/>
    <w:rsid w:val="001C3467"/>
    <w:rsid w:val="001D08B2"/>
    <w:rsid w:val="001D3CD3"/>
    <w:rsid w:val="001D7B39"/>
    <w:rsid w:val="001E0E15"/>
    <w:rsid w:val="001E143A"/>
    <w:rsid w:val="001E1C84"/>
    <w:rsid w:val="001E39BA"/>
    <w:rsid w:val="001F1517"/>
    <w:rsid w:val="001F4221"/>
    <w:rsid w:val="001F7012"/>
    <w:rsid w:val="002048D9"/>
    <w:rsid w:val="00210705"/>
    <w:rsid w:val="00211391"/>
    <w:rsid w:val="002136C2"/>
    <w:rsid w:val="00216C27"/>
    <w:rsid w:val="00221D6B"/>
    <w:rsid w:val="0022374D"/>
    <w:rsid w:val="00224294"/>
    <w:rsid w:val="00227D85"/>
    <w:rsid w:val="00234702"/>
    <w:rsid w:val="00235B3D"/>
    <w:rsid w:val="00241DE4"/>
    <w:rsid w:val="00245D08"/>
    <w:rsid w:val="00246F61"/>
    <w:rsid w:val="00251996"/>
    <w:rsid w:val="002538C7"/>
    <w:rsid w:val="00262A1B"/>
    <w:rsid w:val="00266365"/>
    <w:rsid w:val="00271075"/>
    <w:rsid w:val="00276AE7"/>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0FBD"/>
    <w:rsid w:val="002F12DB"/>
    <w:rsid w:val="002F363A"/>
    <w:rsid w:val="002F3D6D"/>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3CB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5B4"/>
    <w:rsid w:val="003A5792"/>
    <w:rsid w:val="003B1D02"/>
    <w:rsid w:val="003B254F"/>
    <w:rsid w:val="003B2964"/>
    <w:rsid w:val="003B4119"/>
    <w:rsid w:val="003B484E"/>
    <w:rsid w:val="003B67E0"/>
    <w:rsid w:val="003C0D63"/>
    <w:rsid w:val="003C1310"/>
    <w:rsid w:val="003C2832"/>
    <w:rsid w:val="003D22ED"/>
    <w:rsid w:val="003D450D"/>
    <w:rsid w:val="003D5554"/>
    <w:rsid w:val="003D660C"/>
    <w:rsid w:val="003E6EA2"/>
    <w:rsid w:val="003F628A"/>
    <w:rsid w:val="00403FAF"/>
    <w:rsid w:val="00405747"/>
    <w:rsid w:val="0040774A"/>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1D95"/>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24CD"/>
    <w:rsid w:val="00484658"/>
    <w:rsid w:val="00491847"/>
    <w:rsid w:val="004A0757"/>
    <w:rsid w:val="004A2857"/>
    <w:rsid w:val="004A48F2"/>
    <w:rsid w:val="004A553E"/>
    <w:rsid w:val="004B109E"/>
    <w:rsid w:val="004B447F"/>
    <w:rsid w:val="004B572A"/>
    <w:rsid w:val="004B5B19"/>
    <w:rsid w:val="004C7B01"/>
    <w:rsid w:val="004E3424"/>
    <w:rsid w:val="004E426E"/>
    <w:rsid w:val="004E4D0E"/>
    <w:rsid w:val="004E5595"/>
    <w:rsid w:val="004E5837"/>
    <w:rsid w:val="00505F93"/>
    <w:rsid w:val="00507A41"/>
    <w:rsid w:val="00511442"/>
    <w:rsid w:val="00514845"/>
    <w:rsid w:val="005158C0"/>
    <w:rsid w:val="0051638F"/>
    <w:rsid w:val="00520D88"/>
    <w:rsid w:val="00521E24"/>
    <w:rsid w:val="00522540"/>
    <w:rsid w:val="00525BF3"/>
    <w:rsid w:val="00525CAA"/>
    <w:rsid w:val="00526065"/>
    <w:rsid w:val="00527428"/>
    <w:rsid w:val="005324DF"/>
    <w:rsid w:val="005376B8"/>
    <w:rsid w:val="00540EC2"/>
    <w:rsid w:val="00540F78"/>
    <w:rsid w:val="00543233"/>
    <w:rsid w:val="00543BB4"/>
    <w:rsid w:val="00554CBF"/>
    <w:rsid w:val="005602A0"/>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08F8"/>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05A1"/>
    <w:rsid w:val="00650D0F"/>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A5DE8"/>
    <w:rsid w:val="006B0B28"/>
    <w:rsid w:val="006B297C"/>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66A0D"/>
    <w:rsid w:val="00770A61"/>
    <w:rsid w:val="00773074"/>
    <w:rsid w:val="00773C33"/>
    <w:rsid w:val="00781A50"/>
    <w:rsid w:val="00781BCD"/>
    <w:rsid w:val="007876BC"/>
    <w:rsid w:val="00787C51"/>
    <w:rsid w:val="0079316B"/>
    <w:rsid w:val="00794A22"/>
    <w:rsid w:val="00796433"/>
    <w:rsid w:val="00796B75"/>
    <w:rsid w:val="007A03BA"/>
    <w:rsid w:val="007A4A53"/>
    <w:rsid w:val="007A6CDA"/>
    <w:rsid w:val="007B02DE"/>
    <w:rsid w:val="007B2BAB"/>
    <w:rsid w:val="007D49C7"/>
    <w:rsid w:val="007E249D"/>
    <w:rsid w:val="007E4BFD"/>
    <w:rsid w:val="007F04F9"/>
    <w:rsid w:val="007F714A"/>
    <w:rsid w:val="00802D86"/>
    <w:rsid w:val="00802F06"/>
    <w:rsid w:val="008047D9"/>
    <w:rsid w:val="00804A4D"/>
    <w:rsid w:val="00804E7D"/>
    <w:rsid w:val="0081023D"/>
    <w:rsid w:val="0081050B"/>
    <w:rsid w:val="00812348"/>
    <w:rsid w:val="00812C2A"/>
    <w:rsid w:val="00820149"/>
    <w:rsid w:val="00820651"/>
    <w:rsid w:val="008253CB"/>
    <w:rsid w:val="00826C29"/>
    <w:rsid w:val="00834690"/>
    <w:rsid w:val="0083576C"/>
    <w:rsid w:val="00840FA0"/>
    <w:rsid w:val="00843FBB"/>
    <w:rsid w:val="008454D2"/>
    <w:rsid w:val="00845DEC"/>
    <w:rsid w:val="00846164"/>
    <w:rsid w:val="0084666E"/>
    <w:rsid w:val="0085294F"/>
    <w:rsid w:val="00855049"/>
    <w:rsid w:val="00866593"/>
    <w:rsid w:val="00870719"/>
    <w:rsid w:val="00875D8A"/>
    <w:rsid w:val="00892314"/>
    <w:rsid w:val="0089371C"/>
    <w:rsid w:val="008A4075"/>
    <w:rsid w:val="008A5C07"/>
    <w:rsid w:val="008A5F82"/>
    <w:rsid w:val="008B33EB"/>
    <w:rsid w:val="008B3ABC"/>
    <w:rsid w:val="008B4B43"/>
    <w:rsid w:val="008B5E4B"/>
    <w:rsid w:val="008B7783"/>
    <w:rsid w:val="008C3CCB"/>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47A1"/>
    <w:rsid w:val="00956342"/>
    <w:rsid w:val="009575DB"/>
    <w:rsid w:val="00962A95"/>
    <w:rsid w:val="009647CC"/>
    <w:rsid w:val="00970CA0"/>
    <w:rsid w:val="00971D5E"/>
    <w:rsid w:val="0097614E"/>
    <w:rsid w:val="00981B9B"/>
    <w:rsid w:val="00986DA2"/>
    <w:rsid w:val="009870EA"/>
    <w:rsid w:val="009874C6"/>
    <w:rsid w:val="00990B28"/>
    <w:rsid w:val="0099243E"/>
    <w:rsid w:val="009956D1"/>
    <w:rsid w:val="00995B14"/>
    <w:rsid w:val="009A5399"/>
    <w:rsid w:val="009B1792"/>
    <w:rsid w:val="009B2C99"/>
    <w:rsid w:val="009B2CE0"/>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40B5"/>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10344"/>
    <w:rsid w:val="00B257AD"/>
    <w:rsid w:val="00B2723B"/>
    <w:rsid w:val="00B30327"/>
    <w:rsid w:val="00B306FA"/>
    <w:rsid w:val="00B34C2F"/>
    <w:rsid w:val="00B41A4D"/>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718D"/>
    <w:rsid w:val="00C9208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0F3E"/>
    <w:rsid w:val="00D03DA0"/>
    <w:rsid w:val="00D04E0E"/>
    <w:rsid w:val="00D05232"/>
    <w:rsid w:val="00D05838"/>
    <w:rsid w:val="00D06AD2"/>
    <w:rsid w:val="00D06BD8"/>
    <w:rsid w:val="00D11CFB"/>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395C"/>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4FD0"/>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168"/>
    <w:rsid w:val="00E3590E"/>
    <w:rsid w:val="00E37DB4"/>
    <w:rsid w:val="00E407E1"/>
    <w:rsid w:val="00E41C82"/>
    <w:rsid w:val="00E4200D"/>
    <w:rsid w:val="00E42FB9"/>
    <w:rsid w:val="00E452DF"/>
    <w:rsid w:val="00E45C8D"/>
    <w:rsid w:val="00E4701A"/>
    <w:rsid w:val="00E50DFF"/>
    <w:rsid w:val="00E53C1E"/>
    <w:rsid w:val="00E63829"/>
    <w:rsid w:val="00E6432B"/>
    <w:rsid w:val="00E666D4"/>
    <w:rsid w:val="00E67989"/>
    <w:rsid w:val="00E80096"/>
    <w:rsid w:val="00E80FBD"/>
    <w:rsid w:val="00E82772"/>
    <w:rsid w:val="00E82B47"/>
    <w:rsid w:val="00E844C9"/>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3853"/>
    <w:rsid w:val="00EF4583"/>
    <w:rsid w:val="00EF69C7"/>
    <w:rsid w:val="00F00C07"/>
    <w:rsid w:val="00F11149"/>
    <w:rsid w:val="00F14A3A"/>
    <w:rsid w:val="00F161D4"/>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56825"/>
    <w:rsid w:val="00F62A28"/>
    <w:rsid w:val="00F62D5D"/>
    <w:rsid w:val="00F65184"/>
    <w:rsid w:val="00F716E1"/>
    <w:rsid w:val="00F71F61"/>
    <w:rsid w:val="00F73681"/>
    <w:rsid w:val="00F839FE"/>
    <w:rsid w:val="00F84683"/>
    <w:rsid w:val="00F85D51"/>
    <w:rsid w:val="00F85F4D"/>
    <w:rsid w:val="00F87AC5"/>
    <w:rsid w:val="00F9004F"/>
    <w:rsid w:val="00F9024C"/>
    <w:rsid w:val="00F938C6"/>
    <w:rsid w:val="00F941A4"/>
    <w:rsid w:val="00F9641A"/>
    <w:rsid w:val="00F9703B"/>
    <w:rsid w:val="00FA03AA"/>
    <w:rsid w:val="00FA5C15"/>
    <w:rsid w:val="00FA6BD8"/>
    <w:rsid w:val="00FB07CB"/>
    <w:rsid w:val="00FB2944"/>
    <w:rsid w:val="00FB30DD"/>
    <w:rsid w:val="00FB41D0"/>
    <w:rsid w:val="00FB63FB"/>
    <w:rsid w:val="00FB673E"/>
    <w:rsid w:val="00FC6024"/>
    <w:rsid w:val="00FC69E1"/>
    <w:rsid w:val="00FD4911"/>
    <w:rsid w:val="00FD663A"/>
    <w:rsid w:val="00FD6BCB"/>
    <w:rsid w:val="00FE0FED"/>
    <w:rsid w:val="00FE543A"/>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13411697">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5239">
      <w:bodyDiv w:val="1"/>
      <w:marLeft w:val="0"/>
      <w:marRight w:val="0"/>
      <w:marTop w:val="0"/>
      <w:marBottom w:val="0"/>
      <w:divBdr>
        <w:top w:val="none" w:sz="0" w:space="0" w:color="auto"/>
        <w:left w:val="none" w:sz="0" w:space="0" w:color="auto"/>
        <w:bottom w:val="none" w:sz="0" w:space="0" w:color="auto"/>
        <w:right w:val="none" w:sz="0" w:space="0" w:color="auto"/>
      </w:divBdr>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2686279">
      <w:bodyDiv w:val="1"/>
      <w:marLeft w:val="0"/>
      <w:marRight w:val="0"/>
      <w:marTop w:val="0"/>
      <w:marBottom w:val="0"/>
      <w:divBdr>
        <w:top w:val="none" w:sz="0" w:space="0" w:color="auto"/>
        <w:left w:val="none" w:sz="0" w:space="0" w:color="auto"/>
        <w:bottom w:val="none" w:sz="0" w:space="0" w:color="auto"/>
        <w:right w:val="none" w:sz="0" w:space="0" w:color="auto"/>
      </w:divBdr>
    </w:div>
    <w:div w:id="1702590601">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9296142">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20371218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ELEX%3A52023PC0379&amp;qid=1688972342463"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JOIN%3A2023%3A30%3AFIN&amp;qid=1692606830662"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hyperlink" Target="https://eur-lex.europa.eu/legal-content/NL/TXT/?uri=JOIN%3A2023%3A29%3AFIN&amp;qid=1692606730811"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legal-content/NL/TXT/?uri=CELEX%3A52023PC0382&amp;qid=1688972408052"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571</ap:Words>
  <ap:Characters>3963</ap:Characters>
  <ap:DocSecurity>4</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2023-09-11T14:44:00.0000000Z</dcterms:created>
  <dcterms:modified xsi:type="dcterms:W3CDTF">2023-09-11T14:44:00.0000000Z</dcterms:modified>
  <dc:description>------------------------</dc:description>
  <dc:subject/>
  <keywords/>
  <version/>
  <category/>
</coreProperties>
</file>