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80DFC" w:rsidR="00CB3578" w:rsidP="00180DFC" w:rsidRDefault="00180DFC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Bijgewerkt t/m nr. 11 (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d.d. 27 juni 2023)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1F720D" w:rsidRDefault="001F720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36 350 VII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F720D" w:rsidR="002A727C" w:rsidP="000D5BC4" w:rsidRDefault="001F720D">
            <w:pPr>
              <w:rPr>
                <w:rFonts w:ascii="Times New Roman" w:hAnsi="Times New Roman"/>
                <w:b/>
                <w:sz w:val="24"/>
              </w:rPr>
            </w:pPr>
            <w:r w:rsidRPr="001F720D">
              <w:rPr>
                <w:rFonts w:ascii="Times New Roman" w:hAnsi="Times New Roman"/>
                <w:b/>
                <w:sz w:val="24"/>
              </w:rPr>
              <w:t>Wijziging van de begrotingsstaten van het Ministerie van Binnenlandse Zaken en Koninkrijksrelaties (VII) voor het jaar 2023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1F72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F720D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F720D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F720D">
        <w:rPr>
          <w:rFonts w:ascii="Times New Roman" w:hAnsi="Times New Roman"/>
          <w:sz w:val="24"/>
          <w:szCs w:val="20"/>
        </w:rPr>
        <w:t xml:space="preserve">Alzo Wij in overweging genomen hebben, dat de noodzaak is gebleken van een </w:t>
      </w:r>
      <w:r>
        <w:rPr>
          <w:rFonts w:ascii="Times New Roman" w:hAnsi="Times New Roman"/>
          <w:sz w:val="24"/>
          <w:szCs w:val="20"/>
        </w:rPr>
        <w:t xml:space="preserve">wijziging </w:t>
      </w:r>
      <w:r w:rsidRPr="001F720D">
        <w:rPr>
          <w:rFonts w:ascii="Times New Roman" w:hAnsi="Times New Roman"/>
          <w:sz w:val="24"/>
          <w:szCs w:val="20"/>
        </w:rPr>
        <w:t>van de departementale begrotingsstaat van het Ministerie van Binnenlandse Zaken en Koninkrijksrelaties (VII) voor het jaar 2023;</w:t>
      </w: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F720D">
        <w:rPr>
          <w:rFonts w:ascii="Times New Roman" w:hAnsi="Times New Roman"/>
          <w:sz w:val="24"/>
          <w:szCs w:val="20"/>
        </w:rPr>
        <w:t>Zo is het, dat Wij,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1F720D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F720D">
        <w:rPr>
          <w:rFonts w:ascii="Times New Roman" w:hAnsi="Times New Roman"/>
          <w:b/>
          <w:sz w:val="24"/>
          <w:szCs w:val="20"/>
        </w:rPr>
        <w:t>Artikel 1</w:t>
      </w: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F720D">
        <w:rPr>
          <w:rFonts w:ascii="Times New Roman" w:hAnsi="Times New Roman"/>
          <w:sz w:val="24"/>
          <w:szCs w:val="20"/>
        </w:rPr>
        <w:t>De departementale begrotingsstaat van het Ministerie van Binnenlandse Zaken en Koninkrijksrelaties (VII) voor het jaar 2023 wordt</w:t>
      </w:r>
      <w:r>
        <w:rPr>
          <w:rFonts w:ascii="Times New Roman" w:hAnsi="Times New Roman"/>
          <w:sz w:val="24"/>
          <w:szCs w:val="20"/>
        </w:rPr>
        <w:t xml:space="preserve"> gewijzigd, zoals blijkt uit de </w:t>
      </w:r>
      <w:r w:rsidRPr="001F720D">
        <w:rPr>
          <w:rFonts w:ascii="Times New Roman" w:hAnsi="Times New Roman"/>
          <w:sz w:val="24"/>
          <w:szCs w:val="20"/>
        </w:rPr>
        <w:t>desbetreffende bij deze wet behorende staat.</w:t>
      </w: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F720D">
        <w:rPr>
          <w:rFonts w:ascii="Times New Roman" w:hAnsi="Times New Roman"/>
          <w:b/>
          <w:sz w:val="24"/>
          <w:szCs w:val="20"/>
        </w:rPr>
        <w:t>Artikel 2</w:t>
      </w: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F720D">
        <w:rPr>
          <w:rFonts w:ascii="Times New Roman" w:hAnsi="Times New Roman"/>
          <w:sz w:val="24"/>
          <w:szCs w:val="20"/>
        </w:rPr>
        <w:t>De begrotingsstaat inzake de agentschap</w:t>
      </w:r>
      <w:r>
        <w:rPr>
          <w:rFonts w:ascii="Times New Roman" w:hAnsi="Times New Roman"/>
          <w:sz w:val="24"/>
          <w:szCs w:val="20"/>
        </w:rPr>
        <w:t>pen voor het jaar 2023 wordt ge</w:t>
      </w:r>
      <w:r w:rsidRPr="001F720D">
        <w:rPr>
          <w:rFonts w:ascii="Times New Roman" w:hAnsi="Times New Roman"/>
          <w:sz w:val="24"/>
          <w:szCs w:val="20"/>
        </w:rPr>
        <w:t>wijzigd, zoals blijkt uit de desbetreffende bij deze wet behorende staat.</w:t>
      </w: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F720D">
        <w:rPr>
          <w:rFonts w:ascii="Times New Roman" w:hAnsi="Times New Roman"/>
          <w:b/>
          <w:sz w:val="24"/>
          <w:szCs w:val="20"/>
        </w:rPr>
        <w:t>Artikel 3</w:t>
      </w: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F720D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F720D">
        <w:rPr>
          <w:rFonts w:ascii="Times New Roman" w:hAnsi="Times New Roman"/>
          <w:b/>
          <w:sz w:val="24"/>
          <w:szCs w:val="20"/>
        </w:rPr>
        <w:t>Artikel 4</w:t>
      </w: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F720D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2023.</w:t>
      </w: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F720D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F720D">
        <w:rPr>
          <w:rFonts w:ascii="Times New Roman" w:hAnsi="Times New Roman"/>
          <w:sz w:val="24"/>
          <w:szCs w:val="20"/>
        </w:rPr>
        <w:t>Gegeven</w:t>
      </w: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F720D" w:rsidR="001F720D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D5BCE" w:rsidP="001F720D" w:rsidRDefault="001F72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F720D">
        <w:rPr>
          <w:rFonts w:ascii="Times New Roman" w:hAnsi="Times New Roman"/>
          <w:sz w:val="24"/>
          <w:szCs w:val="20"/>
        </w:rPr>
        <w:t>De Minister van Binnenlandse Zaken en Koninkrijksrelaties</w:t>
      </w:r>
      <w:r w:rsidR="00DD5BCE">
        <w:rPr>
          <w:rFonts w:ascii="Times New Roman" w:hAnsi="Times New Roman"/>
          <w:sz w:val="24"/>
          <w:szCs w:val="20"/>
        </w:rPr>
        <w:t>,</w:t>
      </w:r>
    </w:p>
    <w:p w:rsidR="00DD5BCE" w:rsidRDefault="00DD5BC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2674"/>
        <w:gridCol w:w="1169"/>
        <w:gridCol w:w="1089"/>
        <w:gridCol w:w="1089"/>
        <w:gridCol w:w="1169"/>
        <w:gridCol w:w="1089"/>
        <w:gridCol w:w="1089"/>
      </w:tblGrid>
      <w:tr w:rsidR="008D4702" w:rsidTr="008D4702">
        <w:trPr>
          <w:tblHeader/>
        </w:trPr>
        <w:tc>
          <w:tcPr>
            <w:tcW w:w="9694" w:type="dxa"/>
            <w:gridSpan w:val="8"/>
            <w:shd w:val="clear" w:color="auto" w:fill="00B0F0"/>
            <w:tcMar>
              <w:top w:w="22" w:type="dxa"/>
              <w:left w:w="113" w:type="dxa"/>
              <w:bottom w:w="22" w:type="dxa"/>
            </w:tcMar>
          </w:tcPr>
          <w:p w:rsidRPr="00F0258B" w:rsidR="008D4702" w:rsidP="00872A45" w:rsidRDefault="008D4702">
            <w:pPr>
              <w:pStyle w:val="kio2-table-title"/>
              <w:rPr>
                <w:rFonts w:ascii="Times New Roman" w:hAnsi="Times New Roman" w:cs="Times New Roman"/>
              </w:rPr>
            </w:pPr>
            <w:r w:rsidRPr="00F0258B">
              <w:rPr>
                <w:rFonts w:ascii="Times New Roman" w:hAnsi="Times New Roman" w:cs="Times New Roman"/>
              </w:rPr>
              <w:lastRenderedPageBreak/>
              <w:t>Vastgestelde begrotingsstaat van het Ministerie van Binnenlandse Zaken (VII) voor het jaar 2023 (bedragen x € 1.000)</w:t>
            </w:r>
          </w:p>
        </w:tc>
      </w:tr>
      <w:tr w:rsidR="008D4702" w:rsidTr="00872A45">
        <w:trPr>
          <w:tblHeader/>
        </w:trPr>
        <w:tc>
          <w:tcPr>
            <w:tcW w:w="32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</w:p>
        </w:tc>
        <w:tc>
          <w:tcPr>
            <w:tcW w:w="267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</w:p>
        </w:tc>
        <w:tc>
          <w:tcPr>
            <w:tcW w:w="334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F0258B">
              <w:rPr>
                <w:rFonts w:ascii="Times New Roman" w:hAnsi="Times New Roman" w:cs="Times New Roman"/>
                <w:color w:val="000000"/>
                <w:sz w:val="17"/>
              </w:rPr>
              <w:t>Vastgestelde begroting</w:t>
            </w:r>
            <w:r w:rsidRPr="00BB4CF9">
              <w:rPr>
                <w:rFonts w:ascii="Times New Roman" w:hAnsi="Times New Roman" w:cs="Times New Roman"/>
                <w:color w:val="000000"/>
                <w:sz w:val="17"/>
                <w:vertAlign w:val="superscript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F0258B">
              <w:rPr>
                <w:rFonts w:ascii="Times New Roman" w:hAnsi="Times New Roman" w:cs="Times New Roman"/>
                <w:color w:val="000000"/>
                <w:sz w:val="17"/>
              </w:rPr>
              <w:t>Mutaties 1e suppletoire begrot</w:t>
            </w:r>
            <w:bookmarkStart w:name="_GoBack" w:id="0"/>
            <w:bookmarkEnd w:id="0"/>
            <w:r w:rsidRPr="00F0258B">
              <w:rPr>
                <w:rFonts w:ascii="Times New Roman" w:hAnsi="Times New Roman" w:cs="Times New Roman"/>
                <w:color w:val="000000"/>
                <w:sz w:val="17"/>
              </w:rPr>
              <w:t>ing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Art.</w:t>
            </w: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Omschrijving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b/>
                <w:sz w:val="17"/>
              </w:rPr>
              <w:t>9.237.942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b/>
                <w:sz w:val="17"/>
              </w:rPr>
              <w:t>9.286.890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b/>
                <w:sz w:val="17"/>
              </w:rPr>
              <w:t>679.570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b/>
                <w:sz w:val="17"/>
              </w:rPr>
              <w:t>1.542.791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b/>
                <w:sz w:val="17"/>
              </w:rPr>
              <w:t>1.035.870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b/>
                <w:sz w:val="17"/>
              </w:rPr>
              <w:t>177.534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b/>
                <w:sz w:val="17"/>
              </w:rPr>
              <w:t>Beleidsartikelen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</w:t>
            </w: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Openbaar bestuur en democratie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392.387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394.545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14.765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21.420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‒ 113.289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2</w:t>
            </w: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Nationale Veiligheid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400.347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400.347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14.714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50.805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50.805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2.500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3</w:t>
            </w: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Woningmarkt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6.146.610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6.176.615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495.600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961.350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680.889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10.000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4</w:t>
            </w: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Energietransitie gebouwde omgeving en bouwkwaliteit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842.211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788.072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91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201.839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110.088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5</w:t>
            </w: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Ruimtelijke ordening en omgevingswet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132.468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132.468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3.824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11.204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11.204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634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6</w:t>
            </w: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Overheidsdienstverlening en informatiesamenleving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468.592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468.592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10.927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46.037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46.037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7</w:t>
            </w: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 xml:space="preserve">Werkgevers- en </w:t>
            </w:r>
            <w:proofErr w:type="spellStart"/>
            <w:r w:rsidRPr="00F0258B">
              <w:rPr>
                <w:rFonts w:ascii="Times New Roman" w:hAnsi="Times New Roman" w:cs="Times New Roman"/>
                <w:sz w:val="17"/>
              </w:rPr>
              <w:t>bedrijfsvoeringsbeleid</w:t>
            </w:r>
            <w:proofErr w:type="spellEnd"/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143.763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143.763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64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‒ 4.462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‒ 4.462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9</w:t>
            </w: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Uitvoering Rijksvastgoedbeleid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145.527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145.527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120.282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18.124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18.124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24.249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14</w:t>
            </w: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Slavernijverleden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‒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‒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‒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3.000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3.000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b/>
                <w:sz w:val="17"/>
              </w:rPr>
              <w:t>Niet-beleidsartikelen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11</w:t>
            </w: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Centraal apparaat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540.397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541.071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19.303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198.183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198.183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122.183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12</w:t>
            </w: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Algemeen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25.640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95.890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20.360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20.360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17.968</w:t>
            </w:r>
          </w:p>
        </w:tc>
      </w:tr>
      <w:tr w:rsidR="008D4702" w:rsidTr="00872A45">
        <w:tc>
          <w:tcPr>
            <w:tcW w:w="3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13</w:t>
            </w:r>
          </w:p>
        </w:tc>
        <w:tc>
          <w:tcPr>
            <w:tcW w:w="267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0258B" w:rsidR="008D4702" w:rsidP="00872A45" w:rsidRDefault="008D4702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Nog onverdeeld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14.931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14.931</w:t>
            </w:r>
          </w:p>
        </w:tc>
        <w:tc>
          <w:tcPr>
            <w:tcW w:w="10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0258B" w:rsidR="008D4702" w:rsidP="00872A45" w:rsidRDefault="008D4702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0258B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</w:tbl>
    <w:p w:rsidR="00CB3578" w:rsidP="001F720D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D4702" w:rsidP="001F720D" w:rsidRDefault="008D470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3"/>
        <w:gridCol w:w="856"/>
        <w:gridCol w:w="856"/>
        <w:gridCol w:w="716"/>
        <w:gridCol w:w="706"/>
        <w:gridCol w:w="706"/>
        <w:gridCol w:w="687"/>
      </w:tblGrid>
      <w:tr w:rsidRPr="00DD5BCE" w:rsidR="00DD5BCE" w:rsidTr="00DD5BCE">
        <w:trPr>
          <w:tblHeader/>
        </w:trPr>
        <w:tc>
          <w:tcPr>
            <w:tcW w:w="5000" w:type="pct"/>
            <w:gridSpan w:val="7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DD5BCE" w:rsidR="00DD5BCE" w:rsidP="00AA2417" w:rsidRDefault="00DD5BCE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5BCE">
              <w:rPr>
                <w:rFonts w:ascii="Times New Roman" w:hAnsi="Times New Roman" w:cs="Times New Roman"/>
                <w:color w:val="auto"/>
                <w:sz w:val="20"/>
              </w:rPr>
              <w:t>Wijziging begrotingsstaat inzake agentschappen voor het jaar 2023 (Eerste suppletoire begroting) (bedragen x € 1.000)</w:t>
            </w:r>
          </w:p>
        </w:tc>
      </w:tr>
      <w:tr w:rsidRPr="00DD5BCE" w:rsidR="00DD5BCE" w:rsidTr="00DD5BCE">
        <w:trPr>
          <w:tblHeader/>
        </w:trPr>
        <w:tc>
          <w:tcPr>
            <w:tcW w:w="2585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Naam</w:t>
            </w:r>
          </w:p>
        </w:tc>
        <w:tc>
          <w:tcPr>
            <w:tcW w:w="1246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16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DD5BCE" w:rsidR="00DD5BCE" w:rsidTr="00DD5BCE">
        <w:tc>
          <w:tcPr>
            <w:tcW w:w="25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3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47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  <w:tc>
          <w:tcPr>
            <w:tcW w:w="3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</w:tr>
      <w:tr w:rsidRPr="00DD5BCE" w:rsidR="00DD5BCE" w:rsidTr="00DD5BCE">
        <w:tc>
          <w:tcPr>
            <w:tcW w:w="25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Organisatie en Personeel Rijk (O&amp;P Rijk) (Voorheen P-</w:t>
            </w:r>
            <w:proofErr w:type="spellStart"/>
            <w:r w:rsidRPr="00DD5BCE">
              <w:rPr>
                <w:rFonts w:ascii="Times New Roman" w:hAnsi="Times New Roman" w:cs="Times New Roman"/>
                <w:sz w:val="20"/>
              </w:rPr>
              <w:t>Direkt</w:t>
            </w:r>
            <w:proofErr w:type="spellEnd"/>
            <w:r w:rsidRPr="00DD5BC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115.204</w:t>
            </w:r>
          </w:p>
        </w:tc>
        <w:tc>
          <w:tcPr>
            <w:tcW w:w="3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115.204</w:t>
            </w:r>
          </w:p>
        </w:tc>
        <w:tc>
          <w:tcPr>
            <w:tcW w:w="47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155.140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155.140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BCE" w:rsidR="00DD5BCE" w:rsidTr="00DD5BCE">
        <w:tc>
          <w:tcPr>
            <w:tcW w:w="25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Rijksorganisatie voor Ontwikkeling, Digitalisering en Innovatie (RODI) (Voorheen Uitvoeringsorganisatie Bedrijfsvoering Rijk (UBR))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325.110</w:t>
            </w:r>
          </w:p>
        </w:tc>
        <w:tc>
          <w:tcPr>
            <w:tcW w:w="3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325.110</w:t>
            </w:r>
          </w:p>
        </w:tc>
        <w:tc>
          <w:tcPr>
            <w:tcW w:w="47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‒ 229.268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‒ 229.268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BCE" w:rsidR="00DD5BCE" w:rsidTr="00DD5BCE">
        <w:tc>
          <w:tcPr>
            <w:tcW w:w="25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  <w:lang w:val="fr-FR"/>
              </w:rPr>
            </w:pPr>
            <w:proofErr w:type="spellStart"/>
            <w:r w:rsidRPr="00DD5BCE">
              <w:rPr>
                <w:rFonts w:ascii="Times New Roman" w:hAnsi="Times New Roman" w:cs="Times New Roman"/>
                <w:sz w:val="20"/>
                <w:lang w:val="fr-FR"/>
              </w:rPr>
              <w:t>Shared</w:t>
            </w:r>
            <w:proofErr w:type="spellEnd"/>
            <w:r w:rsidRPr="00DD5BCE">
              <w:rPr>
                <w:rFonts w:ascii="Times New Roman" w:hAnsi="Times New Roman" w:cs="Times New Roman"/>
                <w:sz w:val="20"/>
                <w:lang w:val="fr-FR"/>
              </w:rPr>
              <w:t xml:space="preserve"> Service Centrum ICT (SSC-ICT)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324.405</w:t>
            </w:r>
          </w:p>
        </w:tc>
        <w:tc>
          <w:tcPr>
            <w:tcW w:w="3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335.955</w:t>
            </w:r>
          </w:p>
        </w:tc>
        <w:tc>
          <w:tcPr>
            <w:tcW w:w="47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‒ 11.550</w:t>
            </w:r>
          </w:p>
        </w:tc>
        <w:tc>
          <w:tcPr>
            <w:tcW w:w="3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21.089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21.089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BCE" w:rsidR="00DD5BCE" w:rsidTr="00DD5BCE">
        <w:tc>
          <w:tcPr>
            <w:tcW w:w="25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Rijksvastgoedbedrijf (RVB)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1.470.138</w:t>
            </w:r>
          </w:p>
        </w:tc>
        <w:tc>
          <w:tcPr>
            <w:tcW w:w="3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1.470.138</w:t>
            </w:r>
          </w:p>
        </w:tc>
        <w:tc>
          <w:tcPr>
            <w:tcW w:w="47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48.122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48.122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BCE" w:rsidR="00DD5BCE" w:rsidTr="00DD5BCE">
        <w:tc>
          <w:tcPr>
            <w:tcW w:w="25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Dienst van de Huurcommissie (DHC)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18.229</w:t>
            </w:r>
          </w:p>
        </w:tc>
        <w:tc>
          <w:tcPr>
            <w:tcW w:w="3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18.229</w:t>
            </w:r>
          </w:p>
        </w:tc>
        <w:tc>
          <w:tcPr>
            <w:tcW w:w="47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4.758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4.758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BCE" w:rsidR="00DD5BCE" w:rsidTr="00DD5BCE">
        <w:tc>
          <w:tcPr>
            <w:tcW w:w="25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Rijksorganisatie Beveiliging en Logistiek (RBL)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‒</w:t>
            </w:r>
          </w:p>
        </w:tc>
        <w:tc>
          <w:tcPr>
            <w:tcW w:w="3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‒</w:t>
            </w:r>
          </w:p>
        </w:tc>
        <w:tc>
          <w:tcPr>
            <w:tcW w:w="47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‒</w:t>
            </w:r>
          </w:p>
        </w:tc>
        <w:tc>
          <w:tcPr>
            <w:tcW w:w="3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139.275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139.275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BCE" w:rsidR="00DD5BCE" w:rsidTr="00DD5BCE">
        <w:tc>
          <w:tcPr>
            <w:tcW w:w="258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b/>
                <w:sz w:val="20"/>
              </w:rPr>
              <w:t>2.253.086</w:t>
            </w:r>
          </w:p>
        </w:tc>
        <w:tc>
          <w:tcPr>
            <w:tcW w:w="3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b/>
                <w:sz w:val="20"/>
              </w:rPr>
              <w:t>2.264.636</w:t>
            </w:r>
          </w:p>
        </w:tc>
        <w:tc>
          <w:tcPr>
            <w:tcW w:w="47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b/>
                <w:sz w:val="20"/>
              </w:rPr>
              <w:t>‒ 11.550</w:t>
            </w:r>
          </w:p>
        </w:tc>
        <w:tc>
          <w:tcPr>
            <w:tcW w:w="3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b/>
                <w:sz w:val="20"/>
              </w:rPr>
              <w:t>139.116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b/>
                <w:sz w:val="20"/>
              </w:rPr>
              <w:t>139.116</w:t>
            </w:r>
          </w:p>
        </w:tc>
        <w:tc>
          <w:tcPr>
            <w:tcW w:w="45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</w:tbl>
    <w:p w:rsidR="00DD5BCE" w:rsidP="001F720D" w:rsidRDefault="00DD5BC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4"/>
        <w:gridCol w:w="1038"/>
        <w:gridCol w:w="1199"/>
        <w:gridCol w:w="1000"/>
        <w:gridCol w:w="1199"/>
      </w:tblGrid>
      <w:tr w:rsidRPr="00DD5BCE" w:rsidR="00DD5BCE" w:rsidTr="00DD5BCE">
        <w:trPr>
          <w:tblHeader/>
        </w:trPr>
        <w:tc>
          <w:tcPr>
            <w:tcW w:w="5000" w:type="pct"/>
            <w:gridSpan w:val="5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DD5BCE" w:rsidR="00DD5BCE" w:rsidP="00AA2417" w:rsidRDefault="00DD5BCE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5BCE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inzake agentschappen voor het jaar 2023 (Eerste suppletoire begroting) (bedragen x € 1.000)</w:t>
            </w:r>
          </w:p>
        </w:tc>
      </w:tr>
      <w:tr w:rsidRPr="00DD5BCE" w:rsidR="00DD5BCE" w:rsidTr="00DD5BCE">
        <w:trPr>
          <w:tblHeader/>
        </w:trPr>
        <w:tc>
          <w:tcPr>
            <w:tcW w:w="2555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Naam</w:t>
            </w:r>
          </w:p>
        </w:tc>
        <w:tc>
          <w:tcPr>
            <w:tcW w:w="1233" w:type="pct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213" w:type="pct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DD5BCE" w:rsidR="00DD5BCE" w:rsidTr="00DD5BCE">
        <w:tc>
          <w:tcPr>
            <w:tcW w:w="25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 xml:space="preserve">Totaal </w:t>
            </w:r>
            <w:proofErr w:type="spellStart"/>
            <w:r w:rsidRPr="00DD5BCE">
              <w:rPr>
                <w:rFonts w:ascii="Times New Roman" w:hAnsi="Times New Roman" w:cs="Times New Roman"/>
                <w:sz w:val="20"/>
              </w:rPr>
              <w:t>kapitaal-uitgaven</w:t>
            </w:r>
            <w:proofErr w:type="spellEnd"/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 xml:space="preserve">Totaal </w:t>
            </w:r>
            <w:proofErr w:type="spellStart"/>
            <w:r w:rsidRPr="00DD5BCE">
              <w:rPr>
                <w:rFonts w:ascii="Times New Roman" w:hAnsi="Times New Roman" w:cs="Times New Roman"/>
                <w:sz w:val="20"/>
              </w:rPr>
              <w:t>kapitaal-ontvangsten</w:t>
            </w:r>
            <w:proofErr w:type="spellEnd"/>
          </w:p>
        </w:tc>
        <w:tc>
          <w:tcPr>
            <w:tcW w:w="55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 xml:space="preserve">Totaal </w:t>
            </w:r>
            <w:proofErr w:type="spellStart"/>
            <w:r w:rsidRPr="00DD5BCE">
              <w:rPr>
                <w:rFonts w:ascii="Times New Roman" w:hAnsi="Times New Roman" w:cs="Times New Roman"/>
                <w:sz w:val="20"/>
              </w:rPr>
              <w:t>kapitaal-uitgaven</w:t>
            </w:r>
            <w:proofErr w:type="spellEnd"/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 xml:space="preserve">Totaal </w:t>
            </w:r>
            <w:proofErr w:type="spellStart"/>
            <w:r w:rsidRPr="00DD5BCE">
              <w:rPr>
                <w:rFonts w:ascii="Times New Roman" w:hAnsi="Times New Roman" w:cs="Times New Roman"/>
                <w:sz w:val="20"/>
              </w:rPr>
              <w:t>kapitaal-ontvangsten</w:t>
            </w:r>
            <w:proofErr w:type="spellEnd"/>
          </w:p>
        </w:tc>
      </w:tr>
      <w:tr w:rsidRPr="00DD5BCE" w:rsidR="00DD5BCE" w:rsidTr="00DD5BCE">
        <w:tc>
          <w:tcPr>
            <w:tcW w:w="25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Organisatie en Personeel Rijk (O&amp;P Rijk) (Voorheen P-</w:t>
            </w:r>
            <w:proofErr w:type="spellStart"/>
            <w:r w:rsidRPr="00DD5BCE">
              <w:rPr>
                <w:rFonts w:ascii="Times New Roman" w:hAnsi="Times New Roman" w:cs="Times New Roman"/>
                <w:sz w:val="20"/>
              </w:rPr>
              <w:t>Direkt</w:t>
            </w:r>
            <w:proofErr w:type="spellEnd"/>
            <w:r w:rsidRPr="00DD5BC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2.520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5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BCE" w:rsidR="00DD5BCE" w:rsidTr="00DD5BCE">
        <w:tc>
          <w:tcPr>
            <w:tcW w:w="25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Rijksorganisatie voor Ontwikkeling, Digitalisering en Innovatie (RODI) (Voorheen Uitvoeringsorganisatie Bedrijfsvoering Rijk (UBR))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1.000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5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‒ 1.000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BCE" w:rsidR="00DD5BCE" w:rsidTr="00DD5BCE">
        <w:tc>
          <w:tcPr>
            <w:tcW w:w="25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  <w:lang w:val="fr-FR"/>
              </w:rPr>
            </w:pPr>
            <w:proofErr w:type="spellStart"/>
            <w:r w:rsidRPr="00DD5BCE">
              <w:rPr>
                <w:rFonts w:ascii="Times New Roman" w:hAnsi="Times New Roman" w:cs="Times New Roman"/>
                <w:sz w:val="20"/>
                <w:lang w:val="fr-FR"/>
              </w:rPr>
              <w:t>Shared</w:t>
            </w:r>
            <w:proofErr w:type="spellEnd"/>
            <w:r w:rsidRPr="00DD5BCE">
              <w:rPr>
                <w:rFonts w:ascii="Times New Roman" w:hAnsi="Times New Roman" w:cs="Times New Roman"/>
                <w:sz w:val="20"/>
                <w:lang w:val="fr-FR"/>
              </w:rPr>
              <w:t xml:space="preserve"> Service Centrum ICT (SSC-ICT)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100.500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71.550</w:t>
            </w:r>
          </w:p>
        </w:tc>
        <w:tc>
          <w:tcPr>
            <w:tcW w:w="55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11.482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BCE" w:rsidR="00DD5BCE" w:rsidTr="00DD5BCE">
        <w:tc>
          <w:tcPr>
            <w:tcW w:w="25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Rijksvastgoedbedrijf (RVB)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1.143.372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772.000</w:t>
            </w:r>
          </w:p>
        </w:tc>
        <w:tc>
          <w:tcPr>
            <w:tcW w:w="55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‒ 186.712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‒ 173.000</w:t>
            </w:r>
          </w:p>
        </w:tc>
      </w:tr>
      <w:tr w:rsidRPr="00DD5BCE" w:rsidR="00DD5BCE" w:rsidTr="00DD5BCE">
        <w:tc>
          <w:tcPr>
            <w:tcW w:w="25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Dienst van de Huurcommissie (DHC)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5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BCE" w:rsidR="00DD5BCE" w:rsidTr="00DD5BCE">
        <w:tc>
          <w:tcPr>
            <w:tcW w:w="25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Rijksorganisatie Beveiliging en Logistiek (RBL)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‒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‒</w:t>
            </w:r>
          </w:p>
        </w:tc>
        <w:tc>
          <w:tcPr>
            <w:tcW w:w="55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285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D5BCE" w:rsidR="00DD5BCE" w:rsidTr="00DD5BCE">
        <w:tc>
          <w:tcPr>
            <w:tcW w:w="25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5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b/>
                <w:sz w:val="20"/>
              </w:rPr>
              <w:t>1.247.457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b/>
                <w:sz w:val="20"/>
              </w:rPr>
              <w:t>843.550</w:t>
            </w:r>
          </w:p>
        </w:tc>
        <w:tc>
          <w:tcPr>
            <w:tcW w:w="55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b/>
                <w:sz w:val="20"/>
              </w:rPr>
              <w:t>‒ 175.945</w:t>
            </w:r>
          </w:p>
        </w:tc>
        <w:tc>
          <w:tcPr>
            <w:tcW w:w="66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DD5BCE" w:rsidR="00DD5BCE" w:rsidP="00AA2417" w:rsidRDefault="00DD5BCE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D5BCE">
              <w:rPr>
                <w:rFonts w:ascii="Times New Roman" w:hAnsi="Times New Roman" w:cs="Times New Roman"/>
                <w:b/>
                <w:sz w:val="20"/>
              </w:rPr>
              <w:t>‒ 173.000</w:t>
            </w:r>
          </w:p>
        </w:tc>
      </w:tr>
    </w:tbl>
    <w:p w:rsidRPr="002168F4" w:rsidR="00DD5BCE" w:rsidP="001F720D" w:rsidRDefault="00DD5BC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DD5BCE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20D" w:rsidRDefault="001F720D">
      <w:pPr>
        <w:spacing w:line="20" w:lineRule="exact"/>
      </w:pPr>
    </w:p>
  </w:endnote>
  <w:endnote w:type="continuationSeparator" w:id="0">
    <w:p w:rsidR="001F720D" w:rsidRDefault="001F720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F720D" w:rsidRDefault="001F720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D4702">
      <w:rPr>
        <w:rStyle w:val="Paginanummer"/>
        <w:rFonts w:ascii="Times New Roman" w:hAnsi="Times New Roman"/>
        <w:noProof/>
      </w:rPr>
      <w:t>4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20D" w:rsidRDefault="001F720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F720D" w:rsidRDefault="001F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0D"/>
    <w:rsid w:val="00012DBE"/>
    <w:rsid w:val="000A1D81"/>
    <w:rsid w:val="00111ED3"/>
    <w:rsid w:val="00180DFC"/>
    <w:rsid w:val="001C190E"/>
    <w:rsid w:val="001F720D"/>
    <w:rsid w:val="002168F4"/>
    <w:rsid w:val="002A727C"/>
    <w:rsid w:val="005D2707"/>
    <w:rsid w:val="00606255"/>
    <w:rsid w:val="006B607A"/>
    <w:rsid w:val="007D451C"/>
    <w:rsid w:val="00826224"/>
    <w:rsid w:val="008D4702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D5BCE"/>
    <w:rsid w:val="00E16443"/>
    <w:rsid w:val="00E21E3B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55793"/>
  <w15:docId w15:val="{1849BE5F-4D81-4D50-AAE4-E0A0712E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DD5BCE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DD5BCE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633</ap:Words>
  <ap:Characters>3994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2023-06-28T09:27:00.0000000Z</dcterms:created>
  <dcterms:modified xsi:type="dcterms:W3CDTF">2023-06-28T10:11:00.0000000Z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