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D30EFC" w:rsidTr="00D30EFC" w14:paraId="313B6226" w14:textId="77777777">
        <w:sdt>
          <w:sdtPr>
            <w:tag w:val="bmZaakNummerAdvies"/>
            <w:id w:val="-782031324"/>
            <w:lock w:val="sdtLocked"/>
            <w:placeholder>
              <w:docPart w:val="DefaultPlaceholder_-1854013440"/>
            </w:placeholder>
          </w:sdtPr>
          <w:sdtEndPr/>
          <w:sdtContent>
            <w:tc>
              <w:tcPr>
                <w:tcW w:w="4251" w:type="dxa"/>
              </w:tcPr>
              <w:p w:rsidR="00D30EFC" w:rsidRDefault="00D30EFC" w14:paraId="02E32688" w14:textId="5D7C4C5C">
                <w:r>
                  <w:t>No. W17.22.00172/IV</w:t>
                </w:r>
              </w:p>
            </w:tc>
          </w:sdtContent>
        </w:sdt>
        <w:sdt>
          <w:sdtPr>
            <w:tag w:val="bmDatumAdvies"/>
            <w:id w:val="757412213"/>
            <w:lock w:val="sdtLocked"/>
            <w:placeholder>
              <w:docPart w:val="DefaultPlaceholder_-1854013440"/>
            </w:placeholder>
          </w:sdtPr>
          <w:sdtEndPr/>
          <w:sdtContent>
            <w:tc>
              <w:tcPr>
                <w:tcW w:w="4252" w:type="dxa"/>
              </w:tcPr>
              <w:p w:rsidR="00D30EFC" w:rsidRDefault="00D30EFC" w14:paraId="5F49E74D" w14:textId="5BCBA350">
                <w:r>
                  <w:t>'s-Gravenhage, 2</w:t>
                </w:r>
                <w:r w:rsidR="00F30E10">
                  <w:t>2</w:t>
                </w:r>
                <w:r>
                  <w:t xml:space="preserve"> februari 2023</w:t>
                </w:r>
              </w:p>
            </w:tc>
          </w:sdtContent>
        </w:sdt>
      </w:tr>
    </w:tbl>
    <w:p w:rsidR="00D30EFC" w:rsidRDefault="00D30EFC" w14:paraId="7E66395D" w14:textId="77777777"/>
    <w:p w:rsidR="00D30EFC" w:rsidRDefault="00D30EFC" w14:paraId="30EFCE1B" w14:textId="77777777"/>
    <w:p w:rsidR="007E2745" w:rsidRDefault="00BB1D7F" w14:paraId="4257CD4D" w14:textId="489C1C24">
      <w:sdt>
        <w:sdtPr>
          <w:tag w:val="bmAanhef"/>
          <w:id w:val="1555127409"/>
          <w:lock w:val="sdtLocked"/>
          <w:placeholder>
            <w:docPart w:val="DefaultPlaceholder_-1854013440"/>
          </w:placeholder>
        </w:sdtPr>
        <w:sdtEndPr/>
        <w:sdtContent>
          <w:r w:rsidR="00D30EFC">
            <w:rPr>
              <w:color w:val="000000"/>
            </w:rPr>
            <w:t>Bij Kabinetsmissive van 23 november 2022, no.2022002536, heeft Uwe Majesteit, op voordracht van de Minister van Infrastructuur en Waterstaat, bij de Afdeling advisering van de Raad van State ter overweging aanhangig gemaakt het voorstel van wet tot wijziging van de Wet tijdelijke tolheffing Blankenburgverbinding en ViA15 en de Tunnelwet Westerschelde in verband met de implementatie van de herziene Eurovignetrichtlijn, met memorie van toelichting.</w:t>
          </w:r>
        </w:sdtContent>
      </w:sdt>
    </w:p>
    <w:p w:rsidR="007E2745" w:rsidRDefault="007E2745" w14:paraId="4257CD4E" w14:textId="77777777"/>
    <w:sdt>
      <w:sdtPr>
        <w:tag w:val="bmVrijeTekst1"/>
        <w:id w:val="1023055625"/>
        <w:lock w:val="sdtLocked"/>
        <w:placeholder>
          <w:docPart w:val="DefaultPlaceholder_-1854013440"/>
        </w:placeholder>
      </w:sdtPr>
      <w:sdtEndPr/>
      <w:sdtContent>
        <w:p w:rsidR="00CA3EF7" w:rsidRDefault="00D06833" w14:paraId="4369F25E" w14:textId="57ED7143">
          <w:r>
            <w:t>Met h</w:t>
          </w:r>
          <w:r w:rsidR="00B923F3">
            <w:t xml:space="preserve">et wetsvoorstel </w:t>
          </w:r>
          <w:r>
            <w:t xml:space="preserve">wordt </w:t>
          </w:r>
          <w:r w:rsidR="00B923F3">
            <w:t>de herziene Eurovignetrichtlijn</w:t>
          </w:r>
          <w:r w:rsidR="006B2A3A">
            <w:rPr>
              <w:rStyle w:val="Voetnootmarkering"/>
            </w:rPr>
            <w:footnoteReference w:id="2"/>
          </w:r>
          <w:r w:rsidR="006E78CD">
            <w:t xml:space="preserve"> </w:t>
          </w:r>
          <w:r w:rsidR="00D416AC">
            <w:t>voor zover nodig</w:t>
          </w:r>
          <w:r w:rsidR="00D416AC">
            <w:rPr>
              <w:rStyle w:val="Voetnootmarkering"/>
            </w:rPr>
            <w:footnoteReference w:id="3"/>
          </w:r>
          <w:r w:rsidR="00D416AC">
            <w:t xml:space="preserve"> geïmplementeerd</w:t>
          </w:r>
          <w:r w:rsidR="006E78CD">
            <w:t xml:space="preserve"> in de Wet tijdelijke tolheffing Blankenburgverbinding en ViA15 (hierna: Wet TTH) en </w:t>
          </w:r>
          <w:r w:rsidR="007275D5">
            <w:t xml:space="preserve">in </w:t>
          </w:r>
          <w:r w:rsidR="006E78CD">
            <w:t>de Tunnelwet Westerschelde</w:t>
          </w:r>
          <w:r w:rsidR="00082B60">
            <w:t>.</w:t>
          </w:r>
          <w:r w:rsidR="005C1D0B">
            <w:rPr>
              <w:rStyle w:val="Voetnootmarkering"/>
            </w:rPr>
            <w:footnoteReference w:id="4"/>
          </w:r>
          <w:r w:rsidR="00082B60">
            <w:t xml:space="preserve"> </w:t>
          </w:r>
          <w:r w:rsidR="00846078">
            <w:t xml:space="preserve">De herziene Eurovignetrichtlijn </w:t>
          </w:r>
          <w:r w:rsidR="00383F82">
            <w:t xml:space="preserve">schrapt de mogelijkheid om het toltarief </w:t>
          </w:r>
          <w:r w:rsidRPr="00CF602F" w:rsidR="00CF602F">
            <w:t xml:space="preserve">naar euro-emissieklasse te differentiëren. In plaats daarvan wordt differentiatie op basis van </w:t>
          </w:r>
          <m:oMath>
            <m:sSub>
              <m:sSubPr>
                <m:ctrlPr>
                  <w:rPr>
                    <w:rFonts w:ascii="Cambria Math" w:hAnsi="Cambria Math"/>
                    <w:iCs/>
                  </w:rPr>
                </m:ctrlPr>
              </m:sSubPr>
              <m:e>
                <m:r>
                  <m:rPr>
                    <m:nor/>
                  </m:rPr>
                  <w:rPr>
                    <w:iCs/>
                  </w:rPr>
                  <m:t>CO</m:t>
                </m:r>
              </m:e>
              <m:sub>
                <m:r>
                  <m:rPr>
                    <m:nor/>
                  </m:rPr>
                  <w:rPr>
                    <w:iCs/>
                  </w:rPr>
                  <m:t>2</m:t>
                </m:r>
              </m:sub>
            </m:sSub>
          </m:oMath>
          <w:r w:rsidR="00383F82">
            <w:rPr>
              <w:iCs/>
            </w:rPr>
            <w:t>-</w:t>
          </w:r>
          <w:r w:rsidR="00383F82">
            <w:t xml:space="preserve">emissieklasse </w:t>
          </w:r>
          <w:r w:rsidRPr="00CF602F" w:rsidR="00CF602F">
            <w:t>voorgeschreven</w:t>
          </w:r>
          <w:r w:rsidR="00383F82">
            <w:t>.</w:t>
          </w:r>
          <w:r w:rsidR="00CF602F">
            <w:t xml:space="preserve"> </w:t>
          </w:r>
          <w:r w:rsidR="00D14932">
            <w:t xml:space="preserve">Voor wat betreft de Blankenburgverbinding en ViA15 wordt een beroep gedaan op </w:t>
          </w:r>
          <w:r w:rsidR="00C220A6">
            <w:t>een in de Eurovignetrichtlijn voorziene uitzonderingclausule</w:t>
          </w:r>
          <w:r w:rsidR="007275D5">
            <w:rPr>
              <w:rStyle w:val="Voetnootmarkering"/>
            </w:rPr>
            <w:footnoteReference w:id="5"/>
          </w:r>
          <w:r w:rsidR="00C220A6">
            <w:t xml:space="preserve"> </w:t>
          </w:r>
          <w:r w:rsidR="00555484">
            <w:t xml:space="preserve">op de verplichting om toltarieven te differentiëren naar </w:t>
          </w:r>
          <m:oMath>
            <m:sSub>
              <m:sSubPr>
                <m:ctrlPr>
                  <w:rPr>
                    <w:rFonts w:ascii="Cambria Math" w:hAnsi="Cambria Math"/>
                    <w:iCs/>
                  </w:rPr>
                </m:ctrlPr>
              </m:sSubPr>
              <m:e>
                <m:r>
                  <m:rPr>
                    <m:nor/>
                  </m:rPr>
                  <w:rPr>
                    <w:iCs/>
                  </w:rPr>
                  <m:t>CO</m:t>
                </m:r>
              </m:e>
              <m:sub>
                <m:r>
                  <m:rPr>
                    <m:nor/>
                  </m:rPr>
                  <w:rPr>
                    <w:iCs/>
                  </w:rPr>
                  <m:t>2</m:t>
                </m:r>
              </m:sub>
            </m:sSub>
          </m:oMath>
          <w:r w:rsidR="00555484">
            <w:rPr>
              <w:iCs/>
            </w:rPr>
            <w:t>-</w:t>
          </w:r>
          <w:r w:rsidR="00555484">
            <w:t>emissieklasse,</w:t>
          </w:r>
          <w:r w:rsidR="00555484">
            <w:rPr>
              <w:rStyle w:val="Voetnootmarkering"/>
            </w:rPr>
            <w:footnoteReference w:id="6"/>
          </w:r>
          <w:r w:rsidR="00555484">
            <w:t xml:space="preserve"> </w:t>
          </w:r>
          <w:r w:rsidR="00C220A6">
            <w:t xml:space="preserve">hetgeen </w:t>
          </w:r>
          <w:r w:rsidR="00645ABB">
            <w:t xml:space="preserve">volgens de toelichting </w:t>
          </w:r>
          <w:r w:rsidR="00C220A6">
            <w:t xml:space="preserve">tot gevolg </w:t>
          </w:r>
          <w:r w:rsidR="004E3F79">
            <w:t>heeft</w:t>
          </w:r>
          <w:r w:rsidR="00C220A6">
            <w:t xml:space="preserve"> dat het merendeel van de bepalingen in de richtlijn </w:t>
          </w:r>
          <w:r w:rsidR="00BA3D37">
            <w:t>niet van toepassing is.</w:t>
          </w:r>
          <w:r w:rsidR="00CA3EF7">
            <w:t xml:space="preserve"> </w:t>
          </w:r>
        </w:p>
        <w:p w:rsidR="00CA3EF7" w:rsidRDefault="00CA3EF7" w14:paraId="7F5DBE1C" w14:textId="77777777"/>
        <w:p w:rsidR="000A2BCF" w:rsidRDefault="00D3250F" w14:paraId="44871B99" w14:textId="013913CC">
          <w:r>
            <w:t xml:space="preserve">De Afdeling </w:t>
          </w:r>
          <w:r w:rsidR="00B10A25">
            <w:t xml:space="preserve">advisering </w:t>
          </w:r>
          <w:r w:rsidR="002A6CA7">
            <w:t xml:space="preserve">van de Raad van State </w:t>
          </w:r>
          <w:r>
            <w:t xml:space="preserve">maakt een opmerking over </w:t>
          </w:r>
          <w:r w:rsidR="000D4CC4">
            <w:t xml:space="preserve">de </w:t>
          </w:r>
          <w:r w:rsidR="00300CF0">
            <w:t xml:space="preserve">motivering dat aan de </w:t>
          </w:r>
          <w:r w:rsidR="009A554C">
            <w:t xml:space="preserve">voorwaarden </w:t>
          </w:r>
          <w:r w:rsidR="00766A1C">
            <w:t>voor een beroep op</w:t>
          </w:r>
          <w:r w:rsidR="009A554C">
            <w:t xml:space="preserve"> de </w:t>
          </w:r>
          <w:r w:rsidR="00F02671">
            <w:t xml:space="preserve">uitzonderingsclausule </w:t>
          </w:r>
          <w:r w:rsidR="00300CF0">
            <w:t>is voldaan</w:t>
          </w:r>
          <w:r w:rsidR="0010690B">
            <w:t>.</w:t>
          </w:r>
          <w:r w:rsidR="00B51A4F">
            <w:t xml:space="preserve"> </w:t>
          </w:r>
          <w:r w:rsidR="0010690B">
            <w:t xml:space="preserve">Tevens </w:t>
          </w:r>
          <w:r w:rsidR="00184422">
            <w:t xml:space="preserve">adviseert de Afdeling </w:t>
          </w:r>
          <w:r w:rsidR="002F39D8">
            <w:t xml:space="preserve">mededeling </w:t>
          </w:r>
          <w:r w:rsidR="00A850E1">
            <w:t>te doen</w:t>
          </w:r>
          <w:r w:rsidR="002F39D8">
            <w:t xml:space="preserve"> aan de Commissie </w:t>
          </w:r>
          <w:r w:rsidR="00A850E1">
            <w:t xml:space="preserve">van het beroep </w:t>
          </w:r>
          <w:r w:rsidR="00FB0C2F">
            <w:t>op de uitzonderingsclausule</w:t>
          </w:r>
          <w:r w:rsidR="00263937">
            <w:t xml:space="preserve"> </w:t>
          </w:r>
          <w:r w:rsidR="00FB0C2F">
            <w:t>indien daaraan</w:t>
          </w:r>
          <w:r w:rsidR="00263937">
            <w:t xml:space="preserve"> </w:t>
          </w:r>
          <w:r w:rsidR="009669AB">
            <w:t>wordt vastgehouden</w:t>
          </w:r>
          <w:r w:rsidR="00FB0C2F">
            <w:t>.</w:t>
          </w:r>
          <w:r w:rsidR="002F39D8">
            <w:t xml:space="preserve"> </w:t>
          </w:r>
          <w:r w:rsidR="00062AB5">
            <w:t xml:space="preserve">In verband hiermee </w:t>
          </w:r>
          <w:r w:rsidR="00B15191">
            <w:t xml:space="preserve">is aanpassing van de toelichting en zo nodig het voorstel wenselijk. </w:t>
          </w:r>
        </w:p>
        <w:p w:rsidR="000F272D" w:rsidRDefault="000F272D" w14:paraId="20F5BDE4" w14:textId="77777777"/>
        <w:p w:rsidRPr="003F7579" w:rsidR="00BB4E81" w:rsidRDefault="00344947" w14:paraId="0882658C" w14:textId="2AD9B1D6">
          <w:r>
            <w:t xml:space="preserve">De Eurovignetrichtlijn bevat </w:t>
          </w:r>
          <w:r w:rsidR="00065763">
            <w:t xml:space="preserve">de mogelijkheid voor lidstaten om </w:t>
          </w:r>
          <w:r w:rsidR="004A0AFF">
            <w:t xml:space="preserve">de verplichting om de toltarieven te differentiëren naar </w:t>
          </w:r>
          <m:oMath>
            <m:sSub>
              <m:sSubPr>
                <m:ctrlPr>
                  <w:rPr>
                    <w:rFonts w:ascii="Cambria Math" w:hAnsi="Cambria Math"/>
                    <w:iCs/>
                  </w:rPr>
                </m:ctrlPr>
              </m:sSubPr>
              <m:e>
                <m:r>
                  <m:rPr>
                    <m:nor/>
                  </m:rPr>
                  <w:rPr>
                    <w:iCs/>
                  </w:rPr>
                  <m:t>CO</m:t>
                </m:r>
              </m:e>
              <m:sub>
                <m:r>
                  <m:rPr>
                    <m:nor/>
                  </m:rPr>
                  <w:rPr>
                    <w:iCs/>
                  </w:rPr>
                  <m:t>2</m:t>
                </m:r>
              </m:sub>
            </m:sSub>
          </m:oMath>
          <w:r w:rsidR="007A4614">
            <w:rPr>
              <w:iCs/>
            </w:rPr>
            <w:t>-</w:t>
          </w:r>
          <w:r w:rsidR="007A4614">
            <w:t>emissieklasse</w:t>
          </w:r>
          <w:r w:rsidR="004A0AFF">
            <w:t xml:space="preserve"> </w:t>
          </w:r>
          <w:r w:rsidR="00FB1D5F">
            <w:t xml:space="preserve">niet toe te passen op </w:t>
          </w:r>
          <w:r w:rsidRPr="00853BD4" w:rsidR="00FB1D5F">
            <w:t>bruggen, tunnels en bergpassen</w:t>
          </w:r>
          <w:r w:rsidR="009A6864">
            <w:t>.</w:t>
          </w:r>
          <w:r w:rsidR="004A3E98">
            <w:t xml:space="preserve"> </w:t>
          </w:r>
          <w:r w:rsidR="00A02240">
            <w:t xml:space="preserve">Lidstaten kunnen daarvoor kiezen </w:t>
          </w:r>
          <w:r w:rsidR="004A3E98">
            <w:t xml:space="preserve">indien </w:t>
          </w:r>
          <w:r w:rsidR="00537857">
            <w:t xml:space="preserve">differentiatie </w:t>
          </w:r>
          <w:r w:rsidR="004A3E98">
            <w:t xml:space="preserve">technisch niet </w:t>
          </w:r>
          <w:r w:rsidR="00AE32DB">
            <w:t xml:space="preserve">werkbaar is of </w:t>
          </w:r>
          <w:r w:rsidR="00537857">
            <w:t xml:space="preserve">tot gevolg zou hebben </w:t>
          </w:r>
          <w:r w:rsidR="00AE32DB">
            <w:t>dat de meest vervuilende voertuigen zouden omrijden</w:t>
          </w:r>
          <w:r w:rsidR="00630B4A">
            <w:t xml:space="preserve"> </w:t>
          </w:r>
          <w:r w:rsidRPr="00630B4A" w:rsidR="00630B4A">
            <w:t xml:space="preserve">met negatieve gevolgen voor de </w:t>
          </w:r>
          <w:r w:rsidRPr="00630B4A" w:rsidR="00630B4A">
            <w:lastRenderedPageBreak/>
            <w:t>verkeersveiligheid en de volksgezondheid</w:t>
          </w:r>
          <w:r w:rsidR="00FB1D5F">
            <w:t>.</w:t>
          </w:r>
          <w:r w:rsidR="00FB1D5F">
            <w:rPr>
              <w:rStyle w:val="Voetnootmarkering"/>
            </w:rPr>
            <w:footnoteReference w:id="7"/>
          </w:r>
          <w:r w:rsidR="00FB1D5F">
            <w:t xml:space="preserve"> </w:t>
          </w:r>
          <w:r w:rsidR="0099454E">
            <w:t>Omdat</w:t>
          </w:r>
          <w:r w:rsidR="007F6AF4">
            <w:t xml:space="preserve"> dit het geval zou zijn, wordt van die mogelijkheid gebruik gemaakt. </w:t>
          </w:r>
          <w:r w:rsidR="005007E0">
            <w:t xml:space="preserve">Uit de toelichting blijkt niet dat </w:t>
          </w:r>
          <w:r w:rsidR="00AD2966">
            <w:t xml:space="preserve">de Commissie </w:t>
          </w:r>
          <w:r w:rsidR="005007E0">
            <w:t xml:space="preserve">van dat voornemen </w:t>
          </w:r>
          <w:r w:rsidR="00AD2966">
            <w:t xml:space="preserve">in kennis </w:t>
          </w:r>
          <w:r w:rsidR="005007E0">
            <w:t xml:space="preserve">is </w:t>
          </w:r>
          <w:r w:rsidR="00AD2966">
            <w:t>gesteld</w:t>
          </w:r>
          <w:r w:rsidR="00242E89">
            <w:t xml:space="preserve">, zoals </w:t>
          </w:r>
          <w:r w:rsidR="00D1509B">
            <w:t xml:space="preserve">wordt voorgeschreven in </w:t>
          </w:r>
          <w:r w:rsidR="00242E89">
            <w:t>de Eurovignet</w:t>
          </w:r>
          <w:r w:rsidR="00261611">
            <w:t>richtlijn</w:t>
          </w:r>
          <w:r w:rsidR="00242E89">
            <w:t>.</w:t>
          </w:r>
          <w:r w:rsidR="00AD2966">
            <w:t xml:space="preserve"> </w:t>
          </w:r>
        </w:p>
        <w:p w:rsidR="00497E53" w:rsidRDefault="00497E53" w14:paraId="30D1DC13" w14:textId="77777777"/>
        <w:p w:rsidR="004E7DBA" w:rsidRDefault="00E1609C" w14:paraId="28E416F4" w14:textId="40FAE96E">
          <w:r>
            <w:t>Onder een eerdere versie van de Eurovignetrichtlijn</w:t>
          </w:r>
          <w:r>
            <w:rPr>
              <w:rStyle w:val="Voetnootmarkering"/>
            </w:rPr>
            <w:footnoteReference w:id="8"/>
          </w:r>
          <w:r>
            <w:t xml:space="preserve"> is </w:t>
          </w:r>
          <w:r w:rsidR="00EF34E7">
            <w:t xml:space="preserve">wel </w:t>
          </w:r>
          <w:r w:rsidR="004142BE">
            <w:t>een mededeling gedaan</w:t>
          </w:r>
          <w:r w:rsidR="00AD75D3">
            <w:t xml:space="preserve"> </w:t>
          </w:r>
          <w:r w:rsidR="004142BE">
            <w:t>voor de trajecten</w:t>
          </w:r>
          <w:r w:rsidR="000E1A40">
            <w:t xml:space="preserve"> Blankenburgverbinding en ViA15</w:t>
          </w:r>
          <w:r w:rsidR="00AD75D3">
            <w:t>,</w:t>
          </w:r>
          <w:r w:rsidR="004142BE">
            <w:t xml:space="preserve"> </w:t>
          </w:r>
          <w:r>
            <w:t xml:space="preserve">waarbij </w:t>
          </w:r>
          <w:r w:rsidR="00445295">
            <w:t xml:space="preserve">een beroep </w:t>
          </w:r>
          <w:r w:rsidR="00AD75D3">
            <w:t xml:space="preserve">werd </w:t>
          </w:r>
          <w:r w:rsidR="00445295">
            <w:t xml:space="preserve">gedaan </w:t>
          </w:r>
          <w:r w:rsidR="00E03CBB">
            <w:t xml:space="preserve">op </w:t>
          </w:r>
          <w:r w:rsidR="00AA5D25">
            <w:t xml:space="preserve">vergelijkbare </w:t>
          </w:r>
          <w:r w:rsidR="00AD75D3">
            <w:t>uitzonderings</w:t>
          </w:r>
          <w:r w:rsidR="00E03CBB">
            <w:t>gronden</w:t>
          </w:r>
          <w:r w:rsidR="003E085C">
            <w:t>.</w:t>
          </w:r>
          <w:r w:rsidR="00EE1D09">
            <w:rPr>
              <w:rStyle w:val="Voetnootmarkering"/>
            </w:rPr>
            <w:footnoteReference w:id="9"/>
          </w:r>
          <w:r w:rsidR="00CF59E7">
            <w:t xml:space="preserve"> In de beoordeling heeft de Commissie destijds aangegeven dat </w:t>
          </w:r>
          <w:r w:rsidR="00613EAC">
            <w:t xml:space="preserve">aan </w:t>
          </w:r>
          <w:r w:rsidR="00897CED">
            <w:t>de uitzonderings</w:t>
          </w:r>
          <w:r w:rsidR="00CF59E7">
            <w:t xml:space="preserve">voorwaarden </w:t>
          </w:r>
          <w:r w:rsidR="00897CED">
            <w:t>werd voldaan</w:t>
          </w:r>
          <w:r w:rsidR="00CF59E7">
            <w:t>.</w:t>
          </w:r>
          <w:r w:rsidR="00CF59E7">
            <w:rPr>
              <w:rStyle w:val="Voetnootmarkering"/>
            </w:rPr>
            <w:footnoteReference w:id="10"/>
          </w:r>
          <w:r w:rsidR="00CF59E7">
            <w:t xml:space="preserve"> </w:t>
          </w:r>
        </w:p>
        <w:p w:rsidR="004E7DBA" w:rsidRDefault="004E7DBA" w14:paraId="2A183AE7" w14:textId="77777777"/>
        <w:p w:rsidR="00CE1BDE" w:rsidRDefault="00E623A8" w14:paraId="153A7333" w14:textId="28D12C1F">
          <w:r>
            <w:t>D</w:t>
          </w:r>
          <w:r w:rsidR="005006BE">
            <w:t xml:space="preserve">e Afdeling </w:t>
          </w:r>
          <w:r>
            <w:t>wijst erop dat</w:t>
          </w:r>
          <w:r w:rsidR="008968D7">
            <w:t xml:space="preserve"> de uitzonderingsmogelijkheid </w:t>
          </w:r>
          <w:r w:rsidR="00B729DD">
            <w:t xml:space="preserve">in </w:t>
          </w:r>
          <w:r w:rsidR="0033321F">
            <w:t>het nieuwe artikel 7, vierde lid, van de Eurovignetrichtlijn</w:t>
          </w:r>
          <w:r w:rsidR="00FF24F6">
            <w:t xml:space="preserve"> beperkt</w:t>
          </w:r>
          <w:r w:rsidR="009E148C">
            <w:t xml:space="preserve">er is dan de uitzondering onder de eerdere versie van de richtlijn. </w:t>
          </w:r>
          <w:r w:rsidR="005D51FC">
            <w:t xml:space="preserve">In de eerste plaats </w:t>
          </w:r>
          <w:r w:rsidR="00F76ED3">
            <w:t xml:space="preserve">kan de genoemde uitzonderingsmogelijkheid </w:t>
          </w:r>
          <w:r w:rsidRPr="00E208D2" w:rsidR="00F76ED3">
            <w:t xml:space="preserve">ook aldus </w:t>
          </w:r>
          <w:r w:rsidR="00F76ED3">
            <w:t xml:space="preserve">worden </w:t>
          </w:r>
          <w:r w:rsidRPr="00E208D2" w:rsidR="00F76ED3">
            <w:t xml:space="preserve">begrepen dat </w:t>
          </w:r>
          <w:r w:rsidR="00F76ED3">
            <w:t>zij</w:t>
          </w:r>
          <w:r w:rsidRPr="00E208D2" w:rsidR="00F76ED3">
            <w:t xml:space="preserve"> alleen ziet op situaties waarin </w:t>
          </w:r>
          <w:r w:rsidR="00F76ED3">
            <w:t xml:space="preserve">voor </w:t>
          </w:r>
          <w:r w:rsidRPr="00853BD4" w:rsidR="00F76ED3">
            <w:t>het gebruik van bruggen, tunnels en bergpassen</w:t>
          </w:r>
          <w:r w:rsidR="00F76ED3">
            <w:t xml:space="preserve"> op een en hetzelfde traject zowel tolgelden als gebruiksrechten worden geheven.</w:t>
          </w:r>
          <w:r w:rsidR="00F76ED3">
            <w:rPr>
              <w:rStyle w:val="Voetnootmarkering"/>
            </w:rPr>
            <w:footnoteReference w:id="11"/>
          </w:r>
          <w:r w:rsidR="00F76ED3">
            <w:t xml:space="preserve"> Die situatie is niet aan de orde op de genoemde trajecten. In de tweede plaats </w:t>
          </w:r>
          <w:r w:rsidR="005D51FC">
            <w:t>is d</w:t>
          </w:r>
          <w:r w:rsidR="009E148C">
            <w:t>e nieuwe uitzondering</w:t>
          </w:r>
          <w:r w:rsidR="00FF24F6">
            <w:t xml:space="preserve"> beperkt tot </w:t>
          </w:r>
          <w:r w:rsidRPr="00853BD4" w:rsidR="00FF24F6">
            <w:t>het gebruik van bruggen, tunnels en bergpassen</w:t>
          </w:r>
          <w:r w:rsidR="00B729DD">
            <w:t>.</w:t>
          </w:r>
          <w:r w:rsidR="009D6F48">
            <w:t xml:space="preserve"> Aangezien slechts een deel van</w:t>
          </w:r>
          <w:r w:rsidR="00DF4AE1">
            <w:t xml:space="preserve"> de Blankenburgverbinding en ViA15 respectievelijk een tunnel en een brug betreft, rijst de vraag of </w:t>
          </w:r>
          <w:r w:rsidR="00C12B08">
            <w:t xml:space="preserve">voor het gehele traject kan worden afgezien van </w:t>
          </w:r>
          <w:r w:rsidR="000802D8">
            <w:t xml:space="preserve">differentiatie naar </w:t>
          </w:r>
          <m:oMath>
            <m:sSub>
              <m:sSubPr>
                <m:ctrlPr>
                  <w:rPr>
                    <w:rFonts w:ascii="Cambria Math" w:hAnsi="Cambria Math"/>
                    <w:iCs/>
                  </w:rPr>
                </m:ctrlPr>
              </m:sSubPr>
              <m:e>
                <m:r>
                  <m:rPr>
                    <m:nor/>
                  </m:rPr>
                  <w:rPr>
                    <w:iCs/>
                  </w:rPr>
                  <m:t>CO</m:t>
                </m:r>
              </m:e>
              <m:sub>
                <m:r>
                  <m:rPr>
                    <m:nor/>
                  </m:rPr>
                  <w:rPr>
                    <w:iCs/>
                  </w:rPr>
                  <m:t>2</m:t>
                </m:r>
              </m:sub>
            </m:sSub>
          </m:oMath>
          <w:r w:rsidR="000802D8">
            <w:rPr>
              <w:iCs/>
            </w:rPr>
            <w:t>-</w:t>
          </w:r>
          <w:r w:rsidR="000802D8">
            <w:t>emissieklasse.</w:t>
          </w:r>
          <w:r w:rsidR="00E804D0">
            <w:t xml:space="preserve"> </w:t>
          </w:r>
        </w:p>
        <w:p w:rsidRPr="003F7579" w:rsidR="00927076" w:rsidRDefault="00927076" w14:paraId="7B3F6A4D" w14:textId="77777777"/>
        <w:p w:rsidR="007E2745" w:rsidRDefault="004A6116" w14:paraId="4257CD4F" w14:textId="6FCC175C">
          <w:r>
            <w:t>D</w:t>
          </w:r>
          <w:r w:rsidR="00FF61F9">
            <w:t>e</w:t>
          </w:r>
          <w:r w:rsidR="0045049B">
            <w:t xml:space="preserve"> </w:t>
          </w:r>
          <w:r w:rsidR="00CB2EC1">
            <w:t>wijzigingen</w:t>
          </w:r>
          <w:r w:rsidR="0045049B">
            <w:t xml:space="preserve"> </w:t>
          </w:r>
          <w:r w:rsidR="003C399D">
            <w:t xml:space="preserve">ten opzichte van de uitzonderingsbepaling zoals die luidde ten tijde van de </w:t>
          </w:r>
          <w:r w:rsidR="00CB2EC1">
            <w:t xml:space="preserve">reeds gedane mededeling </w:t>
          </w:r>
          <w:r w:rsidR="00FF61F9">
            <w:t xml:space="preserve">zijn </w:t>
          </w:r>
          <w:r>
            <w:t xml:space="preserve">van belang voor de </w:t>
          </w:r>
          <w:r w:rsidR="00C319E9">
            <w:t xml:space="preserve">vraag of </w:t>
          </w:r>
          <w:r w:rsidR="00125311">
            <w:t xml:space="preserve">wordt voldaan aan de voorwaarden van de </w:t>
          </w:r>
          <w:r w:rsidR="00C16434">
            <w:t xml:space="preserve">huidige </w:t>
          </w:r>
          <w:r w:rsidR="00125311">
            <w:t>uitzonderingsbepaling.</w:t>
          </w:r>
          <w:r w:rsidR="00410EC8">
            <w:t xml:space="preserve"> De Afdeling heeft hierover een beschouw</w:t>
          </w:r>
          <w:r w:rsidR="00233B73">
            <w:t>ing in de</w:t>
          </w:r>
          <w:r w:rsidR="00410EC8">
            <w:t xml:space="preserve"> toelichting gemist.</w:t>
          </w:r>
          <w:r w:rsidR="004657A1">
            <w:t xml:space="preserve"> </w:t>
          </w:r>
          <w:r w:rsidR="008F48A3">
            <w:t xml:space="preserve">Indien wordt vastgehouden aan </w:t>
          </w:r>
          <w:r w:rsidR="00246C1E">
            <w:t xml:space="preserve">het beroep op de </w:t>
          </w:r>
          <w:r w:rsidR="008F48A3">
            <w:t>uitzondering</w:t>
          </w:r>
          <w:r w:rsidR="00246C1E">
            <w:t>sclausule, adviseert</w:t>
          </w:r>
          <w:r w:rsidR="008F48A3">
            <w:t xml:space="preserve"> </w:t>
          </w:r>
          <w:r w:rsidR="00246C1E">
            <w:t>d</w:t>
          </w:r>
          <w:r w:rsidR="00846661">
            <w:t xml:space="preserve">e Afdeling </w:t>
          </w:r>
          <w:r w:rsidR="00C26F77">
            <w:t xml:space="preserve">in </w:t>
          </w:r>
          <w:r w:rsidR="002A19DB">
            <w:t>de toelichting</w:t>
          </w:r>
          <w:r w:rsidR="001C77D3">
            <w:t xml:space="preserve"> </w:t>
          </w:r>
          <w:r w:rsidR="00843C7D">
            <w:t xml:space="preserve">alsnog </w:t>
          </w:r>
          <w:r w:rsidR="001C77D3">
            <w:t>nader te motiveren</w:t>
          </w:r>
          <w:r w:rsidR="00976638">
            <w:t xml:space="preserve"> </w:t>
          </w:r>
          <w:r w:rsidR="00FA7A57">
            <w:t>waarom</w:t>
          </w:r>
          <w:r w:rsidR="00976638">
            <w:t xml:space="preserve"> aan de voorwaarden van de uitzonderings</w:t>
          </w:r>
          <w:r w:rsidR="00870B53">
            <w:t>clausule</w:t>
          </w:r>
          <w:r w:rsidR="00976638">
            <w:t xml:space="preserve"> wordt voldaan</w:t>
          </w:r>
          <w:r w:rsidR="00C26F77">
            <w:t xml:space="preserve">. </w:t>
          </w:r>
          <w:r w:rsidR="00D54139">
            <w:t xml:space="preserve">Voorts adviseert </w:t>
          </w:r>
          <w:r w:rsidR="0097528C">
            <w:t>d</w:t>
          </w:r>
          <w:r w:rsidR="009301C1">
            <w:t xml:space="preserve">e Afdeling </w:t>
          </w:r>
          <w:r w:rsidR="00A36F3F">
            <w:t>dat</w:t>
          </w:r>
          <w:r w:rsidR="00DB07D2">
            <w:t xml:space="preserve"> </w:t>
          </w:r>
          <w:r w:rsidR="00AA0F8F">
            <w:t xml:space="preserve">opnieuw </w:t>
          </w:r>
          <w:r w:rsidR="00F33D31">
            <w:lastRenderedPageBreak/>
            <w:t xml:space="preserve">mededeling </w:t>
          </w:r>
          <w:r w:rsidR="00BB458F">
            <w:t xml:space="preserve">wordt </w:t>
          </w:r>
          <w:r w:rsidR="00F33D31">
            <w:t xml:space="preserve">gedaan aan </w:t>
          </w:r>
          <w:r w:rsidR="005E2976">
            <w:t xml:space="preserve">de Commissie </w:t>
          </w:r>
          <w:r w:rsidR="00F33D31">
            <w:t xml:space="preserve">waarmee zij </w:t>
          </w:r>
          <w:r w:rsidR="005E2976">
            <w:t>in kennis wordt gesteld van het besluit om af te zien van differentiatie naar</w:t>
          </w:r>
          <w:r w:rsidR="005E2976">
            <w:rPr>
              <w:rFonts w:ascii="Cambria Math" w:hAnsi="Cambria Math"/>
              <w:iCs/>
            </w:rPr>
            <w:t xml:space="preserve"> </w:t>
          </w:r>
          <m:oMath>
            <m:sSub>
              <m:sSubPr>
                <m:ctrlPr>
                  <w:rPr>
                    <w:rFonts w:ascii="Cambria Math" w:hAnsi="Cambria Math"/>
                    <w:iCs/>
                  </w:rPr>
                </m:ctrlPr>
              </m:sSubPr>
              <m:e>
                <m:r>
                  <m:rPr>
                    <m:nor/>
                  </m:rPr>
                  <w:rPr>
                    <w:iCs/>
                  </w:rPr>
                  <m:t>CO</m:t>
                </m:r>
              </m:e>
              <m:sub>
                <m:r>
                  <m:rPr>
                    <m:nor/>
                  </m:rPr>
                  <w:rPr>
                    <w:iCs/>
                  </w:rPr>
                  <m:t>2</m:t>
                </m:r>
              </m:sub>
            </m:sSub>
          </m:oMath>
          <w:r w:rsidR="005E2976">
            <w:rPr>
              <w:iCs/>
            </w:rPr>
            <w:t>-</w:t>
          </w:r>
          <w:r w:rsidR="005E2976">
            <w:t>emissieklasse</w:t>
          </w:r>
          <w:r w:rsidR="00F33D31">
            <w:t>.</w:t>
          </w:r>
          <w:r w:rsidR="00870B53">
            <w:t xml:space="preserve"> </w:t>
          </w:r>
        </w:p>
      </w:sdtContent>
    </w:sdt>
    <w:p w:rsidR="0078690E" w:rsidRDefault="0078690E" w14:paraId="4027AB89" w14:textId="0CFF76FE"/>
    <w:sdt>
      <w:sdtPr>
        <w:tag w:val="bmDictum"/>
        <w:id w:val="186873395"/>
        <w:lock w:val="sdtLocked"/>
        <w:placeholder>
          <w:docPart w:val="DefaultPlaceholder_-1854013440"/>
        </w:placeholder>
      </w:sdtPr>
      <w:sdtEndPr/>
      <w:sdtContent>
        <w:p w:rsidR="00D27A45" w:rsidRDefault="0048203D" w14:paraId="3F84AA97" w14:textId="72F676D1">
          <w:r>
            <w:t xml:space="preserve">De Afdeling advisering van de Raad van State heeft een aantal opmerkingen bij het voorstel en adviseert daarmee rekening te houden voordat het voorstel bij de Tweede Kamer der Staten-Generaal wordt ingediend. </w:t>
          </w:r>
          <w:r>
            <w:br/>
          </w:r>
          <w:r>
            <w:br/>
          </w:r>
          <w:r>
            <w:br/>
          </w:r>
          <w:r>
            <w:br/>
          </w:r>
          <w:r>
            <w:br/>
          </w:r>
          <w:r>
            <w:br/>
            <w:t xml:space="preserve">De </w:t>
          </w:r>
          <w:proofErr w:type="spellStart"/>
          <w:r>
            <w:t>vice-president</w:t>
          </w:r>
          <w:proofErr w:type="spellEnd"/>
          <w:r>
            <w:t xml:space="preserve"> van de Raad van State,</w:t>
          </w:r>
        </w:p>
      </w:sdtContent>
    </w:sdt>
    <w:sectPr w:rsidR="00D27A45" w:rsidSect="00D30EFC">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04EB1" w14:textId="77777777" w:rsidR="00BB1D7F" w:rsidRDefault="00BB1D7F">
      <w:r>
        <w:separator/>
      </w:r>
    </w:p>
  </w:endnote>
  <w:endnote w:type="continuationSeparator" w:id="0">
    <w:p w14:paraId="16E77E40" w14:textId="77777777" w:rsidR="00BB1D7F" w:rsidRDefault="00BB1D7F">
      <w:r>
        <w:continuationSeparator/>
      </w:r>
    </w:p>
  </w:endnote>
  <w:endnote w:type="continuationNotice" w:id="1">
    <w:p w14:paraId="28BA6D96" w14:textId="77777777" w:rsidR="00BB1D7F" w:rsidRDefault="00BB1D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CD54" w14:textId="77777777" w:rsidR="007E2745" w:rsidRDefault="007E27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B51E15" w14:paraId="4257CD57" w14:textId="77777777" w:rsidTr="007E2745">
      <w:tc>
        <w:tcPr>
          <w:tcW w:w="4815" w:type="dxa"/>
        </w:tcPr>
        <w:p w14:paraId="4257CD55" w14:textId="77777777" w:rsidR="007E2745" w:rsidRDefault="007E2745" w:rsidP="007E2745">
          <w:pPr>
            <w:pStyle w:val="Voettekst"/>
          </w:pPr>
        </w:p>
      </w:tc>
      <w:tc>
        <w:tcPr>
          <w:tcW w:w="4247" w:type="dxa"/>
        </w:tcPr>
        <w:p w14:paraId="4257CD56" w14:textId="77777777" w:rsidR="007E2745" w:rsidRDefault="007E2745" w:rsidP="007E2745">
          <w:pPr>
            <w:pStyle w:val="Voettekst"/>
            <w:jc w:val="right"/>
          </w:pPr>
        </w:p>
      </w:tc>
    </w:tr>
  </w:tbl>
  <w:p w14:paraId="4257CD58" w14:textId="77777777" w:rsidR="007E2745" w:rsidRDefault="007E27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F53BC" w14:textId="70115EE9" w:rsidR="00D30EFC" w:rsidRPr="00D30EFC" w:rsidRDefault="00D30EFC">
    <w:pPr>
      <w:pStyle w:val="Voettekst"/>
      <w:rPr>
        <w:rFonts w:ascii="Bembo" w:hAnsi="Bembo"/>
        <w:sz w:val="32"/>
      </w:rPr>
    </w:pPr>
    <w:r w:rsidRPr="00D30EFC">
      <w:rPr>
        <w:rFonts w:ascii="Bembo" w:hAnsi="Bembo"/>
        <w:sz w:val="32"/>
      </w:rPr>
      <w:t>AAN DE KONING</w:t>
    </w:r>
  </w:p>
  <w:p w14:paraId="05DB2404" w14:textId="77777777" w:rsidR="00D30EFC" w:rsidRDefault="00D30E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43D53" w14:textId="77777777" w:rsidR="00BB1D7F" w:rsidRDefault="00BB1D7F">
      <w:r>
        <w:separator/>
      </w:r>
    </w:p>
  </w:footnote>
  <w:footnote w:type="continuationSeparator" w:id="0">
    <w:p w14:paraId="0E9B310D" w14:textId="77777777" w:rsidR="00BB1D7F" w:rsidRDefault="00BB1D7F">
      <w:r>
        <w:continuationSeparator/>
      </w:r>
    </w:p>
  </w:footnote>
  <w:footnote w:type="continuationNotice" w:id="1">
    <w:p w14:paraId="340614BD" w14:textId="77777777" w:rsidR="00BB1D7F" w:rsidRDefault="00BB1D7F"/>
  </w:footnote>
  <w:footnote w:id="2">
    <w:p w14:paraId="18C0A587" w14:textId="77777777" w:rsidR="006B2A3A" w:rsidRDefault="006B2A3A" w:rsidP="006B2A3A">
      <w:pPr>
        <w:pStyle w:val="Voetnoottekst"/>
      </w:pPr>
      <w:r>
        <w:rPr>
          <w:rStyle w:val="Voetnootmarkering"/>
        </w:rPr>
        <w:footnoteRef/>
      </w:r>
      <w:r>
        <w:t xml:space="preserve"> </w:t>
      </w:r>
      <w:r w:rsidRPr="006430D7">
        <w:t>Richtlijn (EU) 2022/362 van het Europees Parlement en de Raad van 24 februari 2022 tot wijziging van de Richtlijnen 1999/62/EG, 1999/37/EG en (EU) 2019/520 betreffende het in rekening brengen van het gebruik van bepaalde infrastructuurvoorzieningen aan voertuigen</w:t>
      </w:r>
      <w:r>
        <w:t xml:space="preserve">, PB 2022, L 69, p. 1. </w:t>
      </w:r>
    </w:p>
  </w:footnote>
  <w:footnote w:id="3">
    <w:p w14:paraId="4C4E77F1" w14:textId="1E7D9634" w:rsidR="00D416AC" w:rsidRDefault="00D416AC">
      <w:pPr>
        <w:pStyle w:val="Voetnoottekst"/>
      </w:pPr>
      <w:r>
        <w:rPr>
          <w:rStyle w:val="Voetnootmarkering"/>
        </w:rPr>
        <w:footnoteRef/>
      </w:r>
      <w:r>
        <w:t xml:space="preserve"> Aangezien de Westerscheldetunnel niet gelegen is op het trans-Europees wegennet of het autosnelwegennet, is slechts een beperkt aantal bepalingen van de Eurovignetrichtlijn van toepassing. </w:t>
      </w:r>
    </w:p>
  </w:footnote>
  <w:footnote w:id="4">
    <w:p w14:paraId="40CF3A62" w14:textId="57C8C23A" w:rsidR="005C1D0B" w:rsidRDefault="005C1D0B">
      <w:pPr>
        <w:pStyle w:val="Voetnoottekst"/>
      </w:pPr>
      <w:r>
        <w:rPr>
          <w:rStyle w:val="Voetnootmarkering"/>
        </w:rPr>
        <w:footnoteRef/>
      </w:r>
      <w:r w:rsidR="006B2A3A">
        <w:t xml:space="preserve"> </w:t>
      </w:r>
      <w:r w:rsidR="006B2A3A" w:rsidRPr="0045392C">
        <w:t>Andere onderdelen van de herziene Eurovignetrichtlijn worden op een later moment met aparte wetstrajecten geïmplementeerd, onder andere door wijziging van de Wet vrachtwagenheffing</w:t>
      </w:r>
      <w:r w:rsidR="006B2A3A">
        <w:t>.</w:t>
      </w:r>
    </w:p>
  </w:footnote>
  <w:footnote w:id="5">
    <w:p w14:paraId="252D32D5" w14:textId="70B633BC" w:rsidR="007275D5" w:rsidRDefault="007275D5">
      <w:pPr>
        <w:pStyle w:val="Voetnoottekst"/>
      </w:pPr>
      <w:r>
        <w:rPr>
          <w:rStyle w:val="Voetnootmarkering"/>
        </w:rPr>
        <w:footnoteRef/>
      </w:r>
      <w:r>
        <w:t xml:space="preserve"> </w:t>
      </w:r>
      <w:r w:rsidR="004948DF">
        <w:t>Artikel 7, vierde lid, Eurovignetrichtlijn.</w:t>
      </w:r>
    </w:p>
  </w:footnote>
  <w:footnote w:id="6">
    <w:p w14:paraId="46DC1A95" w14:textId="0E7C287D" w:rsidR="00555484" w:rsidRDefault="00555484">
      <w:pPr>
        <w:pStyle w:val="Voetnoottekst"/>
      </w:pPr>
      <w:r>
        <w:rPr>
          <w:rStyle w:val="Voetnootmarkering"/>
        </w:rPr>
        <w:footnoteRef/>
      </w:r>
      <w:r>
        <w:t xml:space="preserve"> </w:t>
      </w:r>
      <w:r w:rsidR="00043ADE">
        <w:t xml:space="preserve">Artikelen </w:t>
      </w:r>
      <w:r w:rsidR="00043ADE" w:rsidRPr="00043ADE">
        <w:t xml:space="preserve">7 </w:t>
      </w:r>
      <w:proofErr w:type="spellStart"/>
      <w:r w:rsidR="00043ADE" w:rsidRPr="00043ADE">
        <w:t>quater</w:t>
      </w:r>
      <w:proofErr w:type="spellEnd"/>
      <w:r w:rsidR="00043ADE" w:rsidRPr="00043ADE">
        <w:t xml:space="preserve"> bis, </w:t>
      </w:r>
      <w:r w:rsidR="00043ADE">
        <w:t>derde lid</w:t>
      </w:r>
      <w:r w:rsidR="00043ADE" w:rsidRPr="00043ADE">
        <w:t xml:space="preserve">, artikel 7 </w:t>
      </w:r>
      <w:proofErr w:type="spellStart"/>
      <w:r w:rsidR="00043ADE" w:rsidRPr="00043ADE">
        <w:t>octies</w:t>
      </w:r>
      <w:proofErr w:type="spellEnd"/>
      <w:r w:rsidR="00043ADE" w:rsidRPr="00043ADE">
        <w:t xml:space="preserve"> bis, </w:t>
      </w:r>
      <w:r w:rsidR="000475F5">
        <w:t>eerste lid</w:t>
      </w:r>
      <w:r w:rsidR="00043ADE" w:rsidRPr="00043ADE">
        <w:t xml:space="preserve">, en artikel 7 </w:t>
      </w:r>
      <w:proofErr w:type="spellStart"/>
      <w:r w:rsidR="00043ADE" w:rsidRPr="00043ADE">
        <w:t>octies</w:t>
      </w:r>
      <w:proofErr w:type="spellEnd"/>
      <w:r w:rsidR="00043ADE" w:rsidRPr="00043ADE">
        <w:t xml:space="preserve"> ter, </w:t>
      </w:r>
      <w:r w:rsidR="000475F5">
        <w:t xml:space="preserve">tweede </w:t>
      </w:r>
      <w:r w:rsidR="00043ADE" w:rsidRPr="00043ADE">
        <w:t>lid</w:t>
      </w:r>
      <w:r w:rsidR="000475F5">
        <w:t>, Eurovignetrichtlijn.</w:t>
      </w:r>
    </w:p>
  </w:footnote>
  <w:footnote w:id="7">
    <w:p w14:paraId="05852879" w14:textId="77777777" w:rsidR="00FB1D5F" w:rsidRDefault="00FB1D5F" w:rsidP="00FB1D5F">
      <w:pPr>
        <w:pStyle w:val="Voetnoottekst"/>
      </w:pPr>
      <w:r>
        <w:rPr>
          <w:rStyle w:val="Voetnootmarkering"/>
        </w:rPr>
        <w:footnoteRef/>
      </w:r>
      <w:r>
        <w:t xml:space="preserve"> Artikel 7, vierde lid, Eurovignetrichtlijn.</w:t>
      </w:r>
    </w:p>
  </w:footnote>
  <w:footnote w:id="8">
    <w:p w14:paraId="0427049B" w14:textId="47E169C4" w:rsidR="00E1609C" w:rsidRDefault="00E1609C" w:rsidP="00E1609C">
      <w:pPr>
        <w:pStyle w:val="Voetnoottekst"/>
      </w:pPr>
      <w:r>
        <w:rPr>
          <w:rStyle w:val="Voetnootmarkering"/>
        </w:rPr>
        <w:footnoteRef/>
      </w:r>
      <w:r>
        <w:t xml:space="preserve"> Zie artikel 7 </w:t>
      </w:r>
      <w:proofErr w:type="spellStart"/>
      <w:r>
        <w:t>octies</w:t>
      </w:r>
      <w:proofErr w:type="spellEnd"/>
      <w:r>
        <w:t xml:space="preserve">, eerste lid, zoals deze bepaling luidde voor de inwerkingtreding van </w:t>
      </w:r>
      <w:r w:rsidR="002D68F5">
        <w:t>de herziene Eurovignetrichtlijn</w:t>
      </w:r>
      <w:r>
        <w:t xml:space="preserve">. Voor de Westerscheldetunnel is zo een mededeling niet vereist gelet op artikel 7, eerste lid, </w:t>
      </w:r>
      <w:r w:rsidR="00C244A1">
        <w:t>van de</w:t>
      </w:r>
      <w:r w:rsidR="00086E6D">
        <w:t xml:space="preserve"> </w:t>
      </w:r>
      <w:r>
        <w:t>Eurovignetrichtlijn.</w:t>
      </w:r>
    </w:p>
  </w:footnote>
  <w:footnote w:id="9">
    <w:p w14:paraId="1A334187" w14:textId="77777777" w:rsidR="00EE1D09" w:rsidRDefault="00EE1D09">
      <w:pPr>
        <w:pStyle w:val="Voetnoottekst"/>
      </w:pPr>
      <w:r>
        <w:rPr>
          <w:rStyle w:val="Voetnootmarkering"/>
        </w:rPr>
        <w:footnoteRef/>
      </w:r>
      <w:r>
        <w:t xml:space="preserve"> </w:t>
      </w:r>
      <w:r w:rsidR="00AA62E4">
        <w:t>Memorie van toelichting</w:t>
      </w:r>
      <w:r w:rsidR="00A0551F">
        <w:t>, algemeen deel, paragraaf 3 (</w:t>
      </w:r>
      <w:r w:rsidR="00CE1BDE">
        <w:t>Hoofdlijnen van het voorstel).</w:t>
      </w:r>
    </w:p>
  </w:footnote>
  <w:footnote w:id="10">
    <w:p w14:paraId="05BEF541" w14:textId="77777777" w:rsidR="00CF59E7" w:rsidRDefault="00CF59E7" w:rsidP="00CF59E7">
      <w:pPr>
        <w:pStyle w:val="Voetnoottekst"/>
      </w:pPr>
      <w:r>
        <w:rPr>
          <w:rStyle w:val="Voetnootmarkering"/>
        </w:rPr>
        <w:footnoteRef/>
      </w:r>
      <w:r>
        <w:t xml:space="preserve"> Advies van de Commissie van 8 februari 2016 overeenkomstig artikel 7 </w:t>
      </w:r>
      <w:proofErr w:type="spellStart"/>
      <w:r>
        <w:t>nonies</w:t>
      </w:r>
      <w:proofErr w:type="spellEnd"/>
      <w:r>
        <w:t xml:space="preserve">, lid 2, van Richtlijn 1999/62/EG met betrekking tot de invoering van twee nieuwe tolheffingsregelingen in Nederland, C(2016) 663 </w:t>
      </w:r>
      <w:proofErr w:type="spellStart"/>
      <w:r>
        <w:t>final</w:t>
      </w:r>
      <w:proofErr w:type="spellEnd"/>
      <w:r>
        <w:t>, punt 19.</w:t>
      </w:r>
    </w:p>
  </w:footnote>
  <w:footnote w:id="11">
    <w:p w14:paraId="52D62B4F" w14:textId="77777777" w:rsidR="00F76ED3" w:rsidRDefault="00F76ED3" w:rsidP="00F76ED3">
      <w:pPr>
        <w:pStyle w:val="Voetnoottekst"/>
      </w:pPr>
      <w:r>
        <w:rPr>
          <w:rStyle w:val="Voetnootmarkering"/>
        </w:rPr>
        <w:footnoteRef/>
      </w:r>
      <w:r w:rsidRPr="0006230E">
        <w:rPr>
          <w:lang w:val="en-GB"/>
        </w:rPr>
        <w:t xml:space="preserve"> </w:t>
      </w:r>
      <w:proofErr w:type="spellStart"/>
      <w:r w:rsidRPr="0006230E">
        <w:rPr>
          <w:lang w:val="en-GB"/>
        </w:rPr>
        <w:t>Dit</w:t>
      </w:r>
      <w:proofErr w:type="spellEnd"/>
      <w:r w:rsidRPr="0006230E">
        <w:rPr>
          <w:lang w:val="en-GB"/>
        </w:rPr>
        <w:t xml:space="preserve"> </w:t>
      </w:r>
      <w:proofErr w:type="spellStart"/>
      <w:r w:rsidRPr="0006230E">
        <w:rPr>
          <w:lang w:val="en-GB"/>
        </w:rPr>
        <w:t>volgt</w:t>
      </w:r>
      <w:proofErr w:type="spellEnd"/>
      <w:r w:rsidRPr="0006230E">
        <w:rPr>
          <w:lang w:val="en-GB"/>
        </w:rPr>
        <w:t xml:space="preserve"> </w:t>
      </w:r>
      <w:proofErr w:type="spellStart"/>
      <w:r w:rsidRPr="0006230E">
        <w:rPr>
          <w:lang w:val="en-GB"/>
        </w:rPr>
        <w:t>uit</w:t>
      </w:r>
      <w:proofErr w:type="spellEnd"/>
      <w:r w:rsidRPr="0006230E">
        <w:rPr>
          <w:lang w:val="en-GB"/>
        </w:rPr>
        <w:t xml:space="preserve"> de </w:t>
      </w:r>
      <w:proofErr w:type="spellStart"/>
      <w:r w:rsidRPr="0006230E">
        <w:rPr>
          <w:lang w:val="en-GB"/>
        </w:rPr>
        <w:t>formulering</w:t>
      </w:r>
      <w:proofErr w:type="spellEnd"/>
      <w:r w:rsidRPr="0006230E">
        <w:rPr>
          <w:lang w:val="en-GB"/>
        </w:rPr>
        <w:t xml:space="preserve"> van de </w:t>
      </w:r>
      <w:proofErr w:type="spellStart"/>
      <w:r w:rsidRPr="0006230E">
        <w:rPr>
          <w:lang w:val="en-GB"/>
        </w:rPr>
        <w:t>uitzondering</w:t>
      </w:r>
      <w:proofErr w:type="spellEnd"/>
      <w:r w:rsidRPr="0006230E">
        <w:rPr>
          <w:lang w:val="en-GB"/>
        </w:rPr>
        <w:t xml:space="preserve"> in </w:t>
      </w:r>
      <w:proofErr w:type="spellStart"/>
      <w:r w:rsidRPr="0006230E">
        <w:rPr>
          <w:lang w:val="en-GB"/>
        </w:rPr>
        <w:t>artikel</w:t>
      </w:r>
      <w:proofErr w:type="spellEnd"/>
      <w:r w:rsidRPr="0006230E">
        <w:rPr>
          <w:lang w:val="en-GB"/>
        </w:rPr>
        <w:t xml:space="preserve"> 7, </w:t>
      </w:r>
      <w:proofErr w:type="spellStart"/>
      <w:r w:rsidRPr="0006230E">
        <w:rPr>
          <w:lang w:val="en-GB"/>
        </w:rPr>
        <w:t>vierde</w:t>
      </w:r>
      <w:proofErr w:type="spellEnd"/>
      <w:r w:rsidRPr="0006230E">
        <w:rPr>
          <w:lang w:val="en-GB"/>
        </w:rPr>
        <w:t xml:space="preserve"> lid, </w:t>
      </w:r>
      <w:proofErr w:type="spellStart"/>
      <w:r>
        <w:rPr>
          <w:lang w:val="en-GB"/>
        </w:rPr>
        <w:t>tweede</w:t>
      </w:r>
      <w:proofErr w:type="spellEnd"/>
      <w:r>
        <w:rPr>
          <w:lang w:val="en-GB"/>
        </w:rPr>
        <w:t xml:space="preserve"> </w:t>
      </w:r>
      <w:proofErr w:type="spellStart"/>
      <w:r>
        <w:rPr>
          <w:lang w:val="en-GB"/>
        </w:rPr>
        <w:t>alinea</w:t>
      </w:r>
      <w:proofErr w:type="spellEnd"/>
      <w:r>
        <w:rPr>
          <w:lang w:val="en-GB"/>
        </w:rPr>
        <w:t>, van</w:t>
      </w:r>
      <w:r w:rsidRPr="0006230E">
        <w:rPr>
          <w:lang w:val="en-GB"/>
        </w:rPr>
        <w:t xml:space="preserve"> de </w:t>
      </w:r>
      <w:proofErr w:type="spellStart"/>
      <w:r w:rsidRPr="0006230E">
        <w:rPr>
          <w:lang w:val="en-GB"/>
        </w:rPr>
        <w:t>Engelstalige</w:t>
      </w:r>
      <w:proofErr w:type="spellEnd"/>
      <w:r w:rsidRPr="0006230E">
        <w:rPr>
          <w:lang w:val="en-GB"/>
        </w:rPr>
        <w:t xml:space="preserve"> </w:t>
      </w:r>
      <w:proofErr w:type="spellStart"/>
      <w:r w:rsidRPr="0006230E">
        <w:rPr>
          <w:lang w:val="en-GB"/>
        </w:rPr>
        <w:t>versie</w:t>
      </w:r>
      <w:proofErr w:type="spellEnd"/>
      <w:r w:rsidRPr="0006230E">
        <w:rPr>
          <w:lang w:val="en-GB"/>
        </w:rPr>
        <w:t xml:space="preserve"> van de </w:t>
      </w:r>
      <w:proofErr w:type="spellStart"/>
      <w:r w:rsidRPr="0006230E">
        <w:rPr>
          <w:lang w:val="en-GB"/>
        </w:rPr>
        <w:t>richtlijn</w:t>
      </w:r>
      <w:proofErr w:type="spellEnd"/>
      <w:r w:rsidRPr="0006230E">
        <w:rPr>
          <w:lang w:val="en-GB"/>
        </w:rPr>
        <w:t xml:space="preserve">: </w:t>
      </w:r>
      <w:r>
        <w:rPr>
          <w:lang w:val="en-GB"/>
        </w:rPr>
        <w:t>‘</w:t>
      </w:r>
      <w:r w:rsidRPr="000F3180">
        <w:rPr>
          <w:i/>
          <w:iCs/>
          <w:lang w:val="en-GB"/>
        </w:rPr>
        <w:t>Member States may decide not to apply Article 7ca(3), Article 7ga(1) and Article 7gb(2) to such tolls for the use of bridges, tunnels and mountain passes where one or both of the following conditions is met</w:t>
      </w:r>
      <w:r>
        <w:rPr>
          <w:i/>
          <w:iCs/>
          <w:lang w:val="en-GB"/>
        </w:rPr>
        <w:t xml:space="preserve"> (…)</w:t>
      </w:r>
      <w:r>
        <w:rPr>
          <w:lang w:val="en-GB"/>
        </w:rPr>
        <w:t xml:space="preserve">’. </w:t>
      </w:r>
      <w:r w:rsidRPr="0006230E">
        <w:t>‘</w:t>
      </w:r>
      <w:proofErr w:type="spellStart"/>
      <w:r w:rsidRPr="0006230E">
        <w:rPr>
          <w:i/>
          <w:iCs/>
        </w:rPr>
        <w:t>Such</w:t>
      </w:r>
      <w:proofErr w:type="spellEnd"/>
      <w:r w:rsidRPr="0006230E">
        <w:rPr>
          <w:i/>
          <w:iCs/>
        </w:rPr>
        <w:t xml:space="preserve"> </w:t>
      </w:r>
      <w:proofErr w:type="spellStart"/>
      <w:r w:rsidRPr="0006230E">
        <w:rPr>
          <w:i/>
          <w:iCs/>
        </w:rPr>
        <w:t>tolls</w:t>
      </w:r>
      <w:proofErr w:type="spellEnd"/>
      <w:r w:rsidRPr="0006230E">
        <w:rPr>
          <w:i/>
          <w:iCs/>
        </w:rPr>
        <w:t xml:space="preserve">’ </w:t>
      </w:r>
      <w:r w:rsidRPr="0006230E">
        <w:t>kan worde</w:t>
      </w:r>
      <w:r>
        <w:t>n begrepen als een verwijzing naar de in artikel 7, vierde lid, eerste alinea, geregelde situatie dat zowel tolgelden als gebruiksrechten worden geheven.</w:t>
      </w:r>
      <w:r w:rsidRPr="0006230E">
        <w:t xml:space="preserve"> Zie tevens de Franse en Duitse </w:t>
      </w:r>
      <w:proofErr w:type="spellStart"/>
      <w:r w:rsidRPr="0006230E">
        <w:t>taalversie</w:t>
      </w:r>
      <w:proofErr w:type="spellEnd"/>
      <w:r w:rsidRPr="0006230E">
        <w:t xml:space="preserve">. De Nederlandse </w:t>
      </w:r>
      <w:proofErr w:type="spellStart"/>
      <w:r w:rsidRPr="0006230E">
        <w:t>taalversie</w:t>
      </w:r>
      <w:proofErr w:type="spellEnd"/>
      <w:r w:rsidRPr="0006230E">
        <w:t xml:space="preserve"> wi</w:t>
      </w:r>
      <w:r>
        <w:t>jkt hiervan af doordat niet wordt verwezen naar een specifiek soort (‘</w:t>
      </w:r>
      <w:proofErr w:type="spellStart"/>
      <w:r w:rsidRPr="0006230E">
        <w:rPr>
          <w:i/>
          <w:iCs/>
        </w:rPr>
        <w:t>such</w:t>
      </w:r>
      <w:proofErr w:type="spellEnd"/>
      <w:r w:rsidRPr="0006230E">
        <w:rPr>
          <w:i/>
          <w:iCs/>
        </w:rPr>
        <w:t xml:space="preserve"> </w:t>
      </w:r>
      <w:proofErr w:type="spellStart"/>
      <w:r w:rsidRPr="0006230E">
        <w:rPr>
          <w:i/>
          <w:iCs/>
        </w:rPr>
        <w:t>tolls</w:t>
      </w:r>
      <w:proofErr w:type="spellEnd"/>
      <w:r>
        <w:t xml:space="preserve">’) tolgelden.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CD52" w14:textId="77777777" w:rsidR="007E2745" w:rsidRDefault="007E27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CD53" w14:textId="77777777" w:rsidR="007E2745" w:rsidRDefault="008B2C1E" w:rsidP="007E2745">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CD59" w14:textId="77777777" w:rsidR="007E2745" w:rsidRDefault="008B2C1E" w:rsidP="007E2745">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257CD5A" w14:textId="77777777" w:rsidR="007E2745" w:rsidRDefault="008B2C1E">
    <w:pPr>
      <w:pStyle w:val="Koptekst"/>
    </w:pPr>
    <w:r>
      <w:rPr>
        <w:noProof/>
      </w:rPr>
      <w:drawing>
        <wp:anchor distT="0" distB="0" distL="114300" distR="114300" simplePos="0" relativeHeight="251658240" behindDoc="1" locked="0" layoutInCell="1" allowOverlap="1" wp14:anchorId="4257CD65" wp14:editId="4257CD66">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E15"/>
    <w:rsid w:val="000019A8"/>
    <w:rsid w:val="00006CEA"/>
    <w:rsid w:val="00012C33"/>
    <w:rsid w:val="00017086"/>
    <w:rsid w:val="00020D1D"/>
    <w:rsid w:val="000242A0"/>
    <w:rsid w:val="00033344"/>
    <w:rsid w:val="000439CB"/>
    <w:rsid w:val="00043ADE"/>
    <w:rsid w:val="000475F5"/>
    <w:rsid w:val="00062180"/>
    <w:rsid w:val="0006230E"/>
    <w:rsid w:val="00062AB5"/>
    <w:rsid w:val="00064A87"/>
    <w:rsid w:val="00065763"/>
    <w:rsid w:val="00072002"/>
    <w:rsid w:val="000802D8"/>
    <w:rsid w:val="00082B60"/>
    <w:rsid w:val="00084F00"/>
    <w:rsid w:val="00086E6D"/>
    <w:rsid w:val="00087898"/>
    <w:rsid w:val="0009107D"/>
    <w:rsid w:val="000975FA"/>
    <w:rsid w:val="00097CF1"/>
    <w:rsid w:val="000A2BCF"/>
    <w:rsid w:val="000A2C90"/>
    <w:rsid w:val="000A5A7F"/>
    <w:rsid w:val="000B0974"/>
    <w:rsid w:val="000B3E68"/>
    <w:rsid w:val="000B6F39"/>
    <w:rsid w:val="000C060D"/>
    <w:rsid w:val="000C7DF3"/>
    <w:rsid w:val="000D3BA1"/>
    <w:rsid w:val="000D4105"/>
    <w:rsid w:val="000D4CC4"/>
    <w:rsid w:val="000D63EF"/>
    <w:rsid w:val="000D7728"/>
    <w:rsid w:val="000E12DA"/>
    <w:rsid w:val="000E1A40"/>
    <w:rsid w:val="000E22BD"/>
    <w:rsid w:val="000E5AAF"/>
    <w:rsid w:val="000E734C"/>
    <w:rsid w:val="000F272D"/>
    <w:rsid w:val="000F2FD4"/>
    <w:rsid w:val="000F3180"/>
    <w:rsid w:val="000F4A3A"/>
    <w:rsid w:val="0010690B"/>
    <w:rsid w:val="00107398"/>
    <w:rsid w:val="00120B66"/>
    <w:rsid w:val="0012222B"/>
    <w:rsid w:val="00123399"/>
    <w:rsid w:val="00125311"/>
    <w:rsid w:val="00125955"/>
    <w:rsid w:val="001263CA"/>
    <w:rsid w:val="00126F80"/>
    <w:rsid w:val="001275B3"/>
    <w:rsid w:val="0013196B"/>
    <w:rsid w:val="00131E13"/>
    <w:rsid w:val="00135CA9"/>
    <w:rsid w:val="001404A9"/>
    <w:rsid w:val="00140903"/>
    <w:rsid w:val="001443B5"/>
    <w:rsid w:val="001475F7"/>
    <w:rsid w:val="00152203"/>
    <w:rsid w:val="00156D78"/>
    <w:rsid w:val="00157E45"/>
    <w:rsid w:val="001623F8"/>
    <w:rsid w:val="0017443C"/>
    <w:rsid w:val="001761D9"/>
    <w:rsid w:val="001772CB"/>
    <w:rsid w:val="001772D5"/>
    <w:rsid w:val="00177F65"/>
    <w:rsid w:val="00180C0A"/>
    <w:rsid w:val="00181DD3"/>
    <w:rsid w:val="0018206E"/>
    <w:rsid w:val="00184422"/>
    <w:rsid w:val="00190914"/>
    <w:rsid w:val="00190D33"/>
    <w:rsid w:val="00193A33"/>
    <w:rsid w:val="001A1E7E"/>
    <w:rsid w:val="001A73CF"/>
    <w:rsid w:val="001B3D4F"/>
    <w:rsid w:val="001C3794"/>
    <w:rsid w:val="001C45B2"/>
    <w:rsid w:val="001C77D3"/>
    <w:rsid w:val="001C79E8"/>
    <w:rsid w:val="001D0F65"/>
    <w:rsid w:val="001D646D"/>
    <w:rsid w:val="001D6D05"/>
    <w:rsid w:val="001E5D76"/>
    <w:rsid w:val="001F7DF9"/>
    <w:rsid w:val="00200E6D"/>
    <w:rsid w:val="00205140"/>
    <w:rsid w:val="00214C80"/>
    <w:rsid w:val="00214C93"/>
    <w:rsid w:val="00216078"/>
    <w:rsid w:val="002202D9"/>
    <w:rsid w:val="002315FC"/>
    <w:rsid w:val="00233B73"/>
    <w:rsid w:val="00240121"/>
    <w:rsid w:val="00242E89"/>
    <w:rsid w:val="00246C1E"/>
    <w:rsid w:val="00247C24"/>
    <w:rsid w:val="00260229"/>
    <w:rsid w:val="00260933"/>
    <w:rsid w:val="00261611"/>
    <w:rsid w:val="00263937"/>
    <w:rsid w:val="00264640"/>
    <w:rsid w:val="00264A16"/>
    <w:rsid w:val="0026606C"/>
    <w:rsid w:val="00280969"/>
    <w:rsid w:val="002854CA"/>
    <w:rsid w:val="00287CB4"/>
    <w:rsid w:val="00287DEC"/>
    <w:rsid w:val="00290A71"/>
    <w:rsid w:val="002913A3"/>
    <w:rsid w:val="0029484D"/>
    <w:rsid w:val="00295B06"/>
    <w:rsid w:val="00297166"/>
    <w:rsid w:val="002A19DB"/>
    <w:rsid w:val="002A2643"/>
    <w:rsid w:val="002A475C"/>
    <w:rsid w:val="002A6CA7"/>
    <w:rsid w:val="002A7181"/>
    <w:rsid w:val="002A7232"/>
    <w:rsid w:val="002B209F"/>
    <w:rsid w:val="002B20DC"/>
    <w:rsid w:val="002C050D"/>
    <w:rsid w:val="002C17D4"/>
    <w:rsid w:val="002D1894"/>
    <w:rsid w:val="002D29C0"/>
    <w:rsid w:val="002D68F5"/>
    <w:rsid w:val="002E09E0"/>
    <w:rsid w:val="002E35FC"/>
    <w:rsid w:val="002E7360"/>
    <w:rsid w:val="002F39D8"/>
    <w:rsid w:val="00300CF0"/>
    <w:rsid w:val="00300FB4"/>
    <w:rsid w:val="00311081"/>
    <w:rsid w:val="00312D79"/>
    <w:rsid w:val="0033321F"/>
    <w:rsid w:val="00336558"/>
    <w:rsid w:val="00341DFF"/>
    <w:rsid w:val="00344947"/>
    <w:rsid w:val="00351551"/>
    <w:rsid w:val="00357B4C"/>
    <w:rsid w:val="00360816"/>
    <w:rsid w:val="0036289F"/>
    <w:rsid w:val="00362B07"/>
    <w:rsid w:val="00367551"/>
    <w:rsid w:val="003723FD"/>
    <w:rsid w:val="003725DD"/>
    <w:rsid w:val="0037340D"/>
    <w:rsid w:val="003741D7"/>
    <w:rsid w:val="003801DA"/>
    <w:rsid w:val="003829E1"/>
    <w:rsid w:val="00383F82"/>
    <w:rsid w:val="00387FC5"/>
    <w:rsid w:val="00391126"/>
    <w:rsid w:val="00391F5D"/>
    <w:rsid w:val="00393F1D"/>
    <w:rsid w:val="003956BC"/>
    <w:rsid w:val="00395E44"/>
    <w:rsid w:val="00397C05"/>
    <w:rsid w:val="003A12DC"/>
    <w:rsid w:val="003A3039"/>
    <w:rsid w:val="003A3557"/>
    <w:rsid w:val="003A55C1"/>
    <w:rsid w:val="003A5667"/>
    <w:rsid w:val="003B04FF"/>
    <w:rsid w:val="003B3624"/>
    <w:rsid w:val="003B515D"/>
    <w:rsid w:val="003C399D"/>
    <w:rsid w:val="003D2E43"/>
    <w:rsid w:val="003E085C"/>
    <w:rsid w:val="003E31AC"/>
    <w:rsid w:val="003E3B2C"/>
    <w:rsid w:val="003E3EA5"/>
    <w:rsid w:val="003E566F"/>
    <w:rsid w:val="003F1A67"/>
    <w:rsid w:val="003F6E61"/>
    <w:rsid w:val="003F7579"/>
    <w:rsid w:val="003F7A52"/>
    <w:rsid w:val="004060D6"/>
    <w:rsid w:val="00410EC8"/>
    <w:rsid w:val="004117C6"/>
    <w:rsid w:val="004142BE"/>
    <w:rsid w:val="004228BF"/>
    <w:rsid w:val="00424DB2"/>
    <w:rsid w:val="00431A0C"/>
    <w:rsid w:val="0043591F"/>
    <w:rsid w:val="004435E7"/>
    <w:rsid w:val="00445295"/>
    <w:rsid w:val="00445847"/>
    <w:rsid w:val="0045049B"/>
    <w:rsid w:val="00453827"/>
    <w:rsid w:val="0045392C"/>
    <w:rsid w:val="004620E3"/>
    <w:rsid w:val="00463377"/>
    <w:rsid w:val="004657A1"/>
    <w:rsid w:val="004711DD"/>
    <w:rsid w:val="00481D34"/>
    <w:rsid w:val="0048203D"/>
    <w:rsid w:val="00484AAA"/>
    <w:rsid w:val="00487B42"/>
    <w:rsid w:val="004948DF"/>
    <w:rsid w:val="00494A81"/>
    <w:rsid w:val="00497E53"/>
    <w:rsid w:val="00497ED8"/>
    <w:rsid w:val="004A0AFF"/>
    <w:rsid w:val="004A0FF4"/>
    <w:rsid w:val="004A2049"/>
    <w:rsid w:val="004A3E98"/>
    <w:rsid w:val="004A5C41"/>
    <w:rsid w:val="004A6116"/>
    <w:rsid w:val="004B2BE5"/>
    <w:rsid w:val="004B66D7"/>
    <w:rsid w:val="004D380A"/>
    <w:rsid w:val="004D51FB"/>
    <w:rsid w:val="004D5675"/>
    <w:rsid w:val="004E0C3F"/>
    <w:rsid w:val="004E1E40"/>
    <w:rsid w:val="004E26BD"/>
    <w:rsid w:val="004E3F79"/>
    <w:rsid w:val="004E621F"/>
    <w:rsid w:val="004E7DBA"/>
    <w:rsid w:val="0050061D"/>
    <w:rsid w:val="005006BE"/>
    <w:rsid w:val="005007E0"/>
    <w:rsid w:val="0050694B"/>
    <w:rsid w:val="00507745"/>
    <w:rsid w:val="0051054A"/>
    <w:rsid w:val="005135BC"/>
    <w:rsid w:val="00517A9E"/>
    <w:rsid w:val="00520275"/>
    <w:rsid w:val="005217B3"/>
    <w:rsid w:val="005352FD"/>
    <w:rsid w:val="00537857"/>
    <w:rsid w:val="00542725"/>
    <w:rsid w:val="005471B4"/>
    <w:rsid w:val="005524B6"/>
    <w:rsid w:val="00555484"/>
    <w:rsid w:val="00564BB5"/>
    <w:rsid w:val="00564EE5"/>
    <w:rsid w:val="0057085A"/>
    <w:rsid w:val="00571412"/>
    <w:rsid w:val="00574DD4"/>
    <w:rsid w:val="00575480"/>
    <w:rsid w:val="00576732"/>
    <w:rsid w:val="00580958"/>
    <w:rsid w:val="00581EAE"/>
    <w:rsid w:val="00591B9F"/>
    <w:rsid w:val="0059276D"/>
    <w:rsid w:val="0059282F"/>
    <w:rsid w:val="0059283E"/>
    <w:rsid w:val="00594D87"/>
    <w:rsid w:val="0059789A"/>
    <w:rsid w:val="005A237D"/>
    <w:rsid w:val="005A277F"/>
    <w:rsid w:val="005A3437"/>
    <w:rsid w:val="005A4313"/>
    <w:rsid w:val="005A682D"/>
    <w:rsid w:val="005B344C"/>
    <w:rsid w:val="005B3EB4"/>
    <w:rsid w:val="005C1D0B"/>
    <w:rsid w:val="005C2E8E"/>
    <w:rsid w:val="005C570D"/>
    <w:rsid w:val="005C6DEC"/>
    <w:rsid w:val="005D2898"/>
    <w:rsid w:val="005D51FC"/>
    <w:rsid w:val="005D65ED"/>
    <w:rsid w:val="005D7CE1"/>
    <w:rsid w:val="005E008C"/>
    <w:rsid w:val="005E0739"/>
    <w:rsid w:val="005E2309"/>
    <w:rsid w:val="005E2976"/>
    <w:rsid w:val="005E318D"/>
    <w:rsid w:val="005E39B5"/>
    <w:rsid w:val="005E3AE2"/>
    <w:rsid w:val="005E4002"/>
    <w:rsid w:val="005E4D76"/>
    <w:rsid w:val="005F4E52"/>
    <w:rsid w:val="006009E4"/>
    <w:rsid w:val="00601E41"/>
    <w:rsid w:val="0061070E"/>
    <w:rsid w:val="00612687"/>
    <w:rsid w:val="00613EAC"/>
    <w:rsid w:val="0061553D"/>
    <w:rsid w:val="006173A6"/>
    <w:rsid w:val="00625EF4"/>
    <w:rsid w:val="00625F29"/>
    <w:rsid w:val="006307A0"/>
    <w:rsid w:val="00630B4A"/>
    <w:rsid w:val="00642112"/>
    <w:rsid w:val="006430D7"/>
    <w:rsid w:val="0064381E"/>
    <w:rsid w:val="00645ABB"/>
    <w:rsid w:val="006476F3"/>
    <w:rsid w:val="00653813"/>
    <w:rsid w:val="00665379"/>
    <w:rsid w:val="00665ED6"/>
    <w:rsid w:val="0066772A"/>
    <w:rsid w:val="00671D1E"/>
    <w:rsid w:val="00673041"/>
    <w:rsid w:val="006733B9"/>
    <w:rsid w:val="006766AC"/>
    <w:rsid w:val="00680485"/>
    <w:rsid w:val="0068579B"/>
    <w:rsid w:val="00695217"/>
    <w:rsid w:val="00697062"/>
    <w:rsid w:val="006A01FA"/>
    <w:rsid w:val="006A03DE"/>
    <w:rsid w:val="006A29C2"/>
    <w:rsid w:val="006A4BDE"/>
    <w:rsid w:val="006A5F91"/>
    <w:rsid w:val="006A750C"/>
    <w:rsid w:val="006A7F03"/>
    <w:rsid w:val="006B2A3A"/>
    <w:rsid w:val="006B44B9"/>
    <w:rsid w:val="006C026C"/>
    <w:rsid w:val="006C7421"/>
    <w:rsid w:val="006D2355"/>
    <w:rsid w:val="006D4D36"/>
    <w:rsid w:val="006D5A96"/>
    <w:rsid w:val="006D6181"/>
    <w:rsid w:val="006D6DC3"/>
    <w:rsid w:val="006E0AF4"/>
    <w:rsid w:val="006E738F"/>
    <w:rsid w:val="006E78CD"/>
    <w:rsid w:val="006F20B7"/>
    <w:rsid w:val="006F4D43"/>
    <w:rsid w:val="006F7580"/>
    <w:rsid w:val="007063EC"/>
    <w:rsid w:val="00707550"/>
    <w:rsid w:val="007135F5"/>
    <w:rsid w:val="00714E9E"/>
    <w:rsid w:val="00716B86"/>
    <w:rsid w:val="0072215C"/>
    <w:rsid w:val="00723809"/>
    <w:rsid w:val="0072411E"/>
    <w:rsid w:val="007275D5"/>
    <w:rsid w:val="0073119B"/>
    <w:rsid w:val="00732F5D"/>
    <w:rsid w:val="0074162D"/>
    <w:rsid w:val="00744D3E"/>
    <w:rsid w:val="00746CDB"/>
    <w:rsid w:val="00752185"/>
    <w:rsid w:val="00753045"/>
    <w:rsid w:val="00760780"/>
    <w:rsid w:val="00764B25"/>
    <w:rsid w:val="00766A1C"/>
    <w:rsid w:val="00770DAD"/>
    <w:rsid w:val="00772E9C"/>
    <w:rsid w:val="00777CB0"/>
    <w:rsid w:val="0078289E"/>
    <w:rsid w:val="00785ECE"/>
    <w:rsid w:val="0078690E"/>
    <w:rsid w:val="0079035D"/>
    <w:rsid w:val="0079115B"/>
    <w:rsid w:val="007918BC"/>
    <w:rsid w:val="007942C1"/>
    <w:rsid w:val="007944CE"/>
    <w:rsid w:val="007965AF"/>
    <w:rsid w:val="007A32DE"/>
    <w:rsid w:val="007A4614"/>
    <w:rsid w:val="007A7A12"/>
    <w:rsid w:val="007B26ED"/>
    <w:rsid w:val="007B7545"/>
    <w:rsid w:val="007C1E87"/>
    <w:rsid w:val="007C24E3"/>
    <w:rsid w:val="007C2E65"/>
    <w:rsid w:val="007C5EA5"/>
    <w:rsid w:val="007D7ED6"/>
    <w:rsid w:val="007E1DF1"/>
    <w:rsid w:val="007E23DC"/>
    <w:rsid w:val="007E2745"/>
    <w:rsid w:val="007E4FE7"/>
    <w:rsid w:val="007E6DF2"/>
    <w:rsid w:val="007F082F"/>
    <w:rsid w:val="007F6AF4"/>
    <w:rsid w:val="007F70FA"/>
    <w:rsid w:val="0080656C"/>
    <w:rsid w:val="00813E39"/>
    <w:rsid w:val="00814C89"/>
    <w:rsid w:val="00815A7D"/>
    <w:rsid w:val="00817DBB"/>
    <w:rsid w:val="00822222"/>
    <w:rsid w:val="00822A2C"/>
    <w:rsid w:val="00827F16"/>
    <w:rsid w:val="008370AC"/>
    <w:rsid w:val="00843C7D"/>
    <w:rsid w:val="00846078"/>
    <w:rsid w:val="00846661"/>
    <w:rsid w:val="00851306"/>
    <w:rsid w:val="008523D5"/>
    <w:rsid w:val="00853BD4"/>
    <w:rsid w:val="008553BB"/>
    <w:rsid w:val="008629DF"/>
    <w:rsid w:val="008654F3"/>
    <w:rsid w:val="00870B53"/>
    <w:rsid w:val="00873865"/>
    <w:rsid w:val="00875C9D"/>
    <w:rsid w:val="00876686"/>
    <w:rsid w:val="008767A6"/>
    <w:rsid w:val="00880EB0"/>
    <w:rsid w:val="00884520"/>
    <w:rsid w:val="00884DD0"/>
    <w:rsid w:val="008906FA"/>
    <w:rsid w:val="008968D7"/>
    <w:rsid w:val="00897CED"/>
    <w:rsid w:val="008A6A2A"/>
    <w:rsid w:val="008B24CD"/>
    <w:rsid w:val="008B2C1E"/>
    <w:rsid w:val="008C21A3"/>
    <w:rsid w:val="008C5138"/>
    <w:rsid w:val="008C7272"/>
    <w:rsid w:val="008D49BA"/>
    <w:rsid w:val="008D7DB0"/>
    <w:rsid w:val="008E2C7A"/>
    <w:rsid w:val="008E2D25"/>
    <w:rsid w:val="008E3268"/>
    <w:rsid w:val="008E3295"/>
    <w:rsid w:val="008E53EB"/>
    <w:rsid w:val="008F0BB4"/>
    <w:rsid w:val="008F331D"/>
    <w:rsid w:val="008F3C7B"/>
    <w:rsid w:val="008F48A3"/>
    <w:rsid w:val="008F6C9A"/>
    <w:rsid w:val="00900A6E"/>
    <w:rsid w:val="009077D7"/>
    <w:rsid w:val="00915122"/>
    <w:rsid w:val="00916782"/>
    <w:rsid w:val="00927076"/>
    <w:rsid w:val="00927D60"/>
    <w:rsid w:val="009301C1"/>
    <w:rsid w:val="0094160E"/>
    <w:rsid w:val="00947D22"/>
    <w:rsid w:val="009504D0"/>
    <w:rsid w:val="00952121"/>
    <w:rsid w:val="00952BA2"/>
    <w:rsid w:val="00953BD4"/>
    <w:rsid w:val="00956951"/>
    <w:rsid w:val="009608FE"/>
    <w:rsid w:val="00962682"/>
    <w:rsid w:val="00963948"/>
    <w:rsid w:val="009669AB"/>
    <w:rsid w:val="00966A41"/>
    <w:rsid w:val="00966E24"/>
    <w:rsid w:val="00971CE9"/>
    <w:rsid w:val="009728F4"/>
    <w:rsid w:val="0097528C"/>
    <w:rsid w:val="00976638"/>
    <w:rsid w:val="009831CC"/>
    <w:rsid w:val="00985859"/>
    <w:rsid w:val="0099454E"/>
    <w:rsid w:val="009A554C"/>
    <w:rsid w:val="009A6864"/>
    <w:rsid w:val="009B7584"/>
    <w:rsid w:val="009B764A"/>
    <w:rsid w:val="009C305D"/>
    <w:rsid w:val="009C3E65"/>
    <w:rsid w:val="009D6F48"/>
    <w:rsid w:val="009E148C"/>
    <w:rsid w:val="009F162E"/>
    <w:rsid w:val="009F3953"/>
    <w:rsid w:val="009F5DB8"/>
    <w:rsid w:val="009F78C4"/>
    <w:rsid w:val="009F7C2A"/>
    <w:rsid w:val="009F7F31"/>
    <w:rsid w:val="00A01330"/>
    <w:rsid w:val="00A02240"/>
    <w:rsid w:val="00A0551F"/>
    <w:rsid w:val="00A06534"/>
    <w:rsid w:val="00A13281"/>
    <w:rsid w:val="00A149FB"/>
    <w:rsid w:val="00A241C4"/>
    <w:rsid w:val="00A25485"/>
    <w:rsid w:val="00A3078E"/>
    <w:rsid w:val="00A3082C"/>
    <w:rsid w:val="00A351DA"/>
    <w:rsid w:val="00A35961"/>
    <w:rsid w:val="00A36F3F"/>
    <w:rsid w:val="00A43916"/>
    <w:rsid w:val="00A55232"/>
    <w:rsid w:val="00A56646"/>
    <w:rsid w:val="00A737C1"/>
    <w:rsid w:val="00A837E2"/>
    <w:rsid w:val="00A850E1"/>
    <w:rsid w:val="00A9175E"/>
    <w:rsid w:val="00A96ADF"/>
    <w:rsid w:val="00A96F84"/>
    <w:rsid w:val="00A97A9E"/>
    <w:rsid w:val="00AA0F8F"/>
    <w:rsid w:val="00AA1948"/>
    <w:rsid w:val="00AA2F5F"/>
    <w:rsid w:val="00AA35AF"/>
    <w:rsid w:val="00AA3B8F"/>
    <w:rsid w:val="00AA4B03"/>
    <w:rsid w:val="00AA5CC6"/>
    <w:rsid w:val="00AA5D25"/>
    <w:rsid w:val="00AA62E4"/>
    <w:rsid w:val="00AA67E9"/>
    <w:rsid w:val="00AB2154"/>
    <w:rsid w:val="00AC0023"/>
    <w:rsid w:val="00AC0327"/>
    <w:rsid w:val="00AC22DA"/>
    <w:rsid w:val="00AC3968"/>
    <w:rsid w:val="00AC3CFB"/>
    <w:rsid w:val="00AD2966"/>
    <w:rsid w:val="00AD2C57"/>
    <w:rsid w:val="00AD75D3"/>
    <w:rsid w:val="00AE22FE"/>
    <w:rsid w:val="00AE32DB"/>
    <w:rsid w:val="00AE4268"/>
    <w:rsid w:val="00AE4F16"/>
    <w:rsid w:val="00AF1A87"/>
    <w:rsid w:val="00AF3574"/>
    <w:rsid w:val="00B0590A"/>
    <w:rsid w:val="00B078E9"/>
    <w:rsid w:val="00B10A25"/>
    <w:rsid w:val="00B14579"/>
    <w:rsid w:val="00B15191"/>
    <w:rsid w:val="00B203B0"/>
    <w:rsid w:val="00B2082D"/>
    <w:rsid w:val="00B21516"/>
    <w:rsid w:val="00B3471A"/>
    <w:rsid w:val="00B42D42"/>
    <w:rsid w:val="00B43F33"/>
    <w:rsid w:val="00B47383"/>
    <w:rsid w:val="00B51A4F"/>
    <w:rsid w:val="00B51E15"/>
    <w:rsid w:val="00B63570"/>
    <w:rsid w:val="00B67680"/>
    <w:rsid w:val="00B67D5B"/>
    <w:rsid w:val="00B729DD"/>
    <w:rsid w:val="00B7554C"/>
    <w:rsid w:val="00B75BF6"/>
    <w:rsid w:val="00B8287F"/>
    <w:rsid w:val="00B915B7"/>
    <w:rsid w:val="00B923F3"/>
    <w:rsid w:val="00B9461D"/>
    <w:rsid w:val="00BA3541"/>
    <w:rsid w:val="00BA3D37"/>
    <w:rsid w:val="00BA4447"/>
    <w:rsid w:val="00BB1D7F"/>
    <w:rsid w:val="00BB1FE8"/>
    <w:rsid w:val="00BB458F"/>
    <w:rsid w:val="00BB4E81"/>
    <w:rsid w:val="00BB5CF8"/>
    <w:rsid w:val="00BB7A73"/>
    <w:rsid w:val="00BC16C0"/>
    <w:rsid w:val="00BC6DBE"/>
    <w:rsid w:val="00BD3557"/>
    <w:rsid w:val="00BE2115"/>
    <w:rsid w:val="00BE38EE"/>
    <w:rsid w:val="00BE5CDA"/>
    <w:rsid w:val="00BF1AC2"/>
    <w:rsid w:val="00C00C74"/>
    <w:rsid w:val="00C01E4C"/>
    <w:rsid w:val="00C052EB"/>
    <w:rsid w:val="00C12B08"/>
    <w:rsid w:val="00C16434"/>
    <w:rsid w:val="00C220A6"/>
    <w:rsid w:val="00C244A1"/>
    <w:rsid w:val="00C26F77"/>
    <w:rsid w:val="00C27A06"/>
    <w:rsid w:val="00C319E9"/>
    <w:rsid w:val="00C349A2"/>
    <w:rsid w:val="00C354B3"/>
    <w:rsid w:val="00C3650E"/>
    <w:rsid w:val="00C37CEB"/>
    <w:rsid w:val="00C45A56"/>
    <w:rsid w:val="00C529A9"/>
    <w:rsid w:val="00C530DF"/>
    <w:rsid w:val="00C56FF7"/>
    <w:rsid w:val="00C604B0"/>
    <w:rsid w:val="00C61771"/>
    <w:rsid w:val="00C61A04"/>
    <w:rsid w:val="00C65F70"/>
    <w:rsid w:val="00C733D1"/>
    <w:rsid w:val="00C73A1D"/>
    <w:rsid w:val="00C756F7"/>
    <w:rsid w:val="00C774F0"/>
    <w:rsid w:val="00C8261F"/>
    <w:rsid w:val="00C82993"/>
    <w:rsid w:val="00C90519"/>
    <w:rsid w:val="00C91AD5"/>
    <w:rsid w:val="00C92D8E"/>
    <w:rsid w:val="00C93C42"/>
    <w:rsid w:val="00C94D39"/>
    <w:rsid w:val="00CA3EF7"/>
    <w:rsid w:val="00CB2EC1"/>
    <w:rsid w:val="00CB35BF"/>
    <w:rsid w:val="00CB796A"/>
    <w:rsid w:val="00CD0952"/>
    <w:rsid w:val="00CE1BDE"/>
    <w:rsid w:val="00CF1D70"/>
    <w:rsid w:val="00CF4904"/>
    <w:rsid w:val="00CF59E7"/>
    <w:rsid w:val="00CF602F"/>
    <w:rsid w:val="00D003C6"/>
    <w:rsid w:val="00D06833"/>
    <w:rsid w:val="00D079AB"/>
    <w:rsid w:val="00D108D0"/>
    <w:rsid w:val="00D14050"/>
    <w:rsid w:val="00D14932"/>
    <w:rsid w:val="00D1509B"/>
    <w:rsid w:val="00D15959"/>
    <w:rsid w:val="00D164DD"/>
    <w:rsid w:val="00D2127B"/>
    <w:rsid w:val="00D23334"/>
    <w:rsid w:val="00D2467B"/>
    <w:rsid w:val="00D263C7"/>
    <w:rsid w:val="00D27A45"/>
    <w:rsid w:val="00D30EFC"/>
    <w:rsid w:val="00D32183"/>
    <w:rsid w:val="00D3250F"/>
    <w:rsid w:val="00D32750"/>
    <w:rsid w:val="00D40813"/>
    <w:rsid w:val="00D40E40"/>
    <w:rsid w:val="00D416AC"/>
    <w:rsid w:val="00D42FD7"/>
    <w:rsid w:val="00D44103"/>
    <w:rsid w:val="00D54139"/>
    <w:rsid w:val="00D6418F"/>
    <w:rsid w:val="00D77B67"/>
    <w:rsid w:val="00D878AF"/>
    <w:rsid w:val="00D95A8E"/>
    <w:rsid w:val="00DA11DE"/>
    <w:rsid w:val="00DA3805"/>
    <w:rsid w:val="00DA7485"/>
    <w:rsid w:val="00DB07D2"/>
    <w:rsid w:val="00DB30BA"/>
    <w:rsid w:val="00DB34FC"/>
    <w:rsid w:val="00DC3720"/>
    <w:rsid w:val="00DD4711"/>
    <w:rsid w:val="00DE040C"/>
    <w:rsid w:val="00DE083E"/>
    <w:rsid w:val="00DE761F"/>
    <w:rsid w:val="00DF0F85"/>
    <w:rsid w:val="00DF3405"/>
    <w:rsid w:val="00DF4AE1"/>
    <w:rsid w:val="00DF645D"/>
    <w:rsid w:val="00DF7261"/>
    <w:rsid w:val="00E000A5"/>
    <w:rsid w:val="00E02DD1"/>
    <w:rsid w:val="00E03C48"/>
    <w:rsid w:val="00E03CBB"/>
    <w:rsid w:val="00E14DDF"/>
    <w:rsid w:val="00E1609C"/>
    <w:rsid w:val="00E208D2"/>
    <w:rsid w:val="00E21B2D"/>
    <w:rsid w:val="00E2291F"/>
    <w:rsid w:val="00E2712C"/>
    <w:rsid w:val="00E273C9"/>
    <w:rsid w:val="00E32D48"/>
    <w:rsid w:val="00E33E4D"/>
    <w:rsid w:val="00E35210"/>
    <w:rsid w:val="00E41EEF"/>
    <w:rsid w:val="00E4573C"/>
    <w:rsid w:val="00E465CB"/>
    <w:rsid w:val="00E52094"/>
    <w:rsid w:val="00E56740"/>
    <w:rsid w:val="00E60BFA"/>
    <w:rsid w:val="00E617DB"/>
    <w:rsid w:val="00E623A8"/>
    <w:rsid w:val="00E65CFD"/>
    <w:rsid w:val="00E743C9"/>
    <w:rsid w:val="00E804D0"/>
    <w:rsid w:val="00E94FD0"/>
    <w:rsid w:val="00E95D94"/>
    <w:rsid w:val="00E97D90"/>
    <w:rsid w:val="00EA0B23"/>
    <w:rsid w:val="00EA26D1"/>
    <w:rsid w:val="00EA3DEC"/>
    <w:rsid w:val="00EA5842"/>
    <w:rsid w:val="00EA5D0D"/>
    <w:rsid w:val="00EA7C1F"/>
    <w:rsid w:val="00EB00BC"/>
    <w:rsid w:val="00EB4C8B"/>
    <w:rsid w:val="00EC558F"/>
    <w:rsid w:val="00EC61F9"/>
    <w:rsid w:val="00ED0E66"/>
    <w:rsid w:val="00EE1D09"/>
    <w:rsid w:val="00EE70C2"/>
    <w:rsid w:val="00EE7D5F"/>
    <w:rsid w:val="00EF34E7"/>
    <w:rsid w:val="00EF55A4"/>
    <w:rsid w:val="00F02671"/>
    <w:rsid w:val="00F1155D"/>
    <w:rsid w:val="00F173EA"/>
    <w:rsid w:val="00F204AD"/>
    <w:rsid w:val="00F21D12"/>
    <w:rsid w:val="00F232F5"/>
    <w:rsid w:val="00F24817"/>
    <w:rsid w:val="00F24BD8"/>
    <w:rsid w:val="00F30E10"/>
    <w:rsid w:val="00F3215B"/>
    <w:rsid w:val="00F33D31"/>
    <w:rsid w:val="00F35D8B"/>
    <w:rsid w:val="00F379AD"/>
    <w:rsid w:val="00F41396"/>
    <w:rsid w:val="00F45174"/>
    <w:rsid w:val="00F46B57"/>
    <w:rsid w:val="00F52E80"/>
    <w:rsid w:val="00F55BE7"/>
    <w:rsid w:val="00F614EB"/>
    <w:rsid w:val="00F61BA6"/>
    <w:rsid w:val="00F66AF3"/>
    <w:rsid w:val="00F76ED3"/>
    <w:rsid w:val="00F81752"/>
    <w:rsid w:val="00F8240B"/>
    <w:rsid w:val="00F827A7"/>
    <w:rsid w:val="00F827F3"/>
    <w:rsid w:val="00F86214"/>
    <w:rsid w:val="00F90097"/>
    <w:rsid w:val="00F90213"/>
    <w:rsid w:val="00F90CAB"/>
    <w:rsid w:val="00F92F97"/>
    <w:rsid w:val="00F94DD4"/>
    <w:rsid w:val="00F95B8F"/>
    <w:rsid w:val="00F96F60"/>
    <w:rsid w:val="00FA2240"/>
    <w:rsid w:val="00FA7085"/>
    <w:rsid w:val="00FA7A57"/>
    <w:rsid w:val="00FB0C2F"/>
    <w:rsid w:val="00FB1D5F"/>
    <w:rsid w:val="00FB2E9B"/>
    <w:rsid w:val="00FB78AF"/>
    <w:rsid w:val="00FC3794"/>
    <w:rsid w:val="00FC3F85"/>
    <w:rsid w:val="00FC486B"/>
    <w:rsid w:val="00FC5C0E"/>
    <w:rsid w:val="00FC7931"/>
    <w:rsid w:val="00FD367F"/>
    <w:rsid w:val="00FD5153"/>
    <w:rsid w:val="00FD52B7"/>
    <w:rsid w:val="00FE113D"/>
    <w:rsid w:val="00FE47E0"/>
    <w:rsid w:val="00FE5B90"/>
    <w:rsid w:val="00FE639D"/>
    <w:rsid w:val="00FE6DEB"/>
    <w:rsid w:val="00FE7A02"/>
    <w:rsid w:val="00FF1E48"/>
    <w:rsid w:val="00FF24F6"/>
    <w:rsid w:val="00FF4D39"/>
    <w:rsid w:val="00FF4E8C"/>
    <w:rsid w:val="00FF61F9"/>
    <w:rsid w:val="00FF7A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7CD45"/>
  <w15:docId w15:val="{5B9CA8DE-423F-40C2-BA85-DD7E4072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6F20B7"/>
    <w:rPr>
      <w:color w:val="808080"/>
    </w:rPr>
  </w:style>
  <w:style w:type="paragraph" w:styleId="Voetnoottekst">
    <w:name w:val="footnote text"/>
    <w:basedOn w:val="Standaard"/>
    <w:link w:val="VoetnoottekstChar"/>
    <w:uiPriority w:val="99"/>
    <w:semiHidden/>
    <w:unhideWhenUsed/>
    <w:rsid w:val="005C1D0B"/>
    <w:rPr>
      <w:sz w:val="20"/>
      <w:szCs w:val="20"/>
    </w:rPr>
  </w:style>
  <w:style w:type="character" w:customStyle="1" w:styleId="VoetnoottekstChar">
    <w:name w:val="Voetnoottekst Char"/>
    <w:basedOn w:val="Standaardalinea-lettertype"/>
    <w:link w:val="Voetnoottekst"/>
    <w:uiPriority w:val="99"/>
    <w:semiHidden/>
    <w:rsid w:val="005C1D0B"/>
    <w:rPr>
      <w:rFonts w:ascii="Univers" w:hAnsi="Univers"/>
    </w:rPr>
  </w:style>
  <w:style w:type="character" w:styleId="Voetnootmarkering">
    <w:name w:val="footnote reference"/>
    <w:basedOn w:val="Standaardalinea-lettertype"/>
    <w:uiPriority w:val="99"/>
    <w:semiHidden/>
    <w:unhideWhenUsed/>
    <w:rsid w:val="005C1D0B"/>
    <w:rPr>
      <w:vertAlign w:val="superscript"/>
    </w:rPr>
  </w:style>
  <w:style w:type="character" w:styleId="Verwijzingopmerking">
    <w:name w:val="annotation reference"/>
    <w:basedOn w:val="Standaardalinea-lettertype"/>
    <w:uiPriority w:val="99"/>
    <w:semiHidden/>
    <w:unhideWhenUsed/>
    <w:rsid w:val="006E78CD"/>
    <w:rPr>
      <w:sz w:val="16"/>
      <w:szCs w:val="16"/>
    </w:rPr>
  </w:style>
  <w:style w:type="paragraph" w:styleId="Tekstopmerking">
    <w:name w:val="annotation text"/>
    <w:basedOn w:val="Standaard"/>
    <w:link w:val="TekstopmerkingChar"/>
    <w:uiPriority w:val="99"/>
    <w:unhideWhenUsed/>
    <w:rsid w:val="006E78CD"/>
    <w:rPr>
      <w:sz w:val="20"/>
      <w:szCs w:val="20"/>
    </w:rPr>
  </w:style>
  <w:style w:type="character" w:customStyle="1" w:styleId="TekstopmerkingChar">
    <w:name w:val="Tekst opmerking Char"/>
    <w:basedOn w:val="Standaardalinea-lettertype"/>
    <w:link w:val="Tekstopmerking"/>
    <w:uiPriority w:val="99"/>
    <w:rsid w:val="006E78CD"/>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6E78CD"/>
    <w:rPr>
      <w:b/>
      <w:bCs/>
    </w:rPr>
  </w:style>
  <w:style w:type="character" w:customStyle="1" w:styleId="OnderwerpvanopmerkingChar">
    <w:name w:val="Onderwerp van opmerking Char"/>
    <w:basedOn w:val="TekstopmerkingChar"/>
    <w:link w:val="Onderwerpvanopmerking"/>
    <w:uiPriority w:val="99"/>
    <w:semiHidden/>
    <w:rsid w:val="006E78CD"/>
    <w:rPr>
      <w:rFonts w:ascii="Univers" w:hAnsi="Univers"/>
      <w:b/>
      <w:bCs/>
    </w:rPr>
  </w:style>
  <w:style w:type="paragraph" w:styleId="Revisie">
    <w:name w:val="Revision"/>
    <w:hidden/>
    <w:uiPriority w:val="99"/>
    <w:semiHidden/>
    <w:rsid w:val="00360816"/>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83A022D8-CB07-4093-9217-197F60C38531}"/>
      </w:docPartPr>
      <w:docPartBody>
        <w:p w:rsidR="00BB10D7" w:rsidRDefault="00C84875">
          <w:r w:rsidRPr="00710A8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875"/>
    <w:rsid w:val="00024131"/>
    <w:rsid w:val="002A194C"/>
    <w:rsid w:val="004B222F"/>
    <w:rsid w:val="005B36F3"/>
    <w:rsid w:val="00BB10D7"/>
    <w:rsid w:val="00C84875"/>
    <w:rsid w:val="00D030BB"/>
    <w:rsid w:val="00EC5A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030B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680</ap:Words>
  <ap:Characters>3743</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2023-02-23T18:56:00.0000000Z</dcterms:created>
  <dcterms:modified xsi:type="dcterms:W3CDTF">2023-02-23T18:56:00.0000000Z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W17.22.00172/IV</vt:lpwstr>
  </property>
  <property fmtid="{D5CDD505-2E9C-101B-9397-08002B2CF9AE}" pid="5" name="zaaktype">
    <vt:lpwstr>WET</vt:lpwstr>
  </property>
  <property fmtid="{D5CDD505-2E9C-101B-9397-08002B2CF9AE}" pid="6" name="ContentTypeId">
    <vt:lpwstr>0x010100FA5A77795FEADA4EA512273036134446002A65C3EE02AA584482135D0524C2D9F6</vt:lpwstr>
  </property>
  <property fmtid="{D5CDD505-2E9C-101B-9397-08002B2CF9AE}" pid="7" name="_dlc_DocIdItemGuid">
    <vt:lpwstr>282e0536-f58e-43ca-a908-5e76b83eba44</vt:lpwstr>
  </property>
  <property fmtid="{D5CDD505-2E9C-101B-9397-08002B2CF9AE}" pid="8" name="RedactioneleBijlage">
    <vt:lpwstr>Nee</vt:lpwstr>
  </property>
  <property fmtid="{D5CDD505-2E9C-101B-9397-08002B2CF9AE}" pid="9" name="dictum">
    <vt:lpwstr>B</vt:lpwstr>
  </property>
  <property fmtid="{D5CDD505-2E9C-101B-9397-08002B2CF9AE}" pid="10" name="onderdeel">
    <vt:lpwstr>Advies</vt:lpwstr>
  </property>
  <property fmtid="{D5CDD505-2E9C-101B-9397-08002B2CF9AE}" pid="11" name="DocumentSetDescription">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Order">
    <vt:r8>3500</vt:r8>
  </property>
  <property fmtid="{D5CDD505-2E9C-101B-9397-08002B2CF9AE}" pid="19" name="processtap">
    <vt:lpwstr>Advies (ter ondertekening)</vt:lpwstr>
  </property>
</Properties>
</file>