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760" w:rsidP="00730760" w:rsidRDefault="00730760" w14:paraId="43A7B118" w14:textId="77777777">
      <w:pPr>
        <w:jc w:val="both"/>
        <w:rPr>
          <w:sz w:val="20"/>
          <w:szCs w:val="20"/>
          <w:lang w:val="en-GB"/>
        </w:rPr>
      </w:pPr>
      <w:r w:rsidRPr="001050F8">
        <w:rPr>
          <w:sz w:val="20"/>
          <w:szCs w:val="20"/>
          <w:lang w:val="en-GB"/>
        </w:rPr>
        <w:t xml:space="preserve">This paper </w:t>
      </w:r>
      <w:r>
        <w:rPr>
          <w:sz w:val="20"/>
          <w:szCs w:val="20"/>
          <w:lang w:val="en-GB"/>
        </w:rPr>
        <w:t>presents</w:t>
      </w:r>
      <w:r w:rsidRPr="001050F8">
        <w:rPr>
          <w:sz w:val="20"/>
          <w:szCs w:val="20"/>
          <w:lang w:val="en-GB"/>
        </w:rPr>
        <w:t xml:space="preserve"> the Netherlands’</w:t>
      </w:r>
      <w:r>
        <w:rPr>
          <w:sz w:val="20"/>
          <w:szCs w:val="20"/>
          <w:lang w:val="en-GB"/>
        </w:rPr>
        <w:t xml:space="preserve"> position on EU learning mobility and </w:t>
      </w:r>
      <w:r w:rsidRPr="001050F8">
        <w:rPr>
          <w:sz w:val="20"/>
          <w:szCs w:val="20"/>
          <w:lang w:val="en-GB"/>
        </w:rPr>
        <w:t xml:space="preserve"> </w:t>
      </w:r>
      <w:r>
        <w:rPr>
          <w:sz w:val="20"/>
          <w:szCs w:val="20"/>
          <w:lang w:val="en-GB"/>
        </w:rPr>
        <w:t>is intended as input for the development of the new EU Learning Mobility Framework</w:t>
      </w:r>
      <w:r w:rsidRPr="001050F8">
        <w:rPr>
          <w:rStyle w:val="Voetnootmarkering"/>
          <w:sz w:val="20"/>
          <w:szCs w:val="20"/>
          <w:lang w:val="en-GB"/>
        </w:rPr>
        <w:footnoteReference w:id="1"/>
      </w:r>
      <w:r w:rsidRPr="001050F8">
        <w:rPr>
          <w:sz w:val="20"/>
          <w:szCs w:val="20"/>
          <w:lang w:val="en-GB"/>
        </w:rPr>
        <w:t xml:space="preserve">. </w:t>
      </w:r>
    </w:p>
    <w:p w:rsidRPr="001050F8" w:rsidR="00730760" w:rsidP="00730760" w:rsidRDefault="00730760" w14:paraId="1341B539" w14:textId="77777777">
      <w:pPr>
        <w:jc w:val="both"/>
        <w:rPr>
          <w:sz w:val="20"/>
          <w:szCs w:val="20"/>
          <w:lang w:val="en-GB"/>
        </w:rPr>
      </w:pPr>
    </w:p>
    <w:p w:rsidR="00730760" w:rsidP="00730760" w:rsidRDefault="00730760" w14:paraId="5AD1F477" w14:textId="77777777">
      <w:pPr>
        <w:rPr>
          <w:b/>
          <w:bCs/>
          <w:sz w:val="20"/>
          <w:szCs w:val="20"/>
          <w:lang w:val="en-GB"/>
        </w:rPr>
      </w:pPr>
      <w:r w:rsidRPr="001050F8">
        <w:rPr>
          <w:b/>
          <w:bCs/>
          <w:sz w:val="20"/>
          <w:szCs w:val="20"/>
          <w:lang w:val="en-GB"/>
        </w:rPr>
        <w:t>Introduction</w:t>
      </w:r>
    </w:p>
    <w:p w:rsidRPr="001050F8" w:rsidR="00730760" w:rsidP="00730760" w:rsidRDefault="00730760" w14:paraId="439C723D" w14:textId="77777777">
      <w:pPr>
        <w:rPr>
          <w:b/>
          <w:bCs/>
          <w:sz w:val="20"/>
          <w:szCs w:val="20"/>
          <w:lang w:val="en-GB"/>
        </w:rPr>
      </w:pPr>
    </w:p>
    <w:p w:rsidR="00730760" w:rsidP="00730760" w:rsidRDefault="00730760" w14:paraId="63D77569" w14:textId="77777777">
      <w:pPr>
        <w:jc w:val="both"/>
        <w:rPr>
          <w:sz w:val="20"/>
          <w:szCs w:val="20"/>
          <w:lang w:val="en-GB"/>
        </w:rPr>
      </w:pPr>
      <w:r w:rsidRPr="001050F8">
        <w:rPr>
          <w:sz w:val="20"/>
          <w:szCs w:val="20"/>
          <w:lang w:val="en-GB"/>
        </w:rPr>
        <w:t>As one of the key strategic initiatives supporting the realization of the European Education Area (EEA), the European Commission (the Commission) is currently preparing a proposal for a Council Recommendation on a new learning mobility framework. In doing so, it aims to replace the Council Recommendation ‘Youth on the Move – promoting the learning mobility of young people’</w:t>
      </w:r>
      <w:r w:rsidRPr="001050F8">
        <w:rPr>
          <w:rStyle w:val="Voetnootmarkering"/>
          <w:sz w:val="20"/>
          <w:szCs w:val="20"/>
          <w:lang w:val="en-GB"/>
        </w:rPr>
        <w:footnoteReference w:id="2"/>
      </w:r>
      <w:r w:rsidRPr="001050F8">
        <w:rPr>
          <w:sz w:val="20"/>
          <w:szCs w:val="20"/>
          <w:lang w:val="en-GB"/>
        </w:rPr>
        <w:t xml:space="preserve"> that was adopted in 2011. The goal of this new Council Recommendation is to build on the successes and lessons learned of the Youth on the Move initiative and elaborate</w:t>
      </w:r>
      <w:r>
        <w:rPr>
          <w:sz w:val="20"/>
          <w:szCs w:val="20"/>
          <w:lang w:val="en-GB"/>
        </w:rPr>
        <w:t xml:space="preserve"> </w:t>
      </w:r>
      <w:r w:rsidRPr="001050F8">
        <w:rPr>
          <w:sz w:val="20"/>
          <w:szCs w:val="20"/>
          <w:lang w:val="en-GB"/>
        </w:rPr>
        <w:t xml:space="preserve">a learning mobility framework that enables all learners and staff in all education and training sectors, youth and sport (including formal, non-formal and informal learning) to participate in </w:t>
      </w:r>
      <w:r>
        <w:rPr>
          <w:sz w:val="20"/>
          <w:szCs w:val="20"/>
          <w:lang w:val="en-GB"/>
        </w:rPr>
        <w:t>short-stay, diploma or blended</w:t>
      </w:r>
      <w:r w:rsidRPr="001050F8">
        <w:rPr>
          <w:sz w:val="20"/>
          <w:szCs w:val="20"/>
          <w:lang w:val="en-GB"/>
        </w:rPr>
        <w:t xml:space="preserve"> mobility opportunities. </w:t>
      </w:r>
    </w:p>
    <w:p w:rsidRPr="001050F8" w:rsidR="00730760" w:rsidP="00730760" w:rsidRDefault="00730760" w14:paraId="5BC02285" w14:textId="77777777">
      <w:pPr>
        <w:jc w:val="both"/>
        <w:rPr>
          <w:sz w:val="20"/>
          <w:szCs w:val="20"/>
          <w:lang w:val="en-GB"/>
        </w:rPr>
      </w:pPr>
    </w:p>
    <w:p w:rsidR="00730760" w:rsidP="00730760" w:rsidRDefault="00730760" w14:paraId="74F93F4D" w14:textId="70C88C5C">
      <w:pPr>
        <w:jc w:val="both"/>
        <w:rPr>
          <w:sz w:val="20"/>
          <w:szCs w:val="20"/>
          <w:lang w:val="en-GB"/>
        </w:rPr>
      </w:pPr>
      <w:r w:rsidRPr="001050F8">
        <w:rPr>
          <w:sz w:val="20"/>
          <w:szCs w:val="20"/>
          <w:lang w:val="en-GB"/>
        </w:rPr>
        <w:t>The overall aim of the framework is to remove barriers and promote incentives to encourage balanced mobility flows across the EU and stimulate brain circulation.</w:t>
      </w:r>
      <w:r>
        <w:rPr>
          <w:sz w:val="20"/>
          <w:szCs w:val="20"/>
          <w:lang w:val="en-GB"/>
        </w:rPr>
        <w:t xml:space="preserve"> The Netherlands welcomes this initiative and strongly believes in the value of international learning experiences for pupils, students, teachers and staff for both personal and professional development. Cross-border learning can positively contribute to upwards convergence across the EU, by improving the quality of education across Member States and decreasing disparities. Learning mobility </w:t>
      </w:r>
      <w:r w:rsidR="005D7A28">
        <w:rPr>
          <w:sz w:val="20"/>
          <w:szCs w:val="20"/>
          <w:lang w:val="en-GB"/>
        </w:rPr>
        <w:t>plays</w:t>
      </w:r>
      <w:r>
        <w:rPr>
          <w:sz w:val="20"/>
          <w:szCs w:val="20"/>
          <w:lang w:val="en-GB"/>
        </w:rPr>
        <w:t xml:space="preserve"> an important role in growing the EU knowledge economy as well as support tackling prevailing societal challenges, including those related to the green and digital transitions, equity and inclusion and fundamental values.</w:t>
      </w:r>
      <w:r w:rsidRPr="001050F8">
        <w:rPr>
          <w:sz w:val="20"/>
          <w:szCs w:val="20"/>
          <w:lang w:val="en-GB"/>
        </w:rPr>
        <w:t xml:space="preserve"> </w:t>
      </w:r>
    </w:p>
    <w:p w:rsidR="00730760" w:rsidP="00730760" w:rsidRDefault="00730760" w14:paraId="18FE57E6" w14:textId="77777777">
      <w:pPr>
        <w:jc w:val="both"/>
        <w:rPr>
          <w:sz w:val="20"/>
          <w:szCs w:val="20"/>
          <w:lang w:val="en-GB"/>
        </w:rPr>
      </w:pPr>
    </w:p>
    <w:p w:rsidR="00730760" w:rsidP="00730760" w:rsidRDefault="00730760" w14:paraId="707ECDD2" w14:textId="7C8DD3A1">
      <w:pPr>
        <w:jc w:val="both"/>
        <w:rPr>
          <w:sz w:val="20"/>
          <w:szCs w:val="20"/>
          <w:lang w:val="en-GB"/>
        </w:rPr>
      </w:pPr>
      <w:r>
        <w:rPr>
          <w:sz w:val="20"/>
          <w:szCs w:val="20"/>
          <w:lang w:val="en-GB"/>
        </w:rPr>
        <w:t xml:space="preserve">To achieve balanced mobility streams a differentiated approach per national context and sector is required. Challenges differ greatly between (border-) regions in Europe as well as between smaller and larger Member States. Moreover, challenges faced by higher education institutions differ from those faced by vocational education and training providers, primary and secondary education, adult learners, youth workers and sports staff. </w:t>
      </w:r>
    </w:p>
    <w:p w:rsidRPr="00C9571A" w:rsidR="00730760" w:rsidP="00730760" w:rsidRDefault="00730760" w14:paraId="4BAAE521" w14:textId="77777777">
      <w:pPr>
        <w:jc w:val="both"/>
        <w:rPr>
          <w:sz w:val="20"/>
          <w:szCs w:val="20"/>
          <w:lang w:val="en-US"/>
        </w:rPr>
      </w:pPr>
    </w:p>
    <w:p w:rsidR="00730760" w:rsidP="00730760" w:rsidRDefault="00730760" w14:paraId="7624F5EE" w14:textId="5989E553">
      <w:pPr>
        <w:jc w:val="both"/>
        <w:rPr>
          <w:sz w:val="20"/>
          <w:szCs w:val="20"/>
          <w:lang w:val="en-GB"/>
        </w:rPr>
      </w:pPr>
      <w:r>
        <w:rPr>
          <w:sz w:val="20"/>
          <w:szCs w:val="20"/>
          <w:lang w:val="en-GB"/>
        </w:rPr>
        <w:lastRenderedPageBreak/>
        <w:t>In the Netherlands, we have</w:t>
      </w:r>
      <w:r w:rsidRPr="001050F8">
        <w:rPr>
          <w:sz w:val="20"/>
          <w:szCs w:val="20"/>
          <w:lang w:val="en-GB"/>
        </w:rPr>
        <w:t xml:space="preserve"> been successful in removing barriers and providing incentives for students to undertake a learning mobility experience at Dutch educational institutions and training providers</w:t>
      </w:r>
      <w:r>
        <w:rPr>
          <w:sz w:val="20"/>
          <w:szCs w:val="20"/>
          <w:lang w:val="en-GB"/>
        </w:rPr>
        <w:t>, particularly in the field of higher education</w:t>
      </w:r>
      <w:r w:rsidRPr="001050F8">
        <w:rPr>
          <w:sz w:val="20"/>
          <w:szCs w:val="20"/>
          <w:lang w:val="en-GB"/>
        </w:rPr>
        <w:t xml:space="preserve">. </w:t>
      </w:r>
      <w:r w:rsidR="006804EB">
        <w:rPr>
          <w:sz w:val="20"/>
          <w:szCs w:val="20"/>
          <w:lang w:val="en-GB"/>
        </w:rPr>
        <w:t xml:space="preserve">In this sense the Netherlands could function as a best practice in the EU. </w:t>
      </w:r>
      <w:r w:rsidRPr="001050F8">
        <w:rPr>
          <w:sz w:val="20"/>
          <w:szCs w:val="20"/>
          <w:lang w:val="en-GB"/>
        </w:rPr>
        <w:t xml:space="preserve">Consequently, however, we have experienced a disproportionally high </w:t>
      </w:r>
      <w:r>
        <w:rPr>
          <w:sz w:val="20"/>
          <w:szCs w:val="20"/>
          <w:lang w:val="en-GB"/>
        </w:rPr>
        <w:t>number</w:t>
      </w:r>
      <w:r w:rsidRPr="001050F8">
        <w:rPr>
          <w:sz w:val="20"/>
          <w:szCs w:val="20"/>
          <w:lang w:val="en-GB"/>
        </w:rPr>
        <w:t xml:space="preserve"> of incoming degree-seeking students </w:t>
      </w:r>
      <w:r>
        <w:rPr>
          <w:sz w:val="20"/>
          <w:szCs w:val="20"/>
          <w:lang w:val="en-GB"/>
        </w:rPr>
        <w:t>at Dutch universities</w:t>
      </w:r>
      <w:r w:rsidRPr="001050F8">
        <w:rPr>
          <w:sz w:val="20"/>
          <w:szCs w:val="20"/>
          <w:lang w:val="en-GB"/>
        </w:rPr>
        <w:t xml:space="preserve">. </w:t>
      </w:r>
      <w:r>
        <w:rPr>
          <w:sz w:val="20"/>
          <w:szCs w:val="20"/>
          <w:lang w:val="en-GB"/>
        </w:rPr>
        <w:t>In the academic year of 2021/2022 approximately 40% of first-year university students came from abroad</w:t>
      </w:r>
      <w:r>
        <w:rPr>
          <w:rStyle w:val="Voetnootmarkering"/>
          <w:sz w:val="20"/>
          <w:szCs w:val="20"/>
          <w:lang w:val="en-GB"/>
        </w:rPr>
        <w:footnoteReference w:id="3"/>
      </w:r>
      <w:r>
        <w:rPr>
          <w:sz w:val="20"/>
          <w:szCs w:val="20"/>
          <w:lang w:val="en-GB"/>
        </w:rPr>
        <w:t xml:space="preserve"> (compared to 28% in 2015). It was furthermore estimated that 23% of the total student population was international</w:t>
      </w:r>
      <w:r>
        <w:rPr>
          <w:rStyle w:val="Voetnootmarkering"/>
          <w:sz w:val="20"/>
          <w:szCs w:val="20"/>
          <w:lang w:val="en-GB"/>
        </w:rPr>
        <w:footnoteReference w:id="4"/>
      </w:r>
      <w:r>
        <w:rPr>
          <w:sz w:val="20"/>
          <w:szCs w:val="20"/>
          <w:lang w:val="en-GB"/>
        </w:rPr>
        <w:t xml:space="preserve">. While recognising that </w:t>
      </w:r>
      <w:r w:rsidR="00B2272A">
        <w:rPr>
          <w:sz w:val="20"/>
          <w:szCs w:val="20"/>
          <w:lang w:val="en-GB"/>
        </w:rPr>
        <w:t>international students ha</w:t>
      </w:r>
      <w:r w:rsidR="005D7A28">
        <w:rPr>
          <w:sz w:val="20"/>
          <w:szCs w:val="20"/>
          <w:lang w:val="en-GB"/>
        </w:rPr>
        <w:t xml:space="preserve">ve </w:t>
      </w:r>
      <w:r w:rsidR="00B2272A">
        <w:rPr>
          <w:sz w:val="20"/>
          <w:szCs w:val="20"/>
          <w:lang w:val="en-GB"/>
        </w:rPr>
        <w:t xml:space="preserve">a </w:t>
      </w:r>
      <w:r>
        <w:rPr>
          <w:sz w:val="20"/>
          <w:szCs w:val="20"/>
          <w:lang w:val="en-GB"/>
        </w:rPr>
        <w:t xml:space="preserve">positive </w:t>
      </w:r>
      <w:r w:rsidR="00B2272A">
        <w:rPr>
          <w:sz w:val="20"/>
          <w:szCs w:val="20"/>
          <w:lang w:val="en-GB"/>
        </w:rPr>
        <w:t>impact</w:t>
      </w:r>
      <w:r w:rsidR="005D7A28">
        <w:rPr>
          <w:sz w:val="20"/>
          <w:szCs w:val="20"/>
          <w:lang w:val="en-GB"/>
        </w:rPr>
        <w:t xml:space="preserve"> on learning and intercultural exchange and outcomes</w:t>
      </w:r>
      <w:r>
        <w:rPr>
          <w:sz w:val="20"/>
          <w:szCs w:val="20"/>
          <w:lang w:val="en-GB"/>
        </w:rPr>
        <w:t>, we</w:t>
      </w:r>
      <w:r w:rsidRPr="001050F8">
        <w:rPr>
          <w:sz w:val="20"/>
          <w:szCs w:val="20"/>
          <w:lang w:val="en-GB"/>
        </w:rPr>
        <w:t xml:space="preserve"> are now</w:t>
      </w:r>
      <w:r>
        <w:rPr>
          <w:sz w:val="20"/>
          <w:szCs w:val="20"/>
          <w:lang w:val="en-GB"/>
        </w:rPr>
        <w:t xml:space="preserve"> also</w:t>
      </w:r>
      <w:r w:rsidRPr="001050F8">
        <w:rPr>
          <w:sz w:val="20"/>
          <w:szCs w:val="20"/>
          <w:lang w:val="en-GB"/>
        </w:rPr>
        <w:t xml:space="preserve"> confronted with</w:t>
      </w:r>
      <w:r>
        <w:rPr>
          <w:sz w:val="20"/>
          <w:szCs w:val="20"/>
          <w:lang w:val="en-GB"/>
        </w:rPr>
        <w:t xml:space="preserve"> the</w:t>
      </w:r>
      <w:r w:rsidRPr="001050F8">
        <w:rPr>
          <w:sz w:val="20"/>
          <w:szCs w:val="20"/>
          <w:lang w:val="en-GB"/>
        </w:rPr>
        <w:t xml:space="preserve"> negative consequences of these imbalanced mobility flows across the continent, such as increased (financial) pressure on </w:t>
      </w:r>
      <w:r>
        <w:rPr>
          <w:sz w:val="20"/>
          <w:szCs w:val="20"/>
          <w:lang w:val="en-GB"/>
        </w:rPr>
        <w:t xml:space="preserve">(the quality of) </w:t>
      </w:r>
      <w:r w:rsidRPr="001050F8">
        <w:rPr>
          <w:sz w:val="20"/>
          <w:szCs w:val="20"/>
          <w:lang w:val="en-GB"/>
        </w:rPr>
        <w:t>national education systems, accessibility issues for domestic students, and a shortage of adequate (student) housing.</w:t>
      </w:r>
      <w:r>
        <w:rPr>
          <w:sz w:val="20"/>
          <w:szCs w:val="20"/>
          <w:lang w:val="en-GB"/>
        </w:rPr>
        <w:t xml:space="preserve"> </w:t>
      </w:r>
      <w:bookmarkStart w:name="_Hlk134430178" w:id="0"/>
      <w:r>
        <w:rPr>
          <w:sz w:val="20"/>
          <w:szCs w:val="20"/>
          <w:lang w:val="en-GB"/>
        </w:rPr>
        <w:t>As a result, the Netherlands recently introduced new policy measures to address the imbalanced mobility streams</w:t>
      </w:r>
      <w:r>
        <w:rPr>
          <w:rStyle w:val="Voetnootmarkering"/>
          <w:sz w:val="20"/>
          <w:szCs w:val="20"/>
          <w:lang w:val="en-GB"/>
        </w:rPr>
        <w:footnoteReference w:id="5"/>
      </w:r>
      <w:r>
        <w:rPr>
          <w:sz w:val="20"/>
          <w:szCs w:val="20"/>
          <w:lang w:val="en-GB"/>
        </w:rPr>
        <w:t>. The issues facing other education sectors differ from those faced by Dutch higher education institutions, and therefore require a different policy response.</w:t>
      </w:r>
      <w:bookmarkEnd w:id="0"/>
    </w:p>
    <w:p w:rsidR="00730760" w:rsidP="00730760" w:rsidRDefault="00730760" w14:paraId="02FBAE97" w14:textId="77777777">
      <w:pPr>
        <w:jc w:val="both"/>
        <w:rPr>
          <w:sz w:val="20"/>
          <w:szCs w:val="20"/>
          <w:lang w:val="en-GB"/>
        </w:rPr>
      </w:pPr>
    </w:p>
    <w:p w:rsidR="00730760" w:rsidP="00730760" w:rsidRDefault="00730760" w14:paraId="0C65858A" w14:textId="77777777">
      <w:pPr>
        <w:jc w:val="both"/>
        <w:rPr>
          <w:sz w:val="20"/>
          <w:szCs w:val="20"/>
          <w:lang w:val="en-GB"/>
        </w:rPr>
      </w:pPr>
      <w:r w:rsidRPr="001050F8">
        <w:rPr>
          <w:sz w:val="20"/>
          <w:szCs w:val="20"/>
          <w:lang w:val="en-GB"/>
        </w:rPr>
        <w:t>Through this position paper, the Netherlands outlines several points of consideration for the development of the new EU learning mobility framework to ensure that it will effectively contribute to the realization of an inclusive, competitive and qualitative EEA. We strongly believe that it is important that through joint efforts at removing barriers and facilitating mobility we can create attractive learning environments across all EU Member States</w:t>
      </w:r>
      <w:r>
        <w:rPr>
          <w:sz w:val="20"/>
          <w:szCs w:val="20"/>
          <w:lang w:val="en-GB"/>
        </w:rPr>
        <w:t xml:space="preserve"> and</w:t>
      </w:r>
      <w:r w:rsidRPr="001050F8">
        <w:rPr>
          <w:sz w:val="20"/>
          <w:szCs w:val="20"/>
          <w:lang w:val="en-GB"/>
        </w:rPr>
        <w:t xml:space="preserve"> ensur</w:t>
      </w:r>
      <w:r>
        <w:rPr>
          <w:sz w:val="20"/>
          <w:szCs w:val="20"/>
          <w:lang w:val="en-GB"/>
        </w:rPr>
        <w:t>e</w:t>
      </w:r>
      <w:r w:rsidRPr="001050F8">
        <w:rPr>
          <w:sz w:val="20"/>
          <w:szCs w:val="20"/>
          <w:lang w:val="en-GB"/>
        </w:rPr>
        <w:t xml:space="preserve"> more balanced mobility streams</w:t>
      </w:r>
      <w:r>
        <w:rPr>
          <w:sz w:val="20"/>
          <w:szCs w:val="20"/>
          <w:lang w:val="en-GB"/>
        </w:rPr>
        <w:t xml:space="preserve"> while guaranteeing our fundamental academic values, such as academic freedom.</w:t>
      </w:r>
    </w:p>
    <w:p w:rsidRPr="001050F8" w:rsidR="00730760" w:rsidP="00730760" w:rsidRDefault="00730760" w14:paraId="2DC0B8D5" w14:textId="77777777">
      <w:pPr>
        <w:jc w:val="both"/>
        <w:rPr>
          <w:sz w:val="20"/>
          <w:szCs w:val="20"/>
          <w:lang w:val="en-GB"/>
        </w:rPr>
      </w:pPr>
    </w:p>
    <w:p w:rsidR="00730760" w:rsidP="00730760" w:rsidRDefault="00730760" w14:paraId="557F889A" w14:textId="77777777">
      <w:pPr>
        <w:rPr>
          <w:b/>
          <w:bCs/>
          <w:sz w:val="20"/>
          <w:szCs w:val="20"/>
          <w:lang w:val="en-GB"/>
        </w:rPr>
      </w:pPr>
      <w:r w:rsidRPr="001050F8">
        <w:rPr>
          <w:b/>
          <w:bCs/>
          <w:sz w:val="20"/>
          <w:szCs w:val="20"/>
          <w:lang w:val="en-GB"/>
        </w:rPr>
        <w:t>The Netherlands’ position on learning mobility</w:t>
      </w:r>
    </w:p>
    <w:p w:rsidRPr="001050F8" w:rsidR="00730760" w:rsidP="00730760" w:rsidRDefault="00730760" w14:paraId="18A8669C" w14:textId="77777777">
      <w:pPr>
        <w:rPr>
          <w:b/>
          <w:bCs/>
          <w:sz w:val="20"/>
          <w:szCs w:val="20"/>
          <w:lang w:val="en-GB"/>
        </w:rPr>
      </w:pPr>
    </w:p>
    <w:p w:rsidR="00730760" w:rsidP="00730760" w:rsidRDefault="00730760" w14:paraId="0F7524A0" w14:textId="5FDD921B">
      <w:pPr>
        <w:jc w:val="both"/>
        <w:rPr>
          <w:sz w:val="20"/>
          <w:szCs w:val="20"/>
          <w:lang w:val="en-GB"/>
        </w:rPr>
      </w:pPr>
      <w:r>
        <w:rPr>
          <w:b/>
          <w:bCs/>
          <w:sz w:val="20"/>
          <w:szCs w:val="20"/>
          <w:lang w:val="en-GB"/>
        </w:rPr>
        <w:t>W</w:t>
      </w:r>
      <w:r w:rsidRPr="005B4F93">
        <w:rPr>
          <w:b/>
          <w:bCs/>
          <w:sz w:val="20"/>
          <w:szCs w:val="20"/>
          <w:lang w:val="en-GB"/>
        </w:rPr>
        <w:t xml:space="preserve">e reaffirm </w:t>
      </w:r>
      <w:r w:rsidRPr="001050F8">
        <w:rPr>
          <w:b/>
          <w:bCs/>
          <w:sz w:val="20"/>
          <w:szCs w:val="20"/>
          <w:lang w:val="en-GB"/>
        </w:rPr>
        <w:t xml:space="preserve">the value and importance of the development of an EU-wide learning mobility framework and the support that it offers in realizing balance in mobility streams. </w:t>
      </w:r>
      <w:r>
        <w:rPr>
          <w:sz w:val="20"/>
          <w:szCs w:val="20"/>
          <w:lang w:val="en-GB"/>
        </w:rPr>
        <w:t>It is through</w:t>
      </w:r>
      <w:r w:rsidRPr="001050F8">
        <w:rPr>
          <w:sz w:val="20"/>
          <w:szCs w:val="20"/>
          <w:lang w:val="en-GB"/>
        </w:rPr>
        <w:t xml:space="preserve"> joint efforts across all Member States </w:t>
      </w:r>
      <w:r>
        <w:rPr>
          <w:sz w:val="20"/>
          <w:szCs w:val="20"/>
          <w:lang w:val="en-GB"/>
        </w:rPr>
        <w:t xml:space="preserve">that </w:t>
      </w:r>
      <w:r w:rsidRPr="001050F8">
        <w:rPr>
          <w:sz w:val="20"/>
          <w:szCs w:val="20"/>
          <w:lang w:val="en-GB"/>
        </w:rPr>
        <w:t>we can realize balanced mobility streams</w:t>
      </w:r>
      <w:r>
        <w:rPr>
          <w:sz w:val="20"/>
          <w:szCs w:val="20"/>
          <w:lang w:val="en-GB"/>
        </w:rPr>
        <w:t xml:space="preserve">. While there are differences across education sectors, mobility has especially impacted our higher education institutions. Currently some countries or regions experience a </w:t>
      </w:r>
      <w:r w:rsidR="005D7A28">
        <w:rPr>
          <w:sz w:val="20"/>
          <w:szCs w:val="20"/>
          <w:lang w:val="en-GB"/>
        </w:rPr>
        <w:t xml:space="preserve">large </w:t>
      </w:r>
      <w:r>
        <w:rPr>
          <w:sz w:val="20"/>
          <w:szCs w:val="20"/>
          <w:lang w:val="en-GB"/>
        </w:rPr>
        <w:t xml:space="preserve">influx, while others experience a </w:t>
      </w:r>
      <w:r w:rsidR="005D7A28">
        <w:rPr>
          <w:sz w:val="20"/>
          <w:szCs w:val="20"/>
          <w:lang w:val="en-GB"/>
        </w:rPr>
        <w:t xml:space="preserve">large </w:t>
      </w:r>
      <w:r>
        <w:rPr>
          <w:sz w:val="20"/>
          <w:szCs w:val="20"/>
          <w:lang w:val="en-GB"/>
        </w:rPr>
        <w:t>outflux of students, creating challenges for education systems. We believe that brain circulation with more balance between Member States should be the central goal underpinning the new framework.</w:t>
      </w:r>
    </w:p>
    <w:p w:rsidR="00730760" w:rsidP="00730760" w:rsidRDefault="00730760" w14:paraId="1C0AB936" w14:textId="77777777">
      <w:pPr>
        <w:jc w:val="both"/>
        <w:rPr>
          <w:sz w:val="20"/>
          <w:szCs w:val="20"/>
          <w:lang w:val="en-GB"/>
        </w:rPr>
      </w:pPr>
    </w:p>
    <w:p w:rsidR="00730760" w:rsidP="00730760" w:rsidRDefault="00730760" w14:paraId="6270111A" w14:textId="74849967">
      <w:pPr>
        <w:jc w:val="both"/>
        <w:rPr>
          <w:sz w:val="20"/>
          <w:szCs w:val="20"/>
          <w:lang w:val="en-GB"/>
        </w:rPr>
      </w:pPr>
      <w:r w:rsidRPr="007062A2">
        <w:rPr>
          <w:b/>
          <w:bCs/>
          <w:sz w:val="20"/>
          <w:szCs w:val="20"/>
          <w:lang w:val="en-GB"/>
        </w:rPr>
        <w:lastRenderedPageBreak/>
        <w:t xml:space="preserve">As part of the EU </w:t>
      </w:r>
      <w:r>
        <w:rPr>
          <w:b/>
          <w:bCs/>
          <w:sz w:val="20"/>
          <w:szCs w:val="20"/>
          <w:lang w:val="en-GB"/>
        </w:rPr>
        <w:t>l</w:t>
      </w:r>
      <w:r w:rsidRPr="007062A2">
        <w:rPr>
          <w:b/>
          <w:bCs/>
          <w:sz w:val="20"/>
          <w:szCs w:val="20"/>
          <w:lang w:val="en-GB"/>
        </w:rPr>
        <w:t xml:space="preserve">earning </w:t>
      </w:r>
      <w:r>
        <w:rPr>
          <w:b/>
          <w:bCs/>
          <w:sz w:val="20"/>
          <w:szCs w:val="20"/>
          <w:lang w:val="en-GB"/>
        </w:rPr>
        <w:t>m</w:t>
      </w:r>
      <w:r w:rsidRPr="007062A2">
        <w:rPr>
          <w:b/>
          <w:bCs/>
          <w:sz w:val="20"/>
          <w:szCs w:val="20"/>
          <w:lang w:val="en-GB"/>
        </w:rPr>
        <w:t xml:space="preserve">obility </w:t>
      </w:r>
      <w:r>
        <w:rPr>
          <w:b/>
          <w:bCs/>
          <w:sz w:val="20"/>
          <w:szCs w:val="20"/>
          <w:lang w:val="en-GB"/>
        </w:rPr>
        <w:t>f</w:t>
      </w:r>
      <w:r w:rsidRPr="007062A2">
        <w:rPr>
          <w:b/>
          <w:bCs/>
          <w:sz w:val="20"/>
          <w:szCs w:val="20"/>
          <w:lang w:val="en-GB"/>
        </w:rPr>
        <w:t>ramework, we would invite</w:t>
      </w:r>
      <w:r>
        <w:rPr>
          <w:b/>
          <w:bCs/>
          <w:sz w:val="20"/>
          <w:szCs w:val="20"/>
          <w:lang w:val="en-GB"/>
        </w:rPr>
        <w:t xml:space="preserve"> </w:t>
      </w:r>
      <w:r w:rsidRPr="007062A2">
        <w:rPr>
          <w:b/>
          <w:bCs/>
          <w:sz w:val="20"/>
          <w:szCs w:val="20"/>
          <w:lang w:val="en-GB"/>
        </w:rPr>
        <w:t xml:space="preserve">all Member States to develop a tailored action plan outlining their proposed measures by </w:t>
      </w:r>
      <w:r>
        <w:rPr>
          <w:b/>
          <w:bCs/>
          <w:sz w:val="20"/>
          <w:szCs w:val="20"/>
          <w:lang w:val="en-GB"/>
        </w:rPr>
        <w:t xml:space="preserve">education </w:t>
      </w:r>
      <w:r w:rsidRPr="007062A2">
        <w:rPr>
          <w:b/>
          <w:bCs/>
          <w:sz w:val="20"/>
          <w:szCs w:val="20"/>
          <w:lang w:val="en-GB"/>
        </w:rPr>
        <w:t xml:space="preserve">sector to </w:t>
      </w:r>
      <w:r>
        <w:rPr>
          <w:b/>
          <w:bCs/>
          <w:sz w:val="20"/>
          <w:szCs w:val="20"/>
          <w:lang w:val="en-GB"/>
        </w:rPr>
        <w:t>work toward</w:t>
      </w:r>
      <w:r w:rsidRPr="007062A2">
        <w:rPr>
          <w:b/>
          <w:bCs/>
          <w:sz w:val="20"/>
          <w:szCs w:val="20"/>
          <w:lang w:val="en-GB"/>
        </w:rPr>
        <w:t>s</w:t>
      </w:r>
      <w:r>
        <w:rPr>
          <w:b/>
          <w:bCs/>
          <w:sz w:val="20"/>
          <w:szCs w:val="20"/>
          <w:lang w:val="en-GB"/>
        </w:rPr>
        <w:t xml:space="preserve"> </w:t>
      </w:r>
      <w:r w:rsidRPr="007062A2">
        <w:rPr>
          <w:b/>
          <w:bCs/>
          <w:sz w:val="20"/>
          <w:szCs w:val="20"/>
          <w:lang w:val="en-GB"/>
        </w:rPr>
        <w:t>balanced mobility streams.</w:t>
      </w:r>
      <w:r>
        <w:rPr>
          <w:sz w:val="20"/>
          <w:szCs w:val="20"/>
          <w:lang w:val="en-GB"/>
        </w:rPr>
        <w:t xml:space="preserve"> The starting positions and obstacles faced by Member States vary and therefore </w:t>
      </w:r>
      <w:r w:rsidR="005D7A28">
        <w:rPr>
          <w:sz w:val="20"/>
          <w:szCs w:val="20"/>
          <w:lang w:val="en-GB"/>
        </w:rPr>
        <w:t xml:space="preserve">also </w:t>
      </w:r>
      <w:r>
        <w:rPr>
          <w:sz w:val="20"/>
          <w:szCs w:val="20"/>
          <w:lang w:val="en-GB"/>
        </w:rPr>
        <w:t>require a differentiated policy response. Some countries and/or regions actively want more international students, while others are experiencing a high influx</w:t>
      </w:r>
      <w:r w:rsidR="005D7A28">
        <w:rPr>
          <w:sz w:val="20"/>
          <w:szCs w:val="20"/>
          <w:lang w:val="en-GB"/>
        </w:rPr>
        <w:t xml:space="preserve"> and have reached their capacity limit</w:t>
      </w:r>
      <w:r>
        <w:rPr>
          <w:sz w:val="20"/>
          <w:szCs w:val="20"/>
          <w:lang w:val="en-GB"/>
        </w:rPr>
        <w:t xml:space="preserve">. By developing a dedicated plan, each Member State will be encouraged to critically assess its starting position, which barriers it is facing and identify measures to address them. </w:t>
      </w:r>
      <w:r w:rsidR="00AE2B0B">
        <w:rPr>
          <w:sz w:val="20"/>
          <w:szCs w:val="20"/>
          <w:lang w:val="en-GB"/>
        </w:rPr>
        <w:t>For instance countries that wish to attract more international students could offer (more) degree programs in English.</w:t>
      </w:r>
    </w:p>
    <w:p w:rsidR="00730760" w:rsidP="00730760" w:rsidRDefault="00730760" w14:paraId="004CED0A" w14:textId="77777777">
      <w:pPr>
        <w:jc w:val="both"/>
        <w:rPr>
          <w:sz w:val="20"/>
          <w:szCs w:val="20"/>
          <w:lang w:val="en-GB"/>
        </w:rPr>
      </w:pPr>
    </w:p>
    <w:p w:rsidR="00730760" w:rsidP="00730760" w:rsidRDefault="00730760" w14:paraId="222E3CE6" w14:textId="44510EB4">
      <w:pPr>
        <w:jc w:val="both"/>
        <w:rPr>
          <w:sz w:val="20"/>
          <w:szCs w:val="20"/>
          <w:lang w:val="en-GB"/>
        </w:rPr>
      </w:pPr>
      <w:r w:rsidRPr="007062A2">
        <w:rPr>
          <w:b/>
          <w:bCs/>
          <w:sz w:val="20"/>
          <w:szCs w:val="20"/>
          <w:lang w:val="en-GB"/>
        </w:rPr>
        <w:t xml:space="preserve">To </w:t>
      </w:r>
      <w:r>
        <w:rPr>
          <w:b/>
          <w:bCs/>
          <w:sz w:val="20"/>
          <w:szCs w:val="20"/>
          <w:lang w:val="en-GB"/>
        </w:rPr>
        <w:t xml:space="preserve">achieve the goal of balanced mobility streams, </w:t>
      </w:r>
      <w:r w:rsidRPr="007062A2">
        <w:rPr>
          <w:b/>
          <w:bCs/>
          <w:sz w:val="20"/>
          <w:szCs w:val="20"/>
          <w:lang w:val="en-GB"/>
        </w:rPr>
        <w:t>we invite the</w:t>
      </w:r>
      <w:r w:rsidRPr="00E867B5">
        <w:rPr>
          <w:b/>
          <w:bCs/>
          <w:sz w:val="20"/>
          <w:szCs w:val="20"/>
          <w:lang w:val="en-GB"/>
        </w:rPr>
        <w:t xml:space="preserve"> Commission to present concrete measures and </w:t>
      </w:r>
      <w:r w:rsidRPr="0027314B">
        <w:rPr>
          <w:b/>
          <w:bCs/>
          <w:sz w:val="20"/>
          <w:szCs w:val="20"/>
          <w:lang w:val="en-GB"/>
        </w:rPr>
        <w:t xml:space="preserve">activities </w:t>
      </w:r>
      <w:r w:rsidRPr="007062A2">
        <w:rPr>
          <w:b/>
          <w:bCs/>
          <w:sz w:val="20"/>
          <w:szCs w:val="20"/>
          <w:lang w:val="en-GB"/>
        </w:rPr>
        <w:t>ensure the effective implementation of the framework</w:t>
      </w:r>
      <w:r>
        <w:rPr>
          <w:b/>
          <w:bCs/>
          <w:sz w:val="20"/>
          <w:szCs w:val="20"/>
          <w:lang w:val="en-GB"/>
        </w:rPr>
        <w:t xml:space="preserve"> (</w:t>
      </w:r>
      <w:r w:rsidRPr="007062A2">
        <w:rPr>
          <w:b/>
          <w:bCs/>
          <w:sz w:val="20"/>
          <w:szCs w:val="20"/>
          <w:lang w:val="en-GB"/>
        </w:rPr>
        <w:t xml:space="preserve">and the </w:t>
      </w:r>
      <w:r>
        <w:rPr>
          <w:b/>
          <w:bCs/>
          <w:sz w:val="20"/>
          <w:szCs w:val="20"/>
          <w:lang w:val="en-GB"/>
        </w:rPr>
        <w:t xml:space="preserve">proposed </w:t>
      </w:r>
      <w:r w:rsidRPr="007062A2">
        <w:rPr>
          <w:b/>
          <w:bCs/>
          <w:sz w:val="20"/>
          <w:szCs w:val="20"/>
          <w:lang w:val="en-GB"/>
        </w:rPr>
        <w:t>Member State action plans</w:t>
      </w:r>
      <w:r>
        <w:rPr>
          <w:b/>
          <w:bCs/>
          <w:sz w:val="20"/>
          <w:szCs w:val="20"/>
          <w:lang w:val="en-GB"/>
        </w:rPr>
        <w:t xml:space="preserve">). </w:t>
      </w:r>
      <w:r>
        <w:rPr>
          <w:sz w:val="20"/>
          <w:szCs w:val="20"/>
          <w:lang w:val="en-GB"/>
        </w:rPr>
        <w:t xml:space="preserve">The Commission </w:t>
      </w:r>
      <w:r w:rsidR="00AE2B0B">
        <w:rPr>
          <w:sz w:val="20"/>
          <w:szCs w:val="20"/>
          <w:lang w:val="en-GB"/>
        </w:rPr>
        <w:t xml:space="preserve">should </w:t>
      </w:r>
      <w:r>
        <w:rPr>
          <w:sz w:val="20"/>
          <w:szCs w:val="20"/>
          <w:lang w:val="en-GB"/>
        </w:rPr>
        <w:t xml:space="preserve">provide support in the development, implementation and assessment of </w:t>
      </w:r>
      <w:r w:rsidR="00AE2B0B">
        <w:rPr>
          <w:sz w:val="20"/>
          <w:szCs w:val="20"/>
          <w:lang w:val="en-GB"/>
        </w:rPr>
        <w:t xml:space="preserve">the above-mentioned </w:t>
      </w:r>
      <w:r>
        <w:rPr>
          <w:sz w:val="20"/>
          <w:szCs w:val="20"/>
          <w:lang w:val="en-GB"/>
        </w:rPr>
        <w:t xml:space="preserve">Member State action plans, for example, through the development of guidance notes, designated informative webinars and peer learning opportunities. Mutual and peer learning activities will be important for Member States to develop and implement actions addressing learning mobility. The Netherlands would welcome the opportunity to kick-start peer learning activities concerning mobility through the organisation of a designated event. </w:t>
      </w:r>
      <w:r w:rsidR="002B4152">
        <w:rPr>
          <w:sz w:val="20"/>
          <w:szCs w:val="20"/>
          <w:lang w:val="en-GB"/>
        </w:rPr>
        <w:t xml:space="preserve">In the event we could share best practices on our </w:t>
      </w:r>
      <w:r w:rsidRPr="001050F8" w:rsidR="002B4152">
        <w:rPr>
          <w:sz w:val="20"/>
          <w:szCs w:val="20"/>
          <w:lang w:val="en-GB"/>
        </w:rPr>
        <w:t>successful</w:t>
      </w:r>
      <w:r w:rsidR="002B4152">
        <w:rPr>
          <w:sz w:val="20"/>
          <w:szCs w:val="20"/>
          <w:lang w:val="en-GB"/>
        </w:rPr>
        <w:t xml:space="preserve"> approach of </w:t>
      </w:r>
      <w:r w:rsidRPr="001050F8" w:rsidR="002B4152">
        <w:rPr>
          <w:sz w:val="20"/>
          <w:szCs w:val="20"/>
          <w:lang w:val="en-GB"/>
        </w:rPr>
        <w:t>removing barriers and providing incentives for students to undertake a learning mobility experience at Dutch educational institutions and training providers</w:t>
      </w:r>
      <w:r w:rsidR="002B4152">
        <w:rPr>
          <w:sz w:val="20"/>
          <w:szCs w:val="20"/>
          <w:lang w:val="en-GB"/>
        </w:rPr>
        <w:t xml:space="preserve">, particularly in higher education. </w:t>
      </w:r>
      <w:r>
        <w:rPr>
          <w:sz w:val="20"/>
          <w:szCs w:val="20"/>
          <w:lang w:val="en-GB"/>
        </w:rPr>
        <w:t>Alongside exchanges of experiences, the framework should include concrete capacity building activities, communication initiatives and identify EU funding mechanisms (alongside Erasmus+) that Member States could draw upon to implement their action plans. The</w:t>
      </w:r>
      <w:r w:rsidRPr="007062A2">
        <w:rPr>
          <w:sz w:val="20"/>
          <w:szCs w:val="20"/>
          <w:lang w:val="en-GB"/>
        </w:rPr>
        <w:t xml:space="preserve"> responsibility for coordination and implementation </w:t>
      </w:r>
      <w:r>
        <w:rPr>
          <w:sz w:val="20"/>
          <w:szCs w:val="20"/>
          <w:lang w:val="en-GB"/>
        </w:rPr>
        <w:t>of each action should be clearly identified</w:t>
      </w:r>
      <w:r w:rsidRPr="007062A2">
        <w:rPr>
          <w:sz w:val="20"/>
          <w:szCs w:val="20"/>
          <w:lang w:val="en-GB"/>
        </w:rPr>
        <w:t xml:space="preserve"> (with due respect to national competences).</w:t>
      </w:r>
      <w:r w:rsidR="002B4152">
        <w:rPr>
          <w:sz w:val="20"/>
          <w:szCs w:val="20"/>
          <w:lang w:val="en-GB"/>
        </w:rPr>
        <w:t xml:space="preserve"> These actions should lead to a full and effective implementation of the EU-framework in the member states, removing the existing obstacles and give the right incentives to study in another country throughout the whole of the EU. This should lead to more balance in mobility flows in the EU. </w:t>
      </w:r>
    </w:p>
    <w:p w:rsidR="00730760" w:rsidP="00730760" w:rsidRDefault="00730760" w14:paraId="62E31A19" w14:textId="77777777">
      <w:pPr>
        <w:jc w:val="both"/>
        <w:rPr>
          <w:sz w:val="20"/>
          <w:szCs w:val="20"/>
          <w:lang w:val="en-GB"/>
        </w:rPr>
      </w:pPr>
    </w:p>
    <w:p w:rsidR="00730760" w:rsidP="00730760" w:rsidRDefault="00730760" w14:paraId="3D6D1171" w14:textId="692E545E">
      <w:pPr>
        <w:jc w:val="both"/>
        <w:rPr>
          <w:sz w:val="20"/>
          <w:szCs w:val="20"/>
          <w:lang w:val="en-GB"/>
        </w:rPr>
      </w:pPr>
      <w:r>
        <w:rPr>
          <w:b/>
          <w:bCs/>
          <w:sz w:val="20"/>
          <w:szCs w:val="20"/>
          <w:lang w:val="en-GB"/>
        </w:rPr>
        <w:t xml:space="preserve">We </w:t>
      </w:r>
      <w:r w:rsidRPr="001050F8">
        <w:rPr>
          <w:b/>
          <w:bCs/>
          <w:sz w:val="20"/>
          <w:szCs w:val="20"/>
          <w:lang w:val="en-GB"/>
        </w:rPr>
        <w:t xml:space="preserve">applaud the efforts to make mobility accessible to all learners, at all levels and across all sectors, but caution against diluting the effectiveness of the framework by making it too complex. </w:t>
      </w:r>
      <w:r>
        <w:rPr>
          <w:sz w:val="20"/>
          <w:szCs w:val="20"/>
          <w:lang w:val="en-GB"/>
        </w:rPr>
        <w:t xml:space="preserve"> </w:t>
      </w:r>
      <w:r w:rsidRPr="001050F8">
        <w:rPr>
          <w:sz w:val="20"/>
          <w:szCs w:val="20"/>
          <w:lang w:val="en-GB"/>
        </w:rPr>
        <w:t>The new framework ambitiously aims to support learners in primary and secondary school, VET and higher education as well as adult learners, teachers, staff, youth workers and sports staff, including all learners in formal, informal and non-formal learning. These target groups all face different obstacles and will require different incentives</w:t>
      </w:r>
      <w:r>
        <w:rPr>
          <w:sz w:val="20"/>
          <w:szCs w:val="20"/>
          <w:lang w:val="en-GB"/>
        </w:rPr>
        <w:t xml:space="preserve"> to partake in an international experience</w:t>
      </w:r>
      <w:r w:rsidRPr="001050F8">
        <w:rPr>
          <w:sz w:val="20"/>
          <w:szCs w:val="20"/>
          <w:lang w:val="en-GB"/>
        </w:rPr>
        <w:t xml:space="preserve">. </w:t>
      </w:r>
      <w:r w:rsidR="00AE2B0B">
        <w:rPr>
          <w:sz w:val="20"/>
          <w:szCs w:val="20"/>
          <w:lang w:val="en-GB"/>
        </w:rPr>
        <w:t>Also</w:t>
      </w:r>
      <w:r w:rsidRPr="001050F8">
        <w:rPr>
          <w:sz w:val="20"/>
          <w:szCs w:val="20"/>
          <w:lang w:val="en-GB"/>
        </w:rPr>
        <w:t>, there are multiple types of mobility, including short-term, diploma mobility, virtual mobility and blended learning that</w:t>
      </w:r>
      <w:r w:rsidR="00C77541">
        <w:rPr>
          <w:sz w:val="20"/>
          <w:szCs w:val="20"/>
          <w:lang w:val="en-GB"/>
        </w:rPr>
        <w:t xml:space="preserve"> </w:t>
      </w:r>
      <w:r w:rsidR="00AE2B0B">
        <w:rPr>
          <w:sz w:val="20"/>
          <w:szCs w:val="20"/>
          <w:lang w:val="en-GB"/>
        </w:rPr>
        <w:t>should</w:t>
      </w:r>
      <w:r w:rsidRPr="001050F8">
        <w:rPr>
          <w:sz w:val="20"/>
          <w:szCs w:val="20"/>
          <w:lang w:val="en-GB"/>
        </w:rPr>
        <w:t xml:space="preserve"> be considered for each of these target groups. </w:t>
      </w:r>
      <w:r>
        <w:rPr>
          <w:sz w:val="20"/>
          <w:szCs w:val="20"/>
          <w:lang w:val="en-GB"/>
        </w:rPr>
        <w:t xml:space="preserve">To ensure that the framework </w:t>
      </w:r>
      <w:r>
        <w:rPr>
          <w:sz w:val="20"/>
          <w:szCs w:val="20"/>
          <w:lang w:val="en-GB"/>
        </w:rPr>
        <w:lastRenderedPageBreak/>
        <w:t xml:space="preserve">can be easily used, communicated and operationalised, we </w:t>
      </w:r>
      <w:r w:rsidR="00AE2B0B">
        <w:rPr>
          <w:sz w:val="20"/>
          <w:szCs w:val="20"/>
          <w:lang w:val="en-GB"/>
        </w:rPr>
        <w:t>advise</w:t>
      </w:r>
      <w:r w:rsidR="00C77541">
        <w:rPr>
          <w:sz w:val="20"/>
          <w:szCs w:val="20"/>
          <w:lang w:val="en-GB"/>
        </w:rPr>
        <w:t xml:space="preserve"> </w:t>
      </w:r>
      <w:r>
        <w:rPr>
          <w:sz w:val="20"/>
          <w:szCs w:val="20"/>
          <w:lang w:val="en-GB"/>
        </w:rPr>
        <w:t xml:space="preserve">that it is organised along clear lines (e.g., by sector and mobility type) and that these lines correspond to the structuring of the Member State action plans. </w:t>
      </w:r>
    </w:p>
    <w:p w:rsidR="00730760" w:rsidP="00730760" w:rsidRDefault="00730760" w14:paraId="1C42E628" w14:textId="77777777">
      <w:pPr>
        <w:jc w:val="both"/>
        <w:rPr>
          <w:b/>
          <w:bCs/>
          <w:sz w:val="20"/>
          <w:szCs w:val="20"/>
          <w:lang w:val="en-GB"/>
        </w:rPr>
      </w:pPr>
    </w:p>
    <w:p w:rsidR="006804EB" w:rsidP="00730760" w:rsidRDefault="00730760" w14:paraId="17100857" w14:textId="7767652C">
      <w:pPr>
        <w:jc w:val="both"/>
        <w:rPr>
          <w:sz w:val="20"/>
          <w:szCs w:val="20"/>
          <w:lang w:val="en-GB"/>
        </w:rPr>
      </w:pPr>
      <w:r>
        <w:rPr>
          <w:b/>
          <w:bCs/>
          <w:sz w:val="20"/>
          <w:szCs w:val="20"/>
          <w:lang w:val="en-GB"/>
        </w:rPr>
        <w:t>Finally</w:t>
      </w:r>
      <w:r w:rsidRPr="0027314B">
        <w:rPr>
          <w:b/>
          <w:bCs/>
          <w:sz w:val="20"/>
          <w:szCs w:val="20"/>
          <w:lang w:val="en-GB"/>
        </w:rPr>
        <w:t>,</w:t>
      </w:r>
      <w:r>
        <w:rPr>
          <w:sz w:val="20"/>
          <w:szCs w:val="20"/>
          <w:lang w:val="en-GB"/>
        </w:rPr>
        <w:t xml:space="preserve"> </w:t>
      </w:r>
      <w:r>
        <w:rPr>
          <w:b/>
          <w:bCs/>
          <w:sz w:val="20"/>
          <w:szCs w:val="20"/>
          <w:lang w:val="en-GB"/>
        </w:rPr>
        <w:t>we urge that the</w:t>
      </w:r>
      <w:r w:rsidRPr="007062A2">
        <w:rPr>
          <w:b/>
          <w:bCs/>
          <w:sz w:val="20"/>
          <w:szCs w:val="20"/>
          <w:lang w:val="en-GB"/>
        </w:rPr>
        <w:t xml:space="preserve"> framework clearly communicate</w:t>
      </w:r>
      <w:r>
        <w:rPr>
          <w:b/>
          <w:bCs/>
          <w:sz w:val="20"/>
          <w:szCs w:val="20"/>
          <w:lang w:val="en-GB"/>
        </w:rPr>
        <w:t>s</w:t>
      </w:r>
      <w:r w:rsidRPr="007062A2">
        <w:rPr>
          <w:b/>
          <w:bCs/>
          <w:sz w:val="20"/>
          <w:szCs w:val="20"/>
          <w:lang w:val="en-GB"/>
        </w:rPr>
        <w:t xml:space="preserve"> that </w:t>
      </w:r>
      <w:r>
        <w:rPr>
          <w:b/>
          <w:bCs/>
          <w:sz w:val="20"/>
          <w:szCs w:val="20"/>
          <w:lang w:val="en-GB"/>
        </w:rPr>
        <w:t xml:space="preserve">physical </w:t>
      </w:r>
      <w:r w:rsidRPr="007062A2">
        <w:rPr>
          <w:b/>
          <w:bCs/>
          <w:sz w:val="20"/>
          <w:szCs w:val="20"/>
          <w:lang w:val="en-GB"/>
        </w:rPr>
        <w:t xml:space="preserve">mobility is </w:t>
      </w:r>
      <w:r>
        <w:rPr>
          <w:b/>
          <w:bCs/>
          <w:sz w:val="20"/>
          <w:szCs w:val="20"/>
          <w:lang w:val="en-GB"/>
        </w:rPr>
        <w:t>a</w:t>
      </w:r>
      <w:r w:rsidRPr="007062A2">
        <w:rPr>
          <w:b/>
          <w:bCs/>
          <w:sz w:val="20"/>
          <w:szCs w:val="20"/>
          <w:lang w:val="en-GB"/>
        </w:rPr>
        <w:t xml:space="preserve"> tool to </w:t>
      </w:r>
      <w:r>
        <w:rPr>
          <w:b/>
          <w:bCs/>
          <w:sz w:val="20"/>
          <w:szCs w:val="20"/>
          <w:lang w:val="en-GB"/>
        </w:rPr>
        <w:t>achieve</w:t>
      </w:r>
      <w:r w:rsidRPr="007062A2">
        <w:rPr>
          <w:b/>
          <w:bCs/>
          <w:sz w:val="20"/>
          <w:szCs w:val="20"/>
          <w:lang w:val="en-GB"/>
        </w:rPr>
        <w:t xml:space="preserve"> learning outcomes</w:t>
      </w:r>
      <w:r>
        <w:rPr>
          <w:sz w:val="20"/>
          <w:szCs w:val="20"/>
          <w:lang w:val="en-GB"/>
        </w:rPr>
        <w:t>. Through an international experience, learners of all ages can gain valuable</w:t>
      </w:r>
      <w:r w:rsidRPr="001050F8">
        <w:rPr>
          <w:sz w:val="20"/>
          <w:szCs w:val="20"/>
          <w:lang w:val="en-GB"/>
        </w:rPr>
        <w:t xml:space="preserve"> knowledge, skills and competences used for personal, educational and professional development.</w:t>
      </w:r>
      <w:r>
        <w:rPr>
          <w:sz w:val="20"/>
          <w:szCs w:val="20"/>
          <w:lang w:val="en-GB"/>
        </w:rPr>
        <w:t xml:space="preserve"> These learning outcomes are the underlying reason why physical mobility can be beneficial to an individual, and develop relevant skills for the labour market. </w:t>
      </w:r>
      <w:r w:rsidR="007D2EC9">
        <w:rPr>
          <w:sz w:val="20"/>
          <w:szCs w:val="20"/>
          <w:lang w:val="en-GB"/>
        </w:rPr>
        <w:t xml:space="preserve">In a broader sense physical mobility </w:t>
      </w:r>
      <w:r w:rsidR="006804EB">
        <w:rPr>
          <w:sz w:val="20"/>
          <w:szCs w:val="20"/>
          <w:lang w:val="en-GB"/>
        </w:rPr>
        <w:t xml:space="preserve">also </w:t>
      </w:r>
      <w:r w:rsidR="007D2EC9">
        <w:rPr>
          <w:sz w:val="20"/>
          <w:szCs w:val="20"/>
          <w:lang w:val="en-GB"/>
        </w:rPr>
        <w:t xml:space="preserve">contributes to better mutual </w:t>
      </w:r>
      <w:r w:rsidR="001B5EE6">
        <w:rPr>
          <w:sz w:val="20"/>
          <w:szCs w:val="20"/>
          <w:lang w:val="en-GB"/>
        </w:rPr>
        <w:t xml:space="preserve">intercultural </w:t>
      </w:r>
      <w:r w:rsidR="007D2EC9">
        <w:rPr>
          <w:sz w:val="20"/>
          <w:szCs w:val="20"/>
          <w:lang w:val="en-GB"/>
        </w:rPr>
        <w:t>understanding and strength</w:t>
      </w:r>
      <w:r w:rsidR="001B5EE6">
        <w:rPr>
          <w:sz w:val="20"/>
          <w:szCs w:val="20"/>
          <w:lang w:val="en-GB"/>
        </w:rPr>
        <w:t xml:space="preserve">ening the </w:t>
      </w:r>
      <w:r w:rsidR="007D2EC9">
        <w:rPr>
          <w:sz w:val="20"/>
          <w:szCs w:val="20"/>
          <w:lang w:val="en-GB"/>
        </w:rPr>
        <w:t xml:space="preserve">fundamental values in the EU. </w:t>
      </w:r>
    </w:p>
    <w:p w:rsidR="00AE2B0B" w:rsidP="00730760" w:rsidRDefault="00AE2B0B" w14:paraId="37542FC5" w14:textId="77777777">
      <w:pPr>
        <w:jc w:val="both"/>
        <w:rPr>
          <w:sz w:val="20"/>
          <w:szCs w:val="20"/>
          <w:lang w:val="en-GB"/>
        </w:rPr>
      </w:pPr>
    </w:p>
    <w:p w:rsidR="00730760" w:rsidP="00730760" w:rsidRDefault="00730760" w14:paraId="4D8458A8" w14:textId="01077B40">
      <w:pPr>
        <w:jc w:val="both"/>
        <w:rPr>
          <w:sz w:val="20"/>
          <w:szCs w:val="20"/>
          <w:lang w:val="en-GB"/>
        </w:rPr>
      </w:pPr>
      <w:r>
        <w:rPr>
          <w:sz w:val="20"/>
          <w:szCs w:val="20"/>
          <w:lang w:val="en-GB"/>
        </w:rPr>
        <w:t xml:space="preserve">There are a number of alternative activities that can offer an international dimension to a learning pathway, beyond physical mobility, such as </w:t>
      </w:r>
      <w:r w:rsidRPr="001050F8">
        <w:rPr>
          <w:sz w:val="20"/>
          <w:szCs w:val="20"/>
          <w:lang w:val="en-GB"/>
        </w:rPr>
        <w:t xml:space="preserve">blended or virtual mobility, </w:t>
      </w:r>
      <w:r>
        <w:rPr>
          <w:sz w:val="20"/>
          <w:szCs w:val="20"/>
          <w:lang w:val="en-GB"/>
        </w:rPr>
        <w:t>COIL projects</w:t>
      </w:r>
      <w:r>
        <w:rPr>
          <w:rStyle w:val="Voetnootmarkering"/>
          <w:sz w:val="20"/>
          <w:szCs w:val="20"/>
          <w:lang w:val="en-GB"/>
        </w:rPr>
        <w:footnoteReference w:id="6"/>
      </w:r>
      <w:r>
        <w:rPr>
          <w:sz w:val="20"/>
          <w:szCs w:val="20"/>
          <w:lang w:val="en-GB"/>
        </w:rPr>
        <w:t xml:space="preserve">, </w:t>
      </w:r>
      <w:proofErr w:type="spellStart"/>
      <w:r w:rsidRPr="001050F8">
        <w:rPr>
          <w:sz w:val="20"/>
          <w:szCs w:val="20"/>
          <w:lang w:val="en-GB"/>
        </w:rPr>
        <w:t>Internationalisation@Home</w:t>
      </w:r>
      <w:proofErr w:type="spellEnd"/>
      <w:r>
        <w:rPr>
          <w:sz w:val="20"/>
          <w:szCs w:val="20"/>
          <w:lang w:val="en-GB"/>
        </w:rPr>
        <w:t xml:space="preserve">, internationalisation of the curriculum and </w:t>
      </w:r>
      <w:r w:rsidRPr="001050F8">
        <w:rPr>
          <w:sz w:val="20"/>
          <w:szCs w:val="20"/>
          <w:lang w:val="en-GB"/>
        </w:rPr>
        <w:t xml:space="preserve">the International Classroom. </w:t>
      </w:r>
      <w:r>
        <w:rPr>
          <w:sz w:val="20"/>
          <w:szCs w:val="20"/>
          <w:lang w:val="en-GB"/>
        </w:rPr>
        <w:t xml:space="preserve">Blended or virtual mobility opportunities are an effective way to gain a first exposure to cross-border learning, especially for younger learners (e.g., in secondary education where physical mobility is less prominent). The focus should be placed on tailoring learning pathways according to learners’ needs rather than increasing physical mobility targets. </w:t>
      </w:r>
      <w:r w:rsidRPr="006804EB">
        <w:rPr>
          <w:sz w:val="20"/>
          <w:szCs w:val="20"/>
          <w:u w:val="single"/>
          <w:lang w:val="en-GB"/>
        </w:rPr>
        <w:t>All types of internationalisation activities</w:t>
      </w:r>
      <w:r>
        <w:rPr>
          <w:sz w:val="20"/>
          <w:szCs w:val="20"/>
          <w:lang w:val="en-GB"/>
        </w:rPr>
        <w:t xml:space="preserve"> should therefore be included in the action plans of Member States. </w:t>
      </w:r>
    </w:p>
    <w:p w:rsidR="00730760" w:rsidP="00730760" w:rsidRDefault="00730760" w14:paraId="694A13D9" w14:textId="77777777">
      <w:pPr>
        <w:jc w:val="both"/>
        <w:rPr>
          <w:sz w:val="20"/>
          <w:szCs w:val="20"/>
          <w:lang w:val="en-GB"/>
        </w:rPr>
      </w:pPr>
    </w:p>
    <w:p w:rsidR="00730760" w:rsidP="00730760" w:rsidRDefault="00730760" w14:paraId="59E85E79" w14:textId="77777777">
      <w:pPr>
        <w:jc w:val="both"/>
        <w:rPr>
          <w:b/>
          <w:bCs/>
          <w:sz w:val="20"/>
          <w:szCs w:val="20"/>
          <w:lang w:val="en-GB"/>
        </w:rPr>
      </w:pPr>
      <w:r w:rsidRPr="001050F8">
        <w:rPr>
          <w:b/>
          <w:bCs/>
          <w:sz w:val="20"/>
          <w:szCs w:val="20"/>
          <w:lang w:val="en-GB"/>
        </w:rPr>
        <w:t>Concluding remarks</w:t>
      </w:r>
    </w:p>
    <w:p w:rsidRPr="00581300" w:rsidR="00730760" w:rsidP="00730760" w:rsidRDefault="00730760" w14:paraId="427D1E59" w14:textId="77777777">
      <w:pPr>
        <w:jc w:val="both"/>
        <w:rPr>
          <w:sz w:val="20"/>
          <w:szCs w:val="20"/>
          <w:lang w:val="en-GB"/>
        </w:rPr>
      </w:pPr>
      <w:r w:rsidRPr="001050F8">
        <w:rPr>
          <w:sz w:val="20"/>
          <w:szCs w:val="20"/>
          <w:lang w:val="en-GB"/>
        </w:rPr>
        <w:t>The Netherlands welcomes the efforts of the Commission in developing an ambitious learning mobility framework that actively prioritises issues of inclusion and accessibility and is adapted to the challenges of the digital and green transitions. We hope that the efforts under this framework will support</w:t>
      </w:r>
      <w:r>
        <w:rPr>
          <w:sz w:val="20"/>
          <w:szCs w:val="20"/>
          <w:lang w:val="en-GB"/>
        </w:rPr>
        <w:t xml:space="preserve"> all</w:t>
      </w:r>
      <w:r w:rsidRPr="001050F8">
        <w:rPr>
          <w:sz w:val="20"/>
          <w:szCs w:val="20"/>
          <w:lang w:val="en-GB"/>
        </w:rPr>
        <w:t xml:space="preserve"> EU Member States to tackle prevailing barriers and </w:t>
      </w:r>
      <w:r w:rsidRPr="0029142E">
        <w:rPr>
          <w:sz w:val="20"/>
          <w:szCs w:val="20"/>
          <w:lang w:val="en-GB"/>
        </w:rPr>
        <w:t xml:space="preserve">facilitates international experiences. Through joint efforts of all Member States we can level the playing field and ensure balanced mobility. Whether in the form of a short-stay visit or following a complete course, through online courses or blended learning opportunities, </w:t>
      </w:r>
      <w:r>
        <w:rPr>
          <w:sz w:val="20"/>
          <w:szCs w:val="20"/>
          <w:lang w:val="en-GB"/>
        </w:rPr>
        <w:t xml:space="preserve">international learning experiences have </w:t>
      </w:r>
      <w:r w:rsidRPr="0029142E">
        <w:rPr>
          <w:sz w:val="20"/>
          <w:szCs w:val="20"/>
          <w:lang w:val="en-GB"/>
        </w:rPr>
        <w:t xml:space="preserve">value and </w:t>
      </w:r>
      <w:r>
        <w:rPr>
          <w:sz w:val="20"/>
          <w:szCs w:val="20"/>
          <w:lang w:val="en-GB"/>
        </w:rPr>
        <w:t>are</w:t>
      </w:r>
      <w:r w:rsidRPr="0029142E">
        <w:rPr>
          <w:sz w:val="20"/>
          <w:szCs w:val="20"/>
          <w:lang w:val="en-GB"/>
        </w:rPr>
        <w:t xml:space="preserve"> a key tool to the realisation of the European Education Area by 2025</w:t>
      </w:r>
      <w:r>
        <w:rPr>
          <w:sz w:val="20"/>
          <w:szCs w:val="20"/>
          <w:lang w:val="en-GB"/>
        </w:rPr>
        <w:t>.</w:t>
      </w:r>
    </w:p>
    <w:p w:rsidRPr="0047352A" w:rsidR="00730760" w:rsidP="00730760" w:rsidRDefault="00730760" w14:paraId="550226BB" w14:textId="77777777">
      <w:pPr>
        <w:rPr>
          <w:lang w:val="en-GB"/>
        </w:rPr>
      </w:pPr>
    </w:p>
    <w:p w:rsidRPr="0047352A" w:rsidR="00730760" w:rsidP="00730760" w:rsidRDefault="00730760" w14:paraId="4E94AB13" w14:textId="77777777">
      <w:pPr>
        <w:rPr>
          <w:lang w:val="en-US"/>
        </w:rPr>
      </w:pPr>
    </w:p>
    <w:p w:rsidRPr="0047352A" w:rsidR="00730760" w:rsidP="00730760" w:rsidRDefault="00730760" w14:paraId="3873DB42" w14:textId="77777777">
      <w:pPr>
        <w:rPr>
          <w:lang w:val="en-US"/>
        </w:rPr>
      </w:pPr>
    </w:p>
    <w:p w:rsidRPr="00730760" w:rsidR="004E14F3" w:rsidP="00730760" w:rsidRDefault="004E14F3" w14:paraId="092FBBCA" w14:textId="77777777">
      <w:pPr>
        <w:rPr>
          <w:lang w:val="en-US"/>
        </w:rPr>
      </w:pPr>
    </w:p>
    <w:sectPr w:rsidRPr="00730760" w:rsidR="004E14F3" w:rsidSect="0047352A">
      <w:headerReference w:type="default" r:id="rId8"/>
      <w:footerReference w:type="default" r:id="rId9"/>
      <w:headerReference w:type="first" r:id="rId10"/>
      <w:footerReference w:type="first" r:id="rId11"/>
      <w:pgSz w:w="11906" w:h="16838" w:code="9"/>
      <w:pgMar w:top="2977" w:right="2818" w:bottom="1077" w:left="1588" w:header="2398" w:footer="561"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0D1B" w14:textId="77777777" w:rsidR="00EC542C" w:rsidRDefault="00624CBC">
      <w:pPr>
        <w:spacing w:line="240" w:lineRule="auto"/>
      </w:pPr>
      <w:r>
        <w:separator/>
      </w:r>
    </w:p>
  </w:endnote>
  <w:endnote w:type="continuationSeparator" w:id="0">
    <w:p w14:paraId="13312EBE" w14:textId="77777777" w:rsidR="00EC542C" w:rsidRDefault="00624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01129" w14:paraId="3AA1B1D1" w14:textId="77777777">
      <w:trPr>
        <w:trHeight w:hRule="exact" w:val="240"/>
      </w:trPr>
      <w:tc>
        <w:tcPr>
          <w:tcW w:w="7752" w:type="dxa"/>
          <w:shd w:val="clear" w:color="auto" w:fill="auto"/>
        </w:tcPr>
        <w:p w14:paraId="34D4602C" w14:textId="77777777" w:rsidR="00220D0C" w:rsidRDefault="00220D0C" w:rsidP="00B74DD5">
          <w:bookmarkStart w:id="1" w:name="bmVoettekst1"/>
        </w:p>
      </w:tc>
      <w:tc>
        <w:tcPr>
          <w:tcW w:w="2148" w:type="dxa"/>
        </w:tcPr>
        <w:p w14:paraId="527A587E" w14:textId="77777777" w:rsidR="00220D0C" w:rsidRPr="00B74DD5" w:rsidRDefault="00624CBC" w:rsidP="00B300DC">
          <w:pPr>
            <w:pStyle w:val="Huisstijl-Paginanummering"/>
          </w:pPr>
          <w:r>
            <w:t>Page</w:t>
          </w:r>
          <w:r w:rsidRPr="00B74DD5">
            <w:t xml:space="preserve"> </w:t>
          </w:r>
          <w:r w:rsidRPr="00B74DD5">
            <w:fldChar w:fldCharType="begin"/>
          </w:r>
          <w:r w:rsidRPr="00B74DD5">
            <w:instrText xml:space="preserve"> PAGE   \* MERGEFORMAT </w:instrText>
          </w:r>
          <w:r w:rsidRPr="00B74DD5">
            <w:fldChar w:fldCharType="separate"/>
          </w:r>
          <w:r>
            <w:t>2</w:t>
          </w:r>
          <w:r w:rsidRPr="00B74DD5">
            <w:fldChar w:fldCharType="end"/>
          </w:r>
          <w:r>
            <w:t xml:space="preserve"> of</w:t>
          </w:r>
          <w:r w:rsidRPr="00B74DD5">
            <w:t xml:space="preserve"> </w:t>
          </w:r>
          <w:r w:rsidR="00836ED6">
            <w:fldChar w:fldCharType="begin"/>
          </w:r>
          <w:r w:rsidR="00836ED6">
            <w:instrText xml:space="preserve"> NUMPAGES   \* MERGEFORMAT </w:instrText>
          </w:r>
          <w:r w:rsidR="00836ED6">
            <w:fldChar w:fldCharType="separate"/>
          </w:r>
          <w:r>
            <w:t>2</w:t>
          </w:r>
          <w:r w:rsidR="00836ED6">
            <w:fldChar w:fldCharType="end"/>
          </w:r>
        </w:p>
      </w:tc>
    </w:tr>
    <w:bookmarkEnd w:id="1"/>
  </w:tbl>
  <w:p w14:paraId="682F62CF" w14:textId="77777777" w:rsidR="00220D0C" w:rsidRPr="00BC3B53" w:rsidRDefault="00220D0C" w:rsidP="00B74DD5">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01129" w14:paraId="0E3B68DE" w14:textId="77777777">
      <w:trPr>
        <w:trHeight w:hRule="exact" w:val="240"/>
      </w:trPr>
      <w:tc>
        <w:tcPr>
          <w:tcW w:w="7752" w:type="dxa"/>
          <w:shd w:val="clear" w:color="auto" w:fill="auto"/>
        </w:tcPr>
        <w:p w14:paraId="259C1E02" w14:textId="77777777" w:rsidR="00220D0C" w:rsidRDefault="00220D0C" w:rsidP="005F2F08">
          <w:pPr>
            <w:pStyle w:val="Huisstijl-Rubricering"/>
          </w:pPr>
        </w:p>
      </w:tc>
      <w:tc>
        <w:tcPr>
          <w:tcW w:w="2148" w:type="dxa"/>
        </w:tcPr>
        <w:p w14:paraId="71380C43" w14:textId="77777777" w:rsidR="00220D0C" w:rsidRPr="006B1455" w:rsidRDefault="00624CBC" w:rsidP="00B300DC">
          <w:pPr>
            <w:pStyle w:val="Huisstijl-Paginanummering"/>
          </w:pPr>
          <w:r>
            <w:t>Page</w:t>
          </w:r>
          <w:r w:rsidRPr="006B1455">
            <w:t xml:space="preserve"> </w:t>
          </w:r>
          <w:r w:rsidRPr="006B1455">
            <w:fldChar w:fldCharType="begin"/>
          </w:r>
          <w:r w:rsidRPr="006B1455">
            <w:instrText xml:space="preserve"> PAGE   \* MERGEFORMAT </w:instrText>
          </w:r>
          <w:r w:rsidRPr="006B1455">
            <w:fldChar w:fldCharType="separate"/>
          </w:r>
          <w:r w:rsidR="00AA2E4A">
            <w:t>1</w:t>
          </w:r>
          <w:r w:rsidRPr="006B1455">
            <w:fldChar w:fldCharType="end"/>
          </w:r>
          <w:r>
            <w:t xml:space="preserve"> of</w:t>
          </w:r>
          <w:r w:rsidRPr="006B1455">
            <w:t xml:space="preserve"> </w:t>
          </w:r>
          <w:r w:rsidR="00AA2E4A">
            <w:fldChar w:fldCharType="begin"/>
          </w:r>
          <w:r>
            <w:instrText xml:space="preserve"> NUMPAGES   \* MERGEFORMAT </w:instrText>
          </w:r>
          <w:r w:rsidR="00AA2E4A">
            <w:fldChar w:fldCharType="separate"/>
          </w:r>
          <w:r w:rsidR="00AA2E4A">
            <w:t>2</w:t>
          </w:r>
          <w:r w:rsidR="00AA2E4A">
            <w:fldChar w:fldCharType="end"/>
          </w:r>
        </w:p>
      </w:tc>
    </w:tr>
  </w:tbl>
  <w:p w14:paraId="1832D050" w14:textId="77777777" w:rsidR="00220D0C" w:rsidRPr="00BC3B53" w:rsidRDefault="00220D0C"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E8D6" w14:textId="77777777" w:rsidR="00EC542C" w:rsidRDefault="00624CBC">
      <w:pPr>
        <w:spacing w:line="240" w:lineRule="auto"/>
      </w:pPr>
      <w:r>
        <w:separator/>
      </w:r>
    </w:p>
  </w:footnote>
  <w:footnote w:type="continuationSeparator" w:id="0">
    <w:p w14:paraId="0F0A6531" w14:textId="77777777" w:rsidR="00EC542C" w:rsidRDefault="00624CBC">
      <w:pPr>
        <w:spacing w:line="240" w:lineRule="auto"/>
      </w:pPr>
      <w:r>
        <w:continuationSeparator/>
      </w:r>
    </w:p>
  </w:footnote>
  <w:footnote w:id="1">
    <w:p w14:paraId="56C28E10" w14:textId="77777777" w:rsidR="00730760" w:rsidRPr="001A4865" w:rsidRDefault="00730760" w:rsidP="00730760">
      <w:pPr>
        <w:pStyle w:val="Voetnoottekst"/>
        <w:spacing w:line="240" w:lineRule="auto"/>
        <w:rPr>
          <w:lang w:val="en-US"/>
        </w:rPr>
      </w:pPr>
      <w:r>
        <w:rPr>
          <w:rStyle w:val="Voetnootmarkering"/>
        </w:rPr>
        <w:footnoteRef/>
      </w:r>
      <w:r w:rsidRPr="001A4865">
        <w:rPr>
          <w:lang w:val="en-US"/>
        </w:rPr>
        <w:t xml:space="preserve"> </w:t>
      </w:r>
      <w:r w:rsidR="00836ED6">
        <w:fldChar w:fldCharType="begin"/>
      </w:r>
      <w:r w:rsidR="00836ED6" w:rsidRPr="00836ED6">
        <w:rPr>
          <w:lang w:val="en-US"/>
        </w:rPr>
        <w:instrText xml:space="preserve"> HYPERLINK "https://ec.europa.eu/info/law/better-regulation/have-your-say/initiatives/13563-Learning-opportunities-learning-mobility-abroad-in-Europe-for-everyone_en" </w:instrText>
      </w:r>
      <w:r w:rsidR="00836ED6">
        <w:fldChar w:fldCharType="separate"/>
      </w:r>
      <w:r w:rsidRPr="001A4865">
        <w:rPr>
          <w:rStyle w:val="Hyperlink"/>
          <w:lang w:val="en-US"/>
        </w:rPr>
        <w:t>Learning opportunities (learning mobility) abroad in Europe for everyone (europa.eu)</w:t>
      </w:r>
      <w:r w:rsidR="00836ED6">
        <w:rPr>
          <w:rStyle w:val="Hyperlink"/>
          <w:lang w:val="en-US"/>
        </w:rPr>
        <w:fldChar w:fldCharType="end"/>
      </w:r>
    </w:p>
  </w:footnote>
  <w:footnote w:id="2">
    <w:p w14:paraId="00D0D4AE" w14:textId="77777777" w:rsidR="00730760" w:rsidRPr="00AF6210" w:rsidRDefault="00730760" w:rsidP="00730760">
      <w:pPr>
        <w:pStyle w:val="Voetnoottekst"/>
        <w:spacing w:line="240" w:lineRule="auto"/>
        <w:rPr>
          <w:lang w:val="en-US"/>
        </w:rPr>
      </w:pPr>
      <w:r>
        <w:rPr>
          <w:rStyle w:val="Voetnootmarkering"/>
        </w:rPr>
        <w:footnoteRef/>
      </w:r>
      <w:r w:rsidRPr="00AF6210">
        <w:rPr>
          <w:lang w:val="en-US"/>
        </w:rPr>
        <w:t xml:space="preserve"> Council Recommendation of 28 June 2011 — ‘Youth on the move’ — promoting the learning mobility of young people</w:t>
      </w:r>
      <w:r>
        <w:rPr>
          <w:lang w:val="en-US"/>
        </w:rPr>
        <w:t xml:space="preserve">, </w:t>
      </w:r>
      <w:r w:rsidR="00836ED6">
        <w:fldChar w:fldCharType="begin"/>
      </w:r>
      <w:r w:rsidR="00836ED6" w:rsidRPr="00836ED6">
        <w:rPr>
          <w:lang w:val="en-US"/>
        </w:rPr>
        <w:instrText xml:space="preserve"> HYPERLINK "https://eur-lex.europa.eu/legal-content/EN/ALL/?uri=celex:32011H0707(01)" </w:instrText>
      </w:r>
      <w:r w:rsidR="00836ED6">
        <w:fldChar w:fldCharType="separate"/>
      </w:r>
      <w:r w:rsidRPr="00AF6210">
        <w:rPr>
          <w:rStyle w:val="Hyperlink"/>
          <w:lang w:val="en-US"/>
        </w:rPr>
        <w:t>EUR-Lex - 32011H0707(01) - EN - EUR-Lex (europa.eu)</w:t>
      </w:r>
      <w:r w:rsidR="00836ED6">
        <w:rPr>
          <w:rStyle w:val="Hyperlink"/>
          <w:lang w:val="en-US"/>
        </w:rPr>
        <w:fldChar w:fldCharType="end"/>
      </w:r>
    </w:p>
  </w:footnote>
  <w:footnote w:id="3">
    <w:p w14:paraId="667BDB05" w14:textId="77777777" w:rsidR="00730760" w:rsidRPr="00C9571A" w:rsidRDefault="00730760" w:rsidP="00730760">
      <w:pPr>
        <w:pStyle w:val="Voetnoottekst"/>
        <w:spacing w:line="240" w:lineRule="auto"/>
      </w:pPr>
      <w:r>
        <w:rPr>
          <w:rStyle w:val="Voetnootmarkering"/>
        </w:rPr>
        <w:footnoteRef/>
      </w:r>
      <w:r w:rsidRPr="00C9571A">
        <w:t xml:space="preserve"> </w:t>
      </w:r>
      <w:r>
        <w:t xml:space="preserve">Central Bureau of </w:t>
      </w:r>
      <w:proofErr w:type="spellStart"/>
      <w:r>
        <w:t>Statistics</w:t>
      </w:r>
      <w:proofErr w:type="spellEnd"/>
      <w:r>
        <w:t xml:space="preserve"> (2022)</w:t>
      </w:r>
      <w:r w:rsidRPr="00C9571A">
        <w:t xml:space="preserve"> 40 procent </w:t>
      </w:r>
      <w:r>
        <w:t>e</w:t>
      </w:r>
      <w:r w:rsidRPr="00C9571A">
        <w:t>erstejaars universiteit is internationale student, 18 maart 2022</w:t>
      </w:r>
      <w:r>
        <w:t xml:space="preserve">, </w:t>
      </w:r>
      <w:hyperlink r:id="rId1" w:history="1">
        <w:r w:rsidRPr="000C368B">
          <w:rPr>
            <w:rStyle w:val="Hyperlink"/>
          </w:rPr>
          <w:t>https://www.cbs.nl/nl-nl/nieuws/2022/11/40-procent-eerstejaars-universiteit-is-internationale-student</w:t>
        </w:r>
      </w:hyperlink>
      <w:r>
        <w:t xml:space="preserve"> </w:t>
      </w:r>
    </w:p>
  </w:footnote>
  <w:footnote w:id="4">
    <w:p w14:paraId="388E376B" w14:textId="77777777" w:rsidR="00730760" w:rsidRPr="00C9571A" w:rsidRDefault="00730760" w:rsidP="00730760">
      <w:pPr>
        <w:pStyle w:val="Voetnoottekst"/>
        <w:spacing w:line="240" w:lineRule="auto"/>
        <w:rPr>
          <w:lang w:val="en-US"/>
        </w:rPr>
      </w:pPr>
      <w:r>
        <w:rPr>
          <w:rStyle w:val="Voetnootmarkering"/>
        </w:rPr>
        <w:footnoteRef/>
      </w:r>
      <w:r w:rsidRPr="00C9571A">
        <w:rPr>
          <w:lang w:val="en-US"/>
        </w:rPr>
        <w:t xml:space="preserve"> </w:t>
      </w:r>
      <w:proofErr w:type="spellStart"/>
      <w:r>
        <w:rPr>
          <w:lang w:val="en-US"/>
        </w:rPr>
        <w:t>Nuffic</w:t>
      </w:r>
      <w:proofErr w:type="spellEnd"/>
      <w:r>
        <w:rPr>
          <w:lang w:val="en-US"/>
        </w:rPr>
        <w:t xml:space="preserve"> (2022). Factsheet international </w:t>
      </w:r>
      <w:proofErr w:type="spellStart"/>
      <w:r>
        <w:rPr>
          <w:lang w:val="en-US"/>
        </w:rPr>
        <w:t>studenten</w:t>
      </w:r>
      <w:proofErr w:type="spellEnd"/>
      <w:r>
        <w:rPr>
          <w:lang w:val="en-US"/>
        </w:rPr>
        <w:t xml:space="preserve">, </w:t>
      </w:r>
      <w:r w:rsidR="00836ED6">
        <w:fldChar w:fldCharType="begin"/>
      </w:r>
      <w:r w:rsidR="00836ED6" w:rsidRPr="00836ED6">
        <w:rPr>
          <w:lang w:val="en-US"/>
        </w:rPr>
        <w:instrText xml:space="preserve"> HYPERLINK "https://www.nuffic.nl/sites/default/files/2022-12/NUFFIC%20Factsheet%20Internationale%20Studenten%20nov%202022.pd</w:instrText>
      </w:r>
      <w:r w:rsidR="00836ED6" w:rsidRPr="00836ED6">
        <w:rPr>
          <w:lang w:val="en-US"/>
        </w:rPr>
        <w:instrText xml:space="preserve">f" </w:instrText>
      </w:r>
      <w:r w:rsidR="00836ED6">
        <w:fldChar w:fldCharType="separate"/>
      </w:r>
      <w:r w:rsidRPr="00952439">
        <w:rPr>
          <w:rStyle w:val="Hyperlink"/>
          <w:lang w:val="en-US"/>
        </w:rPr>
        <w:t>https://www.nuffic.nl/sites/default/files/2022-12/NUFFIC%20Factsheet%20Internationale%20Studenten%20nov%202022.pdf</w:t>
      </w:r>
      <w:r w:rsidR="00836ED6">
        <w:rPr>
          <w:rStyle w:val="Hyperlink"/>
          <w:lang w:val="en-US"/>
        </w:rPr>
        <w:fldChar w:fldCharType="end"/>
      </w:r>
      <w:r>
        <w:rPr>
          <w:lang w:val="en-US"/>
        </w:rPr>
        <w:t xml:space="preserve"> </w:t>
      </w:r>
    </w:p>
  </w:footnote>
  <w:footnote w:id="5">
    <w:p w14:paraId="42F0D8B1" w14:textId="77777777" w:rsidR="00730760" w:rsidRPr="000A47AB" w:rsidRDefault="00730760" w:rsidP="00730760">
      <w:pPr>
        <w:pStyle w:val="Voetnoottekst"/>
        <w:spacing w:line="240" w:lineRule="auto"/>
      </w:pPr>
      <w:r>
        <w:rPr>
          <w:rStyle w:val="Voetnootmarkering"/>
        </w:rPr>
        <w:footnoteRef/>
      </w:r>
      <w:r w:rsidRPr="000A47AB">
        <w:t xml:space="preserve"> Rijksoverheid</w:t>
      </w:r>
      <w:r>
        <w:t xml:space="preserve"> (2023)</w:t>
      </w:r>
      <w:r w:rsidRPr="000A47AB">
        <w:t xml:space="preserve"> </w:t>
      </w:r>
      <w:hyperlink r:id="rId2" w:history="1">
        <w:r>
          <w:rPr>
            <w:rStyle w:val="Hyperlink"/>
          </w:rPr>
          <w:t>Kamerbrief over beheersing internationale studentenstromen in het hoger onderwijs | Kamerstuk | Rijksoverheid.nl</w:t>
        </w:r>
      </w:hyperlink>
    </w:p>
  </w:footnote>
  <w:footnote w:id="6">
    <w:p w14:paraId="2CB5C975" w14:textId="77777777" w:rsidR="00730760" w:rsidRPr="0029142E" w:rsidRDefault="00730760" w:rsidP="00730760">
      <w:pPr>
        <w:pStyle w:val="Voetnoottekst"/>
        <w:spacing w:line="240" w:lineRule="auto"/>
        <w:rPr>
          <w:lang w:val="en-US"/>
        </w:rPr>
      </w:pPr>
      <w:r>
        <w:rPr>
          <w:rStyle w:val="Voetnootmarkering"/>
        </w:rPr>
        <w:footnoteRef/>
      </w:r>
      <w:r w:rsidRPr="0029142E">
        <w:rPr>
          <w:lang w:val="en-US"/>
        </w:rPr>
        <w:t xml:space="preserve"> COIL Projects: Co</w:t>
      </w:r>
      <w:r>
        <w:rPr>
          <w:lang w:val="en-US"/>
        </w:rPr>
        <w:t>llaborative</w:t>
      </w:r>
      <w:r w:rsidRPr="0029142E">
        <w:rPr>
          <w:lang w:val="en-US"/>
        </w:rPr>
        <w:t xml:space="preserve"> Online Internati</w:t>
      </w:r>
      <w:r>
        <w:rPr>
          <w:lang w:val="en-US"/>
        </w:rPr>
        <w:t xml:space="preserve">onal Learning. In the Netherlands referred to as VIS: </w:t>
      </w:r>
      <w:proofErr w:type="spellStart"/>
      <w:r>
        <w:rPr>
          <w:lang w:val="en-US"/>
        </w:rPr>
        <w:t>Virtuele</w:t>
      </w:r>
      <w:proofErr w:type="spellEnd"/>
      <w:r>
        <w:rPr>
          <w:lang w:val="en-US"/>
        </w:rPr>
        <w:t xml:space="preserve"> </w:t>
      </w:r>
      <w:proofErr w:type="spellStart"/>
      <w:r>
        <w:rPr>
          <w:lang w:val="en-US"/>
        </w:rPr>
        <w:t>Internationale</w:t>
      </w:r>
      <w:proofErr w:type="spellEnd"/>
      <w:r>
        <w:rPr>
          <w:lang w:val="en-US"/>
        </w:rPr>
        <w:t xml:space="preserve"> </w:t>
      </w:r>
      <w:proofErr w:type="spellStart"/>
      <w:r>
        <w:rPr>
          <w:lang w:val="en-US"/>
        </w:rPr>
        <w:t>Samenwerking</w:t>
      </w:r>
      <w:proofErr w:type="spellEnd"/>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3B36" w14:textId="77777777" w:rsidR="008402FE" w:rsidRPr="008402FE" w:rsidRDefault="008402FE" w:rsidP="008402FE">
    <w:pPr>
      <w:rPr>
        <w:vanish/>
      </w:rPr>
    </w:pPr>
  </w:p>
  <w:tbl>
    <w:tblPr>
      <w:tblW w:w="7518" w:type="dxa"/>
      <w:tblLayout w:type="fixed"/>
      <w:tblCellMar>
        <w:left w:w="0" w:type="dxa"/>
        <w:right w:w="0" w:type="dxa"/>
      </w:tblCellMar>
      <w:tblLook w:val="0000" w:firstRow="0" w:lastRow="0" w:firstColumn="0" w:lastColumn="0" w:noHBand="0" w:noVBand="0"/>
    </w:tblPr>
    <w:tblGrid>
      <w:gridCol w:w="7518"/>
    </w:tblGrid>
    <w:tr w:rsidR="00F01129" w14:paraId="040C720C" w14:textId="77777777" w:rsidTr="008402FE">
      <w:trPr>
        <w:trHeight w:hRule="exact" w:val="400"/>
      </w:trPr>
      <w:tc>
        <w:tcPr>
          <w:tcW w:w="7518" w:type="dxa"/>
          <w:shd w:val="clear" w:color="auto" w:fill="auto"/>
        </w:tcPr>
        <w:p w14:paraId="7CA94015" w14:textId="77777777" w:rsidR="005803D2" w:rsidRPr="00275984" w:rsidRDefault="005803D2" w:rsidP="008402FE">
          <w:pPr>
            <w:pStyle w:val="Huisstijl-Rubricering"/>
          </w:pPr>
        </w:p>
      </w:tc>
    </w:tr>
  </w:tbl>
  <w:p w14:paraId="6C7FF91E" w14:textId="77777777" w:rsidR="00E96C02" w:rsidRDefault="00E96C02">
    <w:pPr>
      <w:pStyle w:val="Koptekst"/>
    </w:pPr>
  </w:p>
  <w:p w14:paraId="0484EE09" w14:textId="77777777" w:rsidR="005803D2" w:rsidRDefault="005803D2">
    <w:pPr>
      <w:pStyle w:val="Koptekst"/>
    </w:pPr>
  </w:p>
  <w:p w14:paraId="7AAC85BD" w14:textId="77777777" w:rsidR="005803D2" w:rsidRDefault="005803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01129" w:rsidRPr="00836ED6" w14:paraId="37F0E52C" w14:textId="77777777" w:rsidTr="00973EDF">
      <w:trPr>
        <w:cantSplit/>
      </w:trPr>
      <w:tc>
        <w:tcPr>
          <w:tcW w:w="2160" w:type="dxa"/>
        </w:tcPr>
        <w:p w14:paraId="66E7E0CC" w14:textId="77777777" w:rsidR="00220D0C" w:rsidRPr="0047352A" w:rsidRDefault="00624CBC" w:rsidP="00973EDF">
          <w:pPr>
            <w:pStyle w:val="Huisstijl-Adres"/>
            <w:rPr>
              <w:b/>
              <w:lang w:val="en-US"/>
            </w:rPr>
          </w:pPr>
          <w:r w:rsidRPr="0047352A">
            <w:rPr>
              <w:b/>
              <w:lang w:val="en-US"/>
            </w:rPr>
            <w:t>Department for International Policy</w:t>
          </w:r>
        </w:p>
        <w:p w14:paraId="68A7EC04" w14:textId="77777777" w:rsidR="00EE325F" w:rsidRPr="0047352A" w:rsidRDefault="00624CBC" w:rsidP="00973EDF">
          <w:pPr>
            <w:pStyle w:val="Huisstijl-Gegeven"/>
            <w:spacing w:after="0"/>
            <w:rPr>
              <w:lang w:val="en-US"/>
            </w:rPr>
          </w:pPr>
          <w:r w:rsidRPr="0047352A">
            <w:rPr>
              <w:lang w:val="en-US"/>
            </w:rPr>
            <w:t xml:space="preserve">Rijnstraat 50 </w:t>
          </w:r>
        </w:p>
        <w:p w14:paraId="0D16439A" w14:textId="77777777" w:rsidR="00F90C06" w:rsidRPr="0047352A" w:rsidRDefault="00624CBC" w:rsidP="00B05E75">
          <w:pPr>
            <w:pStyle w:val="Huisstijl-Gegeven"/>
            <w:spacing w:after="0"/>
            <w:rPr>
              <w:lang w:val="en-US"/>
            </w:rPr>
          </w:pPr>
          <w:r w:rsidRPr="0047352A">
            <w:rPr>
              <w:lang w:val="en-US"/>
            </w:rPr>
            <w:t>The Hague</w:t>
          </w:r>
        </w:p>
        <w:p w14:paraId="2A2C1EDF" w14:textId="77777777" w:rsidR="00F90C06" w:rsidRPr="0047352A" w:rsidRDefault="00624CBC" w:rsidP="00B05E75">
          <w:pPr>
            <w:pStyle w:val="Huisstijl-Gegeven"/>
            <w:spacing w:after="0"/>
            <w:rPr>
              <w:lang w:val="en-US"/>
            </w:rPr>
          </w:pPr>
          <w:r w:rsidRPr="0047352A">
            <w:rPr>
              <w:lang w:val="en-US"/>
            </w:rPr>
            <w:t>P.O. Box 16375</w:t>
          </w:r>
        </w:p>
        <w:p w14:paraId="79A92621" w14:textId="77777777" w:rsidR="00480B20" w:rsidRPr="0047352A" w:rsidRDefault="00624CBC" w:rsidP="00B05E75">
          <w:pPr>
            <w:pStyle w:val="Huisstijl-Gegeven"/>
            <w:spacing w:after="0"/>
            <w:rPr>
              <w:lang w:val="en-US"/>
            </w:rPr>
          </w:pPr>
          <w:r w:rsidRPr="0047352A">
            <w:rPr>
              <w:lang w:val="en-US"/>
            </w:rPr>
            <w:t>2500 BJ The Hague</w:t>
          </w:r>
        </w:p>
        <w:p w14:paraId="66BE91EB" w14:textId="06A64DD1" w:rsidR="00C9287A" w:rsidRPr="0047352A" w:rsidRDefault="00836ED6" w:rsidP="0047352A">
          <w:pPr>
            <w:pStyle w:val="Huisstijl-Gegeven"/>
            <w:spacing w:after="0"/>
            <w:rPr>
              <w:lang w:val="en-US"/>
            </w:rPr>
          </w:pPr>
          <w:hyperlink r:id="rId1" w:history="1">
            <w:r w:rsidR="0047352A" w:rsidRPr="003D69BA">
              <w:rPr>
                <w:rStyle w:val="Hyperlink"/>
                <w:lang w:val="en-US"/>
              </w:rPr>
              <w:t>www.rijksoverheid.nl</w:t>
            </w:r>
          </w:hyperlink>
        </w:p>
      </w:tc>
    </w:tr>
    <w:tr w:rsidR="00F01129" w14:paraId="6468C6C1" w14:textId="77777777" w:rsidTr="00E903AD">
      <w:trPr>
        <w:cantSplit/>
        <w:trHeight w:val="450"/>
      </w:trPr>
      <w:tc>
        <w:tcPr>
          <w:tcW w:w="2160" w:type="dxa"/>
        </w:tcPr>
        <w:p w14:paraId="54114DF1" w14:textId="77777777" w:rsidR="0047352A" w:rsidRPr="0047352A" w:rsidRDefault="0047352A" w:rsidP="00993685">
          <w:pPr>
            <w:pStyle w:val="Huisstijl-Kopje"/>
            <w:keepLines/>
            <w:widowControl w:val="0"/>
            <w:suppressAutoHyphens/>
            <w:rPr>
              <w:szCs w:val="13"/>
              <w:lang w:val="en-US"/>
            </w:rPr>
          </w:pPr>
        </w:p>
        <w:p w14:paraId="1915CBD7" w14:textId="40889D8F" w:rsidR="00993685" w:rsidRPr="00D02C63" w:rsidRDefault="00624CBC" w:rsidP="00993685">
          <w:pPr>
            <w:pStyle w:val="Huisstijl-Kopje"/>
            <w:keepLines/>
            <w:widowControl w:val="0"/>
            <w:suppressAutoHyphens/>
            <w:rPr>
              <w:szCs w:val="13"/>
            </w:rPr>
          </w:pPr>
          <w:r>
            <w:rPr>
              <w:szCs w:val="13"/>
            </w:rPr>
            <w:t>Date</w:t>
          </w:r>
        </w:p>
        <w:p w14:paraId="7439B1D9" w14:textId="5C5E8AC1" w:rsidR="00993685" w:rsidRPr="00993685" w:rsidRDefault="00836ED6" w:rsidP="00993685">
          <w:pPr>
            <w:pStyle w:val="Huisstijl-Kopje"/>
            <w:keepLines/>
            <w:widowControl w:val="0"/>
            <w:suppressAutoHyphens/>
            <w:rPr>
              <w:b w:val="0"/>
              <w:szCs w:val="13"/>
            </w:rPr>
          </w:pPr>
          <w:r>
            <w:rPr>
              <w:b w:val="0"/>
              <w:szCs w:val="13"/>
            </w:rPr>
            <w:t>19 June</w:t>
          </w:r>
          <w:r w:rsidR="00624CBC">
            <w:rPr>
              <w:b w:val="0"/>
              <w:szCs w:val="13"/>
            </w:rPr>
            <w:t xml:space="preserve"> 2023</w:t>
          </w:r>
        </w:p>
      </w:tc>
    </w:tr>
  </w:tbl>
  <w:p w14:paraId="229DD885" w14:textId="77777777" w:rsidR="00B806C0" w:rsidRPr="00B806C0" w:rsidRDefault="00624CBC" w:rsidP="00B806C0">
    <w:pPr>
      <w:framePr w:w="737" w:h="2104" w:hRule="exact" w:wrap="around" w:vAnchor="page" w:hAnchor="page" w:x="5586" w:y="1" w:anchorLock="1"/>
    </w:pPr>
    <w:r>
      <w:rPr>
        <w:noProof/>
        <w:lang w:val="en-US" w:eastAsia="en-US"/>
      </w:rPr>
      <w:drawing>
        <wp:inline distT="0" distB="0" distL="0" distR="0" wp14:anchorId="1807A81A" wp14:editId="78C8A065">
          <wp:extent cx="466725" cy="1581150"/>
          <wp:effectExtent l="0" t="0" r="0"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1C882A34" w14:textId="77777777" w:rsidR="005C2465" w:rsidRDefault="00624CBC" w:rsidP="00401545">
    <w:pPr>
      <w:framePr w:w="3873" w:h="2625" w:hRule="exact" w:wrap="around" w:vAnchor="page" w:hAnchor="page" w:x="6323" w:y="1"/>
    </w:pPr>
    <w:r>
      <w:rPr>
        <w:noProof/>
        <w:lang w:val="en-US" w:eastAsia="en-US"/>
      </w:rPr>
      <w:drawing>
        <wp:inline distT="0" distB="0" distL="0" distR="0" wp14:anchorId="43BE3050" wp14:editId="72503D02">
          <wp:extent cx="2447925" cy="1657350"/>
          <wp:effectExtent l="0" t="0" r="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C7D619" w14:textId="77777777" w:rsidR="00483ECA" w:rsidRDefault="00483ECA" w:rsidP="00D037A9"/>
  <w:p w14:paraId="436D4251" w14:textId="77777777" w:rsidR="00220D0C" w:rsidRDefault="00220D0C" w:rsidP="00AB0E71">
    <w:pPr>
      <w:pStyle w:val="Koptekst"/>
    </w:pPr>
  </w:p>
  <w:tbl>
    <w:tblPr>
      <w:tblW w:w="6055" w:type="dxa"/>
      <w:tblLayout w:type="fixed"/>
      <w:tblCellMar>
        <w:left w:w="0" w:type="dxa"/>
        <w:right w:w="0" w:type="dxa"/>
      </w:tblCellMar>
      <w:tblLook w:val="0000" w:firstRow="0" w:lastRow="0" w:firstColumn="0" w:lastColumn="0" w:noHBand="0" w:noVBand="0"/>
    </w:tblPr>
    <w:tblGrid>
      <w:gridCol w:w="6055"/>
    </w:tblGrid>
    <w:tr w:rsidR="0047352A" w:rsidRPr="0047352A" w14:paraId="1EE94544" w14:textId="77777777" w:rsidTr="0047352A">
      <w:trPr>
        <w:trHeight w:val="1270"/>
      </w:trPr>
      <w:tc>
        <w:tcPr>
          <w:tcW w:w="6055" w:type="dxa"/>
          <w:shd w:val="clear" w:color="auto" w:fill="auto"/>
        </w:tcPr>
        <w:p w14:paraId="74B6ABC9" w14:textId="72DF96BA" w:rsidR="0047352A" w:rsidRPr="0047352A" w:rsidRDefault="0047352A" w:rsidP="00891692">
          <w:pPr>
            <w:rPr>
              <w:b/>
              <w:bCs/>
            </w:rPr>
          </w:pPr>
        </w:p>
      </w:tc>
    </w:tr>
    <w:tr w:rsidR="0047352A" w:rsidRPr="00836ED6" w14:paraId="429ED7AA" w14:textId="77777777" w:rsidTr="0047352A">
      <w:trPr>
        <w:trHeight w:hRule="exact" w:val="1270"/>
      </w:trPr>
      <w:tc>
        <w:tcPr>
          <w:tcW w:w="6055" w:type="dxa"/>
          <w:shd w:val="clear" w:color="auto" w:fill="auto"/>
        </w:tcPr>
        <w:p w14:paraId="554B3E38" w14:textId="20EFD910" w:rsidR="0047352A" w:rsidRPr="0047352A" w:rsidRDefault="0047352A" w:rsidP="0047352A">
          <w:pPr>
            <w:rPr>
              <w:b/>
              <w:bCs/>
              <w:lang w:val="en-US"/>
            </w:rPr>
          </w:pPr>
          <w:r w:rsidRPr="0047352A">
            <w:rPr>
              <w:b/>
              <w:bCs/>
              <w:lang w:val="en-US"/>
            </w:rPr>
            <w:t>The Netherlands’ position paper on the European Learning Mobility Framework</w:t>
          </w:r>
        </w:p>
      </w:tc>
    </w:tr>
  </w:tbl>
  <w:p w14:paraId="24E7D45A" w14:textId="77777777" w:rsidR="009701BD" w:rsidRPr="0047352A" w:rsidRDefault="009701BD">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5EC300"/>
    <w:lvl w:ilvl="0">
      <w:numFmt w:val="bullet"/>
      <w:pStyle w:val="Lijstnummering2"/>
      <w:lvlText w:val="˗"/>
      <w:lvlJc w:val="left"/>
      <w:pPr>
        <w:tabs>
          <w:tab w:val="num" w:pos="400"/>
        </w:tabs>
        <w:ind w:left="400" w:hanging="200"/>
      </w:pPr>
      <w:rPr>
        <w:rFonts w:ascii="Times New Roman" w:hAnsi="Times New Roman" w:cs="Times New Roman" w:hint="default"/>
      </w:rPr>
    </w:lvl>
  </w:abstractNum>
  <w:abstractNum w:abstractNumId="1" w15:restartNumberingAfterBreak="0">
    <w:nsid w:val="FFFFFF88"/>
    <w:multiLevelType w:val="singleLevel"/>
    <w:tmpl w:val="65E69B98"/>
    <w:lvl w:ilvl="0">
      <w:start w:val="1"/>
      <w:numFmt w:val="decimal"/>
      <w:pStyle w:val="Lijstnummering"/>
      <w:lvlText w:val="%1"/>
      <w:lvlJc w:val="left"/>
      <w:pPr>
        <w:tabs>
          <w:tab w:val="num" w:pos="227"/>
        </w:tabs>
        <w:ind w:left="227" w:hanging="227"/>
      </w:pPr>
      <w:rPr>
        <w:rFonts w:hint="default"/>
      </w:rPr>
    </w:lvl>
  </w:abstractNum>
  <w:abstractNum w:abstractNumId="2" w15:restartNumberingAfterBreak="0">
    <w:nsid w:val="0A4120A4"/>
    <w:multiLevelType w:val="hybridMultilevel"/>
    <w:tmpl w:val="1D8E1FCE"/>
    <w:lvl w:ilvl="0" w:tplc="E86898AE">
      <w:start w:val="1"/>
      <w:numFmt w:val="bullet"/>
      <w:pStyle w:val="Lijstopsomteken"/>
      <w:lvlText w:val="•"/>
      <w:lvlJc w:val="left"/>
      <w:pPr>
        <w:tabs>
          <w:tab w:val="num" w:pos="227"/>
        </w:tabs>
        <w:ind w:left="227" w:hanging="227"/>
      </w:pPr>
      <w:rPr>
        <w:rFonts w:ascii="Verdana" w:hAnsi="Verdana" w:hint="default"/>
        <w:sz w:val="18"/>
        <w:szCs w:val="18"/>
      </w:rPr>
    </w:lvl>
    <w:lvl w:ilvl="1" w:tplc="CC38133E" w:tentative="1">
      <w:start w:val="1"/>
      <w:numFmt w:val="bullet"/>
      <w:lvlText w:val="o"/>
      <w:lvlJc w:val="left"/>
      <w:pPr>
        <w:tabs>
          <w:tab w:val="num" w:pos="1440"/>
        </w:tabs>
        <w:ind w:left="1440" w:hanging="360"/>
      </w:pPr>
      <w:rPr>
        <w:rFonts w:ascii="Courier New" w:hAnsi="Courier New" w:cs="Courier New" w:hint="default"/>
      </w:rPr>
    </w:lvl>
    <w:lvl w:ilvl="2" w:tplc="AF22550C" w:tentative="1">
      <w:start w:val="1"/>
      <w:numFmt w:val="bullet"/>
      <w:lvlText w:val=""/>
      <w:lvlJc w:val="left"/>
      <w:pPr>
        <w:tabs>
          <w:tab w:val="num" w:pos="2160"/>
        </w:tabs>
        <w:ind w:left="2160" w:hanging="360"/>
      </w:pPr>
      <w:rPr>
        <w:rFonts w:ascii="Wingdings" w:hAnsi="Wingdings" w:hint="default"/>
      </w:rPr>
    </w:lvl>
    <w:lvl w:ilvl="3" w:tplc="2E70EC5C" w:tentative="1">
      <w:start w:val="1"/>
      <w:numFmt w:val="bullet"/>
      <w:lvlText w:val=""/>
      <w:lvlJc w:val="left"/>
      <w:pPr>
        <w:tabs>
          <w:tab w:val="num" w:pos="2880"/>
        </w:tabs>
        <w:ind w:left="2880" w:hanging="360"/>
      </w:pPr>
      <w:rPr>
        <w:rFonts w:ascii="Symbol" w:hAnsi="Symbol" w:hint="default"/>
      </w:rPr>
    </w:lvl>
    <w:lvl w:ilvl="4" w:tplc="40AC885E" w:tentative="1">
      <w:start w:val="1"/>
      <w:numFmt w:val="bullet"/>
      <w:lvlText w:val="o"/>
      <w:lvlJc w:val="left"/>
      <w:pPr>
        <w:tabs>
          <w:tab w:val="num" w:pos="3600"/>
        </w:tabs>
        <w:ind w:left="3600" w:hanging="360"/>
      </w:pPr>
      <w:rPr>
        <w:rFonts w:ascii="Courier New" w:hAnsi="Courier New" w:cs="Courier New" w:hint="default"/>
      </w:rPr>
    </w:lvl>
    <w:lvl w:ilvl="5" w:tplc="15B2982E" w:tentative="1">
      <w:start w:val="1"/>
      <w:numFmt w:val="bullet"/>
      <w:lvlText w:val=""/>
      <w:lvlJc w:val="left"/>
      <w:pPr>
        <w:tabs>
          <w:tab w:val="num" w:pos="4320"/>
        </w:tabs>
        <w:ind w:left="4320" w:hanging="360"/>
      </w:pPr>
      <w:rPr>
        <w:rFonts w:ascii="Wingdings" w:hAnsi="Wingdings" w:hint="default"/>
      </w:rPr>
    </w:lvl>
    <w:lvl w:ilvl="6" w:tplc="C1345F7C" w:tentative="1">
      <w:start w:val="1"/>
      <w:numFmt w:val="bullet"/>
      <w:lvlText w:val=""/>
      <w:lvlJc w:val="left"/>
      <w:pPr>
        <w:tabs>
          <w:tab w:val="num" w:pos="5040"/>
        </w:tabs>
        <w:ind w:left="5040" w:hanging="360"/>
      </w:pPr>
      <w:rPr>
        <w:rFonts w:ascii="Symbol" w:hAnsi="Symbol" w:hint="default"/>
      </w:rPr>
    </w:lvl>
    <w:lvl w:ilvl="7" w:tplc="AA422A7C" w:tentative="1">
      <w:start w:val="1"/>
      <w:numFmt w:val="bullet"/>
      <w:lvlText w:val="o"/>
      <w:lvlJc w:val="left"/>
      <w:pPr>
        <w:tabs>
          <w:tab w:val="num" w:pos="5760"/>
        </w:tabs>
        <w:ind w:left="5760" w:hanging="360"/>
      </w:pPr>
      <w:rPr>
        <w:rFonts w:ascii="Courier New" w:hAnsi="Courier New" w:cs="Courier New" w:hint="default"/>
      </w:rPr>
    </w:lvl>
    <w:lvl w:ilvl="8" w:tplc="32AEBA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220EF05C">
      <w:start w:val="1"/>
      <w:numFmt w:val="bullet"/>
      <w:pStyle w:val="Lijstopsomteken2"/>
      <w:lvlText w:val="–"/>
      <w:lvlJc w:val="left"/>
      <w:pPr>
        <w:tabs>
          <w:tab w:val="num" w:pos="227"/>
        </w:tabs>
        <w:ind w:left="227" w:firstLine="0"/>
      </w:pPr>
      <w:rPr>
        <w:rFonts w:ascii="Verdana" w:hAnsi="Verdana" w:hint="default"/>
      </w:rPr>
    </w:lvl>
    <w:lvl w:ilvl="1" w:tplc="7F7AD120" w:tentative="1">
      <w:start w:val="1"/>
      <w:numFmt w:val="bullet"/>
      <w:lvlText w:val="o"/>
      <w:lvlJc w:val="left"/>
      <w:pPr>
        <w:tabs>
          <w:tab w:val="num" w:pos="1440"/>
        </w:tabs>
        <w:ind w:left="1440" w:hanging="360"/>
      </w:pPr>
      <w:rPr>
        <w:rFonts w:ascii="Courier New" w:hAnsi="Courier New" w:cs="Courier New" w:hint="default"/>
      </w:rPr>
    </w:lvl>
    <w:lvl w:ilvl="2" w:tplc="5E44AD82" w:tentative="1">
      <w:start w:val="1"/>
      <w:numFmt w:val="bullet"/>
      <w:lvlText w:val=""/>
      <w:lvlJc w:val="left"/>
      <w:pPr>
        <w:tabs>
          <w:tab w:val="num" w:pos="2160"/>
        </w:tabs>
        <w:ind w:left="2160" w:hanging="360"/>
      </w:pPr>
      <w:rPr>
        <w:rFonts w:ascii="Wingdings" w:hAnsi="Wingdings" w:hint="default"/>
      </w:rPr>
    </w:lvl>
    <w:lvl w:ilvl="3" w:tplc="C15451E2" w:tentative="1">
      <w:start w:val="1"/>
      <w:numFmt w:val="bullet"/>
      <w:lvlText w:val=""/>
      <w:lvlJc w:val="left"/>
      <w:pPr>
        <w:tabs>
          <w:tab w:val="num" w:pos="2880"/>
        </w:tabs>
        <w:ind w:left="2880" w:hanging="360"/>
      </w:pPr>
      <w:rPr>
        <w:rFonts w:ascii="Symbol" w:hAnsi="Symbol" w:hint="default"/>
      </w:rPr>
    </w:lvl>
    <w:lvl w:ilvl="4" w:tplc="C51C7BD2" w:tentative="1">
      <w:start w:val="1"/>
      <w:numFmt w:val="bullet"/>
      <w:lvlText w:val="o"/>
      <w:lvlJc w:val="left"/>
      <w:pPr>
        <w:tabs>
          <w:tab w:val="num" w:pos="3600"/>
        </w:tabs>
        <w:ind w:left="3600" w:hanging="360"/>
      </w:pPr>
      <w:rPr>
        <w:rFonts w:ascii="Courier New" w:hAnsi="Courier New" w:cs="Courier New" w:hint="default"/>
      </w:rPr>
    </w:lvl>
    <w:lvl w:ilvl="5" w:tplc="9312C484" w:tentative="1">
      <w:start w:val="1"/>
      <w:numFmt w:val="bullet"/>
      <w:lvlText w:val=""/>
      <w:lvlJc w:val="left"/>
      <w:pPr>
        <w:tabs>
          <w:tab w:val="num" w:pos="4320"/>
        </w:tabs>
        <w:ind w:left="4320" w:hanging="360"/>
      </w:pPr>
      <w:rPr>
        <w:rFonts w:ascii="Wingdings" w:hAnsi="Wingdings" w:hint="default"/>
      </w:rPr>
    </w:lvl>
    <w:lvl w:ilvl="6" w:tplc="6F08EA20" w:tentative="1">
      <w:start w:val="1"/>
      <w:numFmt w:val="bullet"/>
      <w:lvlText w:val=""/>
      <w:lvlJc w:val="left"/>
      <w:pPr>
        <w:tabs>
          <w:tab w:val="num" w:pos="5040"/>
        </w:tabs>
        <w:ind w:left="5040" w:hanging="360"/>
      </w:pPr>
      <w:rPr>
        <w:rFonts w:ascii="Symbol" w:hAnsi="Symbol" w:hint="default"/>
      </w:rPr>
    </w:lvl>
    <w:lvl w:ilvl="7" w:tplc="54CEF7F2" w:tentative="1">
      <w:start w:val="1"/>
      <w:numFmt w:val="bullet"/>
      <w:lvlText w:val="o"/>
      <w:lvlJc w:val="left"/>
      <w:pPr>
        <w:tabs>
          <w:tab w:val="num" w:pos="5760"/>
        </w:tabs>
        <w:ind w:left="5760" w:hanging="360"/>
      </w:pPr>
      <w:rPr>
        <w:rFonts w:ascii="Courier New" w:hAnsi="Courier New" w:cs="Courier New" w:hint="default"/>
      </w:rPr>
    </w:lvl>
    <w:lvl w:ilvl="8" w:tplc="B9186884" w:tentative="1">
      <w:start w:val="1"/>
      <w:numFmt w:val="bullet"/>
      <w:lvlText w:val=""/>
      <w:lvlJc w:val="left"/>
      <w:pPr>
        <w:tabs>
          <w:tab w:val="num" w:pos="6480"/>
        </w:tabs>
        <w:ind w:left="6480" w:hanging="360"/>
      </w:pPr>
      <w:rPr>
        <w:rFonts w:ascii="Wingdings" w:hAnsi="Wingdings" w:hint="default"/>
      </w:rPr>
    </w:lvl>
  </w:abstractNum>
  <w:num w:numId="1" w16cid:durableId="1260530201">
    <w:abstractNumId w:val="1"/>
  </w:num>
  <w:num w:numId="2" w16cid:durableId="1291665435">
    <w:abstractNumId w:val="0"/>
  </w:num>
  <w:num w:numId="3" w16cid:durableId="2090734484">
    <w:abstractNumId w:val="2"/>
  </w:num>
  <w:num w:numId="4" w16cid:durableId="7930177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79"/>
    <w:rsid w:val="000021CF"/>
    <w:rsid w:val="00020189"/>
    <w:rsid w:val="00020E3E"/>
    <w:rsid w:val="00020EE4"/>
    <w:rsid w:val="00021484"/>
    <w:rsid w:val="00033426"/>
    <w:rsid w:val="00034A84"/>
    <w:rsid w:val="00035E67"/>
    <w:rsid w:val="00057D42"/>
    <w:rsid w:val="00060D68"/>
    <w:rsid w:val="00071F28"/>
    <w:rsid w:val="000749B1"/>
    <w:rsid w:val="00082BB1"/>
    <w:rsid w:val="00091FB5"/>
    <w:rsid w:val="00096680"/>
    <w:rsid w:val="000A47AB"/>
    <w:rsid w:val="000B1F17"/>
    <w:rsid w:val="000B2A0F"/>
    <w:rsid w:val="000B35FB"/>
    <w:rsid w:val="000B7281"/>
    <w:rsid w:val="000C43A2"/>
    <w:rsid w:val="000D0409"/>
    <w:rsid w:val="000E31CE"/>
    <w:rsid w:val="000E41C4"/>
    <w:rsid w:val="000F6F5D"/>
    <w:rsid w:val="00123704"/>
    <w:rsid w:val="001270C7"/>
    <w:rsid w:val="0014786A"/>
    <w:rsid w:val="00150E41"/>
    <w:rsid w:val="001516A4"/>
    <w:rsid w:val="001528D9"/>
    <w:rsid w:val="00154AD0"/>
    <w:rsid w:val="00155A08"/>
    <w:rsid w:val="001776E6"/>
    <w:rsid w:val="001802CA"/>
    <w:rsid w:val="00185576"/>
    <w:rsid w:val="00185951"/>
    <w:rsid w:val="001A2505"/>
    <w:rsid w:val="001A61E4"/>
    <w:rsid w:val="001A7D95"/>
    <w:rsid w:val="001B2FC2"/>
    <w:rsid w:val="001B4EA9"/>
    <w:rsid w:val="001B5EE6"/>
    <w:rsid w:val="001B68CB"/>
    <w:rsid w:val="001E34C6"/>
    <w:rsid w:val="001E5581"/>
    <w:rsid w:val="0020403F"/>
    <w:rsid w:val="00206959"/>
    <w:rsid w:val="00214B72"/>
    <w:rsid w:val="00216ADD"/>
    <w:rsid w:val="00220D0C"/>
    <w:rsid w:val="00221C87"/>
    <w:rsid w:val="00221EC0"/>
    <w:rsid w:val="00227450"/>
    <w:rsid w:val="0023189E"/>
    <w:rsid w:val="0024090D"/>
    <w:rsid w:val="002428E3"/>
    <w:rsid w:val="002475A1"/>
    <w:rsid w:val="0025302B"/>
    <w:rsid w:val="0025624C"/>
    <w:rsid w:val="00260BAF"/>
    <w:rsid w:val="002650F7"/>
    <w:rsid w:val="00265A94"/>
    <w:rsid w:val="00271815"/>
    <w:rsid w:val="00275984"/>
    <w:rsid w:val="00280F74"/>
    <w:rsid w:val="00286998"/>
    <w:rsid w:val="00290B9C"/>
    <w:rsid w:val="00296FD8"/>
    <w:rsid w:val="002A0410"/>
    <w:rsid w:val="002A6102"/>
    <w:rsid w:val="002B153C"/>
    <w:rsid w:val="002B4152"/>
    <w:rsid w:val="002D2429"/>
    <w:rsid w:val="002D317B"/>
    <w:rsid w:val="002E0F69"/>
    <w:rsid w:val="002F2C69"/>
    <w:rsid w:val="002F35DC"/>
    <w:rsid w:val="003110B2"/>
    <w:rsid w:val="00312597"/>
    <w:rsid w:val="00342938"/>
    <w:rsid w:val="00347312"/>
    <w:rsid w:val="00353192"/>
    <w:rsid w:val="00353D56"/>
    <w:rsid w:val="00360FC9"/>
    <w:rsid w:val="0036223B"/>
    <w:rsid w:val="0036252A"/>
    <w:rsid w:val="00364D9D"/>
    <w:rsid w:val="00374748"/>
    <w:rsid w:val="00383DA1"/>
    <w:rsid w:val="00384ED4"/>
    <w:rsid w:val="00385423"/>
    <w:rsid w:val="0038611F"/>
    <w:rsid w:val="0039744C"/>
    <w:rsid w:val="00397961"/>
    <w:rsid w:val="003A06C8"/>
    <w:rsid w:val="003A0D7C"/>
    <w:rsid w:val="003B3674"/>
    <w:rsid w:val="003B58E3"/>
    <w:rsid w:val="003B7EE7"/>
    <w:rsid w:val="003C68C5"/>
    <w:rsid w:val="003D39EC"/>
    <w:rsid w:val="003E0689"/>
    <w:rsid w:val="003E1D0B"/>
    <w:rsid w:val="003E3DD5"/>
    <w:rsid w:val="003F44B7"/>
    <w:rsid w:val="00401545"/>
    <w:rsid w:val="00401F5A"/>
    <w:rsid w:val="004049E0"/>
    <w:rsid w:val="00411C5C"/>
    <w:rsid w:val="004123DC"/>
    <w:rsid w:val="00413D48"/>
    <w:rsid w:val="004206DE"/>
    <w:rsid w:val="004213B0"/>
    <w:rsid w:val="004409C3"/>
    <w:rsid w:val="00441AC2"/>
    <w:rsid w:val="00444592"/>
    <w:rsid w:val="00444998"/>
    <w:rsid w:val="004466E4"/>
    <w:rsid w:val="00452BCD"/>
    <w:rsid w:val="00455B5B"/>
    <w:rsid w:val="00466B04"/>
    <w:rsid w:val="0047174F"/>
    <w:rsid w:val="0047352A"/>
    <w:rsid w:val="004805DB"/>
    <w:rsid w:val="00480B20"/>
    <w:rsid w:val="00483ECA"/>
    <w:rsid w:val="00483F0B"/>
    <w:rsid w:val="004B4901"/>
    <w:rsid w:val="004B5465"/>
    <w:rsid w:val="004B5EB5"/>
    <w:rsid w:val="004E0FF8"/>
    <w:rsid w:val="004E14F3"/>
    <w:rsid w:val="004E32F0"/>
    <w:rsid w:val="00516022"/>
    <w:rsid w:val="00521CEE"/>
    <w:rsid w:val="005325C9"/>
    <w:rsid w:val="00534880"/>
    <w:rsid w:val="00536CC8"/>
    <w:rsid w:val="005404DC"/>
    <w:rsid w:val="00544EC3"/>
    <w:rsid w:val="00573041"/>
    <w:rsid w:val="005803D2"/>
    <w:rsid w:val="00582EB0"/>
    <w:rsid w:val="00583903"/>
    <w:rsid w:val="00584679"/>
    <w:rsid w:val="00586809"/>
    <w:rsid w:val="005903FB"/>
    <w:rsid w:val="005A6654"/>
    <w:rsid w:val="005B243A"/>
    <w:rsid w:val="005B5D50"/>
    <w:rsid w:val="005B749F"/>
    <w:rsid w:val="005B77E3"/>
    <w:rsid w:val="005C2465"/>
    <w:rsid w:val="005C3E46"/>
    <w:rsid w:val="005C3FE0"/>
    <w:rsid w:val="005C740C"/>
    <w:rsid w:val="005C7C29"/>
    <w:rsid w:val="005D0300"/>
    <w:rsid w:val="005D7A28"/>
    <w:rsid w:val="005E4BDC"/>
    <w:rsid w:val="005E6CEE"/>
    <w:rsid w:val="005F0E31"/>
    <w:rsid w:val="005F2F08"/>
    <w:rsid w:val="006048F4"/>
    <w:rsid w:val="0060660A"/>
    <w:rsid w:val="00606924"/>
    <w:rsid w:val="006072F0"/>
    <w:rsid w:val="00612294"/>
    <w:rsid w:val="00617A44"/>
    <w:rsid w:val="00624CBC"/>
    <w:rsid w:val="00625CD0"/>
    <w:rsid w:val="00636691"/>
    <w:rsid w:val="00643676"/>
    <w:rsid w:val="00643967"/>
    <w:rsid w:val="006541B8"/>
    <w:rsid w:val="00661591"/>
    <w:rsid w:val="00661F7F"/>
    <w:rsid w:val="0066277C"/>
    <w:rsid w:val="00664110"/>
    <w:rsid w:val="0066632F"/>
    <w:rsid w:val="006665E1"/>
    <w:rsid w:val="00667BAB"/>
    <w:rsid w:val="006804EB"/>
    <w:rsid w:val="006905B8"/>
    <w:rsid w:val="006A6F15"/>
    <w:rsid w:val="006B1455"/>
    <w:rsid w:val="006C2535"/>
    <w:rsid w:val="006C6C51"/>
    <w:rsid w:val="006D4B0D"/>
    <w:rsid w:val="006D60B4"/>
    <w:rsid w:val="006E19F8"/>
    <w:rsid w:val="006E263E"/>
    <w:rsid w:val="006E3546"/>
    <w:rsid w:val="006F0F93"/>
    <w:rsid w:val="006F35FA"/>
    <w:rsid w:val="00703AEF"/>
    <w:rsid w:val="00704B9B"/>
    <w:rsid w:val="00712875"/>
    <w:rsid w:val="00715237"/>
    <w:rsid w:val="00715F39"/>
    <w:rsid w:val="007238FE"/>
    <w:rsid w:val="007254A5"/>
    <w:rsid w:val="00725748"/>
    <w:rsid w:val="00730760"/>
    <w:rsid w:val="00731423"/>
    <w:rsid w:val="0073720D"/>
    <w:rsid w:val="007402E0"/>
    <w:rsid w:val="00742AB9"/>
    <w:rsid w:val="00754FBF"/>
    <w:rsid w:val="0076016D"/>
    <w:rsid w:val="007619F9"/>
    <w:rsid w:val="007718AF"/>
    <w:rsid w:val="00783559"/>
    <w:rsid w:val="00787AFD"/>
    <w:rsid w:val="00795613"/>
    <w:rsid w:val="00796917"/>
    <w:rsid w:val="007A4105"/>
    <w:rsid w:val="007C406E"/>
    <w:rsid w:val="007C7ECD"/>
    <w:rsid w:val="007D2EC9"/>
    <w:rsid w:val="00812028"/>
    <w:rsid w:val="00814D03"/>
    <w:rsid w:val="008150AE"/>
    <w:rsid w:val="00816074"/>
    <w:rsid w:val="0083178B"/>
    <w:rsid w:val="00833695"/>
    <w:rsid w:val="008337DB"/>
    <w:rsid w:val="00836C15"/>
    <w:rsid w:val="00836ED6"/>
    <w:rsid w:val="008402FE"/>
    <w:rsid w:val="00842CD8"/>
    <w:rsid w:val="0085193E"/>
    <w:rsid w:val="008553C7"/>
    <w:rsid w:val="00857FEB"/>
    <w:rsid w:val="00860B95"/>
    <w:rsid w:val="008616E0"/>
    <w:rsid w:val="008666D2"/>
    <w:rsid w:val="00867CA3"/>
    <w:rsid w:val="008814CC"/>
    <w:rsid w:val="00891692"/>
    <w:rsid w:val="008B1011"/>
    <w:rsid w:val="008B3929"/>
    <w:rsid w:val="008B4CB3"/>
    <w:rsid w:val="008B54B2"/>
    <w:rsid w:val="008C46FD"/>
    <w:rsid w:val="008F0C84"/>
    <w:rsid w:val="009035C0"/>
    <w:rsid w:val="00910642"/>
    <w:rsid w:val="0092364D"/>
    <w:rsid w:val="009311C8"/>
    <w:rsid w:val="00932841"/>
    <w:rsid w:val="00933376"/>
    <w:rsid w:val="00935A05"/>
    <w:rsid w:val="00941B10"/>
    <w:rsid w:val="00943B5D"/>
    <w:rsid w:val="00950158"/>
    <w:rsid w:val="00950603"/>
    <w:rsid w:val="009564DB"/>
    <w:rsid w:val="0095748C"/>
    <w:rsid w:val="00962601"/>
    <w:rsid w:val="009668DE"/>
    <w:rsid w:val="009701BD"/>
    <w:rsid w:val="009718F9"/>
    <w:rsid w:val="00973106"/>
    <w:rsid w:val="00973EDF"/>
    <w:rsid w:val="00975112"/>
    <w:rsid w:val="00975202"/>
    <w:rsid w:val="00975637"/>
    <w:rsid w:val="009756BB"/>
    <w:rsid w:val="00983333"/>
    <w:rsid w:val="00985712"/>
    <w:rsid w:val="00993685"/>
    <w:rsid w:val="009A3B71"/>
    <w:rsid w:val="009A61BC"/>
    <w:rsid w:val="009A708A"/>
    <w:rsid w:val="009B424D"/>
    <w:rsid w:val="009C286F"/>
    <w:rsid w:val="009C4F04"/>
    <w:rsid w:val="009C6375"/>
    <w:rsid w:val="009D0122"/>
    <w:rsid w:val="009D7A49"/>
    <w:rsid w:val="009E6427"/>
    <w:rsid w:val="009E6C00"/>
    <w:rsid w:val="009F6066"/>
    <w:rsid w:val="00A057BC"/>
    <w:rsid w:val="00A1070B"/>
    <w:rsid w:val="00A12458"/>
    <w:rsid w:val="00A24C7F"/>
    <w:rsid w:val="00A27328"/>
    <w:rsid w:val="00A30E68"/>
    <w:rsid w:val="00A315D0"/>
    <w:rsid w:val="00A34AA0"/>
    <w:rsid w:val="00A353F3"/>
    <w:rsid w:val="00A56946"/>
    <w:rsid w:val="00A578D8"/>
    <w:rsid w:val="00A77383"/>
    <w:rsid w:val="00A80AA2"/>
    <w:rsid w:val="00A94A09"/>
    <w:rsid w:val="00AA2E4A"/>
    <w:rsid w:val="00AA7C95"/>
    <w:rsid w:val="00AB0E71"/>
    <w:rsid w:val="00AB4C65"/>
    <w:rsid w:val="00AB78E0"/>
    <w:rsid w:val="00AC0810"/>
    <w:rsid w:val="00AC49D8"/>
    <w:rsid w:val="00AD0AEF"/>
    <w:rsid w:val="00AE11B7"/>
    <w:rsid w:val="00AE2B0B"/>
    <w:rsid w:val="00AF1E6B"/>
    <w:rsid w:val="00B01C93"/>
    <w:rsid w:val="00B05C6C"/>
    <w:rsid w:val="00B05E75"/>
    <w:rsid w:val="00B06C4D"/>
    <w:rsid w:val="00B21600"/>
    <w:rsid w:val="00B21D83"/>
    <w:rsid w:val="00B2272A"/>
    <w:rsid w:val="00B26CCF"/>
    <w:rsid w:val="00B2776A"/>
    <w:rsid w:val="00B300DC"/>
    <w:rsid w:val="00B316B9"/>
    <w:rsid w:val="00B42A92"/>
    <w:rsid w:val="00B51544"/>
    <w:rsid w:val="00B531DD"/>
    <w:rsid w:val="00B536B7"/>
    <w:rsid w:val="00B7019E"/>
    <w:rsid w:val="00B71DC2"/>
    <w:rsid w:val="00B74DD5"/>
    <w:rsid w:val="00B77219"/>
    <w:rsid w:val="00B806C0"/>
    <w:rsid w:val="00B93893"/>
    <w:rsid w:val="00B97820"/>
    <w:rsid w:val="00BC12A3"/>
    <w:rsid w:val="00BC3B53"/>
    <w:rsid w:val="00BC56F5"/>
    <w:rsid w:val="00BC70E3"/>
    <w:rsid w:val="00BD5E13"/>
    <w:rsid w:val="00BF32DC"/>
    <w:rsid w:val="00BF54EC"/>
    <w:rsid w:val="00C120B5"/>
    <w:rsid w:val="00C206F1"/>
    <w:rsid w:val="00C23DFD"/>
    <w:rsid w:val="00C35A91"/>
    <w:rsid w:val="00C40C60"/>
    <w:rsid w:val="00C508EB"/>
    <w:rsid w:val="00C53426"/>
    <w:rsid w:val="00C56280"/>
    <w:rsid w:val="00C61AD3"/>
    <w:rsid w:val="00C63108"/>
    <w:rsid w:val="00C7297D"/>
    <w:rsid w:val="00C77541"/>
    <w:rsid w:val="00C9287A"/>
    <w:rsid w:val="00C97149"/>
    <w:rsid w:val="00CA0E76"/>
    <w:rsid w:val="00CA47D3"/>
    <w:rsid w:val="00CC3802"/>
    <w:rsid w:val="00CD32AB"/>
    <w:rsid w:val="00CE1E45"/>
    <w:rsid w:val="00CE2EA9"/>
    <w:rsid w:val="00CE341E"/>
    <w:rsid w:val="00CE5B34"/>
    <w:rsid w:val="00CE74D9"/>
    <w:rsid w:val="00CF053F"/>
    <w:rsid w:val="00CF3AEC"/>
    <w:rsid w:val="00CF7C8B"/>
    <w:rsid w:val="00D02C63"/>
    <w:rsid w:val="00D037A9"/>
    <w:rsid w:val="00D078E1"/>
    <w:rsid w:val="00D12A7F"/>
    <w:rsid w:val="00D23522"/>
    <w:rsid w:val="00D43372"/>
    <w:rsid w:val="00D5423B"/>
    <w:rsid w:val="00D54809"/>
    <w:rsid w:val="00D54F4E"/>
    <w:rsid w:val="00D55865"/>
    <w:rsid w:val="00D60BA4"/>
    <w:rsid w:val="00D705DF"/>
    <w:rsid w:val="00D72421"/>
    <w:rsid w:val="00D73F97"/>
    <w:rsid w:val="00D80CCE"/>
    <w:rsid w:val="00D945DA"/>
    <w:rsid w:val="00DA3696"/>
    <w:rsid w:val="00DC4332"/>
    <w:rsid w:val="00DC5A74"/>
    <w:rsid w:val="00DC734C"/>
    <w:rsid w:val="00DE578A"/>
    <w:rsid w:val="00DF2583"/>
    <w:rsid w:val="00DF54D9"/>
    <w:rsid w:val="00E02D3F"/>
    <w:rsid w:val="00E038DE"/>
    <w:rsid w:val="00E03D32"/>
    <w:rsid w:val="00E04FC9"/>
    <w:rsid w:val="00E05042"/>
    <w:rsid w:val="00E10DC6"/>
    <w:rsid w:val="00E11F8E"/>
    <w:rsid w:val="00E145EA"/>
    <w:rsid w:val="00E244E6"/>
    <w:rsid w:val="00E24F93"/>
    <w:rsid w:val="00E31B66"/>
    <w:rsid w:val="00E46541"/>
    <w:rsid w:val="00E50A17"/>
    <w:rsid w:val="00E634E3"/>
    <w:rsid w:val="00E637C9"/>
    <w:rsid w:val="00E816AB"/>
    <w:rsid w:val="00E821CB"/>
    <w:rsid w:val="00E821DD"/>
    <w:rsid w:val="00E84F0D"/>
    <w:rsid w:val="00E903AD"/>
    <w:rsid w:val="00E96C02"/>
    <w:rsid w:val="00EA617C"/>
    <w:rsid w:val="00EB1329"/>
    <w:rsid w:val="00EC237D"/>
    <w:rsid w:val="00EC542C"/>
    <w:rsid w:val="00ED7CD7"/>
    <w:rsid w:val="00EE1BD5"/>
    <w:rsid w:val="00EE325F"/>
    <w:rsid w:val="00EE4A1F"/>
    <w:rsid w:val="00EF00CE"/>
    <w:rsid w:val="00EF1B5A"/>
    <w:rsid w:val="00EF2CCA"/>
    <w:rsid w:val="00F01129"/>
    <w:rsid w:val="00F031CF"/>
    <w:rsid w:val="00F0589E"/>
    <w:rsid w:val="00F10445"/>
    <w:rsid w:val="00F12651"/>
    <w:rsid w:val="00F15F69"/>
    <w:rsid w:val="00F25CBD"/>
    <w:rsid w:val="00F2608D"/>
    <w:rsid w:val="00F31C70"/>
    <w:rsid w:val="00F36803"/>
    <w:rsid w:val="00F37090"/>
    <w:rsid w:val="00F53F91"/>
    <w:rsid w:val="00F605DF"/>
    <w:rsid w:val="00F61A72"/>
    <w:rsid w:val="00F66F13"/>
    <w:rsid w:val="00F704A0"/>
    <w:rsid w:val="00F74073"/>
    <w:rsid w:val="00F745E1"/>
    <w:rsid w:val="00F90C06"/>
    <w:rsid w:val="00FA5D56"/>
    <w:rsid w:val="00FB06ED"/>
    <w:rsid w:val="00FB76DB"/>
    <w:rsid w:val="00FC36AB"/>
    <w:rsid w:val="00FD3027"/>
    <w:rsid w:val="00FD5FDC"/>
    <w:rsid w:val="00FE4F08"/>
    <w:rsid w:val="00FF0D35"/>
    <w:rsid w:val="00FF1387"/>
    <w:rsid w:val="00FF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2E95D"/>
  <w15:docId w15:val="{860BD277-0325-4769-8B2F-53B1A44E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66E4"/>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4466E4"/>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466E4"/>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466E4"/>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link w:val="Huisstijl-AdresChar"/>
    <w:rsid w:val="004466E4"/>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4466E4"/>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4466E4"/>
    <w:pPr>
      <w:spacing w:after="92" w:line="180" w:lineRule="exact"/>
    </w:pPr>
    <w:rPr>
      <w:noProof/>
      <w:sz w:val="13"/>
    </w:rPr>
  </w:style>
  <w:style w:type="paragraph" w:customStyle="1" w:styleId="Huisstijl-Kopje">
    <w:name w:val="Huisstijl-Kopje"/>
    <w:basedOn w:val="Huisstijl-Gegeven"/>
    <w:link w:val="Huisstijl-KopjeChar"/>
    <w:uiPriority w:val="99"/>
    <w:rsid w:val="004466E4"/>
    <w:pPr>
      <w:spacing w:after="0"/>
    </w:pPr>
    <w:rPr>
      <w:b/>
    </w:rPr>
  </w:style>
  <w:style w:type="paragraph" w:customStyle="1" w:styleId="Huisstijl-Voorwaarden">
    <w:name w:val="Huisstijl-Voorwaarden"/>
    <w:basedOn w:val="Standaard"/>
    <w:rsid w:val="004466E4"/>
    <w:pPr>
      <w:spacing w:line="180" w:lineRule="exact"/>
    </w:pPr>
    <w:rPr>
      <w:i/>
      <w:noProof/>
      <w:sz w:val="13"/>
    </w:rPr>
  </w:style>
  <w:style w:type="character" w:styleId="Hyperlink">
    <w:name w:val="Hyperlink"/>
    <w:uiPriority w:val="99"/>
    <w:rsid w:val="004466E4"/>
    <w:rPr>
      <w:color w:val="0000FF"/>
      <w:u w:val="single"/>
    </w:rPr>
  </w:style>
  <w:style w:type="paragraph" w:customStyle="1" w:styleId="Huisstijl-NAW">
    <w:name w:val="Huisstijl-NAW"/>
    <w:basedOn w:val="Standaard"/>
    <w:rsid w:val="004466E4"/>
    <w:pPr>
      <w:adjustRightInd w:val="0"/>
    </w:pPr>
    <w:rPr>
      <w:rFonts w:cs="Verdana"/>
      <w:noProof/>
      <w:szCs w:val="18"/>
    </w:rPr>
  </w:style>
  <w:style w:type="paragraph" w:customStyle="1" w:styleId="Huisstijl-KixCode">
    <w:name w:val="Huisstijl-KixCode"/>
    <w:basedOn w:val="Standaard"/>
    <w:rsid w:val="004466E4"/>
    <w:pPr>
      <w:spacing w:before="60" w:line="240" w:lineRule="auto"/>
    </w:pPr>
    <w:rPr>
      <w:rFonts w:ascii="KIX Barcode" w:hAnsi="KIX Barcode"/>
      <w:b/>
      <w:bCs/>
      <w:smallCaps/>
      <w:noProof/>
      <w:sz w:val="24"/>
    </w:rPr>
  </w:style>
  <w:style w:type="paragraph" w:customStyle="1" w:styleId="Huisstijl-Rubricering">
    <w:name w:val="Huisstijl-Rubricering"/>
    <w:basedOn w:val="Standaard"/>
    <w:rsid w:val="004466E4"/>
    <w:pPr>
      <w:adjustRightInd w:val="0"/>
      <w:spacing w:line="180" w:lineRule="exact"/>
    </w:pPr>
    <w:rPr>
      <w:rFonts w:cs="Verdana-Bold"/>
      <w:b/>
      <w:bCs/>
      <w:smallCaps/>
      <w:noProof/>
      <w:sz w:val="13"/>
      <w:szCs w:val="13"/>
    </w:rPr>
  </w:style>
  <w:style w:type="paragraph" w:customStyle="1" w:styleId="Huisstijl-Paginanummering">
    <w:name w:val="Huisstijl-Paginanummering"/>
    <w:basedOn w:val="Standaard"/>
    <w:rsid w:val="004466E4"/>
    <w:pPr>
      <w:spacing w:line="180" w:lineRule="exact"/>
    </w:pPr>
    <w:rPr>
      <w:noProof/>
      <w:sz w:val="13"/>
    </w:rPr>
  </w:style>
  <w:style w:type="paragraph" w:customStyle="1" w:styleId="Huisstijl-Retouradres">
    <w:name w:val="Huisstijl-Retouradres"/>
    <w:basedOn w:val="Standaard"/>
    <w:rsid w:val="004466E4"/>
    <w:pPr>
      <w:spacing w:line="180" w:lineRule="exact"/>
    </w:pPr>
    <w:rPr>
      <w:noProof/>
      <w:sz w:val="13"/>
    </w:rPr>
  </w:style>
  <w:style w:type="paragraph" w:customStyle="1" w:styleId="Huisstijl-KopjeKlein">
    <w:name w:val="Huisstijl-KopjeKlein"/>
    <w:basedOn w:val="Standaard"/>
    <w:rsid w:val="006D60B4"/>
    <w:pPr>
      <w:adjustRightInd w:val="0"/>
    </w:pPr>
    <w:rPr>
      <w:rFonts w:cs="Verdana"/>
      <w:noProof/>
      <w:sz w:val="13"/>
      <w:szCs w:val="18"/>
    </w:rPr>
  </w:style>
  <w:style w:type="paragraph" w:styleId="Koptekst">
    <w:name w:val="header"/>
    <w:basedOn w:val="Standaard"/>
    <w:link w:val="KoptekstChar"/>
    <w:rsid w:val="004466E4"/>
    <w:pPr>
      <w:tabs>
        <w:tab w:val="center" w:pos="4536"/>
        <w:tab w:val="right" w:pos="9072"/>
      </w:tabs>
    </w:pPr>
  </w:style>
  <w:style w:type="paragraph" w:styleId="Voettekst">
    <w:name w:val="footer"/>
    <w:basedOn w:val="Standaard"/>
    <w:link w:val="VoettekstChar"/>
    <w:rsid w:val="004466E4"/>
    <w:pPr>
      <w:tabs>
        <w:tab w:val="center" w:pos="4536"/>
        <w:tab w:val="right" w:pos="9072"/>
      </w:tabs>
    </w:pPr>
  </w:style>
  <w:style w:type="paragraph" w:styleId="Lijstopsomteken2">
    <w:name w:val="List Bullet 2"/>
    <w:basedOn w:val="Standaard"/>
    <w:rsid w:val="004466E4"/>
    <w:pPr>
      <w:numPr>
        <w:numId w:val="4"/>
      </w:numPr>
      <w:tabs>
        <w:tab w:val="left" w:pos="454"/>
      </w:tabs>
    </w:pPr>
    <w:rPr>
      <w:noProof/>
    </w:rPr>
  </w:style>
  <w:style w:type="paragraph" w:styleId="Lijstnummering">
    <w:name w:val="List Number"/>
    <w:basedOn w:val="Standaard"/>
    <w:rsid w:val="00E24F93"/>
    <w:pPr>
      <w:numPr>
        <w:numId w:val="1"/>
      </w:numPr>
    </w:pPr>
  </w:style>
  <w:style w:type="paragraph" w:styleId="Lijstopsomteken">
    <w:name w:val="List Bullet"/>
    <w:basedOn w:val="Standaard"/>
    <w:rsid w:val="004466E4"/>
    <w:pPr>
      <w:numPr>
        <w:numId w:val="3"/>
      </w:numPr>
    </w:pPr>
    <w:rPr>
      <w:noProof/>
    </w:rPr>
  </w:style>
  <w:style w:type="paragraph" w:styleId="Lijstnummering2">
    <w:name w:val="List Number 2"/>
    <w:basedOn w:val="Standaard"/>
    <w:rsid w:val="001802CA"/>
    <w:pPr>
      <w:numPr>
        <w:numId w:val="2"/>
      </w:numPr>
      <w:tabs>
        <w:tab w:val="clear" w:pos="400"/>
        <w:tab w:val="num" w:pos="360"/>
      </w:tabs>
      <w:ind w:left="0" w:firstLine="0"/>
    </w:pPr>
  </w:style>
  <w:style w:type="table" w:styleId="Tabelraster">
    <w:name w:val="Table Grid"/>
    <w:basedOn w:val="Standaardtabel"/>
    <w:rsid w:val="004466E4"/>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HC">
    <w:name w:val="Huisstijl - Adres HC"/>
    <w:basedOn w:val="Huisstijl-Adres"/>
    <w:rsid w:val="00586809"/>
    <w:pPr>
      <w:spacing w:after="0"/>
    </w:pPr>
  </w:style>
  <w:style w:type="paragraph" w:styleId="Voetnoottekst">
    <w:name w:val="footnote text"/>
    <w:basedOn w:val="Standaard"/>
    <w:link w:val="VoetnoottekstChar"/>
    <w:uiPriority w:val="99"/>
    <w:rsid w:val="006541B8"/>
    <w:rPr>
      <w:sz w:val="13"/>
      <w:szCs w:val="20"/>
    </w:rPr>
  </w:style>
  <w:style w:type="character" w:customStyle="1" w:styleId="Huisstijl-KopjeChar">
    <w:name w:val="Huisstijl-Kopje Char"/>
    <w:link w:val="Huisstijl-Kopje"/>
    <w:rsid w:val="00C9287A"/>
    <w:rPr>
      <w:rFonts w:ascii="Verdana" w:hAnsi="Verdana"/>
      <w:b/>
      <w:noProof/>
      <w:sz w:val="13"/>
      <w:szCs w:val="24"/>
      <w:lang w:val="nl-NL" w:eastAsia="nl-NL" w:bidi="ar-SA"/>
    </w:rPr>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customStyle="1" w:styleId="standaard-tekst">
    <w:name w:val="standaard-tekst"/>
    <w:basedOn w:val="Standaard"/>
    <w:rsid w:val="005404DC"/>
    <w:pPr>
      <w:tabs>
        <w:tab w:val="left" w:pos="227"/>
        <w:tab w:val="left" w:pos="454"/>
        <w:tab w:val="left" w:pos="680"/>
      </w:tabs>
      <w:autoSpaceDE w:val="0"/>
      <w:autoSpaceDN w:val="0"/>
      <w:adjustRightInd w:val="0"/>
    </w:pPr>
    <w:rPr>
      <w:szCs w:val="18"/>
    </w:rPr>
  </w:style>
  <w:style w:type="character" w:customStyle="1" w:styleId="KoptekstChar">
    <w:name w:val="Koptekst Char"/>
    <w:link w:val="Koptekst"/>
    <w:uiPriority w:val="99"/>
    <w:rsid w:val="00696449"/>
    <w:rPr>
      <w:rFonts w:ascii="Verdana" w:hAnsi="Verdana"/>
      <w:sz w:val="18"/>
      <w:szCs w:val="24"/>
    </w:rPr>
  </w:style>
  <w:style w:type="character" w:customStyle="1" w:styleId="VoettekstChar">
    <w:name w:val="Voettekst Char"/>
    <w:link w:val="Voettekst"/>
    <w:uiPriority w:val="99"/>
    <w:rsid w:val="00696449"/>
    <w:rPr>
      <w:rFonts w:ascii="Verdana" w:hAnsi="Verdana"/>
      <w:sz w:val="18"/>
      <w:szCs w:val="24"/>
    </w:r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styleId="GevolgdeHyperlink">
    <w:name w:val="FollowedHyperlink"/>
    <w:rsid w:val="006A2100"/>
    <w:rPr>
      <w:color w:val="800080"/>
      <w:u w:val="single"/>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character" w:styleId="Onopgelostemelding">
    <w:name w:val="Unresolved Mention"/>
    <w:basedOn w:val="Standaardalinea-lettertype"/>
    <w:uiPriority w:val="99"/>
    <w:semiHidden/>
    <w:unhideWhenUsed/>
    <w:rsid w:val="0047352A"/>
    <w:rPr>
      <w:color w:val="605E5C"/>
      <w:shd w:val="clear" w:color="auto" w:fill="E1DFDD"/>
    </w:rPr>
  </w:style>
  <w:style w:type="character" w:customStyle="1" w:styleId="VoetnoottekstChar">
    <w:name w:val="Voetnoottekst Char"/>
    <w:basedOn w:val="Standaardalinea-lettertype"/>
    <w:link w:val="Voetnoottekst"/>
    <w:uiPriority w:val="99"/>
    <w:rsid w:val="0047352A"/>
    <w:rPr>
      <w:rFonts w:ascii="Verdana" w:hAnsi="Verdana"/>
      <w:sz w:val="13"/>
      <w:lang w:val="nl-NL" w:eastAsia="nl-NL"/>
    </w:rPr>
  </w:style>
  <w:style w:type="character" w:styleId="Voetnootmarkering">
    <w:name w:val="footnote reference"/>
    <w:basedOn w:val="Standaardalinea-lettertype"/>
    <w:uiPriority w:val="99"/>
    <w:semiHidden/>
    <w:unhideWhenUsed/>
    <w:rsid w:val="0047352A"/>
    <w:rPr>
      <w:vertAlign w:val="superscript"/>
    </w:rPr>
  </w:style>
  <w:style w:type="character" w:styleId="Verwijzingopmerking">
    <w:name w:val="annotation reference"/>
    <w:basedOn w:val="Standaardalinea-lettertype"/>
    <w:uiPriority w:val="99"/>
    <w:semiHidden/>
    <w:unhideWhenUsed/>
    <w:rsid w:val="0047352A"/>
    <w:rPr>
      <w:sz w:val="16"/>
      <w:szCs w:val="16"/>
    </w:rPr>
  </w:style>
  <w:style w:type="paragraph" w:styleId="Tekstopmerking">
    <w:name w:val="annotation text"/>
    <w:basedOn w:val="Standaard"/>
    <w:link w:val="TekstopmerkingChar"/>
    <w:uiPriority w:val="99"/>
    <w:semiHidden/>
    <w:unhideWhenUsed/>
    <w:rsid w:val="0047352A"/>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47352A"/>
    <w:rPr>
      <w:rFonts w:asciiTheme="minorHAnsi" w:eastAsiaTheme="minorHAnsi" w:hAnsiTheme="minorHAnsi" w:cstheme="minorBidi"/>
      <w:lang w:val="nl-NL"/>
    </w:rPr>
  </w:style>
  <w:style w:type="paragraph" w:styleId="Revisie">
    <w:name w:val="Revision"/>
    <w:hidden/>
    <w:uiPriority w:val="99"/>
    <w:semiHidden/>
    <w:rsid w:val="00B2272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04/21/beheersing-internationale-studentenstromen-in-het-hoger-onderwijs" TargetMode="External"/><Relationship Id="rId1" Type="http://schemas.openxmlformats.org/officeDocument/2006/relationships/hyperlink" Target="https://www.cbs.nl/nl-nl/nieuws/2022/11/40-procent-eerstejaars-universiteit-is-internationale-stude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png"/><Relationship Id="rId1" Type="http://schemas.openxmlformats.org/officeDocument/2006/relationships/hyperlink" Target="http://www.rijksoverhei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1520</ap:Words>
  <ap:Characters>9027</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Agenda</vt:lpstr>
    </vt:vector>
  </ap:TitlesOfParts>
  <ap:LinksUpToDate>false</ap:LinksUpToDate>
  <ap:CharactersWithSpaces>10526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2023-06-19T10:26:00.0000000Z</lastPrinted>
  <dcterms:created xsi:type="dcterms:W3CDTF">2023-06-19T10:26:00.0000000Z</dcterms:created>
  <dcterms:modified xsi:type="dcterms:W3CDTF">2023-06-19T10:26:00.0000000Z</dcterms:modified>
  <category/>
  <dc:description>------------------------</dc:description>
  <dc:subject/>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O224RUI</vt:lpwstr>
  </property>
  <property fmtid="{D5CDD505-2E9C-101B-9397-08002B2CF9AE}" pid="3" name="Author">
    <vt:lpwstr>O224RUI</vt:lpwstr>
  </property>
  <property fmtid="{D5CDD505-2E9C-101B-9397-08002B2CF9AE}" pid="4" name="E-doc documentnummer">
    <vt:lpwstr> </vt:lpwstr>
  </property>
  <property fmtid="{D5CDD505-2E9C-101B-9397-08002B2CF9AE}" pid="5" name="Header">
    <vt:lpwstr>Memo (meertalig)</vt:lpwstr>
  </property>
  <property fmtid="{D5CDD505-2E9C-101B-9397-08002B2CF9AE}" pid="6" name="HeaderId">
    <vt:lpwstr>CEDF9AB55594494C94F4E5F64EE3AA4B</vt:lpwstr>
  </property>
  <property fmtid="{D5CDD505-2E9C-101B-9397-08002B2CF9AE}" pid="7" name="ocw_betreft">
    <vt:lpwstr/>
  </property>
  <property fmtid="{D5CDD505-2E9C-101B-9397-08002B2CF9AE}" pid="8" name="ocw_directie">
    <vt:lpwstr>IB/EUROPA</vt:lpwstr>
  </property>
  <property fmtid="{D5CDD505-2E9C-101B-9397-08002B2CF9AE}" pid="9" name="p1/1">
    <vt:lpwstr>blanco papier</vt:lpwstr>
  </property>
  <property fmtid="{D5CDD505-2E9C-101B-9397-08002B2CF9AE}" pid="10" name="p2/1">
    <vt:lpwstr>blanco papier</vt:lpwstr>
  </property>
  <property fmtid="{D5CDD505-2E9C-101B-9397-08002B2CF9AE}" pid="11" name="sjabloon.edocs.documenttype">
    <vt:lpwstr>CHECKLIST</vt:lpwstr>
  </property>
  <property fmtid="{D5CDD505-2E9C-101B-9397-08002B2CF9AE}" pid="12" name="sjabloon.edocs.richting">
    <vt:lpwstr>INTERN</vt:lpwstr>
  </property>
  <property fmtid="{D5CDD505-2E9C-101B-9397-08002B2CF9AE}" pid="13" name="Template">
    <vt:lpwstr>Logistiek memo (internationaal)</vt:lpwstr>
  </property>
  <property fmtid="{D5CDD505-2E9C-101B-9397-08002B2CF9AE}" pid="14" name="TemplateId">
    <vt:lpwstr>15A97ECC1BC24814B602E05A595A2BFF</vt:lpwstr>
  </property>
  <property fmtid="{D5CDD505-2E9C-101B-9397-08002B2CF9AE}" pid="15" name="Typist">
    <vt:lpwstr>O224RUI</vt:lpwstr>
  </property>
  <property fmtid="{D5CDD505-2E9C-101B-9397-08002B2CF9AE}" pid="16" name="cs_objectid">
    <vt:lpwstr>38909315</vt:lpwstr>
  </property>
</Properties>
</file>