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44EC4" w:rsidR="00CB3578" w:rsidP="00244EC4" w:rsidRDefault="00244EC4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3 (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d.d. 8 juni 2023)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8F045C" w:rsidRDefault="008F045C">
            <w:pPr>
              <w:rPr>
                <w:rFonts w:ascii="Times New Roman" w:hAnsi="Times New Roman"/>
                <w:b/>
                <w:sz w:val="24"/>
              </w:rPr>
            </w:pPr>
            <w:r w:rsidRPr="008F045C">
              <w:rPr>
                <w:rFonts w:ascii="Times New Roman" w:hAnsi="Times New Roman"/>
                <w:b/>
                <w:sz w:val="24"/>
              </w:rPr>
              <w:t>36 350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F045C">
              <w:rPr>
                <w:rFonts w:ascii="Times New Roman" w:hAnsi="Times New Roman"/>
                <w:b/>
                <w:sz w:val="24"/>
              </w:rPr>
              <w:t>XV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0D5BC4" w:rsidRDefault="008F045C">
            <w:pPr>
              <w:rPr>
                <w:rFonts w:ascii="Times New Roman" w:hAnsi="Times New Roman"/>
                <w:b/>
                <w:sz w:val="24"/>
              </w:rPr>
            </w:pPr>
            <w:r w:rsidRPr="008F045C">
              <w:rPr>
                <w:rFonts w:ascii="Times New Roman" w:hAnsi="Times New Roman"/>
                <w:b/>
                <w:sz w:val="24"/>
              </w:rPr>
              <w:t>Wijziging van de begrotingsstaat van het Ministerie van Sociale Zaken en Werkgelegenheid (XV) voor het jaar 2023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8F0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Alzo Wij in overweging genomen hebb</w:t>
      </w:r>
      <w:r>
        <w:rPr>
          <w:rFonts w:ascii="Times New Roman" w:hAnsi="Times New Roman"/>
          <w:sz w:val="24"/>
          <w:szCs w:val="20"/>
        </w:rPr>
        <w:t xml:space="preserve">en, dat de noodzaak is gebleken </w:t>
      </w:r>
      <w:r w:rsidRPr="008F045C">
        <w:rPr>
          <w:rFonts w:ascii="Times New Roman" w:hAnsi="Times New Roman"/>
          <w:sz w:val="24"/>
          <w:szCs w:val="20"/>
        </w:rPr>
        <w:t>van een wijziging van de departementale begrotingsstaat van het Ministerie van Sociale Zaken en Werkgelegenheid voor het jaar 2022;</w:t>
      </w: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8F045C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994B1C" w:rsidP="00A869A8" w:rsidRDefault="00994B1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8F045C">
        <w:rPr>
          <w:rFonts w:ascii="Times New Roman" w:hAnsi="Times New Roman"/>
          <w:b/>
          <w:sz w:val="24"/>
          <w:szCs w:val="20"/>
        </w:rPr>
        <w:t>Artikel 1</w:t>
      </w: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De departementale begrotingsstaat van het Ministerie van Sociale Zaken en Werkgelegenheid (XV) voor het jaar 2023 wordt gewijzigd, zoals blijkt uit de desbetreffende bij deze wet behorende staat.</w:t>
      </w: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8F045C">
        <w:rPr>
          <w:rFonts w:ascii="Times New Roman" w:hAnsi="Times New Roman"/>
          <w:b/>
          <w:sz w:val="24"/>
          <w:szCs w:val="20"/>
        </w:rPr>
        <w:t>Artikel 2</w:t>
      </w: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8F045C">
        <w:rPr>
          <w:rFonts w:ascii="Times New Roman" w:hAnsi="Times New Roman"/>
          <w:b/>
          <w:sz w:val="24"/>
          <w:szCs w:val="20"/>
        </w:rPr>
        <w:t>Artikel 3</w:t>
      </w: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2023.</w:t>
      </w: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F045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F045C">
        <w:rPr>
          <w:rFonts w:ascii="Times New Roman" w:hAnsi="Times New Roman"/>
          <w:sz w:val="24"/>
          <w:szCs w:val="20"/>
        </w:rPr>
        <w:t>Gegeven</w:t>
      </w: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F045C">
        <w:rPr>
          <w:rFonts w:ascii="Times New Roman" w:hAnsi="Times New Roman"/>
          <w:sz w:val="24"/>
          <w:szCs w:val="20"/>
        </w:rPr>
        <w:lastRenderedPageBreak/>
        <w:t>De Minister van Sociale Zaken en Werkgelegenheid</w:t>
      </w:r>
      <w:r w:rsidR="003E21CA">
        <w:rPr>
          <w:rFonts w:ascii="Times New Roman" w:hAnsi="Times New Roman"/>
          <w:sz w:val="24"/>
          <w:szCs w:val="20"/>
        </w:rPr>
        <w:t>,</w:t>
      </w: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F045C" w:rsidR="008F045C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5206D" w:rsidP="00A869A8" w:rsidRDefault="008F04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F045C">
        <w:rPr>
          <w:rFonts w:ascii="Times New Roman" w:hAnsi="Times New Roman"/>
          <w:sz w:val="24"/>
          <w:szCs w:val="20"/>
        </w:rPr>
        <w:t>De Minister voor Armoedebeleid, Participatie en Pensioenen</w:t>
      </w:r>
      <w:r w:rsidR="003E21CA">
        <w:rPr>
          <w:rFonts w:ascii="Times New Roman" w:hAnsi="Times New Roman"/>
          <w:sz w:val="24"/>
          <w:szCs w:val="20"/>
        </w:rPr>
        <w:t>,</w:t>
      </w:r>
    </w:p>
    <w:p w:rsidR="008F045C" w:rsidP="003473A5" w:rsidRDefault="0095206D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2230"/>
        <w:gridCol w:w="1352"/>
        <w:gridCol w:w="1060"/>
        <w:gridCol w:w="1169"/>
        <w:gridCol w:w="1352"/>
        <w:gridCol w:w="975"/>
        <w:gridCol w:w="1169"/>
      </w:tblGrid>
      <w:tr w:rsidRPr="00244EC4" w:rsidR="00244EC4" w:rsidTr="00B50DF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FFFFFF"/>
                <w:kern w:val="3"/>
                <w:sz w:val="22"/>
                <w:szCs w:val="22"/>
              </w:rPr>
              <w:lastRenderedPageBreak/>
              <w:t>Wijziging van de begrotingsstaat van het Ministerie van Sociale Zaken en Werkgelegenheid (XV) voor het jaar 2023 (bedragen x € 1.000)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9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Art.</w:t>
            </w:r>
          </w:p>
        </w:tc>
        <w:tc>
          <w:tcPr>
            <w:tcW w:w="2699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Omschrijving</w:t>
            </w:r>
          </w:p>
        </w:tc>
        <w:tc>
          <w:tcPr>
            <w:tcW w:w="3334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 xml:space="preserve">(1) Vastgestelde begroting </w:t>
            </w:r>
            <w:proofErr w:type="spellStart"/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incl</w:t>
            </w:r>
            <w:proofErr w:type="spellEnd"/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 xml:space="preserve"> </w:t>
            </w:r>
            <w:proofErr w:type="spellStart"/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NvW</w:t>
            </w:r>
            <w:proofErr w:type="spellEnd"/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 xml:space="preserve">, amendementen en </w:t>
            </w:r>
            <w:proofErr w:type="spellStart"/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ISB's</w:t>
            </w:r>
            <w:proofErr w:type="spellEnd"/>
          </w:p>
        </w:tc>
        <w:tc>
          <w:tcPr>
            <w:tcW w:w="3332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 xml:space="preserve">(2) Mutaties 1e suppletoire begroting incl. </w:t>
            </w:r>
            <w:proofErr w:type="spellStart"/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NvW</w:t>
            </w:r>
            <w:proofErr w:type="spellEnd"/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 xml:space="preserve"> op de eerste suppletoire begroting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2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Verplichtingen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Uitgaven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Verplichtingen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Uitgaven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color w:val="000000"/>
                <w:kern w:val="3"/>
                <w:sz w:val="22"/>
                <w:szCs w:val="22"/>
              </w:rPr>
              <w:t>Ontvangsten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50.808.854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50.611.204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2.300.813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‒ 3.484.978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‒ 3.406.206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826.964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02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Arbeidsmarkt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1.929.614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1.716.632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206.505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278.127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203.812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754.610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Bijstand, Participatiewet en Toeslagenwet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6.901.229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6.905.755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bookmarkStart w:name="_GoBack" w:id="0"/>
            <w:bookmarkEnd w:id="0"/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18.232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199.850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200.450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68.940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Arbeidsongeschiktheid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9.893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9.893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6.514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3.199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4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Jonggehandicapten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3.763.461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3.763.461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48.447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48.447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5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Werkloosheid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234.511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237.578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44.364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47.752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Ziekte en verlofregelingen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57.606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57.606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11.639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11.639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Kinderopvang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4.314.657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4.317.157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1.765.766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43.345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43.345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40.735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8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Oudedagsvoorziening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36.835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36.835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774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774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9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Nabestaanden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1.764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1.764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232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232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10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Tegemoetkoming ouders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7.662.279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7.662.279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225.743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115.478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115.478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33.879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11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Uitvoeringskosten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657.751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657.751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31.827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31.827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12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Rijksbijdragen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24.100.898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24.100.898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3.466.600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3.466.600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13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Integratie en maatschappelijke samenhang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391.946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393.946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1.000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64.020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64.020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10.270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02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b/>
                <w:kern w:val="3"/>
                <w:sz w:val="22"/>
                <w:szCs w:val="22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96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Apparaat Kerndepartement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498.365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501.604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83.567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20.520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37.478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  <w:tr w:rsidRPr="00244EC4" w:rsidR="00244EC4" w:rsidTr="00B50DF9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99</w:t>
            </w:r>
          </w:p>
        </w:tc>
        <w:tc>
          <w:tcPr>
            <w:tcW w:w="2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248.045</w:t>
            </w:r>
          </w:p>
        </w:tc>
        <w:tc>
          <w:tcPr>
            <w:tcW w:w="11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248.045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31.671</w:t>
            </w:r>
          </w:p>
        </w:tc>
        <w:tc>
          <w:tcPr>
            <w:tcW w:w="11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‒ 31.671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44EC4" w:rsidR="00244EC4" w:rsidP="00244EC4" w:rsidRDefault="00244EC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2"/>
                <w:szCs w:val="22"/>
              </w:rPr>
            </w:pPr>
            <w:r w:rsidRPr="00244EC4">
              <w:rPr>
                <w:rFonts w:ascii="Times New Roman" w:hAnsi="Times New Roman" w:eastAsia="Arial Unicode MS"/>
                <w:kern w:val="3"/>
                <w:sz w:val="22"/>
                <w:szCs w:val="22"/>
              </w:rPr>
              <w:t>0</w:t>
            </w:r>
          </w:p>
        </w:tc>
      </w:tr>
    </w:tbl>
    <w:p w:rsidRPr="00C0710A" w:rsidR="0095206D" w:rsidP="008F045C" w:rsidRDefault="0095206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C0710A" w:rsidR="0095206D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E3" w:rsidRDefault="005C74E3">
      <w:pPr>
        <w:spacing w:line="20" w:lineRule="exact"/>
      </w:pPr>
    </w:p>
  </w:endnote>
  <w:endnote w:type="continuationSeparator" w:id="0">
    <w:p w:rsidR="005C74E3" w:rsidRDefault="005C74E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C74E3" w:rsidRDefault="005C74E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44EC4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E3" w:rsidRDefault="005C74E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C74E3" w:rsidRDefault="005C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E3"/>
    <w:rsid w:val="00012DBE"/>
    <w:rsid w:val="000A1D81"/>
    <w:rsid w:val="00111ED3"/>
    <w:rsid w:val="001C190E"/>
    <w:rsid w:val="002168F4"/>
    <w:rsid w:val="00244EC4"/>
    <w:rsid w:val="002A727C"/>
    <w:rsid w:val="003473A5"/>
    <w:rsid w:val="003E21CA"/>
    <w:rsid w:val="005C74E3"/>
    <w:rsid w:val="005D2707"/>
    <w:rsid w:val="00606255"/>
    <w:rsid w:val="006842FD"/>
    <w:rsid w:val="006B607A"/>
    <w:rsid w:val="006C6081"/>
    <w:rsid w:val="007A02B1"/>
    <w:rsid w:val="007D451C"/>
    <w:rsid w:val="00826224"/>
    <w:rsid w:val="00857E8D"/>
    <w:rsid w:val="00861A36"/>
    <w:rsid w:val="008F045C"/>
    <w:rsid w:val="00930A23"/>
    <w:rsid w:val="0095206D"/>
    <w:rsid w:val="00994B1C"/>
    <w:rsid w:val="009C7354"/>
    <w:rsid w:val="009E6D7F"/>
    <w:rsid w:val="00A11E73"/>
    <w:rsid w:val="00A2521E"/>
    <w:rsid w:val="00A63BE7"/>
    <w:rsid w:val="00A869A8"/>
    <w:rsid w:val="00AE436A"/>
    <w:rsid w:val="00C0710A"/>
    <w:rsid w:val="00C135B1"/>
    <w:rsid w:val="00C92DF8"/>
    <w:rsid w:val="00CB3578"/>
    <w:rsid w:val="00CF6D6A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E832E"/>
  <w15:docId w15:val="{1096A769-6710-4F84-ACCE-B06C2E18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age-break">
    <w:name w:val="page-break"/>
    <w:rsid w:val="0095206D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6842FD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6842FD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6842FD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styleId="Ballontekst">
    <w:name w:val="Balloon Text"/>
    <w:basedOn w:val="Standaard"/>
    <w:link w:val="BallontekstChar"/>
    <w:semiHidden/>
    <w:unhideWhenUsed/>
    <w:rsid w:val="00A63BE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6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443</ap:Words>
  <ap:Characters>2626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2023-06-08T13:24:00.0000000Z</dcterms:created>
  <dcterms:modified xsi:type="dcterms:W3CDTF">2023-06-08T13:27:00.0000000Z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