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49F2" w:rsidR="00A828E3" w:rsidRDefault="00E02D08">
      <w:pPr>
        <w:pStyle w:val="PlatteTekst"/>
        <w:rPr>
          <w:szCs w:val="18"/>
        </w:rPr>
        <w:sectPr w:rsidRPr="005049F2"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5049F2">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6AF1" w:rsidP="00405747" w:rsidRDefault="00477F56">
                            <w:pPr>
                              <w:pStyle w:val="Huisstijl-Agendatitel"/>
                              <w:ind w:left="0" w:firstLine="0"/>
                              <w:jc w:val="right"/>
                            </w:pPr>
                            <w:r>
                              <w:t>Commissie</w:t>
                            </w:r>
                            <w:r w:rsidR="00916AF1">
                              <w:t xml:space="preserve"> FIN</w:t>
                            </w:r>
                          </w:p>
                          <w:p w:rsidR="00916AF1" w:rsidP="00E02D08" w:rsidRDefault="00916AF1">
                            <w:pPr>
                              <w:pStyle w:val="Huisstijl-Agendatitel"/>
                              <w:ind w:left="0" w:firstLine="0"/>
                              <w:jc w:val="right"/>
                            </w:pPr>
                          </w:p>
                          <w:p w:rsidR="00916AF1" w:rsidP="00E02D08" w:rsidRDefault="00916AF1">
                            <w:pPr>
                              <w:pStyle w:val="Huisstijl-Agendatitel"/>
                              <w:ind w:left="0" w:firstLine="0"/>
                              <w:jc w:val="right"/>
                            </w:pPr>
                          </w:p>
                          <w:p w:rsidR="00916AF1" w:rsidP="00E02D08" w:rsidRDefault="00477F56">
                            <w:pPr>
                              <w:pStyle w:val="Huisstijl-Agendatitel"/>
                              <w:ind w:left="0" w:firstLine="0"/>
                              <w:jc w:val="right"/>
                            </w:pPr>
                            <w:r>
                              <w:t>5</w:t>
                            </w:r>
                            <w:r w:rsidR="00916AF1">
                              <w:t xml:space="preserve"> juni 2023</w:t>
                            </w:r>
                          </w:p>
                          <w:p w:rsidR="00916AF1" w:rsidRDefault="00916AF1">
                            <w:pPr>
                              <w:pStyle w:val="Huisstijl-Agendatitel"/>
                              <w:ind w:left="0" w:firstLine="0"/>
                            </w:pPr>
                          </w:p>
                          <w:p w:rsidR="00916AF1" w:rsidRDefault="00916AF1">
                            <w:pPr>
                              <w:pStyle w:val="Huisstijl-AgendagegevensW1"/>
                            </w:pPr>
                            <w:r>
                              <w:tab/>
                              <w:t xml:space="preserve"> </w:t>
                            </w:r>
                          </w:p>
                          <w:p w:rsidR="00916AF1" w:rsidRDefault="00916AF1">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916AF1" w:rsidP="00405747" w:rsidRDefault="00477F56">
                      <w:pPr>
                        <w:pStyle w:val="Huisstijl-Agendatitel"/>
                        <w:ind w:left="0" w:firstLine="0"/>
                        <w:jc w:val="right"/>
                      </w:pPr>
                      <w:r>
                        <w:t>Commissie</w:t>
                      </w:r>
                      <w:r w:rsidR="00916AF1">
                        <w:t xml:space="preserve"> FIN</w:t>
                      </w:r>
                    </w:p>
                    <w:p w:rsidR="00916AF1" w:rsidP="00E02D08" w:rsidRDefault="00916AF1">
                      <w:pPr>
                        <w:pStyle w:val="Huisstijl-Agendatitel"/>
                        <w:ind w:left="0" w:firstLine="0"/>
                        <w:jc w:val="right"/>
                      </w:pPr>
                    </w:p>
                    <w:p w:rsidR="00916AF1" w:rsidP="00E02D08" w:rsidRDefault="00916AF1">
                      <w:pPr>
                        <w:pStyle w:val="Huisstijl-Agendatitel"/>
                        <w:ind w:left="0" w:firstLine="0"/>
                        <w:jc w:val="right"/>
                      </w:pPr>
                    </w:p>
                    <w:p w:rsidR="00916AF1" w:rsidP="00E02D08" w:rsidRDefault="00477F56">
                      <w:pPr>
                        <w:pStyle w:val="Huisstijl-Agendatitel"/>
                        <w:ind w:left="0" w:firstLine="0"/>
                        <w:jc w:val="right"/>
                      </w:pPr>
                      <w:r>
                        <w:t>5</w:t>
                      </w:r>
                      <w:r w:rsidR="00916AF1">
                        <w:t xml:space="preserve"> juni 2023</w:t>
                      </w:r>
                    </w:p>
                    <w:p w:rsidR="00916AF1" w:rsidRDefault="00916AF1">
                      <w:pPr>
                        <w:pStyle w:val="Huisstijl-Agendatitel"/>
                        <w:ind w:left="0" w:firstLine="0"/>
                      </w:pPr>
                    </w:p>
                    <w:p w:rsidR="00916AF1" w:rsidRDefault="00916AF1">
                      <w:pPr>
                        <w:pStyle w:val="Huisstijl-AgendagegevensW1"/>
                      </w:pPr>
                      <w:r>
                        <w:tab/>
                        <w:t xml:space="preserve"> </w:t>
                      </w:r>
                    </w:p>
                    <w:p w:rsidR="00916AF1" w:rsidRDefault="00916AF1">
                      <w:pPr>
                        <w:pStyle w:val="Huisstijl-Notitiegegevens"/>
                      </w:pPr>
                    </w:p>
                  </w:txbxContent>
                </v:textbox>
                <w10:wrap type="topAndBottom" anchorx="margin" anchory="page"/>
              </v:shape>
            </w:pict>
          </mc:Fallback>
        </mc:AlternateContent>
      </w:r>
      <w:r w:rsidRPr="005049F2"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6AF1" w:rsidRDefault="00916AF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916AF1" w:rsidRDefault="00916AF1"/>
                  </w:txbxContent>
                </v:textbox>
                <w10:wrap anchory="page"/>
              </v:shape>
            </w:pict>
          </mc:Fallback>
        </mc:AlternateContent>
      </w:r>
    </w:p>
    <w:p w:rsidRPr="005049F2" w:rsidR="00E02D08" w:rsidP="00C727FA" w:rsidRDefault="00E02D08">
      <w:pPr>
        <w:rPr>
          <w:b/>
          <w:szCs w:val="18"/>
        </w:rPr>
      </w:pPr>
      <w:r w:rsidRPr="005049F2">
        <w:rPr>
          <w:b/>
          <w:szCs w:val="18"/>
        </w:rPr>
        <w:t xml:space="preserve">Lijst van nieuwe EU-voorstellen </w:t>
      </w:r>
    </w:p>
    <w:p w:rsidRPr="005049F2" w:rsidR="00E02D08" w:rsidP="00C727FA" w:rsidRDefault="00E02D08">
      <w:pPr>
        <w:rPr>
          <w:b/>
          <w:szCs w:val="18"/>
        </w:rPr>
      </w:pPr>
    </w:p>
    <w:p w:rsidRPr="005049F2" w:rsidR="005115F8" w:rsidP="005115F8" w:rsidRDefault="005115F8">
      <w:pPr>
        <w:pStyle w:val="Normaalweb"/>
        <w:rPr>
          <w:rFonts w:ascii="Verdana" w:hAnsi="Verdana"/>
          <w:sz w:val="18"/>
          <w:szCs w:val="18"/>
        </w:rPr>
      </w:pPr>
      <w:r w:rsidRPr="005049F2">
        <w:rPr>
          <w:rFonts w:ascii="Verdana" w:hAnsi="Verdana"/>
          <w:sz w:val="18"/>
          <w:szCs w:val="18"/>
        </w:rPr>
        <w:t xml:space="preserve">De Europese Commissie heeft in de periode sinds de vorige lijst met EU-voorstellen (die is besproken in de </w:t>
      </w:r>
      <w:r w:rsidR="00477F56">
        <w:rPr>
          <w:rFonts w:ascii="Verdana" w:hAnsi="Verdana"/>
          <w:sz w:val="18"/>
          <w:szCs w:val="18"/>
        </w:rPr>
        <w:t>procedurevergadering van 11 mei 2023</w:t>
      </w:r>
      <w:r w:rsidRPr="005049F2">
        <w:rPr>
          <w:rFonts w:ascii="Verdana" w:hAnsi="Verdana"/>
          <w:sz w:val="18"/>
          <w:szCs w:val="18"/>
        </w:rPr>
        <w:t>) de volgende voor deze vaste commissie relevante voorstellen voor Europese wetgeving, besluiten en andere beleidsvormende documenten aan de Tweede Kamer gestuurd</w:t>
      </w:r>
      <w:r w:rsidRPr="005049F2" w:rsidR="00A9227F">
        <w:rPr>
          <w:rStyle w:val="Voetnootmarkering"/>
          <w:rFonts w:ascii="Verdana" w:hAnsi="Verdana"/>
          <w:sz w:val="18"/>
          <w:szCs w:val="18"/>
        </w:rPr>
        <w:footnoteReference w:id="1"/>
      </w:r>
      <w:r w:rsidRPr="005049F2">
        <w:rPr>
          <w:rFonts w:ascii="Verdana" w:hAnsi="Verdana"/>
          <w:sz w:val="18"/>
          <w:szCs w:val="18"/>
        </w:rPr>
        <w:t xml:space="preserve">: </w:t>
      </w:r>
      <w:bookmarkStart w:name="_GoBack" w:id="0"/>
      <w:bookmarkEnd w:id="0"/>
    </w:p>
    <w:p w:rsidRPr="005049F2" w:rsidR="00820149" w:rsidP="00C727FA" w:rsidRDefault="00820149">
      <w:pPr>
        <w:rPr>
          <w:szCs w:val="18"/>
        </w:rPr>
      </w:pPr>
    </w:p>
    <w:p w:rsidRPr="005049F2" w:rsidR="00820149" w:rsidP="00820149" w:rsidRDefault="00D27FE7">
      <w:pPr>
        <w:pStyle w:val="Lijstalinea"/>
        <w:numPr>
          <w:ilvl w:val="0"/>
          <w:numId w:val="2"/>
        </w:numPr>
        <w:rPr>
          <w:b/>
          <w:szCs w:val="18"/>
        </w:rPr>
      </w:pPr>
      <w:r w:rsidRPr="005049F2">
        <w:rPr>
          <w:b/>
          <w:szCs w:val="18"/>
        </w:rPr>
        <w:t>Nieuw voorgestelde EU-w</w:t>
      </w:r>
      <w:r w:rsidRPr="005049F2" w:rsidR="00820149">
        <w:rPr>
          <w:b/>
          <w:szCs w:val="18"/>
        </w:rPr>
        <w:t>etgeving</w:t>
      </w:r>
      <w:r w:rsidRPr="005049F2" w:rsidR="00E02D08">
        <w:rPr>
          <w:rStyle w:val="Voetnootmarkering"/>
          <w:b/>
          <w:szCs w:val="18"/>
        </w:rPr>
        <w:br/>
      </w:r>
      <w:r w:rsidRPr="005049F2" w:rsidR="00E02D08">
        <w:rPr>
          <w:szCs w:val="18"/>
        </w:rPr>
        <w:t>(Verordeningen, richtlijnen en wetgevende besluiten)</w:t>
      </w:r>
    </w:p>
    <w:p w:rsidRPr="005049F2" w:rsidR="00970CA0" w:rsidP="00C727FA" w:rsidRDefault="00970C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2A4BD8" w:rsidP="00916AF1" w:rsidRDefault="002A4BD8">
            <w:pPr>
              <w:pStyle w:val="Lijstalinea"/>
              <w:numPr>
                <w:ilvl w:val="0"/>
                <w:numId w:val="10"/>
              </w:numPr>
              <w:spacing w:after="240"/>
              <w:ind w:left="312"/>
              <w:rPr>
                <w:color w:val="595959" w:themeColor="text1" w:themeTint="A6"/>
                <w:szCs w:val="18"/>
              </w:rPr>
            </w:pPr>
          </w:p>
        </w:tc>
        <w:tc>
          <w:tcPr>
            <w:tcW w:w="1035" w:type="dxa"/>
          </w:tcPr>
          <w:p w:rsidRPr="005049F2" w:rsidR="002A4BD8" w:rsidP="00916AF1" w:rsidRDefault="002A4BD8">
            <w:pPr>
              <w:spacing w:after="240"/>
              <w:rPr>
                <w:color w:val="595959" w:themeColor="text1" w:themeTint="A6"/>
                <w:szCs w:val="18"/>
              </w:rPr>
            </w:pPr>
            <w:r w:rsidRPr="005049F2">
              <w:rPr>
                <w:color w:val="595959" w:themeColor="text1" w:themeTint="A6"/>
                <w:szCs w:val="18"/>
              </w:rPr>
              <w:t>Titel</w:t>
            </w:r>
          </w:p>
        </w:tc>
        <w:tc>
          <w:tcPr>
            <w:tcW w:w="6529" w:type="dxa"/>
          </w:tcPr>
          <w:p w:rsidRPr="00477F56" w:rsidR="002A4BD8" w:rsidP="00916AF1" w:rsidRDefault="002259F3">
            <w:pPr>
              <w:spacing w:after="240"/>
              <w:rPr>
                <w:b/>
                <w:color w:val="595959" w:themeColor="text1" w:themeTint="A6"/>
                <w:szCs w:val="18"/>
                <w:lang w:val="en-GB"/>
              </w:rPr>
            </w:pPr>
            <w:r w:rsidRPr="00477F56">
              <w:rPr>
                <w:szCs w:val="18"/>
                <w:lang w:val="en-GB"/>
              </w:rPr>
              <w:t xml:space="preserve">Proposal for a COUNCIL DIRECTIVE amending Directive 2006/112/EC as regards VAT rules relating to taxable persons who facilitate distance sales of imported goods and the application of the special scheme for distance sales of goods imported from third territories or third countries and special arrangements for declaration and payment of import VAT </w:t>
            </w:r>
            <w:hyperlink w:history="1" r:id="rId15">
              <w:r w:rsidRPr="00477F56">
                <w:rPr>
                  <w:rStyle w:val="Hyperlink"/>
                  <w:szCs w:val="18"/>
                  <w:lang w:val="en-GB"/>
                </w:rPr>
                <w:t>COM(2023)262</w:t>
              </w:r>
            </w:hyperlink>
          </w:p>
        </w:tc>
      </w:tr>
      <w:tr w:rsidRPr="005049F2"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477F56" w:rsidR="002A4BD8" w:rsidP="00916AF1" w:rsidRDefault="002A4BD8">
            <w:pPr>
              <w:spacing w:after="240"/>
              <w:rPr>
                <w:szCs w:val="18"/>
                <w:lang w:val="en-GB"/>
              </w:rPr>
            </w:pPr>
          </w:p>
        </w:tc>
        <w:tc>
          <w:tcPr>
            <w:tcW w:w="1035" w:type="dxa"/>
          </w:tcPr>
          <w:p w:rsidRPr="005049F2" w:rsidR="002A4BD8" w:rsidP="00916AF1" w:rsidRDefault="002A4BD8">
            <w:pPr>
              <w:spacing w:after="240"/>
              <w:rPr>
                <w:szCs w:val="18"/>
              </w:rPr>
            </w:pPr>
            <w:r w:rsidRPr="005049F2">
              <w:rPr>
                <w:szCs w:val="18"/>
              </w:rPr>
              <w:t>Voorstel</w:t>
            </w:r>
          </w:p>
        </w:tc>
        <w:tc>
          <w:tcPr>
            <w:tcW w:w="6529" w:type="dxa"/>
          </w:tcPr>
          <w:p w:rsidRPr="005049F2" w:rsidR="002A4BD8" w:rsidP="00916AF1" w:rsidRDefault="00872013">
            <w:pPr>
              <w:spacing w:after="240"/>
              <w:rPr>
                <w:szCs w:val="18"/>
              </w:rPr>
            </w:pPr>
            <w:r w:rsidRPr="005049F2">
              <w:rPr>
                <w:szCs w:val="18"/>
              </w:rPr>
              <w:t>Via de gebruikelijke route behandelen, waarbij het voorstel en het nog te ontvangen BNC-fiche worden geagendeerd voor een schriftelijk overleg</w:t>
            </w:r>
          </w:p>
        </w:tc>
      </w:tr>
      <w:tr w:rsidRPr="005049F2"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5049F2" w:rsidR="002A4BD8" w:rsidP="00916AF1" w:rsidRDefault="002A4BD8">
            <w:pPr>
              <w:spacing w:after="240"/>
              <w:rPr>
                <w:color w:val="595959" w:themeColor="text1" w:themeTint="A6"/>
                <w:szCs w:val="18"/>
              </w:rPr>
            </w:pPr>
          </w:p>
        </w:tc>
        <w:tc>
          <w:tcPr>
            <w:tcW w:w="1035" w:type="dxa"/>
          </w:tcPr>
          <w:p w:rsidRPr="005049F2" w:rsidR="002A4BD8" w:rsidP="00916AF1" w:rsidRDefault="002A4BD8">
            <w:pPr>
              <w:spacing w:after="240"/>
              <w:rPr>
                <w:color w:val="595959" w:themeColor="text1" w:themeTint="A6"/>
                <w:szCs w:val="18"/>
              </w:rPr>
            </w:pPr>
            <w:r w:rsidRPr="005049F2">
              <w:rPr>
                <w:color w:val="595959" w:themeColor="text1" w:themeTint="A6"/>
                <w:szCs w:val="18"/>
              </w:rPr>
              <w:t>Noot</w:t>
            </w:r>
          </w:p>
        </w:tc>
        <w:tc>
          <w:tcPr>
            <w:tcW w:w="6529" w:type="dxa"/>
          </w:tcPr>
          <w:p w:rsidRPr="005049F2" w:rsidR="002A4BD8" w:rsidP="006B4EB4" w:rsidRDefault="00872013">
            <w:pPr>
              <w:spacing w:after="240"/>
              <w:rPr>
                <w:color w:val="595959" w:themeColor="text1" w:themeTint="A6"/>
                <w:szCs w:val="18"/>
              </w:rPr>
            </w:pPr>
            <w:r w:rsidRPr="005049F2">
              <w:rPr>
                <w:color w:val="595959" w:themeColor="text1" w:themeTint="A6"/>
                <w:szCs w:val="18"/>
              </w:rPr>
              <w:t>Dit voorstel is onderdeel van de hervor</w:t>
            </w:r>
            <w:r w:rsidR="008E3675">
              <w:rPr>
                <w:color w:val="595959" w:themeColor="text1" w:themeTint="A6"/>
                <w:szCs w:val="18"/>
              </w:rPr>
              <w:t>ming van de EU-douane-unie</w:t>
            </w:r>
            <w:r w:rsidRPr="005049F2">
              <w:rPr>
                <w:color w:val="595959" w:themeColor="text1" w:themeTint="A6"/>
                <w:szCs w:val="18"/>
              </w:rPr>
              <w:t xml:space="preserve">. Dit voorstel beoogt het concept van één btw-registratie in de EU </w:t>
            </w:r>
            <w:r w:rsidRPr="005049F2" w:rsidR="006B4EB4">
              <w:rPr>
                <w:color w:val="595959" w:themeColor="text1" w:themeTint="A6"/>
                <w:szCs w:val="18"/>
              </w:rPr>
              <w:t xml:space="preserve">te versterken. Het voorstel verbreedt de scope van de bijzondere regeling voor afstandsverkopen van goederen ingevoerd uit </w:t>
            </w:r>
            <w:proofErr w:type="spellStart"/>
            <w:r w:rsidRPr="005049F2" w:rsidR="006B4EB4">
              <w:rPr>
                <w:color w:val="595959" w:themeColor="text1" w:themeTint="A6"/>
                <w:szCs w:val="18"/>
              </w:rPr>
              <w:t>derdelanden</w:t>
            </w:r>
            <w:proofErr w:type="spellEnd"/>
            <w:r w:rsidRPr="005049F2" w:rsidR="006B4EB4">
              <w:rPr>
                <w:color w:val="595959" w:themeColor="text1" w:themeTint="A6"/>
                <w:szCs w:val="18"/>
              </w:rPr>
              <w:t xml:space="preserve"> en de speciale regelingen voor aangifte en betaling van invoer-btw. </w:t>
            </w:r>
          </w:p>
        </w:tc>
      </w:tr>
    </w:tbl>
    <w:p w:rsidRPr="005049F2"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2A4BD8" w:rsidP="00916AF1" w:rsidRDefault="002A4BD8">
            <w:pPr>
              <w:pStyle w:val="Lijstalinea"/>
              <w:numPr>
                <w:ilvl w:val="0"/>
                <w:numId w:val="10"/>
              </w:numPr>
              <w:spacing w:after="240"/>
              <w:ind w:left="312"/>
              <w:rPr>
                <w:color w:val="595959" w:themeColor="text1" w:themeTint="A6"/>
                <w:szCs w:val="18"/>
              </w:rPr>
            </w:pPr>
          </w:p>
        </w:tc>
        <w:tc>
          <w:tcPr>
            <w:tcW w:w="1035" w:type="dxa"/>
          </w:tcPr>
          <w:p w:rsidRPr="005049F2" w:rsidR="002A4BD8" w:rsidP="00916AF1" w:rsidRDefault="002A4BD8">
            <w:pPr>
              <w:spacing w:after="240"/>
              <w:rPr>
                <w:color w:val="595959" w:themeColor="text1" w:themeTint="A6"/>
                <w:szCs w:val="18"/>
              </w:rPr>
            </w:pPr>
            <w:r w:rsidRPr="005049F2">
              <w:rPr>
                <w:color w:val="595959" w:themeColor="text1" w:themeTint="A6"/>
                <w:szCs w:val="18"/>
              </w:rPr>
              <w:t>Titel</w:t>
            </w:r>
          </w:p>
        </w:tc>
        <w:tc>
          <w:tcPr>
            <w:tcW w:w="6529" w:type="dxa"/>
          </w:tcPr>
          <w:p w:rsidRPr="00477F56" w:rsidR="002A4BD8" w:rsidP="00916AF1" w:rsidRDefault="002259F3">
            <w:pPr>
              <w:spacing w:after="240"/>
              <w:rPr>
                <w:b/>
                <w:color w:val="595959" w:themeColor="text1" w:themeTint="A6"/>
                <w:szCs w:val="18"/>
                <w:lang w:val="en-GB"/>
              </w:rPr>
            </w:pPr>
            <w:r w:rsidRPr="00477F56">
              <w:rPr>
                <w:szCs w:val="18"/>
                <w:lang w:val="en-GB"/>
              </w:rPr>
              <w:t xml:space="preserve">Proposal for a COUNCIL REGULATION amending Regulation (EEC) No 2658/87 as regards the introduction of a simplified tariff treatment for the distance sales of goods and Regulation (EC) No 1186/2009 as regards the elimination of the customs duty relief threshold </w:t>
            </w:r>
            <w:hyperlink w:history="1" r:id="rId16">
              <w:r w:rsidRPr="00477F56">
                <w:rPr>
                  <w:rStyle w:val="Hyperlink"/>
                  <w:szCs w:val="18"/>
                  <w:lang w:val="en-GB"/>
                </w:rPr>
                <w:t>COM(2023)259</w:t>
              </w:r>
            </w:hyperlink>
          </w:p>
        </w:tc>
      </w:tr>
      <w:tr w:rsidRPr="005049F2"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477F56" w:rsidR="002A4BD8" w:rsidP="00916AF1" w:rsidRDefault="002A4BD8">
            <w:pPr>
              <w:spacing w:after="240"/>
              <w:rPr>
                <w:szCs w:val="18"/>
                <w:lang w:val="en-GB"/>
              </w:rPr>
            </w:pPr>
          </w:p>
        </w:tc>
        <w:tc>
          <w:tcPr>
            <w:tcW w:w="1035" w:type="dxa"/>
          </w:tcPr>
          <w:p w:rsidRPr="005049F2" w:rsidR="002A4BD8" w:rsidP="00916AF1" w:rsidRDefault="002A4BD8">
            <w:pPr>
              <w:spacing w:after="240"/>
              <w:rPr>
                <w:szCs w:val="18"/>
              </w:rPr>
            </w:pPr>
            <w:r w:rsidRPr="005049F2">
              <w:rPr>
                <w:szCs w:val="18"/>
              </w:rPr>
              <w:t>Voorstel</w:t>
            </w:r>
          </w:p>
        </w:tc>
        <w:tc>
          <w:tcPr>
            <w:tcW w:w="6529" w:type="dxa"/>
          </w:tcPr>
          <w:p w:rsidRPr="005049F2" w:rsidR="002A4BD8" w:rsidP="00916AF1" w:rsidRDefault="00872013">
            <w:pPr>
              <w:spacing w:after="240"/>
              <w:rPr>
                <w:szCs w:val="18"/>
              </w:rPr>
            </w:pPr>
            <w:r w:rsidRPr="005049F2">
              <w:rPr>
                <w:szCs w:val="18"/>
              </w:rPr>
              <w:t>Via de gebruikelijke route behandelen, waarbij het voorstel en het nog te ontvangen BNC-fiche worden geagendeerd voor een schriftelijk overleg</w:t>
            </w:r>
          </w:p>
        </w:tc>
      </w:tr>
      <w:tr w:rsidRPr="005049F2"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5049F2" w:rsidR="002A4BD8" w:rsidP="00916AF1" w:rsidRDefault="002A4BD8">
            <w:pPr>
              <w:spacing w:after="240"/>
              <w:rPr>
                <w:color w:val="595959" w:themeColor="text1" w:themeTint="A6"/>
                <w:szCs w:val="18"/>
              </w:rPr>
            </w:pPr>
          </w:p>
        </w:tc>
        <w:tc>
          <w:tcPr>
            <w:tcW w:w="1035" w:type="dxa"/>
          </w:tcPr>
          <w:p w:rsidRPr="005049F2" w:rsidR="002A4BD8" w:rsidP="00916AF1" w:rsidRDefault="002A4BD8">
            <w:pPr>
              <w:spacing w:after="240"/>
              <w:rPr>
                <w:color w:val="595959" w:themeColor="text1" w:themeTint="A6"/>
                <w:szCs w:val="18"/>
              </w:rPr>
            </w:pPr>
            <w:r w:rsidRPr="005049F2">
              <w:rPr>
                <w:color w:val="595959" w:themeColor="text1" w:themeTint="A6"/>
                <w:szCs w:val="18"/>
              </w:rPr>
              <w:t>Noot</w:t>
            </w:r>
          </w:p>
        </w:tc>
        <w:tc>
          <w:tcPr>
            <w:tcW w:w="6529" w:type="dxa"/>
          </w:tcPr>
          <w:p w:rsidRPr="005049F2" w:rsidR="002A4BD8" w:rsidP="006B4EB4" w:rsidRDefault="006B4EB4">
            <w:pPr>
              <w:spacing w:after="240"/>
              <w:rPr>
                <w:color w:val="595959" w:themeColor="text1" w:themeTint="A6"/>
                <w:szCs w:val="18"/>
              </w:rPr>
            </w:pPr>
            <w:r w:rsidRPr="005049F2">
              <w:rPr>
                <w:color w:val="595959" w:themeColor="text1" w:themeTint="A6"/>
                <w:szCs w:val="18"/>
              </w:rPr>
              <w:t>Ook dit voorstel is onderdeel van de hervorming van de EU-douane-unie. In dit voorstel volgt een afschaffing van de vrijstelling van invoerrechten voor goederen met een waarde van maximaal 150 EUR en een invoering van een vereenvoudigde tariefbehandeling voor goederen die worden ingevoerd in het kader van een business-</w:t>
            </w:r>
            <w:proofErr w:type="spellStart"/>
            <w:r w:rsidRPr="005049F2">
              <w:rPr>
                <w:color w:val="595959" w:themeColor="text1" w:themeTint="A6"/>
                <w:szCs w:val="18"/>
              </w:rPr>
              <w:t>to</w:t>
            </w:r>
            <w:proofErr w:type="spellEnd"/>
            <w:r w:rsidRPr="005049F2">
              <w:rPr>
                <w:color w:val="595959" w:themeColor="text1" w:themeTint="A6"/>
                <w:szCs w:val="18"/>
              </w:rPr>
              <w:t>-</w:t>
            </w:r>
            <w:proofErr w:type="spellStart"/>
            <w:r w:rsidRPr="005049F2">
              <w:rPr>
                <w:color w:val="595959" w:themeColor="text1" w:themeTint="A6"/>
                <w:szCs w:val="18"/>
              </w:rPr>
              <w:t>consumer</w:t>
            </w:r>
            <w:proofErr w:type="spellEnd"/>
            <w:r w:rsidRPr="005049F2">
              <w:rPr>
                <w:color w:val="595959" w:themeColor="text1" w:themeTint="A6"/>
                <w:szCs w:val="18"/>
              </w:rPr>
              <w:t xml:space="preserve"> (B2C) transactie die voor btw-doeleinden als afstandsverkopen wordt aangemerkt.</w:t>
            </w:r>
          </w:p>
        </w:tc>
      </w:tr>
      <w:tr w:rsidRPr="00477F56" w:rsidR="00666E8A" w:rsidTr="0003369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666E8A" w:rsidP="00033697" w:rsidRDefault="00666E8A">
            <w:pPr>
              <w:pStyle w:val="Lijstalinea"/>
              <w:numPr>
                <w:ilvl w:val="0"/>
                <w:numId w:val="10"/>
              </w:numPr>
              <w:spacing w:after="240"/>
              <w:ind w:left="312"/>
              <w:rPr>
                <w:color w:val="595959" w:themeColor="text1" w:themeTint="A6"/>
                <w:szCs w:val="18"/>
              </w:rPr>
            </w:pPr>
          </w:p>
        </w:tc>
        <w:tc>
          <w:tcPr>
            <w:tcW w:w="1035" w:type="dxa"/>
          </w:tcPr>
          <w:p w:rsidRPr="005049F2" w:rsidR="00666E8A" w:rsidP="00033697" w:rsidRDefault="00666E8A">
            <w:pPr>
              <w:spacing w:after="240"/>
              <w:rPr>
                <w:color w:val="595959" w:themeColor="text1" w:themeTint="A6"/>
                <w:szCs w:val="18"/>
              </w:rPr>
            </w:pPr>
            <w:r w:rsidRPr="005049F2">
              <w:rPr>
                <w:color w:val="595959" w:themeColor="text1" w:themeTint="A6"/>
                <w:szCs w:val="18"/>
              </w:rPr>
              <w:t>Titel</w:t>
            </w:r>
          </w:p>
        </w:tc>
        <w:tc>
          <w:tcPr>
            <w:tcW w:w="6529" w:type="dxa"/>
          </w:tcPr>
          <w:p w:rsidRPr="00477F56" w:rsidR="00666E8A" w:rsidP="00033697" w:rsidRDefault="00666E8A">
            <w:pPr>
              <w:spacing w:after="240"/>
              <w:rPr>
                <w:b/>
                <w:color w:val="595959" w:themeColor="text1" w:themeTint="A6"/>
                <w:szCs w:val="18"/>
                <w:lang w:val="en-GB"/>
              </w:rPr>
            </w:pPr>
            <w:r>
              <w:rPr>
                <w:szCs w:val="18"/>
                <w:lang w:val="en-GB"/>
              </w:rPr>
              <w:t xml:space="preserve">Proposal for a DIRECTIVE OF THE EUROPEAN PARLIAMENT AND OF THE COUNCIL amending Directives (EU) 2009/65/EC, 2009/138/EC, 2011/61/EU, 2014/65/EU and (EU) 2016/97 as regards the Union retail investor protection rules </w:t>
            </w:r>
            <w:hyperlink w:history="1" r:id="rId17">
              <w:r>
                <w:rPr>
                  <w:rStyle w:val="Hyperlink"/>
                  <w:szCs w:val="18"/>
                  <w:lang w:val="en-GB"/>
                </w:rPr>
                <w:t>COM(2023)279</w:t>
              </w:r>
            </w:hyperlink>
          </w:p>
        </w:tc>
      </w:tr>
      <w:tr w:rsidRPr="005049F2" w:rsidR="00666E8A" w:rsidTr="00033697">
        <w:tc>
          <w:tcPr>
            <w:tcW w:w="421" w:type="dxa"/>
            <w:vMerge/>
            <w:tcBorders>
              <w:top w:val="nil"/>
              <w:bottom w:val="single" w:color="D9D9D9" w:themeColor="background1" w:themeShade="D9" w:sz="4" w:space="0"/>
            </w:tcBorders>
            <w:shd w:val="clear" w:color="auto" w:fill="F2F2F2" w:themeFill="background1" w:themeFillShade="F2"/>
          </w:tcPr>
          <w:p w:rsidRPr="00477F56" w:rsidR="00666E8A" w:rsidP="00033697" w:rsidRDefault="00666E8A">
            <w:pPr>
              <w:spacing w:after="240"/>
              <w:rPr>
                <w:szCs w:val="18"/>
                <w:lang w:val="en-GB"/>
              </w:rPr>
            </w:pPr>
          </w:p>
        </w:tc>
        <w:tc>
          <w:tcPr>
            <w:tcW w:w="1035" w:type="dxa"/>
          </w:tcPr>
          <w:p w:rsidRPr="005049F2" w:rsidR="00666E8A" w:rsidP="00033697" w:rsidRDefault="00666E8A">
            <w:pPr>
              <w:spacing w:after="240"/>
              <w:rPr>
                <w:szCs w:val="18"/>
              </w:rPr>
            </w:pPr>
            <w:r w:rsidRPr="005049F2">
              <w:rPr>
                <w:szCs w:val="18"/>
              </w:rPr>
              <w:t>Voorstel</w:t>
            </w:r>
          </w:p>
        </w:tc>
        <w:tc>
          <w:tcPr>
            <w:tcW w:w="6529" w:type="dxa"/>
          </w:tcPr>
          <w:p w:rsidRPr="005049F2" w:rsidR="00666E8A" w:rsidP="00033697" w:rsidRDefault="00666E8A">
            <w:pPr>
              <w:spacing w:after="240"/>
              <w:rPr>
                <w:szCs w:val="18"/>
              </w:rPr>
            </w:pPr>
            <w:r w:rsidRPr="005049F2">
              <w:rPr>
                <w:szCs w:val="18"/>
              </w:rPr>
              <w:t>Via de gebruikelijke route behandelen, waarbij het voorstel en het nog te ontvangen BNC-fiche worden geagendeerd voor een schriftelijk overleg</w:t>
            </w:r>
          </w:p>
        </w:tc>
      </w:tr>
      <w:tr w:rsidRPr="005049F2" w:rsidR="00666E8A" w:rsidTr="00033697">
        <w:tc>
          <w:tcPr>
            <w:tcW w:w="421" w:type="dxa"/>
            <w:vMerge/>
            <w:tcBorders>
              <w:top w:val="nil"/>
              <w:bottom w:val="single" w:color="D9D9D9" w:themeColor="background1" w:themeShade="D9" w:sz="4" w:space="0"/>
            </w:tcBorders>
            <w:shd w:val="clear" w:color="auto" w:fill="F2F2F2" w:themeFill="background1" w:themeFillShade="F2"/>
          </w:tcPr>
          <w:p w:rsidRPr="005049F2" w:rsidR="00666E8A" w:rsidP="00033697" w:rsidRDefault="00666E8A">
            <w:pPr>
              <w:spacing w:after="240"/>
              <w:rPr>
                <w:color w:val="595959" w:themeColor="text1" w:themeTint="A6"/>
                <w:szCs w:val="18"/>
              </w:rPr>
            </w:pPr>
          </w:p>
        </w:tc>
        <w:tc>
          <w:tcPr>
            <w:tcW w:w="1035" w:type="dxa"/>
          </w:tcPr>
          <w:p w:rsidRPr="005049F2" w:rsidR="00666E8A" w:rsidP="00033697" w:rsidRDefault="00666E8A">
            <w:pPr>
              <w:spacing w:after="240"/>
              <w:rPr>
                <w:color w:val="595959" w:themeColor="text1" w:themeTint="A6"/>
                <w:szCs w:val="18"/>
              </w:rPr>
            </w:pPr>
            <w:r w:rsidRPr="005049F2">
              <w:rPr>
                <w:color w:val="595959" w:themeColor="text1" w:themeTint="A6"/>
                <w:szCs w:val="18"/>
              </w:rPr>
              <w:t>Noot</w:t>
            </w:r>
          </w:p>
        </w:tc>
        <w:tc>
          <w:tcPr>
            <w:tcW w:w="6529" w:type="dxa"/>
          </w:tcPr>
          <w:p w:rsidRPr="005049F2" w:rsidR="00666E8A" w:rsidP="004B1540" w:rsidRDefault="004B1540">
            <w:pPr>
              <w:spacing w:after="240"/>
              <w:rPr>
                <w:color w:val="595959" w:themeColor="text1" w:themeTint="A6"/>
                <w:szCs w:val="18"/>
              </w:rPr>
            </w:pPr>
            <w:r>
              <w:rPr>
                <w:color w:val="595959" w:themeColor="text1" w:themeTint="A6"/>
                <w:szCs w:val="18"/>
              </w:rPr>
              <w:t xml:space="preserve">Dit voorstel is onderdeel van de kapitaalmarktunievoorstellen van de Europese Commissie en is erop gericht </w:t>
            </w:r>
            <w:r w:rsidRPr="004B1540">
              <w:rPr>
                <w:color w:val="595959" w:themeColor="text1" w:themeTint="A6"/>
                <w:szCs w:val="18"/>
              </w:rPr>
              <w:t xml:space="preserve">ervoor </w:t>
            </w:r>
            <w:r>
              <w:rPr>
                <w:color w:val="595959" w:themeColor="text1" w:themeTint="A6"/>
                <w:szCs w:val="18"/>
              </w:rPr>
              <w:t>te</w:t>
            </w:r>
            <w:r w:rsidRPr="004B1540">
              <w:rPr>
                <w:color w:val="595959" w:themeColor="text1" w:themeTint="A6"/>
                <w:szCs w:val="18"/>
              </w:rPr>
              <w:t xml:space="preserve"> zorgen dat bij </w:t>
            </w:r>
            <w:proofErr w:type="spellStart"/>
            <w:r w:rsidRPr="004B1540">
              <w:rPr>
                <w:color w:val="595959" w:themeColor="text1" w:themeTint="A6"/>
                <w:szCs w:val="18"/>
              </w:rPr>
              <w:t>retailbeleggingen</w:t>
            </w:r>
            <w:proofErr w:type="spellEnd"/>
            <w:r w:rsidRPr="004B1540">
              <w:rPr>
                <w:color w:val="595959" w:themeColor="text1" w:themeTint="A6"/>
                <w:szCs w:val="18"/>
              </w:rPr>
              <w:t xml:space="preserve"> de belangen van de consument centraal staan. Het doel is </w:t>
            </w:r>
            <w:proofErr w:type="spellStart"/>
            <w:r w:rsidRPr="004B1540">
              <w:rPr>
                <w:color w:val="595959" w:themeColor="text1" w:themeTint="A6"/>
                <w:szCs w:val="18"/>
              </w:rPr>
              <w:t>retailbeleggers</w:t>
            </w:r>
            <w:proofErr w:type="spellEnd"/>
            <w:r w:rsidRPr="004B1540">
              <w:rPr>
                <w:color w:val="595959" w:themeColor="text1" w:themeTint="A6"/>
                <w:szCs w:val="18"/>
              </w:rPr>
              <w:t xml:space="preserve"> (d.w.z. niet-professionele beleggers) in staat te stellen beleggingsbeslissingen te nemen die aan hun behoeften en voorkeuren beantwoorden en ervoor te zorgen dat zij een eerlijke behandeling krijgen en voldoende worden bescherm</w:t>
            </w:r>
            <w:r>
              <w:rPr>
                <w:color w:val="595959" w:themeColor="text1" w:themeTint="A6"/>
                <w:szCs w:val="18"/>
              </w:rPr>
              <w:t>.</w:t>
            </w:r>
          </w:p>
        </w:tc>
      </w:tr>
    </w:tbl>
    <w:p w:rsidR="00666E8A" w:rsidP="00666E8A" w:rsidRDefault="00666E8A"/>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666E8A" w:rsidTr="0003369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666E8A" w:rsidP="00033697" w:rsidRDefault="00666E8A">
            <w:pPr>
              <w:pStyle w:val="Lijstalinea"/>
              <w:numPr>
                <w:ilvl w:val="0"/>
                <w:numId w:val="10"/>
              </w:numPr>
              <w:spacing w:after="240"/>
              <w:ind w:left="312"/>
              <w:rPr>
                <w:color w:val="595959" w:themeColor="text1" w:themeTint="A6"/>
                <w:szCs w:val="18"/>
              </w:rPr>
            </w:pPr>
          </w:p>
        </w:tc>
        <w:tc>
          <w:tcPr>
            <w:tcW w:w="1035" w:type="dxa"/>
          </w:tcPr>
          <w:p w:rsidRPr="005049F2" w:rsidR="00666E8A" w:rsidP="00033697" w:rsidRDefault="00666E8A">
            <w:pPr>
              <w:spacing w:after="240"/>
              <w:rPr>
                <w:color w:val="595959" w:themeColor="text1" w:themeTint="A6"/>
                <w:szCs w:val="18"/>
              </w:rPr>
            </w:pPr>
            <w:r w:rsidRPr="005049F2">
              <w:rPr>
                <w:color w:val="595959" w:themeColor="text1" w:themeTint="A6"/>
                <w:szCs w:val="18"/>
              </w:rPr>
              <w:t>Titel</w:t>
            </w:r>
          </w:p>
        </w:tc>
        <w:tc>
          <w:tcPr>
            <w:tcW w:w="6529" w:type="dxa"/>
          </w:tcPr>
          <w:p w:rsidRPr="00477F56" w:rsidR="00666E8A" w:rsidP="00033697" w:rsidRDefault="00666E8A">
            <w:pPr>
              <w:spacing w:after="240"/>
              <w:rPr>
                <w:b/>
                <w:color w:val="595959" w:themeColor="text1" w:themeTint="A6"/>
                <w:szCs w:val="18"/>
                <w:lang w:val="en-GB"/>
              </w:rPr>
            </w:pPr>
            <w:r>
              <w:rPr>
                <w:szCs w:val="18"/>
                <w:lang w:val="en-GB"/>
              </w:rPr>
              <w:t xml:space="preserve">Proposal for a REGULATION OF THE EUROPEAN PARLIAMENT AND OF THE COUNCIL amending Regulation (EU) No 1286/2014 as regards the modernisation of the key information document </w:t>
            </w:r>
            <w:hyperlink w:history="1" r:id="rId18">
              <w:r>
                <w:rPr>
                  <w:rStyle w:val="Hyperlink"/>
                  <w:szCs w:val="18"/>
                  <w:lang w:val="en-GB"/>
                </w:rPr>
                <w:t>COM(2023)278</w:t>
              </w:r>
            </w:hyperlink>
          </w:p>
        </w:tc>
      </w:tr>
      <w:tr w:rsidRPr="005049F2" w:rsidR="00666E8A" w:rsidTr="00033697">
        <w:tc>
          <w:tcPr>
            <w:tcW w:w="421" w:type="dxa"/>
            <w:vMerge/>
            <w:tcBorders>
              <w:top w:val="nil"/>
              <w:bottom w:val="single" w:color="D9D9D9" w:themeColor="background1" w:themeShade="D9" w:sz="4" w:space="0"/>
            </w:tcBorders>
            <w:shd w:val="clear" w:color="auto" w:fill="F2F2F2" w:themeFill="background1" w:themeFillShade="F2"/>
          </w:tcPr>
          <w:p w:rsidRPr="00477F56" w:rsidR="00666E8A" w:rsidP="00033697" w:rsidRDefault="00666E8A">
            <w:pPr>
              <w:spacing w:after="240"/>
              <w:rPr>
                <w:szCs w:val="18"/>
                <w:lang w:val="en-GB"/>
              </w:rPr>
            </w:pPr>
          </w:p>
        </w:tc>
        <w:tc>
          <w:tcPr>
            <w:tcW w:w="1035" w:type="dxa"/>
          </w:tcPr>
          <w:p w:rsidRPr="005049F2" w:rsidR="00666E8A" w:rsidP="00033697" w:rsidRDefault="00666E8A">
            <w:pPr>
              <w:spacing w:after="240"/>
              <w:rPr>
                <w:szCs w:val="18"/>
              </w:rPr>
            </w:pPr>
            <w:r w:rsidRPr="005049F2">
              <w:rPr>
                <w:szCs w:val="18"/>
              </w:rPr>
              <w:t>Voorstel</w:t>
            </w:r>
          </w:p>
        </w:tc>
        <w:tc>
          <w:tcPr>
            <w:tcW w:w="6529" w:type="dxa"/>
          </w:tcPr>
          <w:p w:rsidRPr="005049F2" w:rsidR="00666E8A" w:rsidP="00033697" w:rsidRDefault="00666E8A">
            <w:pPr>
              <w:spacing w:after="240"/>
              <w:rPr>
                <w:szCs w:val="18"/>
              </w:rPr>
            </w:pPr>
            <w:r w:rsidRPr="005049F2">
              <w:rPr>
                <w:szCs w:val="18"/>
              </w:rPr>
              <w:t>Via de gebruikelijke route behandelen, waarbij het voorstel en het nog te ontvangen BNC-fiche worden geagendeerd voor een schriftelijk overleg</w:t>
            </w:r>
          </w:p>
        </w:tc>
      </w:tr>
      <w:tr w:rsidRPr="005049F2" w:rsidR="00666E8A" w:rsidTr="00033697">
        <w:tc>
          <w:tcPr>
            <w:tcW w:w="421" w:type="dxa"/>
            <w:vMerge/>
            <w:tcBorders>
              <w:top w:val="nil"/>
              <w:bottom w:val="single" w:color="D9D9D9" w:themeColor="background1" w:themeShade="D9" w:sz="4" w:space="0"/>
            </w:tcBorders>
            <w:shd w:val="clear" w:color="auto" w:fill="F2F2F2" w:themeFill="background1" w:themeFillShade="F2"/>
          </w:tcPr>
          <w:p w:rsidRPr="005049F2" w:rsidR="00666E8A" w:rsidP="00033697" w:rsidRDefault="00666E8A">
            <w:pPr>
              <w:spacing w:after="240"/>
              <w:rPr>
                <w:color w:val="595959" w:themeColor="text1" w:themeTint="A6"/>
                <w:szCs w:val="18"/>
              </w:rPr>
            </w:pPr>
          </w:p>
        </w:tc>
        <w:tc>
          <w:tcPr>
            <w:tcW w:w="1035" w:type="dxa"/>
          </w:tcPr>
          <w:p w:rsidRPr="005049F2" w:rsidR="00666E8A" w:rsidP="00033697" w:rsidRDefault="00666E8A">
            <w:pPr>
              <w:spacing w:after="240"/>
              <w:rPr>
                <w:color w:val="595959" w:themeColor="text1" w:themeTint="A6"/>
                <w:szCs w:val="18"/>
              </w:rPr>
            </w:pPr>
            <w:r w:rsidRPr="005049F2">
              <w:rPr>
                <w:color w:val="595959" w:themeColor="text1" w:themeTint="A6"/>
                <w:szCs w:val="18"/>
              </w:rPr>
              <w:t>Noot</w:t>
            </w:r>
          </w:p>
        </w:tc>
        <w:tc>
          <w:tcPr>
            <w:tcW w:w="6529" w:type="dxa"/>
          </w:tcPr>
          <w:p w:rsidRPr="005049F2" w:rsidR="00666E8A" w:rsidP="004B1540" w:rsidRDefault="004B1540">
            <w:pPr>
              <w:spacing w:after="240"/>
              <w:rPr>
                <w:color w:val="595959" w:themeColor="text1" w:themeTint="A6"/>
                <w:szCs w:val="18"/>
              </w:rPr>
            </w:pPr>
            <w:r>
              <w:rPr>
                <w:color w:val="595959" w:themeColor="text1" w:themeTint="A6"/>
                <w:szCs w:val="18"/>
              </w:rPr>
              <w:t xml:space="preserve">Ook dit voorstel is onderdeel van de kapitaalmarktunievoorstellen. Het voorstel beoogt de essentiële informatie die beleggers dienen te ontvangen bij </w:t>
            </w:r>
            <w:proofErr w:type="spellStart"/>
            <w:r w:rsidRPr="004B1540">
              <w:rPr>
                <w:color w:val="595959" w:themeColor="text1" w:themeTint="A6"/>
                <w:szCs w:val="18"/>
              </w:rPr>
              <w:t>retail</w:t>
            </w:r>
            <w:proofErr w:type="spellEnd"/>
            <w:r w:rsidRPr="004B1540">
              <w:rPr>
                <w:color w:val="595959" w:themeColor="text1" w:themeTint="A6"/>
                <w:szCs w:val="18"/>
              </w:rPr>
              <w:t xml:space="preserve">- en </w:t>
            </w:r>
            <w:proofErr w:type="spellStart"/>
            <w:r w:rsidRPr="004B1540">
              <w:rPr>
                <w:color w:val="595959" w:themeColor="text1" w:themeTint="A6"/>
                <w:szCs w:val="18"/>
              </w:rPr>
              <w:t>verzekeringsgebaseerde</w:t>
            </w:r>
            <w:proofErr w:type="spellEnd"/>
            <w:r w:rsidRPr="004B1540">
              <w:rPr>
                <w:color w:val="595959" w:themeColor="text1" w:themeTint="A6"/>
                <w:szCs w:val="18"/>
              </w:rPr>
              <w:t xml:space="preserve"> beleggingsproducten </w:t>
            </w:r>
            <w:r>
              <w:rPr>
                <w:color w:val="595959" w:themeColor="text1" w:themeTint="A6"/>
                <w:szCs w:val="18"/>
              </w:rPr>
              <w:t xml:space="preserve">te moderniseren. </w:t>
            </w:r>
          </w:p>
        </w:tc>
      </w:tr>
    </w:tbl>
    <w:p w:rsidR="00666E8A" w:rsidP="00666E8A" w:rsidRDefault="00666E8A"/>
    <w:p w:rsidR="00666E8A" w:rsidP="00666E8A" w:rsidRDefault="00666E8A"/>
    <w:p w:rsidRPr="00666E8A" w:rsidR="00666E8A" w:rsidP="00666E8A" w:rsidRDefault="00666E8A">
      <w:pPr>
        <w:rPr>
          <w:b/>
          <w:szCs w:val="18"/>
        </w:rPr>
      </w:pPr>
    </w:p>
    <w:p w:rsidRPr="005049F2" w:rsidR="00820149" w:rsidP="00820149" w:rsidRDefault="00D27FE7">
      <w:pPr>
        <w:pStyle w:val="Lijstalinea"/>
        <w:numPr>
          <w:ilvl w:val="0"/>
          <w:numId w:val="2"/>
        </w:numPr>
        <w:rPr>
          <w:b/>
          <w:szCs w:val="18"/>
        </w:rPr>
      </w:pPr>
      <w:r w:rsidRPr="005049F2">
        <w:rPr>
          <w:b/>
          <w:szCs w:val="18"/>
        </w:rPr>
        <w:t>Nieuwe</w:t>
      </w:r>
      <w:r w:rsidRPr="005049F2" w:rsidR="008C43A5">
        <w:rPr>
          <w:b/>
          <w:szCs w:val="18"/>
        </w:rPr>
        <w:t xml:space="preserve"> EU-</w:t>
      </w:r>
      <w:r w:rsidRPr="005049F2" w:rsidR="006E2C94">
        <w:rPr>
          <w:b/>
          <w:szCs w:val="18"/>
        </w:rPr>
        <w:t>documenten</w:t>
      </w:r>
      <w:r w:rsidRPr="005049F2">
        <w:rPr>
          <w:b/>
          <w:szCs w:val="18"/>
        </w:rPr>
        <w:t xml:space="preserve"> van niet-wetgevende aard </w:t>
      </w:r>
      <w:r w:rsidRPr="005049F2" w:rsidR="00E02D08">
        <w:rPr>
          <w:b/>
          <w:szCs w:val="18"/>
        </w:rPr>
        <w:br/>
      </w:r>
      <w:r w:rsidRPr="005049F2" w:rsidR="00E02D08">
        <w:rPr>
          <w:szCs w:val="18"/>
        </w:rPr>
        <w:t>(M</w:t>
      </w:r>
      <w:r w:rsidRPr="005049F2" w:rsidR="00820149">
        <w:rPr>
          <w:szCs w:val="18"/>
        </w:rPr>
        <w:t>edede</w:t>
      </w:r>
      <w:r w:rsidRPr="005049F2">
        <w:rPr>
          <w:szCs w:val="18"/>
        </w:rPr>
        <w:t>lingen, aanbevelingen, actieplannen, consultaties, etc.</w:t>
      </w:r>
      <w:r w:rsidRPr="005049F2" w:rsidR="00E02D08">
        <w:rPr>
          <w:szCs w:val="18"/>
        </w:rPr>
        <w:t>)</w:t>
      </w:r>
    </w:p>
    <w:p w:rsidRPr="005049F2"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049F2"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5049F2" w:rsidR="00D75535" w:rsidP="002A4BD8" w:rsidRDefault="00D75535">
            <w:pPr>
              <w:spacing w:after="240"/>
              <w:rPr>
                <w:color w:val="595959" w:themeColor="text1" w:themeTint="A6"/>
                <w:szCs w:val="18"/>
              </w:rPr>
            </w:pPr>
            <w:r w:rsidRPr="005049F2">
              <w:rPr>
                <w:color w:val="595959" w:themeColor="text1" w:themeTint="A6"/>
                <w:szCs w:val="18"/>
              </w:rPr>
              <w:t>Titel</w:t>
            </w:r>
          </w:p>
        </w:tc>
        <w:tc>
          <w:tcPr>
            <w:tcW w:w="6529" w:type="dxa"/>
          </w:tcPr>
          <w:p w:rsidRPr="005049F2" w:rsidR="00D75535" w:rsidP="006B4EB4" w:rsidRDefault="00AF18CF">
            <w:pPr>
              <w:shd w:val="clear" w:color="auto" w:fill="FFFFFF"/>
              <w:spacing w:after="75"/>
              <w:rPr>
                <w:rFonts w:cs="Calibri"/>
                <w:szCs w:val="18"/>
                <w:lang w:eastAsia="nl-NL"/>
              </w:rPr>
            </w:pPr>
            <w:r w:rsidRPr="005049F2">
              <w:rPr>
                <w:szCs w:val="18"/>
              </w:rPr>
              <w:t xml:space="preserve">VERSLAG VAN DE COMMISSIE aan de hand van de van de lidstaten ontvangen specifieke </w:t>
            </w:r>
            <w:proofErr w:type="spellStart"/>
            <w:r w:rsidRPr="005049F2">
              <w:rPr>
                <w:szCs w:val="18"/>
              </w:rPr>
              <w:t>betaalrekeninggerelateerde</w:t>
            </w:r>
            <w:proofErr w:type="spellEnd"/>
            <w:r w:rsidRPr="005049F2">
              <w:rPr>
                <w:szCs w:val="18"/>
              </w:rPr>
              <w:t xml:space="preserve"> gegevens zoals voorgeschreven door artikel 27 van de Richtlijn 2014/92/EU van het Europees Parlement en de Raad betreffende de vergelijkbaarheid van de in verband met betaalrekeningen aangerekende vergoedingen, het overstappen naar een andere betaalrekening en de toegang tot betaalrekeningen met basisfuncties</w:t>
            </w:r>
            <w:r w:rsidRPr="005049F2">
              <w:rPr>
                <w:rFonts w:cs="Calibri"/>
                <w:szCs w:val="18"/>
              </w:rPr>
              <w:t xml:space="preserve"> </w:t>
            </w:r>
            <w:hyperlink w:history="1" r:id="rId19">
              <w:r w:rsidRPr="005049F2">
                <w:rPr>
                  <w:rStyle w:val="Hyperlink"/>
                  <w:rFonts w:cs="Calibri"/>
                  <w:szCs w:val="18"/>
                </w:rPr>
                <w:t>COM(2023)248</w:t>
              </w:r>
            </w:hyperlink>
          </w:p>
        </w:tc>
      </w:tr>
      <w:tr w:rsidRPr="005049F2"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5049F2" w:rsidR="00D75535" w:rsidP="002A4BD8" w:rsidRDefault="00D75535">
            <w:pPr>
              <w:spacing w:after="240"/>
              <w:rPr>
                <w:szCs w:val="18"/>
              </w:rPr>
            </w:pPr>
          </w:p>
        </w:tc>
        <w:tc>
          <w:tcPr>
            <w:tcW w:w="1035" w:type="dxa"/>
          </w:tcPr>
          <w:p w:rsidRPr="005049F2" w:rsidR="00D75535" w:rsidP="002A4BD8" w:rsidRDefault="00D75535">
            <w:pPr>
              <w:spacing w:after="240"/>
              <w:rPr>
                <w:szCs w:val="18"/>
              </w:rPr>
            </w:pPr>
            <w:r w:rsidRPr="005049F2">
              <w:rPr>
                <w:szCs w:val="18"/>
              </w:rPr>
              <w:t>Voorstel</w:t>
            </w:r>
          </w:p>
        </w:tc>
        <w:tc>
          <w:tcPr>
            <w:tcW w:w="6529" w:type="dxa"/>
          </w:tcPr>
          <w:p w:rsidRPr="005049F2" w:rsidR="00D75535" w:rsidP="002A4BD8" w:rsidRDefault="005049F2">
            <w:pPr>
              <w:spacing w:after="240"/>
              <w:rPr>
                <w:szCs w:val="18"/>
              </w:rPr>
            </w:pPr>
            <w:r>
              <w:rPr>
                <w:szCs w:val="18"/>
              </w:rPr>
              <w:t>Voor kennisgeving aannemen</w:t>
            </w:r>
          </w:p>
        </w:tc>
      </w:tr>
      <w:tr w:rsidRPr="005049F2"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5049F2" w:rsidR="00D75535" w:rsidP="002A4BD8" w:rsidRDefault="00D75535">
            <w:pPr>
              <w:spacing w:after="240"/>
              <w:rPr>
                <w:color w:val="595959" w:themeColor="text1" w:themeTint="A6"/>
                <w:szCs w:val="18"/>
              </w:rPr>
            </w:pPr>
          </w:p>
        </w:tc>
        <w:tc>
          <w:tcPr>
            <w:tcW w:w="1035" w:type="dxa"/>
          </w:tcPr>
          <w:p w:rsidRPr="005049F2" w:rsidR="00D75535" w:rsidP="002A4BD8" w:rsidRDefault="00D75535">
            <w:pPr>
              <w:spacing w:after="240"/>
              <w:rPr>
                <w:color w:val="595959" w:themeColor="text1" w:themeTint="A6"/>
                <w:szCs w:val="18"/>
              </w:rPr>
            </w:pPr>
            <w:r w:rsidRPr="005049F2">
              <w:rPr>
                <w:color w:val="595959" w:themeColor="text1" w:themeTint="A6"/>
                <w:szCs w:val="18"/>
              </w:rPr>
              <w:t>Noot</w:t>
            </w:r>
          </w:p>
        </w:tc>
        <w:tc>
          <w:tcPr>
            <w:tcW w:w="6529" w:type="dxa"/>
          </w:tcPr>
          <w:p w:rsidRPr="005049F2" w:rsidR="00D75535" w:rsidP="00484544" w:rsidRDefault="005049F2">
            <w:pPr>
              <w:spacing w:after="240"/>
              <w:rPr>
                <w:color w:val="595959" w:themeColor="text1" w:themeTint="A6"/>
                <w:szCs w:val="18"/>
              </w:rPr>
            </w:pPr>
            <w:r>
              <w:rPr>
                <w:color w:val="595959" w:themeColor="text1" w:themeTint="A6"/>
                <w:szCs w:val="18"/>
              </w:rPr>
              <w:t>Dit betreft een verslag van de Europese Commissie over de uitwerking van de richtlijn betaalrekeningen</w:t>
            </w:r>
            <w:r w:rsidR="00484544">
              <w:rPr>
                <w:color w:val="595959" w:themeColor="text1" w:themeTint="A6"/>
                <w:szCs w:val="18"/>
              </w:rPr>
              <w:t>, opgesteld aan de hand van door de lidstaten aangeleverde informatie over de naleving van betaaldienstaanbieders van de in deze richtlijn opgenomen vereisten</w:t>
            </w:r>
            <w:r>
              <w:rPr>
                <w:color w:val="595959" w:themeColor="text1" w:themeTint="A6"/>
                <w:szCs w:val="18"/>
              </w:rPr>
              <w:t xml:space="preserve">. </w:t>
            </w:r>
            <w:r w:rsidRPr="005049F2">
              <w:rPr>
                <w:color w:val="595959" w:themeColor="text1" w:themeTint="A6"/>
                <w:szCs w:val="18"/>
              </w:rPr>
              <w:t xml:space="preserve">In het verslag wordt </w:t>
            </w:r>
            <w:r>
              <w:rPr>
                <w:color w:val="595959" w:themeColor="text1" w:themeTint="A6"/>
                <w:szCs w:val="18"/>
              </w:rPr>
              <w:t>geconcludeerd</w:t>
            </w:r>
            <w:r w:rsidRPr="005049F2">
              <w:rPr>
                <w:color w:val="595959" w:themeColor="text1" w:themeTint="A6"/>
                <w:szCs w:val="18"/>
              </w:rPr>
              <w:t xml:space="preserve"> dat de belangrijkste maatregelen </w:t>
            </w:r>
            <w:r w:rsidRPr="005049F2">
              <w:rPr>
                <w:color w:val="595959" w:themeColor="text1" w:themeTint="A6"/>
                <w:szCs w:val="18"/>
              </w:rPr>
              <w:lastRenderedPageBreak/>
              <w:t>van de richtlijn, met betrekking tot transparantie en vergelijkbaarheid, de overstapdienst en het recht op een betaalrekening met basisfuncties, over het algemeen zijn ingevoerd.</w:t>
            </w:r>
            <w:r w:rsidR="00F004B2">
              <w:rPr>
                <w:color w:val="595959" w:themeColor="text1" w:themeTint="A6"/>
                <w:szCs w:val="18"/>
              </w:rPr>
              <w:t xml:space="preserve"> </w:t>
            </w:r>
          </w:p>
        </w:tc>
      </w:tr>
    </w:tbl>
    <w:p w:rsidRPr="005049F2"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049F2"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2A4BD8" w:rsidP="00916AF1" w:rsidRDefault="002A4BD8">
            <w:pPr>
              <w:pStyle w:val="Lijstalinea"/>
              <w:numPr>
                <w:ilvl w:val="0"/>
                <w:numId w:val="10"/>
              </w:numPr>
              <w:spacing w:after="240"/>
              <w:ind w:left="312"/>
              <w:rPr>
                <w:color w:val="595959" w:themeColor="text1" w:themeTint="A6"/>
                <w:szCs w:val="18"/>
              </w:rPr>
            </w:pPr>
          </w:p>
        </w:tc>
        <w:tc>
          <w:tcPr>
            <w:tcW w:w="1035" w:type="dxa"/>
          </w:tcPr>
          <w:p w:rsidRPr="005049F2" w:rsidR="002A4BD8" w:rsidP="00916AF1" w:rsidRDefault="002A4BD8">
            <w:pPr>
              <w:spacing w:after="240"/>
              <w:rPr>
                <w:color w:val="595959" w:themeColor="text1" w:themeTint="A6"/>
                <w:szCs w:val="18"/>
              </w:rPr>
            </w:pPr>
            <w:r w:rsidRPr="005049F2">
              <w:rPr>
                <w:color w:val="595959" w:themeColor="text1" w:themeTint="A6"/>
                <w:szCs w:val="18"/>
              </w:rPr>
              <w:t>Titel</w:t>
            </w:r>
          </w:p>
        </w:tc>
        <w:tc>
          <w:tcPr>
            <w:tcW w:w="6529" w:type="dxa"/>
          </w:tcPr>
          <w:p w:rsidRPr="005049F2" w:rsidR="002A4BD8" w:rsidP="00916AF1" w:rsidRDefault="00AF18CF">
            <w:pPr>
              <w:spacing w:after="240"/>
              <w:rPr>
                <w:b/>
                <w:color w:val="595959" w:themeColor="text1" w:themeTint="A6"/>
                <w:szCs w:val="18"/>
              </w:rPr>
            </w:pPr>
            <w:r w:rsidRPr="005049F2">
              <w:rPr>
                <w:szCs w:val="18"/>
              </w:rPr>
              <w:t>VERSLAG VAN DE COMMISSIE AAN HET EUROPEES PARLEMENT EN DE RAAD over de toepassing van de Richtlijn 2014/92/EU van het Europees Parlement en de Raad betreffende de vergelijkbaarheid van de in verband met betaalrekeningen aangerekende vergoedingen, het overstappen naar een andere betaalrekening en de toegang tot betaalrekeningen met basisfuncties</w:t>
            </w:r>
            <w:r w:rsidRPr="005049F2">
              <w:rPr>
                <w:rFonts w:cs="Calibri"/>
                <w:szCs w:val="18"/>
              </w:rPr>
              <w:t xml:space="preserve"> </w:t>
            </w:r>
            <w:hyperlink w:history="1" r:id="rId20">
              <w:r w:rsidRPr="005049F2">
                <w:rPr>
                  <w:rStyle w:val="Hyperlink"/>
                  <w:rFonts w:cs="Calibri"/>
                  <w:szCs w:val="18"/>
                </w:rPr>
                <w:t>COM(2023)249</w:t>
              </w:r>
            </w:hyperlink>
          </w:p>
        </w:tc>
      </w:tr>
      <w:tr w:rsidRPr="005049F2"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5049F2" w:rsidR="002A4BD8" w:rsidP="00916AF1" w:rsidRDefault="002A4BD8">
            <w:pPr>
              <w:spacing w:after="240"/>
              <w:rPr>
                <w:szCs w:val="18"/>
              </w:rPr>
            </w:pPr>
          </w:p>
        </w:tc>
        <w:tc>
          <w:tcPr>
            <w:tcW w:w="1035" w:type="dxa"/>
          </w:tcPr>
          <w:p w:rsidRPr="005049F2" w:rsidR="002A4BD8" w:rsidP="00916AF1" w:rsidRDefault="002A4BD8">
            <w:pPr>
              <w:spacing w:after="240"/>
              <w:rPr>
                <w:szCs w:val="18"/>
              </w:rPr>
            </w:pPr>
            <w:r w:rsidRPr="005049F2">
              <w:rPr>
                <w:szCs w:val="18"/>
              </w:rPr>
              <w:t>Voorstel</w:t>
            </w:r>
          </w:p>
        </w:tc>
        <w:tc>
          <w:tcPr>
            <w:tcW w:w="6529" w:type="dxa"/>
          </w:tcPr>
          <w:p w:rsidRPr="005049F2" w:rsidR="002A4BD8" w:rsidP="00916AF1" w:rsidRDefault="00F004B2">
            <w:pPr>
              <w:spacing w:after="240"/>
              <w:rPr>
                <w:szCs w:val="18"/>
              </w:rPr>
            </w:pPr>
            <w:r>
              <w:rPr>
                <w:szCs w:val="18"/>
              </w:rPr>
              <w:t>Voor kennisgeving aannemen</w:t>
            </w:r>
          </w:p>
        </w:tc>
      </w:tr>
      <w:tr w:rsidRPr="005049F2"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5049F2" w:rsidR="002A4BD8" w:rsidP="00916AF1" w:rsidRDefault="002A4BD8">
            <w:pPr>
              <w:spacing w:after="240"/>
              <w:rPr>
                <w:color w:val="595959" w:themeColor="text1" w:themeTint="A6"/>
                <w:szCs w:val="18"/>
              </w:rPr>
            </w:pPr>
          </w:p>
        </w:tc>
        <w:tc>
          <w:tcPr>
            <w:tcW w:w="1035" w:type="dxa"/>
          </w:tcPr>
          <w:p w:rsidRPr="005049F2" w:rsidR="002A4BD8" w:rsidP="00916AF1" w:rsidRDefault="002A4BD8">
            <w:pPr>
              <w:spacing w:after="240"/>
              <w:rPr>
                <w:color w:val="595959" w:themeColor="text1" w:themeTint="A6"/>
                <w:szCs w:val="18"/>
              </w:rPr>
            </w:pPr>
            <w:r w:rsidRPr="005049F2">
              <w:rPr>
                <w:color w:val="595959" w:themeColor="text1" w:themeTint="A6"/>
                <w:szCs w:val="18"/>
              </w:rPr>
              <w:t>Noot</w:t>
            </w:r>
          </w:p>
        </w:tc>
        <w:tc>
          <w:tcPr>
            <w:tcW w:w="6529" w:type="dxa"/>
          </w:tcPr>
          <w:p w:rsidRPr="005049F2" w:rsidR="002A4BD8" w:rsidP="00484544" w:rsidRDefault="00F004B2">
            <w:pPr>
              <w:spacing w:after="240"/>
              <w:rPr>
                <w:color w:val="595959" w:themeColor="text1" w:themeTint="A6"/>
                <w:szCs w:val="18"/>
              </w:rPr>
            </w:pPr>
            <w:r>
              <w:rPr>
                <w:color w:val="595959" w:themeColor="text1" w:themeTint="A6"/>
                <w:szCs w:val="18"/>
              </w:rPr>
              <w:t xml:space="preserve">Ook dit betreft een verslag van de Europese Commissie over de uitwerking van de richtlijn betaalrekeningen, dit keer ter evaluatie </w:t>
            </w:r>
            <w:r w:rsidR="00484544">
              <w:rPr>
                <w:color w:val="595959" w:themeColor="text1" w:themeTint="A6"/>
                <w:szCs w:val="18"/>
              </w:rPr>
              <w:t xml:space="preserve">van de toepassing van deze richtlijn. De Commissie concludeert dat de richtlijn i) heeft </w:t>
            </w:r>
            <w:r w:rsidRPr="00484544" w:rsidR="00484544">
              <w:rPr>
                <w:color w:val="595959" w:themeColor="text1" w:themeTint="A6"/>
                <w:szCs w:val="18"/>
              </w:rPr>
              <w:t>bijgedragen tot de transparantie en vergelijkbaarheid van de ver</w:t>
            </w:r>
            <w:r w:rsidR="00484544">
              <w:rPr>
                <w:color w:val="595959" w:themeColor="text1" w:themeTint="A6"/>
                <w:szCs w:val="18"/>
              </w:rPr>
              <w:t>goedingen voor betaalrekeningen, ii)</w:t>
            </w:r>
            <w:r w:rsidR="00484544">
              <w:t xml:space="preserve"> </w:t>
            </w:r>
            <w:r w:rsidR="00484544">
              <w:rPr>
                <w:color w:val="595959" w:themeColor="text1" w:themeTint="A6"/>
                <w:szCs w:val="18"/>
              </w:rPr>
              <w:t xml:space="preserve">heeft </w:t>
            </w:r>
            <w:r w:rsidRPr="00484544" w:rsidR="00484544">
              <w:rPr>
                <w:color w:val="595959" w:themeColor="text1" w:themeTint="A6"/>
                <w:szCs w:val="18"/>
              </w:rPr>
              <w:t xml:space="preserve">bijgedragen </w:t>
            </w:r>
            <w:r w:rsidR="00484544">
              <w:rPr>
                <w:color w:val="595959" w:themeColor="text1" w:themeTint="A6"/>
                <w:szCs w:val="18"/>
              </w:rPr>
              <w:t xml:space="preserve">aan de toegang voor </w:t>
            </w:r>
            <w:r w:rsidRPr="00484544" w:rsidR="00484544">
              <w:rPr>
                <w:color w:val="595959" w:themeColor="text1" w:themeTint="A6"/>
                <w:szCs w:val="18"/>
              </w:rPr>
              <w:t>consumenten</w:t>
            </w:r>
            <w:r w:rsidR="00484544">
              <w:rPr>
                <w:color w:val="595959" w:themeColor="text1" w:themeTint="A6"/>
                <w:szCs w:val="18"/>
              </w:rPr>
              <w:t xml:space="preserve"> to</w:t>
            </w:r>
            <w:r w:rsidRPr="00484544" w:rsidR="00484544">
              <w:rPr>
                <w:color w:val="595959" w:themeColor="text1" w:themeTint="A6"/>
                <w:szCs w:val="18"/>
              </w:rPr>
              <w:t>t betaalrekeningen met basisfuncties,</w:t>
            </w:r>
            <w:r w:rsidR="00484544">
              <w:rPr>
                <w:color w:val="595959" w:themeColor="text1" w:themeTint="A6"/>
                <w:szCs w:val="18"/>
              </w:rPr>
              <w:t xml:space="preserve"> iii) het </w:t>
            </w:r>
            <w:r w:rsidRPr="00484544" w:rsidR="00484544">
              <w:rPr>
                <w:color w:val="595959" w:themeColor="text1" w:themeTint="A6"/>
                <w:szCs w:val="18"/>
              </w:rPr>
              <w:t xml:space="preserve">mogelijk </w:t>
            </w:r>
            <w:r w:rsidR="00484544">
              <w:rPr>
                <w:color w:val="595959" w:themeColor="text1" w:themeTint="A6"/>
                <w:szCs w:val="18"/>
              </w:rPr>
              <w:t xml:space="preserve">heeft </w:t>
            </w:r>
            <w:r w:rsidRPr="00484544" w:rsidR="00484544">
              <w:rPr>
                <w:color w:val="595959" w:themeColor="text1" w:themeTint="A6"/>
                <w:szCs w:val="18"/>
              </w:rPr>
              <w:t>gemaakt om gemakkelijk — en vaak gratis — naar een andere betaalrekening in eigen land over te stappen.</w:t>
            </w:r>
          </w:p>
        </w:tc>
      </w:tr>
    </w:tbl>
    <w:p w:rsidR="002A4BD8" w:rsidP="002A4BD8" w:rsidRDefault="002A4BD8">
      <w:pPr>
        <w:rPr>
          <w:szCs w:val="18"/>
        </w:rPr>
      </w:pPr>
    </w:p>
    <w:p w:rsidR="00AB35A7" w:rsidP="002A4BD8" w:rsidRDefault="00AB35A7">
      <w:pPr>
        <w:rPr>
          <w:szCs w:val="18"/>
        </w:rPr>
      </w:pPr>
    </w:p>
    <w:p w:rsidR="00AB35A7" w:rsidP="002A4BD8" w:rsidRDefault="00AB35A7">
      <w:pPr>
        <w:rPr>
          <w:szCs w:val="18"/>
        </w:rPr>
      </w:pPr>
    </w:p>
    <w:p w:rsidR="00AB35A7" w:rsidP="002A4BD8" w:rsidRDefault="00AB35A7">
      <w:pPr>
        <w:rPr>
          <w:szCs w:val="18"/>
        </w:rPr>
      </w:pPr>
    </w:p>
    <w:p w:rsidR="00AB35A7" w:rsidP="002A4BD8" w:rsidRDefault="00AB35A7">
      <w:pPr>
        <w:rPr>
          <w:szCs w:val="18"/>
        </w:rPr>
      </w:pPr>
    </w:p>
    <w:p w:rsidR="00AB35A7" w:rsidP="002A4BD8" w:rsidRDefault="00AB35A7">
      <w:pPr>
        <w:rPr>
          <w:szCs w:val="18"/>
        </w:rPr>
      </w:pPr>
    </w:p>
    <w:p w:rsidR="00AB35A7" w:rsidP="002A4BD8" w:rsidRDefault="00AB35A7">
      <w:pPr>
        <w:rPr>
          <w:szCs w:val="18"/>
        </w:rPr>
      </w:pPr>
    </w:p>
    <w:p w:rsidR="00AB35A7" w:rsidP="002A4BD8" w:rsidRDefault="00AB35A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049F2" w:rsidR="00D653AE" w:rsidTr="0003369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D653AE" w:rsidP="00033697" w:rsidRDefault="00D653AE">
            <w:pPr>
              <w:pStyle w:val="Lijstalinea"/>
              <w:numPr>
                <w:ilvl w:val="0"/>
                <w:numId w:val="10"/>
              </w:numPr>
              <w:spacing w:after="240"/>
              <w:ind w:left="312"/>
              <w:rPr>
                <w:color w:val="595959" w:themeColor="text1" w:themeTint="A6"/>
                <w:szCs w:val="18"/>
              </w:rPr>
            </w:pPr>
          </w:p>
        </w:tc>
        <w:tc>
          <w:tcPr>
            <w:tcW w:w="1035" w:type="dxa"/>
          </w:tcPr>
          <w:p w:rsidRPr="005049F2" w:rsidR="00D653AE" w:rsidP="00033697" w:rsidRDefault="00D653AE">
            <w:pPr>
              <w:spacing w:after="240"/>
              <w:rPr>
                <w:color w:val="595959" w:themeColor="text1" w:themeTint="A6"/>
                <w:szCs w:val="18"/>
              </w:rPr>
            </w:pPr>
            <w:r w:rsidRPr="005049F2">
              <w:rPr>
                <w:color w:val="595959" w:themeColor="text1" w:themeTint="A6"/>
                <w:szCs w:val="18"/>
              </w:rPr>
              <w:t>Titel</w:t>
            </w:r>
          </w:p>
        </w:tc>
        <w:tc>
          <w:tcPr>
            <w:tcW w:w="6529" w:type="dxa"/>
          </w:tcPr>
          <w:p w:rsidRPr="005049F2" w:rsidR="00D653AE" w:rsidP="00D653AE" w:rsidRDefault="00D653AE">
            <w:pPr>
              <w:spacing w:after="240"/>
              <w:rPr>
                <w:b/>
                <w:color w:val="595959" w:themeColor="text1" w:themeTint="A6"/>
                <w:szCs w:val="18"/>
              </w:rPr>
            </w:pPr>
            <w:r>
              <w:rPr>
                <w:szCs w:val="18"/>
              </w:rPr>
              <w:t xml:space="preserve">Voorstel voor een UITVOERINGSBESLUIT VAN DE RAAD waarbij Polen overeenkomstig artikel 19 van Richtlijn 2003/96/EG wordt gemachtigd verlaagde accijnstarieven toe te passen op zware stookolie, aardgas, kolen en cokes die als verwarmingsbrandstof worden gebruikt </w:t>
            </w:r>
            <w:hyperlink w:history="1" r:id="rId21">
              <w:r>
                <w:rPr>
                  <w:rStyle w:val="Hyperlink"/>
                  <w:szCs w:val="18"/>
                </w:rPr>
                <w:t>COM(2023)267</w:t>
              </w:r>
            </w:hyperlink>
          </w:p>
        </w:tc>
      </w:tr>
      <w:tr w:rsidRPr="005049F2" w:rsidR="00D653AE" w:rsidTr="00033697">
        <w:tc>
          <w:tcPr>
            <w:tcW w:w="421" w:type="dxa"/>
            <w:vMerge/>
            <w:tcBorders>
              <w:top w:val="nil"/>
              <w:bottom w:val="single" w:color="D9D9D9" w:themeColor="background1" w:themeShade="D9" w:sz="4" w:space="0"/>
            </w:tcBorders>
            <w:shd w:val="clear" w:color="auto" w:fill="F2F2F2" w:themeFill="background1" w:themeFillShade="F2"/>
          </w:tcPr>
          <w:p w:rsidRPr="005049F2" w:rsidR="00D653AE" w:rsidP="00033697" w:rsidRDefault="00D653AE">
            <w:pPr>
              <w:spacing w:after="240"/>
              <w:rPr>
                <w:szCs w:val="18"/>
              </w:rPr>
            </w:pPr>
          </w:p>
        </w:tc>
        <w:tc>
          <w:tcPr>
            <w:tcW w:w="1035" w:type="dxa"/>
          </w:tcPr>
          <w:p w:rsidRPr="005049F2" w:rsidR="00D653AE" w:rsidP="00033697" w:rsidRDefault="00D653AE">
            <w:pPr>
              <w:spacing w:after="240"/>
              <w:rPr>
                <w:szCs w:val="18"/>
              </w:rPr>
            </w:pPr>
            <w:r w:rsidRPr="005049F2">
              <w:rPr>
                <w:szCs w:val="18"/>
              </w:rPr>
              <w:t>Voorstel</w:t>
            </w:r>
          </w:p>
        </w:tc>
        <w:tc>
          <w:tcPr>
            <w:tcW w:w="6529" w:type="dxa"/>
          </w:tcPr>
          <w:p w:rsidRPr="005049F2" w:rsidR="00D653AE" w:rsidP="00033697" w:rsidRDefault="00D653AE">
            <w:pPr>
              <w:spacing w:after="240"/>
              <w:rPr>
                <w:szCs w:val="18"/>
              </w:rPr>
            </w:pPr>
            <w:r>
              <w:rPr>
                <w:szCs w:val="18"/>
              </w:rPr>
              <w:t>Voor kennisgeving aannemen</w:t>
            </w:r>
          </w:p>
        </w:tc>
      </w:tr>
      <w:tr w:rsidRPr="005049F2" w:rsidR="00D653AE" w:rsidTr="00033697">
        <w:tc>
          <w:tcPr>
            <w:tcW w:w="421" w:type="dxa"/>
            <w:vMerge/>
            <w:tcBorders>
              <w:top w:val="nil"/>
              <w:bottom w:val="single" w:color="D9D9D9" w:themeColor="background1" w:themeShade="D9" w:sz="4" w:space="0"/>
            </w:tcBorders>
            <w:shd w:val="clear" w:color="auto" w:fill="F2F2F2" w:themeFill="background1" w:themeFillShade="F2"/>
          </w:tcPr>
          <w:p w:rsidRPr="005049F2" w:rsidR="00D653AE" w:rsidP="00033697" w:rsidRDefault="00D653AE">
            <w:pPr>
              <w:spacing w:after="240"/>
              <w:rPr>
                <w:color w:val="595959" w:themeColor="text1" w:themeTint="A6"/>
                <w:szCs w:val="18"/>
              </w:rPr>
            </w:pPr>
          </w:p>
        </w:tc>
        <w:tc>
          <w:tcPr>
            <w:tcW w:w="1035" w:type="dxa"/>
          </w:tcPr>
          <w:p w:rsidRPr="005049F2" w:rsidR="00D653AE" w:rsidP="00033697" w:rsidRDefault="00D653AE">
            <w:pPr>
              <w:spacing w:after="240"/>
              <w:rPr>
                <w:color w:val="595959" w:themeColor="text1" w:themeTint="A6"/>
                <w:szCs w:val="18"/>
              </w:rPr>
            </w:pPr>
            <w:r w:rsidRPr="005049F2">
              <w:rPr>
                <w:color w:val="595959" w:themeColor="text1" w:themeTint="A6"/>
                <w:szCs w:val="18"/>
              </w:rPr>
              <w:t>Noot</w:t>
            </w:r>
          </w:p>
        </w:tc>
        <w:tc>
          <w:tcPr>
            <w:tcW w:w="6529" w:type="dxa"/>
          </w:tcPr>
          <w:p w:rsidRPr="005049F2" w:rsidR="00D653AE" w:rsidP="00AB35A7" w:rsidRDefault="00E46ACB">
            <w:pPr>
              <w:spacing w:after="240"/>
              <w:rPr>
                <w:color w:val="595959" w:themeColor="text1" w:themeTint="A6"/>
                <w:szCs w:val="18"/>
              </w:rPr>
            </w:pPr>
            <w:r w:rsidRPr="00E46ACB">
              <w:rPr>
                <w:color w:val="595959" w:themeColor="text1" w:themeTint="A6"/>
                <w:szCs w:val="18"/>
              </w:rPr>
              <w:t xml:space="preserve">De belastingheffing van energieproducten en elektriciteit in de </w:t>
            </w:r>
            <w:r>
              <w:rPr>
                <w:color w:val="595959" w:themeColor="text1" w:themeTint="A6"/>
                <w:szCs w:val="18"/>
              </w:rPr>
              <w:t>EU</w:t>
            </w:r>
            <w:r w:rsidRPr="00E46ACB">
              <w:rPr>
                <w:color w:val="595959" w:themeColor="text1" w:themeTint="A6"/>
                <w:szCs w:val="18"/>
              </w:rPr>
              <w:t xml:space="preserve"> is geregeld</w:t>
            </w:r>
            <w:r>
              <w:rPr>
                <w:color w:val="595959" w:themeColor="text1" w:themeTint="A6"/>
                <w:szCs w:val="18"/>
              </w:rPr>
              <w:t xml:space="preserve"> in de energiebelastingrichtlijn. D</w:t>
            </w:r>
            <w:r w:rsidRPr="00E46ACB">
              <w:rPr>
                <w:color w:val="595959" w:themeColor="text1" w:themeTint="A6"/>
                <w:szCs w:val="18"/>
              </w:rPr>
              <w:t xml:space="preserve">e Raad </w:t>
            </w:r>
            <w:r>
              <w:rPr>
                <w:color w:val="595959" w:themeColor="text1" w:themeTint="A6"/>
                <w:szCs w:val="18"/>
              </w:rPr>
              <w:t xml:space="preserve">kan </w:t>
            </w:r>
            <w:r w:rsidRPr="00E46ACB">
              <w:rPr>
                <w:color w:val="595959" w:themeColor="text1" w:themeTint="A6"/>
                <w:szCs w:val="18"/>
              </w:rPr>
              <w:t>met eenparigheid van stemmen besluiten dat een lidstaat uit specifieke beleidsoverwegingen wordt gemachtigd om belastingvrijstellingen of -verlagingen in te voeren.</w:t>
            </w:r>
            <w:r w:rsidR="00AB35A7">
              <w:rPr>
                <w:color w:val="595959" w:themeColor="text1" w:themeTint="A6"/>
                <w:szCs w:val="18"/>
              </w:rPr>
              <w:t xml:space="preserve"> </w:t>
            </w:r>
            <w:r w:rsidRPr="00AB35A7" w:rsidR="00AB35A7">
              <w:rPr>
                <w:color w:val="595959" w:themeColor="text1" w:themeTint="A6"/>
                <w:szCs w:val="18"/>
              </w:rPr>
              <w:t>Polen wil toestemming krijgen om de nationale belastingtarieven voor zware stookolie, aardgas, kolen en cokes die als verwarmingsbrandstof worden gebruikt, tijdelijk</w:t>
            </w:r>
            <w:r w:rsidR="00AB35A7">
              <w:rPr>
                <w:color w:val="595959" w:themeColor="text1" w:themeTint="A6"/>
                <w:szCs w:val="18"/>
              </w:rPr>
              <w:t xml:space="preserve"> (voor zes maanden)</w:t>
            </w:r>
            <w:r w:rsidRPr="00AB35A7" w:rsidR="00AB35A7">
              <w:rPr>
                <w:color w:val="595959" w:themeColor="text1" w:themeTint="A6"/>
                <w:szCs w:val="18"/>
              </w:rPr>
              <w:t xml:space="preserve"> te verlagen</w:t>
            </w:r>
            <w:r w:rsidR="00AB35A7">
              <w:rPr>
                <w:color w:val="595959" w:themeColor="text1" w:themeTint="A6"/>
                <w:szCs w:val="18"/>
              </w:rPr>
              <w:t xml:space="preserve"> tot onder de in de richtlijn vastgestelde minimumniveaus. Polen wijst erop dat de</w:t>
            </w:r>
            <w:r w:rsidRPr="00AB35A7" w:rsidR="00AB35A7">
              <w:rPr>
                <w:color w:val="595959" w:themeColor="text1" w:themeTint="A6"/>
                <w:szCs w:val="18"/>
              </w:rPr>
              <w:t xml:space="preserve"> hoge inflatie en de stijgende prijzen van energieproducten de Poolse samenleving onder grote sociale en economische druk</w:t>
            </w:r>
            <w:r w:rsidR="00AB35A7">
              <w:rPr>
                <w:color w:val="595959" w:themeColor="text1" w:themeTint="A6"/>
                <w:szCs w:val="18"/>
              </w:rPr>
              <w:t xml:space="preserve"> zetten. De ongunstige wisselkoers </w:t>
            </w:r>
            <w:r w:rsidR="00AB35A7">
              <w:rPr>
                <w:color w:val="595959" w:themeColor="text1" w:themeTint="A6"/>
                <w:szCs w:val="18"/>
              </w:rPr>
              <w:lastRenderedPageBreak/>
              <w:t>van de zloty zou daarbij leiden tot een belastingverhoging voor deze producten. De Europese Commissie beoordeelt dat g</w:t>
            </w:r>
            <w:r w:rsidRPr="00AB35A7" w:rsidR="00AB35A7">
              <w:rPr>
                <w:color w:val="595959" w:themeColor="text1" w:themeTint="A6"/>
                <w:szCs w:val="18"/>
              </w:rPr>
              <w:t>ezien de korte looptijd van de maatregel en de huidige uitzonderlijke omstandigheden die samenhangen met de geopolitieke situatie, de gevraagde derogatie echter passend en evenredig</w:t>
            </w:r>
            <w:r w:rsidR="00AB35A7">
              <w:rPr>
                <w:color w:val="595959" w:themeColor="text1" w:themeTint="A6"/>
                <w:szCs w:val="18"/>
              </w:rPr>
              <w:t xml:space="preserve"> is en stelt voor de derogatie te verlenen.</w:t>
            </w:r>
          </w:p>
        </w:tc>
      </w:tr>
    </w:tbl>
    <w:p w:rsidRPr="005049F2" w:rsidR="00D653AE" w:rsidP="002A4BD8" w:rsidRDefault="00D653A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2A4BD8" w:rsidP="00916AF1" w:rsidRDefault="002A4BD8">
            <w:pPr>
              <w:pStyle w:val="Lijstalinea"/>
              <w:numPr>
                <w:ilvl w:val="0"/>
                <w:numId w:val="10"/>
              </w:numPr>
              <w:spacing w:after="240"/>
              <w:ind w:left="312"/>
              <w:rPr>
                <w:color w:val="595959" w:themeColor="text1" w:themeTint="A6"/>
                <w:szCs w:val="18"/>
              </w:rPr>
            </w:pPr>
          </w:p>
        </w:tc>
        <w:tc>
          <w:tcPr>
            <w:tcW w:w="1035" w:type="dxa"/>
          </w:tcPr>
          <w:p w:rsidRPr="005049F2" w:rsidR="002A4BD8" w:rsidP="00916AF1" w:rsidRDefault="002A4BD8">
            <w:pPr>
              <w:spacing w:after="240"/>
              <w:rPr>
                <w:color w:val="595959" w:themeColor="text1" w:themeTint="A6"/>
                <w:szCs w:val="18"/>
              </w:rPr>
            </w:pPr>
            <w:r w:rsidRPr="005049F2">
              <w:rPr>
                <w:color w:val="595959" w:themeColor="text1" w:themeTint="A6"/>
                <w:szCs w:val="18"/>
              </w:rPr>
              <w:t>Titel</w:t>
            </w:r>
          </w:p>
        </w:tc>
        <w:tc>
          <w:tcPr>
            <w:tcW w:w="6529" w:type="dxa"/>
          </w:tcPr>
          <w:p w:rsidRPr="00477F56" w:rsidR="002A4BD8" w:rsidP="00916AF1" w:rsidRDefault="00AF18CF">
            <w:pPr>
              <w:spacing w:after="240"/>
              <w:rPr>
                <w:b/>
                <w:color w:val="595959" w:themeColor="text1" w:themeTint="A6"/>
                <w:szCs w:val="18"/>
                <w:lang w:val="en-GB"/>
              </w:rPr>
            </w:pPr>
            <w:r w:rsidRPr="00477F56">
              <w:rPr>
                <w:szCs w:val="18"/>
                <w:lang w:val="en-GB"/>
              </w:rPr>
              <w:t>Proposal for a COUNCIL IMPLEMENTING DECISION amending Council Implementing Decision (EU) (ST 12532/21 INIT; ST 12532/21 ADD 1) of 3 November 2021 on the approval of the assessment of the recovery and resilience plan for Estonia</w:t>
            </w:r>
            <w:r w:rsidRPr="00477F56">
              <w:rPr>
                <w:rFonts w:cs="Calibri"/>
                <w:szCs w:val="18"/>
                <w:lang w:val="en-GB"/>
              </w:rPr>
              <w:t xml:space="preserve"> </w:t>
            </w:r>
            <w:hyperlink w:history="1" r:id="rId22">
              <w:r w:rsidRPr="00477F56">
                <w:rPr>
                  <w:rStyle w:val="Hyperlink"/>
                  <w:rFonts w:cs="Calibri"/>
                  <w:szCs w:val="18"/>
                  <w:lang w:val="en-GB"/>
                </w:rPr>
                <w:t>COM(2023)265</w:t>
              </w:r>
            </w:hyperlink>
          </w:p>
        </w:tc>
      </w:tr>
      <w:tr w:rsidRPr="005049F2"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477F56" w:rsidR="002A4BD8" w:rsidP="00916AF1" w:rsidRDefault="002A4BD8">
            <w:pPr>
              <w:spacing w:after="240"/>
              <w:rPr>
                <w:szCs w:val="18"/>
                <w:lang w:val="en-GB"/>
              </w:rPr>
            </w:pPr>
          </w:p>
        </w:tc>
        <w:tc>
          <w:tcPr>
            <w:tcW w:w="1035" w:type="dxa"/>
          </w:tcPr>
          <w:p w:rsidRPr="005049F2" w:rsidR="002A4BD8" w:rsidP="00916AF1" w:rsidRDefault="002A4BD8">
            <w:pPr>
              <w:spacing w:after="240"/>
              <w:rPr>
                <w:szCs w:val="18"/>
              </w:rPr>
            </w:pPr>
            <w:r w:rsidRPr="005049F2">
              <w:rPr>
                <w:szCs w:val="18"/>
              </w:rPr>
              <w:t>Voorstel</w:t>
            </w:r>
          </w:p>
        </w:tc>
        <w:tc>
          <w:tcPr>
            <w:tcW w:w="6529" w:type="dxa"/>
          </w:tcPr>
          <w:p w:rsidRPr="005049F2" w:rsidR="002A4BD8" w:rsidP="00916AF1" w:rsidRDefault="000F34F2">
            <w:pPr>
              <w:spacing w:after="240"/>
              <w:rPr>
                <w:szCs w:val="18"/>
              </w:rPr>
            </w:pPr>
            <w:r>
              <w:rPr>
                <w:szCs w:val="18"/>
              </w:rPr>
              <w:t>Desgewenst betrekken bij het commissiedebat Eurogroep/</w:t>
            </w:r>
            <w:proofErr w:type="spellStart"/>
            <w:r>
              <w:rPr>
                <w:szCs w:val="18"/>
              </w:rPr>
              <w:t>Ecofin</w:t>
            </w:r>
            <w:proofErr w:type="spellEnd"/>
            <w:r>
              <w:rPr>
                <w:szCs w:val="18"/>
              </w:rPr>
              <w:t xml:space="preserve"> van 13 juni 2023. </w:t>
            </w:r>
          </w:p>
        </w:tc>
      </w:tr>
      <w:tr w:rsidRPr="005049F2"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5049F2" w:rsidR="002A4BD8" w:rsidP="00916AF1" w:rsidRDefault="002A4BD8">
            <w:pPr>
              <w:spacing w:after="240"/>
              <w:rPr>
                <w:color w:val="595959" w:themeColor="text1" w:themeTint="A6"/>
                <w:szCs w:val="18"/>
              </w:rPr>
            </w:pPr>
          </w:p>
        </w:tc>
        <w:tc>
          <w:tcPr>
            <w:tcW w:w="1035" w:type="dxa"/>
          </w:tcPr>
          <w:p w:rsidRPr="005049F2" w:rsidR="002A4BD8" w:rsidP="00916AF1" w:rsidRDefault="002A4BD8">
            <w:pPr>
              <w:spacing w:after="240"/>
              <w:rPr>
                <w:color w:val="595959" w:themeColor="text1" w:themeTint="A6"/>
                <w:szCs w:val="18"/>
              </w:rPr>
            </w:pPr>
            <w:r w:rsidRPr="005049F2">
              <w:rPr>
                <w:color w:val="595959" w:themeColor="text1" w:themeTint="A6"/>
                <w:szCs w:val="18"/>
              </w:rPr>
              <w:t>Noot</w:t>
            </w:r>
          </w:p>
        </w:tc>
        <w:tc>
          <w:tcPr>
            <w:tcW w:w="6529" w:type="dxa"/>
          </w:tcPr>
          <w:p w:rsidRPr="005049F2" w:rsidR="002A4BD8" w:rsidP="00916AF1" w:rsidRDefault="000F34F2">
            <w:pPr>
              <w:spacing w:after="240"/>
              <w:rPr>
                <w:color w:val="595959" w:themeColor="text1" w:themeTint="A6"/>
                <w:szCs w:val="18"/>
              </w:rPr>
            </w:pPr>
            <w:r>
              <w:rPr>
                <w:color w:val="595959" w:themeColor="text1" w:themeTint="A6"/>
                <w:szCs w:val="18"/>
              </w:rPr>
              <w:t xml:space="preserve">Dit betreft een voorstel van de Europese Commissie voor een uitvoeringsbesluit ter goedkeuring van het aangepaste herstel-en veerkrachtplan van Estland. In het aangepaste plan is een nieuw hoofdstuk opgenomen ter uitvoering van </w:t>
            </w:r>
            <w:proofErr w:type="spellStart"/>
            <w:r>
              <w:rPr>
                <w:color w:val="595959" w:themeColor="text1" w:themeTint="A6"/>
                <w:szCs w:val="18"/>
              </w:rPr>
              <w:t>RepowerEU</w:t>
            </w:r>
            <w:proofErr w:type="spellEnd"/>
            <w:r>
              <w:rPr>
                <w:color w:val="595959" w:themeColor="text1" w:themeTint="A6"/>
                <w:szCs w:val="18"/>
              </w:rPr>
              <w:t xml:space="preserve"> en is rekening gehouden met de </w:t>
            </w:r>
            <w:r w:rsidRPr="000F34F2">
              <w:rPr>
                <w:color w:val="595959" w:themeColor="text1" w:themeTint="A6"/>
                <w:szCs w:val="18"/>
              </w:rPr>
              <w:t>geactualiseerde maximale financiële bijdrage</w:t>
            </w:r>
            <w:r>
              <w:rPr>
                <w:color w:val="595959" w:themeColor="text1" w:themeTint="A6"/>
                <w:szCs w:val="18"/>
              </w:rPr>
              <w:t xml:space="preserve"> voor Estland. </w:t>
            </w:r>
          </w:p>
        </w:tc>
      </w:tr>
    </w:tbl>
    <w:p w:rsidRPr="005049F2"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2A4BD8" w:rsidP="00916AF1" w:rsidRDefault="002A4BD8">
            <w:pPr>
              <w:pStyle w:val="Lijstalinea"/>
              <w:numPr>
                <w:ilvl w:val="0"/>
                <w:numId w:val="10"/>
              </w:numPr>
              <w:spacing w:after="240"/>
              <w:ind w:left="312"/>
              <w:rPr>
                <w:color w:val="595959" w:themeColor="text1" w:themeTint="A6"/>
                <w:szCs w:val="18"/>
              </w:rPr>
            </w:pPr>
          </w:p>
        </w:tc>
        <w:tc>
          <w:tcPr>
            <w:tcW w:w="1035" w:type="dxa"/>
          </w:tcPr>
          <w:p w:rsidRPr="005049F2" w:rsidR="002A4BD8" w:rsidP="00916AF1" w:rsidRDefault="002A4BD8">
            <w:pPr>
              <w:spacing w:after="240"/>
              <w:rPr>
                <w:color w:val="595959" w:themeColor="text1" w:themeTint="A6"/>
                <w:szCs w:val="18"/>
              </w:rPr>
            </w:pPr>
            <w:r w:rsidRPr="005049F2">
              <w:rPr>
                <w:color w:val="595959" w:themeColor="text1" w:themeTint="A6"/>
                <w:szCs w:val="18"/>
              </w:rPr>
              <w:t>Titel</w:t>
            </w:r>
          </w:p>
        </w:tc>
        <w:tc>
          <w:tcPr>
            <w:tcW w:w="6529" w:type="dxa"/>
          </w:tcPr>
          <w:p w:rsidRPr="00477F56" w:rsidR="002A4BD8" w:rsidP="00916AF1" w:rsidRDefault="002259F3">
            <w:pPr>
              <w:spacing w:after="240"/>
              <w:rPr>
                <w:b/>
                <w:color w:val="595959" w:themeColor="text1" w:themeTint="A6"/>
                <w:szCs w:val="18"/>
                <w:lang w:val="en-GB"/>
              </w:rPr>
            </w:pPr>
            <w:r w:rsidRPr="00477F56">
              <w:rPr>
                <w:szCs w:val="18"/>
                <w:lang w:val="en-GB"/>
              </w:rPr>
              <w:t xml:space="preserve">COMMUNICATION FROM THE COMMISSION TO THE EUROPEAN PARLIAMENT, THE COUNCIL AND THE EUROPEAN ECONOMIC AND SOCIAL COMMITTEE Customs reform: Taking the Customs Union to the next level </w:t>
            </w:r>
            <w:hyperlink w:history="1" r:id="rId23">
              <w:r w:rsidRPr="00477F56">
                <w:rPr>
                  <w:rStyle w:val="Hyperlink"/>
                  <w:szCs w:val="18"/>
                  <w:lang w:val="en-GB"/>
                </w:rPr>
                <w:t>COM(2023)257</w:t>
              </w:r>
            </w:hyperlink>
          </w:p>
        </w:tc>
      </w:tr>
      <w:tr w:rsidRPr="005049F2"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477F56" w:rsidR="002A4BD8" w:rsidP="00916AF1" w:rsidRDefault="002A4BD8">
            <w:pPr>
              <w:spacing w:after="240"/>
              <w:rPr>
                <w:szCs w:val="18"/>
                <w:lang w:val="en-GB"/>
              </w:rPr>
            </w:pPr>
          </w:p>
        </w:tc>
        <w:tc>
          <w:tcPr>
            <w:tcW w:w="1035" w:type="dxa"/>
          </w:tcPr>
          <w:p w:rsidRPr="005049F2" w:rsidR="002A4BD8" w:rsidP="00916AF1" w:rsidRDefault="002A4BD8">
            <w:pPr>
              <w:spacing w:after="240"/>
              <w:rPr>
                <w:szCs w:val="18"/>
              </w:rPr>
            </w:pPr>
            <w:r w:rsidRPr="005049F2">
              <w:rPr>
                <w:szCs w:val="18"/>
              </w:rPr>
              <w:t>Voorstel</w:t>
            </w:r>
          </w:p>
        </w:tc>
        <w:tc>
          <w:tcPr>
            <w:tcW w:w="6529" w:type="dxa"/>
          </w:tcPr>
          <w:p w:rsidRPr="005049F2" w:rsidR="002A4BD8" w:rsidP="00916AF1" w:rsidRDefault="00426F25">
            <w:pPr>
              <w:spacing w:after="240"/>
              <w:rPr>
                <w:szCs w:val="18"/>
              </w:rPr>
            </w:pPr>
            <w:r>
              <w:rPr>
                <w:szCs w:val="18"/>
              </w:rPr>
              <w:t>Desgewenst betrekken bij het commissiedebat Eurogroep/</w:t>
            </w:r>
            <w:proofErr w:type="spellStart"/>
            <w:r>
              <w:rPr>
                <w:szCs w:val="18"/>
              </w:rPr>
              <w:t>Ecofin</w:t>
            </w:r>
            <w:proofErr w:type="spellEnd"/>
            <w:r>
              <w:rPr>
                <w:szCs w:val="18"/>
              </w:rPr>
              <w:t xml:space="preserve"> van 13 juni 2023.</w:t>
            </w:r>
          </w:p>
        </w:tc>
      </w:tr>
      <w:tr w:rsidRPr="005049F2"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5049F2" w:rsidR="002A4BD8" w:rsidP="00916AF1" w:rsidRDefault="002A4BD8">
            <w:pPr>
              <w:spacing w:after="240"/>
              <w:rPr>
                <w:color w:val="595959" w:themeColor="text1" w:themeTint="A6"/>
                <w:szCs w:val="18"/>
              </w:rPr>
            </w:pPr>
          </w:p>
        </w:tc>
        <w:tc>
          <w:tcPr>
            <w:tcW w:w="1035" w:type="dxa"/>
          </w:tcPr>
          <w:p w:rsidRPr="005049F2" w:rsidR="002A4BD8" w:rsidP="00916AF1" w:rsidRDefault="002A4BD8">
            <w:pPr>
              <w:spacing w:after="240"/>
              <w:rPr>
                <w:color w:val="595959" w:themeColor="text1" w:themeTint="A6"/>
                <w:szCs w:val="18"/>
              </w:rPr>
            </w:pPr>
            <w:r w:rsidRPr="005049F2">
              <w:rPr>
                <w:color w:val="595959" w:themeColor="text1" w:themeTint="A6"/>
                <w:szCs w:val="18"/>
              </w:rPr>
              <w:t>Noot</w:t>
            </w:r>
          </w:p>
        </w:tc>
        <w:tc>
          <w:tcPr>
            <w:tcW w:w="6529" w:type="dxa"/>
          </w:tcPr>
          <w:p w:rsidRPr="005049F2" w:rsidR="002A4BD8" w:rsidP="00426F25" w:rsidRDefault="00426F25">
            <w:pPr>
              <w:spacing w:after="240"/>
              <w:rPr>
                <w:color w:val="595959" w:themeColor="text1" w:themeTint="A6"/>
                <w:szCs w:val="18"/>
              </w:rPr>
            </w:pPr>
            <w:r>
              <w:rPr>
                <w:color w:val="595959" w:themeColor="text1" w:themeTint="A6"/>
                <w:szCs w:val="18"/>
              </w:rPr>
              <w:t>D</w:t>
            </w:r>
            <w:r w:rsidRPr="00426F25">
              <w:rPr>
                <w:color w:val="595959" w:themeColor="text1" w:themeTint="A6"/>
                <w:szCs w:val="18"/>
              </w:rPr>
              <w:t>e Europese Commissie</w:t>
            </w:r>
            <w:r>
              <w:rPr>
                <w:color w:val="595959" w:themeColor="text1" w:themeTint="A6"/>
                <w:szCs w:val="18"/>
              </w:rPr>
              <w:t xml:space="preserve"> heeft een pakket </w:t>
            </w:r>
            <w:r w:rsidRPr="00426F25">
              <w:rPr>
                <w:color w:val="595959" w:themeColor="text1" w:themeTint="A6"/>
                <w:szCs w:val="18"/>
              </w:rPr>
              <w:t xml:space="preserve">voorstellen gepubliceerd om de douane-unie te hervormen. Douaneprocessen voor bedrijven zullen sterk vereenvoudigen, traditionele aangiften worden vervangen door een slimmere, </w:t>
            </w:r>
            <w:proofErr w:type="spellStart"/>
            <w:r w:rsidRPr="00426F25">
              <w:rPr>
                <w:color w:val="595959" w:themeColor="text1" w:themeTint="A6"/>
                <w:szCs w:val="18"/>
              </w:rPr>
              <w:t>datagestuurde</w:t>
            </w:r>
            <w:proofErr w:type="spellEnd"/>
            <w:r w:rsidRPr="00426F25">
              <w:rPr>
                <w:color w:val="595959" w:themeColor="text1" w:themeTint="A6"/>
                <w:szCs w:val="18"/>
              </w:rPr>
              <w:t xml:space="preserve"> aanpak</w:t>
            </w:r>
            <w:r>
              <w:rPr>
                <w:color w:val="595959" w:themeColor="text1" w:themeTint="A6"/>
                <w:szCs w:val="18"/>
              </w:rPr>
              <w:t xml:space="preserve"> en e</w:t>
            </w:r>
            <w:r w:rsidRPr="00426F25">
              <w:rPr>
                <w:color w:val="595959" w:themeColor="text1" w:themeTint="A6"/>
                <w:szCs w:val="18"/>
              </w:rPr>
              <w:t xml:space="preserve">en nieuwe </w:t>
            </w:r>
            <w:proofErr w:type="spellStart"/>
            <w:r w:rsidRPr="00426F25">
              <w:rPr>
                <w:color w:val="595959" w:themeColor="text1" w:themeTint="A6"/>
                <w:szCs w:val="18"/>
              </w:rPr>
              <w:t>douane-autoriteit</w:t>
            </w:r>
            <w:proofErr w:type="spellEnd"/>
            <w:r w:rsidRPr="00426F25">
              <w:rPr>
                <w:color w:val="595959" w:themeColor="text1" w:themeTint="A6"/>
                <w:szCs w:val="18"/>
              </w:rPr>
              <w:t xml:space="preserve"> zal toezicht houden op de EU </w:t>
            </w:r>
            <w:proofErr w:type="spellStart"/>
            <w:r w:rsidRPr="00426F25">
              <w:rPr>
                <w:color w:val="595959" w:themeColor="text1" w:themeTint="A6"/>
                <w:szCs w:val="18"/>
              </w:rPr>
              <w:t>douanedatahub</w:t>
            </w:r>
            <w:proofErr w:type="spellEnd"/>
            <w:r w:rsidRPr="00426F25">
              <w:rPr>
                <w:color w:val="595959" w:themeColor="text1" w:themeTint="A6"/>
                <w:szCs w:val="18"/>
              </w:rPr>
              <w:t xml:space="preserve">, waarmee het bedrijfsleven online kan communiceren over hun producten en toeleveringsketens. </w:t>
            </w:r>
          </w:p>
        </w:tc>
      </w:tr>
    </w:tbl>
    <w:p w:rsidRPr="005049F2"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DF5A2E"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DF5A2E" w:rsidP="00916AF1" w:rsidRDefault="00DF5A2E">
            <w:pPr>
              <w:pStyle w:val="Lijstalinea"/>
              <w:numPr>
                <w:ilvl w:val="0"/>
                <w:numId w:val="10"/>
              </w:numPr>
              <w:spacing w:after="240"/>
              <w:ind w:left="312"/>
              <w:rPr>
                <w:color w:val="595959" w:themeColor="text1" w:themeTint="A6"/>
                <w:szCs w:val="18"/>
              </w:rPr>
            </w:pPr>
          </w:p>
        </w:tc>
        <w:tc>
          <w:tcPr>
            <w:tcW w:w="1035" w:type="dxa"/>
          </w:tcPr>
          <w:p w:rsidRPr="005049F2" w:rsidR="00DF5A2E" w:rsidP="00916AF1" w:rsidRDefault="00DF5A2E">
            <w:pPr>
              <w:spacing w:after="240"/>
              <w:rPr>
                <w:color w:val="595959" w:themeColor="text1" w:themeTint="A6"/>
                <w:szCs w:val="18"/>
              </w:rPr>
            </w:pPr>
            <w:r w:rsidRPr="005049F2">
              <w:rPr>
                <w:color w:val="595959" w:themeColor="text1" w:themeTint="A6"/>
                <w:szCs w:val="18"/>
              </w:rPr>
              <w:t>Titel</w:t>
            </w:r>
          </w:p>
        </w:tc>
        <w:tc>
          <w:tcPr>
            <w:tcW w:w="6529" w:type="dxa"/>
          </w:tcPr>
          <w:p w:rsidRPr="00477F56" w:rsidR="00DF5A2E" w:rsidP="00916AF1" w:rsidRDefault="00E246A3">
            <w:pPr>
              <w:spacing w:after="240"/>
              <w:rPr>
                <w:b/>
                <w:color w:val="595959" w:themeColor="text1" w:themeTint="A6"/>
                <w:szCs w:val="18"/>
                <w:lang w:val="en-GB"/>
              </w:rPr>
            </w:pPr>
            <w:r w:rsidRPr="00477F56">
              <w:rPr>
                <w:szCs w:val="18"/>
                <w:lang w:val="en-GB"/>
              </w:rPr>
              <w:t xml:space="preserve">REPORT FROM THE COMMISSION Belgium, Bulgaria, </w:t>
            </w:r>
            <w:proofErr w:type="spellStart"/>
            <w:r w:rsidRPr="00477F56">
              <w:rPr>
                <w:szCs w:val="18"/>
                <w:lang w:val="en-GB"/>
              </w:rPr>
              <w:t>Czechia</w:t>
            </w:r>
            <w:proofErr w:type="spellEnd"/>
            <w:r w:rsidRPr="00477F56">
              <w:rPr>
                <w:szCs w:val="18"/>
                <w:lang w:val="en-GB"/>
              </w:rPr>
              <w:t xml:space="preserve">, Germany, Estonia, Spain, France, Italy, Latvia, Hungary, Malta, Austria, Poland, Slovenia, Slovakia and Finland Report prepared in accordance with Article 126(3) of the Treaty on the Functioning of the European Union </w:t>
            </w:r>
            <w:hyperlink w:history="1" r:id="rId24">
              <w:r w:rsidRPr="00477F56">
                <w:rPr>
                  <w:rStyle w:val="Hyperlink"/>
                  <w:szCs w:val="18"/>
                  <w:lang w:val="en-GB"/>
                </w:rPr>
                <w:t>COM(2023)631</w:t>
              </w:r>
            </w:hyperlink>
          </w:p>
        </w:tc>
      </w:tr>
      <w:tr w:rsidRPr="005049F2" w:rsidR="00DF5A2E"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DF5A2E" w:rsidP="00916AF1" w:rsidRDefault="00DF5A2E">
            <w:pPr>
              <w:spacing w:after="240"/>
              <w:rPr>
                <w:szCs w:val="18"/>
                <w:lang w:val="en-GB"/>
              </w:rPr>
            </w:pPr>
          </w:p>
        </w:tc>
        <w:tc>
          <w:tcPr>
            <w:tcW w:w="1035" w:type="dxa"/>
          </w:tcPr>
          <w:p w:rsidRPr="005049F2" w:rsidR="00DF5A2E" w:rsidP="00916AF1" w:rsidRDefault="00DF5A2E">
            <w:pPr>
              <w:spacing w:after="240"/>
              <w:rPr>
                <w:szCs w:val="18"/>
              </w:rPr>
            </w:pPr>
            <w:r w:rsidRPr="005049F2">
              <w:rPr>
                <w:szCs w:val="18"/>
              </w:rPr>
              <w:t>Voorstel</w:t>
            </w:r>
          </w:p>
        </w:tc>
        <w:tc>
          <w:tcPr>
            <w:tcW w:w="6529" w:type="dxa"/>
          </w:tcPr>
          <w:p w:rsidRPr="005049F2" w:rsidR="00DF5A2E" w:rsidP="00916AF1" w:rsidRDefault="009027A8">
            <w:pPr>
              <w:spacing w:after="240"/>
              <w:rPr>
                <w:szCs w:val="18"/>
              </w:rPr>
            </w:pPr>
            <w:r>
              <w:rPr>
                <w:szCs w:val="18"/>
              </w:rPr>
              <w:t>Desgewenst betrekken bij het Commissiedebat Eurogroep/</w:t>
            </w:r>
            <w:proofErr w:type="spellStart"/>
            <w:r>
              <w:rPr>
                <w:szCs w:val="18"/>
              </w:rPr>
              <w:t>Ecofin</w:t>
            </w:r>
            <w:proofErr w:type="spellEnd"/>
            <w:r>
              <w:rPr>
                <w:szCs w:val="18"/>
              </w:rPr>
              <w:t xml:space="preserve"> van 13 juni 2023.</w:t>
            </w:r>
          </w:p>
        </w:tc>
      </w:tr>
      <w:tr w:rsidRPr="005049F2" w:rsidR="00DF5A2E"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DF5A2E" w:rsidP="00916AF1" w:rsidRDefault="00DF5A2E">
            <w:pPr>
              <w:spacing w:after="240"/>
              <w:rPr>
                <w:color w:val="595959" w:themeColor="text1" w:themeTint="A6"/>
                <w:szCs w:val="18"/>
              </w:rPr>
            </w:pPr>
          </w:p>
        </w:tc>
        <w:tc>
          <w:tcPr>
            <w:tcW w:w="1035" w:type="dxa"/>
          </w:tcPr>
          <w:p w:rsidRPr="005049F2" w:rsidR="00DF5A2E" w:rsidP="00916AF1" w:rsidRDefault="00DF5A2E">
            <w:pPr>
              <w:spacing w:after="240"/>
              <w:rPr>
                <w:color w:val="595959" w:themeColor="text1" w:themeTint="A6"/>
                <w:szCs w:val="18"/>
              </w:rPr>
            </w:pPr>
            <w:r w:rsidRPr="005049F2">
              <w:rPr>
                <w:color w:val="595959" w:themeColor="text1" w:themeTint="A6"/>
                <w:szCs w:val="18"/>
              </w:rPr>
              <w:t>Noot</w:t>
            </w:r>
          </w:p>
        </w:tc>
        <w:tc>
          <w:tcPr>
            <w:tcW w:w="6529" w:type="dxa"/>
          </w:tcPr>
          <w:p w:rsidR="009027A8" w:rsidP="00916AF1" w:rsidRDefault="009027A8">
            <w:pPr>
              <w:spacing w:after="240"/>
              <w:rPr>
                <w:color w:val="595959" w:themeColor="text1" w:themeTint="A6"/>
                <w:szCs w:val="18"/>
              </w:rPr>
            </w:pPr>
            <w:r>
              <w:rPr>
                <w:color w:val="595959" w:themeColor="text1" w:themeTint="A6"/>
                <w:szCs w:val="18"/>
              </w:rPr>
              <w:t xml:space="preserve">Dit betreft het rapport van de Europese Commissie over de </w:t>
            </w:r>
            <w:proofErr w:type="spellStart"/>
            <w:r>
              <w:rPr>
                <w:color w:val="595959" w:themeColor="text1" w:themeTint="A6"/>
                <w:szCs w:val="18"/>
              </w:rPr>
              <w:t>buitensporigtekortprocedure</w:t>
            </w:r>
            <w:proofErr w:type="spellEnd"/>
            <w:r>
              <w:rPr>
                <w:color w:val="595959" w:themeColor="text1" w:themeTint="A6"/>
                <w:szCs w:val="18"/>
              </w:rPr>
              <w:t xml:space="preserve"> in het kader van het Europees Semester </w:t>
            </w:r>
            <w:r>
              <w:rPr>
                <w:color w:val="595959" w:themeColor="text1" w:themeTint="A6"/>
                <w:szCs w:val="18"/>
              </w:rPr>
              <w:lastRenderedPageBreak/>
              <w:t xml:space="preserve">waarin de Commissie de naleving door de lidstaten van de tekort- en schuldcriteria analyseert. </w:t>
            </w:r>
          </w:p>
          <w:p w:rsidR="009027A8" w:rsidP="009027A8" w:rsidRDefault="009027A8">
            <w:pPr>
              <w:spacing w:after="240"/>
              <w:rPr>
                <w:color w:val="595959" w:themeColor="text1" w:themeTint="A6"/>
                <w:szCs w:val="18"/>
              </w:rPr>
            </w:pPr>
            <w:r>
              <w:rPr>
                <w:color w:val="595959" w:themeColor="text1" w:themeTint="A6"/>
                <w:szCs w:val="18"/>
              </w:rPr>
              <w:t xml:space="preserve">Uit de analyse blijkt dat het tekort- en of schuldcriterium niet wordt behaald door </w:t>
            </w:r>
            <w:r w:rsidRPr="009027A8">
              <w:rPr>
                <w:color w:val="595959" w:themeColor="text1" w:themeTint="A6"/>
                <w:szCs w:val="18"/>
              </w:rPr>
              <w:t>België, Bulgarije, Tsjechië, Duitsland, Estland, Spanje, Frankrijk, Italië, Letland, Hongarije, Malta, Oostenrijk, Polen, Slovenië, Slowakije en Finland</w:t>
            </w:r>
            <w:r>
              <w:rPr>
                <w:color w:val="595959" w:themeColor="text1" w:themeTint="A6"/>
                <w:szCs w:val="18"/>
              </w:rPr>
              <w:t xml:space="preserve">. </w:t>
            </w:r>
          </w:p>
          <w:p w:rsidRPr="005049F2" w:rsidR="00DF5A2E" w:rsidP="00EF3D49" w:rsidRDefault="009027A8">
            <w:pPr>
              <w:spacing w:after="240"/>
              <w:rPr>
                <w:color w:val="595959" w:themeColor="text1" w:themeTint="A6"/>
                <w:szCs w:val="18"/>
              </w:rPr>
            </w:pPr>
            <w:r>
              <w:rPr>
                <w:color w:val="595959" w:themeColor="text1" w:themeTint="A6"/>
                <w:szCs w:val="18"/>
              </w:rPr>
              <w:t>De Commissie had al</w:t>
            </w:r>
            <w:r w:rsidRPr="009027A8">
              <w:rPr>
                <w:color w:val="595959" w:themeColor="text1" w:themeTint="A6"/>
                <w:szCs w:val="18"/>
              </w:rPr>
              <w:t xml:space="preserve"> aan</w:t>
            </w:r>
            <w:r>
              <w:rPr>
                <w:color w:val="595959" w:themeColor="text1" w:themeTint="A6"/>
                <w:szCs w:val="18"/>
              </w:rPr>
              <w:t xml:space="preserve">gekondigd </w:t>
            </w:r>
            <w:r w:rsidRPr="009027A8">
              <w:rPr>
                <w:color w:val="595959" w:themeColor="text1" w:themeTint="A6"/>
                <w:szCs w:val="18"/>
              </w:rPr>
              <w:t xml:space="preserve">dat zij niet zou voorstellen om in het voorjaar van 2023 nieuwe </w:t>
            </w:r>
            <w:proofErr w:type="spellStart"/>
            <w:r w:rsidRPr="009027A8">
              <w:rPr>
                <w:color w:val="595959" w:themeColor="text1" w:themeTint="A6"/>
                <w:szCs w:val="18"/>
              </w:rPr>
              <w:t>buitensporigtekortprocedures</w:t>
            </w:r>
            <w:proofErr w:type="spellEnd"/>
            <w:r w:rsidRPr="009027A8">
              <w:rPr>
                <w:color w:val="595959" w:themeColor="text1" w:themeTint="A6"/>
                <w:szCs w:val="18"/>
              </w:rPr>
              <w:t xml:space="preserve"> </w:t>
            </w:r>
            <w:r>
              <w:rPr>
                <w:color w:val="595959" w:themeColor="text1" w:themeTint="A6"/>
                <w:szCs w:val="18"/>
              </w:rPr>
              <w:t xml:space="preserve">te starten, in lijn met de nog lopende algemene ontsnappingsclausule. </w:t>
            </w:r>
            <w:r w:rsidRPr="009027A8">
              <w:rPr>
                <w:color w:val="595959" w:themeColor="text1" w:themeTint="A6"/>
                <w:szCs w:val="18"/>
              </w:rPr>
              <w:t xml:space="preserve">De Commissie </w:t>
            </w:r>
            <w:r>
              <w:rPr>
                <w:color w:val="595959" w:themeColor="text1" w:themeTint="A6"/>
                <w:szCs w:val="18"/>
              </w:rPr>
              <w:t>stelt wel voor om</w:t>
            </w:r>
            <w:r w:rsidRPr="009027A8">
              <w:rPr>
                <w:color w:val="595959" w:themeColor="text1" w:themeTint="A6"/>
                <w:szCs w:val="18"/>
              </w:rPr>
              <w:t xml:space="preserve"> in het voorjaar van 2024 op tekorten gebaseerde </w:t>
            </w:r>
            <w:proofErr w:type="spellStart"/>
            <w:r w:rsidRPr="009027A8">
              <w:rPr>
                <w:color w:val="595959" w:themeColor="text1" w:themeTint="A6"/>
                <w:szCs w:val="18"/>
              </w:rPr>
              <w:t>buitensporigtekortprocedures</w:t>
            </w:r>
            <w:proofErr w:type="spellEnd"/>
            <w:r w:rsidRPr="009027A8">
              <w:rPr>
                <w:color w:val="595959" w:themeColor="text1" w:themeTint="A6"/>
                <w:szCs w:val="18"/>
              </w:rPr>
              <w:t xml:space="preserve"> </w:t>
            </w:r>
            <w:r>
              <w:rPr>
                <w:color w:val="595959" w:themeColor="text1" w:themeTint="A6"/>
                <w:szCs w:val="18"/>
              </w:rPr>
              <w:t>te star</w:t>
            </w:r>
            <w:r w:rsidR="00EF3D49">
              <w:rPr>
                <w:color w:val="595959" w:themeColor="text1" w:themeTint="A6"/>
                <w:szCs w:val="18"/>
              </w:rPr>
              <w:t>ten.</w:t>
            </w:r>
          </w:p>
        </w:tc>
      </w:tr>
    </w:tbl>
    <w:p w:rsidRPr="005049F2"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DF5A2E"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DF5A2E" w:rsidP="00916AF1" w:rsidRDefault="00DF5A2E">
            <w:pPr>
              <w:pStyle w:val="Lijstalinea"/>
              <w:numPr>
                <w:ilvl w:val="0"/>
                <w:numId w:val="10"/>
              </w:numPr>
              <w:spacing w:after="240"/>
              <w:ind w:left="312"/>
              <w:rPr>
                <w:color w:val="595959" w:themeColor="text1" w:themeTint="A6"/>
                <w:szCs w:val="18"/>
              </w:rPr>
            </w:pPr>
          </w:p>
        </w:tc>
        <w:tc>
          <w:tcPr>
            <w:tcW w:w="1035" w:type="dxa"/>
          </w:tcPr>
          <w:p w:rsidRPr="005049F2" w:rsidR="00DF5A2E" w:rsidP="00916AF1" w:rsidRDefault="00DF5A2E">
            <w:pPr>
              <w:spacing w:after="240"/>
              <w:rPr>
                <w:color w:val="595959" w:themeColor="text1" w:themeTint="A6"/>
                <w:szCs w:val="18"/>
              </w:rPr>
            </w:pPr>
            <w:r w:rsidRPr="005049F2">
              <w:rPr>
                <w:color w:val="595959" w:themeColor="text1" w:themeTint="A6"/>
                <w:szCs w:val="18"/>
              </w:rPr>
              <w:t>Titel</w:t>
            </w:r>
          </w:p>
        </w:tc>
        <w:tc>
          <w:tcPr>
            <w:tcW w:w="6529" w:type="dxa"/>
          </w:tcPr>
          <w:p w:rsidRPr="00477F56" w:rsidR="00DF5A2E" w:rsidP="00D75CD9" w:rsidRDefault="00AB6984">
            <w:pPr>
              <w:shd w:val="clear" w:color="auto" w:fill="FFFFFF"/>
              <w:spacing w:after="75"/>
              <w:rPr>
                <w:szCs w:val="18"/>
                <w:lang w:val="en-GB" w:eastAsia="nl-NL"/>
              </w:rPr>
            </w:pPr>
            <w:r w:rsidRPr="00477F56">
              <w:rPr>
                <w:szCs w:val="18"/>
                <w:lang w:val="en-GB"/>
              </w:rPr>
              <w:t xml:space="preserve">COMMUNICATION FROM THE COMMISSION TO THE EUROPEAN PARLIAMENT, THE COUNCIL, THE EUROPEAN CENTRAL BANK, THE EUROPEAN ECONOMIC AND SOCIAL COMMITTEE, THE COMMITTEE OF THE REGIONS AND THE EUROPEAN INVESTMENT BANK 2023 European Semester - Spring Package </w:t>
            </w:r>
            <w:hyperlink w:history="1" r:id="rId25">
              <w:r w:rsidRPr="00477F56">
                <w:rPr>
                  <w:rStyle w:val="Hyperlink"/>
                  <w:szCs w:val="18"/>
                  <w:lang w:val="en-GB"/>
                </w:rPr>
                <w:t>COM(2023)600</w:t>
              </w:r>
            </w:hyperlink>
          </w:p>
        </w:tc>
      </w:tr>
      <w:tr w:rsidRPr="005049F2" w:rsidR="00DF5A2E"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DF5A2E" w:rsidP="00916AF1" w:rsidRDefault="00DF5A2E">
            <w:pPr>
              <w:spacing w:after="240"/>
              <w:rPr>
                <w:szCs w:val="18"/>
                <w:lang w:val="en-GB"/>
              </w:rPr>
            </w:pPr>
          </w:p>
        </w:tc>
        <w:tc>
          <w:tcPr>
            <w:tcW w:w="1035" w:type="dxa"/>
          </w:tcPr>
          <w:p w:rsidRPr="005049F2" w:rsidR="00DF5A2E" w:rsidP="00916AF1" w:rsidRDefault="00DF5A2E">
            <w:pPr>
              <w:spacing w:after="240"/>
              <w:rPr>
                <w:szCs w:val="18"/>
              </w:rPr>
            </w:pPr>
            <w:r w:rsidRPr="005049F2">
              <w:rPr>
                <w:szCs w:val="18"/>
              </w:rPr>
              <w:t>Voorstel</w:t>
            </w:r>
          </w:p>
        </w:tc>
        <w:tc>
          <w:tcPr>
            <w:tcW w:w="6529" w:type="dxa"/>
          </w:tcPr>
          <w:p w:rsidRPr="005049F2" w:rsidR="00DF5A2E" w:rsidP="00916AF1" w:rsidRDefault="00D75CD9">
            <w:pPr>
              <w:spacing w:after="240"/>
              <w:rPr>
                <w:szCs w:val="18"/>
              </w:rPr>
            </w:pPr>
            <w:r>
              <w:rPr>
                <w:szCs w:val="18"/>
              </w:rPr>
              <w:t>Desgewenst betrekken bij het Commissiedebat Eurogroep/</w:t>
            </w:r>
            <w:proofErr w:type="spellStart"/>
            <w:r>
              <w:rPr>
                <w:szCs w:val="18"/>
              </w:rPr>
              <w:t>Ecofin</w:t>
            </w:r>
            <w:proofErr w:type="spellEnd"/>
            <w:r>
              <w:rPr>
                <w:szCs w:val="18"/>
              </w:rPr>
              <w:t xml:space="preserve"> van 13 juni 2023.</w:t>
            </w:r>
          </w:p>
        </w:tc>
      </w:tr>
      <w:tr w:rsidRPr="005049F2" w:rsidR="00DF5A2E"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DF5A2E" w:rsidP="00916AF1" w:rsidRDefault="00DF5A2E">
            <w:pPr>
              <w:spacing w:after="240"/>
              <w:rPr>
                <w:color w:val="595959" w:themeColor="text1" w:themeTint="A6"/>
                <w:szCs w:val="18"/>
              </w:rPr>
            </w:pPr>
          </w:p>
        </w:tc>
        <w:tc>
          <w:tcPr>
            <w:tcW w:w="1035" w:type="dxa"/>
          </w:tcPr>
          <w:p w:rsidRPr="005049F2" w:rsidR="00DF5A2E" w:rsidP="00916AF1" w:rsidRDefault="00DF5A2E">
            <w:pPr>
              <w:spacing w:after="240"/>
              <w:rPr>
                <w:color w:val="595959" w:themeColor="text1" w:themeTint="A6"/>
                <w:szCs w:val="18"/>
              </w:rPr>
            </w:pPr>
            <w:r w:rsidRPr="005049F2">
              <w:rPr>
                <w:color w:val="595959" w:themeColor="text1" w:themeTint="A6"/>
                <w:szCs w:val="18"/>
              </w:rPr>
              <w:t>Noot</w:t>
            </w:r>
          </w:p>
        </w:tc>
        <w:tc>
          <w:tcPr>
            <w:tcW w:w="6529" w:type="dxa"/>
          </w:tcPr>
          <w:p w:rsidRPr="005049F2" w:rsidR="00DF5A2E" w:rsidP="00C04839" w:rsidRDefault="00D75CD9">
            <w:pPr>
              <w:spacing w:after="240"/>
              <w:rPr>
                <w:color w:val="595959" w:themeColor="text1" w:themeTint="A6"/>
                <w:szCs w:val="18"/>
              </w:rPr>
            </w:pPr>
            <w:r>
              <w:rPr>
                <w:color w:val="595959" w:themeColor="text1" w:themeTint="A6"/>
                <w:szCs w:val="18"/>
              </w:rPr>
              <w:t>Dit betreft het lentepakket van de Europese Commissie in het kader van de cyclus van het Europees Semester</w:t>
            </w:r>
            <w:r w:rsidR="006255D8">
              <w:rPr>
                <w:color w:val="595959" w:themeColor="text1" w:themeTint="A6"/>
                <w:szCs w:val="18"/>
              </w:rPr>
              <w:t xml:space="preserve">. Onderdeel van het lentepakket zijn de </w:t>
            </w:r>
            <w:proofErr w:type="spellStart"/>
            <w:r w:rsidR="006255D8">
              <w:rPr>
                <w:color w:val="595959" w:themeColor="text1" w:themeTint="A6"/>
                <w:szCs w:val="18"/>
              </w:rPr>
              <w:t>landspecifieke</w:t>
            </w:r>
            <w:proofErr w:type="spellEnd"/>
            <w:r w:rsidR="006255D8">
              <w:rPr>
                <w:color w:val="595959" w:themeColor="text1" w:themeTint="A6"/>
                <w:szCs w:val="18"/>
              </w:rPr>
              <w:t xml:space="preserve"> aanbevelingen. </w:t>
            </w:r>
            <w:r w:rsidRPr="00C04839" w:rsidR="00C04839">
              <w:rPr>
                <w:color w:val="595959" w:themeColor="text1" w:themeTint="A6"/>
                <w:szCs w:val="18"/>
              </w:rPr>
              <w:t>De Commissie concludeer</w:t>
            </w:r>
            <w:r w:rsidR="00C04839">
              <w:rPr>
                <w:color w:val="595959" w:themeColor="text1" w:themeTint="A6"/>
                <w:szCs w:val="18"/>
              </w:rPr>
              <w:t>t dat</w:t>
            </w:r>
            <w:r w:rsidRPr="00C04839" w:rsidR="00C04839">
              <w:rPr>
                <w:color w:val="595959" w:themeColor="text1" w:themeTint="A6"/>
                <w:szCs w:val="18"/>
              </w:rPr>
              <w:t xml:space="preserve"> de economie veerkrachtig blijft in een uitdagende mondiale context. Wel worden tekortkomingen bij een behoorlijk aantal lidstaten geconstateerd, veel lidstaten voldoen niet aan het tekortcriterium, enkele landen voldoen niet aan het schuldcriterium en Nederland ondervindt met verschillende andere lidstaten macro-economische onevenwichtigheden</w:t>
            </w:r>
            <w:r w:rsidR="00C04839">
              <w:rPr>
                <w:color w:val="595959" w:themeColor="text1" w:themeTint="A6"/>
                <w:szCs w:val="18"/>
              </w:rPr>
              <w:t>.</w:t>
            </w:r>
          </w:p>
        </w:tc>
      </w:tr>
    </w:tbl>
    <w:p w:rsidRPr="005049F2"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6E5214"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6E5214" w:rsidP="00916AF1" w:rsidRDefault="006E5214">
            <w:pPr>
              <w:pStyle w:val="Lijstalinea"/>
              <w:numPr>
                <w:ilvl w:val="0"/>
                <w:numId w:val="10"/>
              </w:numPr>
              <w:spacing w:after="240"/>
              <w:ind w:left="312"/>
              <w:rPr>
                <w:color w:val="595959" w:themeColor="text1" w:themeTint="A6"/>
                <w:szCs w:val="18"/>
              </w:rPr>
            </w:pPr>
          </w:p>
        </w:tc>
        <w:tc>
          <w:tcPr>
            <w:tcW w:w="1035" w:type="dxa"/>
          </w:tcPr>
          <w:p w:rsidRPr="005049F2" w:rsidR="006E5214" w:rsidP="00916AF1" w:rsidRDefault="006E5214">
            <w:pPr>
              <w:spacing w:after="240"/>
              <w:rPr>
                <w:color w:val="595959" w:themeColor="text1" w:themeTint="A6"/>
                <w:szCs w:val="18"/>
              </w:rPr>
            </w:pPr>
            <w:r w:rsidRPr="005049F2">
              <w:rPr>
                <w:color w:val="595959" w:themeColor="text1" w:themeTint="A6"/>
                <w:szCs w:val="18"/>
              </w:rPr>
              <w:t>Titel</w:t>
            </w:r>
          </w:p>
        </w:tc>
        <w:tc>
          <w:tcPr>
            <w:tcW w:w="6529" w:type="dxa"/>
          </w:tcPr>
          <w:p w:rsidRPr="00477F56" w:rsidR="006E5214" w:rsidP="00916AF1" w:rsidRDefault="00AB6984">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Lithuania and delivering a Council opinion on the 2023 Stability Programme of Lithuania </w:t>
            </w:r>
            <w:hyperlink w:history="1" r:id="rId26">
              <w:r w:rsidRPr="00477F56">
                <w:rPr>
                  <w:rStyle w:val="Hyperlink"/>
                  <w:szCs w:val="18"/>
                  <w:lang w:val="en-GB"/>
                </w:rPr>
                <w:t>COM(2023)615</w:t>
              </w:r>
            </w:hyperlink>
          </w:p>
        </w:tc>
      </w:tr>
      <w:tr w:rsidRPr="005049F2" w:rsidR="006E5214"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6E5214" w:rsidP="00916AF1" w:rsidRDefault="006E5214">
            <w:pPr>
              <w:spacing w:after="240"/>
              <w:rPr>
                <w:szCs w:val="18"/>
                <w:lang w:val="en-GB"/>
              </w:rPr>
            </w:pPr>
          </w:p>
        </w:tc>
        <w:tc>
          <w:tcPr>
            <w:tcW w:w="1035" w:type="dxa"/>
          </w:tcPr>
          <w:p w:rsidRPr="005049F2" w:rsidR="006E5214" w:rsidP="00916AF1" w:rsidRDefault="006E5214">
            <w:pPr>
              <w:spacing w:after="240"/>
              <w:rPr>
                <w:szCs w:val="18"/>
              </w:rPr>
            </w:pPr>
            <w:r w:rsidRPr="005049F2">
              <w:rPr>
                <w:szCs w:val="18"/>
              </w:rPr>
              <w:t>Voorstel</w:t>
            </w:r>
          </w:p>
        </w:tc>
        <w:tc>
          <w:tcPr>
            <w:tcW w:w="6529" w:type="dxa"/>
          </w:tcPr>
          <w:p w:rsidRPr="005049F2" w:rsidR="006E5214" w:rsidP="00916AF1" w:rsidRDefault="006255D8">
            <w:pPr>
              <w:spacing w:after="240"/>
              <w:rPr>
                <w:szCs w:val="18"/>
              </w:rPr>
            </w:pPr>
            <w:r>
              <w:rPr>
                <w:szCs w:val="18"/>
              </w:rPr>
              <w:t>Voor kennisgeving aannemen.</w:t>
            </w:r>
          </w:p>
        </w:tc>
      </w:tr>
      <w:tr w:rsidRPr="005049F2" w:rsidR="006E5214"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6E5214" w:rsidP="00916AF1" w:rsidRDefault="006E5214">
            <w:pPr>
              <w:spacing w:after="240"/>
              <w:rPr>
                <w:color w:val="595959" w:themeColor="text1" w:themeTint="A6"/>
                <w:szCs w:val="18"/>
              </w:rPr>
            </w:pPr>
          </w:p>
        </w:tc>
        <w:tc>
          <w:tcPr>
            <w:tcW w:w="1035" w:type="dxa"/>
          </w:tcPr>
          <w:p w:rsidRPr="005049F2" w:rsidR="006E5214" w:rsidP="00916AF1" w:rsidRDefault="006E5214">
            <w:pPr>
              <w:spacing w:after="240"/>
              <w:rPr>
                <w:color w:val="595959" w:themeColor="text1" w:themeTint="A6"/>
                <w:szCs w:val="18"/>
              </w:rPr>
            </w:pPr>
            <w:r w:rsidRPr="005049F2">
              <w:rPr>
                <w:color w:val="595959" w:themeColor="text1" w:themeTint="A6"/>
                <w:szCs w:val="18"/>
              </w:rPr>
              <w:t>Noot</w:t>
            </w:r>
          </w:p>
        </w:tc>
        <w:tc>
          <w:tcPr>
            <w:tcW w:w="6529" w:type="dxa"/>
          </w:tcPr>
          <w:p w:rsidRPr="005049F2" w:rsidR="006E5214" w:rsidP="00916AF1" w:rsidRDefault="006255D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Litouwen.</w:t>
            </w:r>
          </w:p>
        </w:tc>
      </w:tr>
    </w:tbl>
    <w:p w:rsidRPr="005049F2" w:rsidR="006E5214" w:rsidP="002A4BD8" w:rsidRDefault="006E52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6E5214"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6E5214" w:rsidP="00916AF1" w:rsidRDefault="006E5214">
            <w:pPr>
              <w:pStyle w:val="Lijstalinea"/>
              <w:numPr>
                <w:ilvl w:val="0"/>
                <w:numId w:val="10"/>
              </w:numPr>
              <w:spacing w:after="240"/>
              <w:ind w:left="312"/>
              <w:rPr>
                <w:color w:val="595959" w:themeColor="text1" w:themeTint="A6"/>
                <w:szCs w:val="18"/>
              </w:rPr>
            </w:pPr>
          </w:p>
        </w:tc>
        <w:tc>
          <w:tcPr>
            <w:tcW w:w="1035" w:type="dxa"/>
          </w:tcPr>
          <w:p w:rsidRPr="005049F2" w:rsidR="006E5214" w:rsidP="00916AF1" w:rsidRDefault="006E5214">
            <w:pPr>
              <w:spacing w:after="240"/>
              <w:rPr>
                <w:color w:val="595959" w:themeColor="text1" w:themeTint="A6"/>
                <w:szCs w:val="18"/>
              </w:rPr>
            </w:pPr>
            <w:r w:rsidRPr="005049F2">
              <w:rPr>
                <w:color w:val="595959" w:themeColor="text1" w:themeTint="A6"/>
                <w:szCs w:val="18"/>
              </w:rPr>
              <w:t>Titel</w:t>
            </w:r>
          </w:p>
        </w:tc>
        <w:tc>
          <w:tcPr>
            <w:tcW w:w="6529" w:type="dxa"/>
          </w:tcPr>
          <w:p w:rsidRPr="00477F56" w:rsidR="006E5214" w:rsidP="00E264F5" w:rsidRDefault="00AB6984">
            <w:pPr>
              <w:shd w:val="clear" w:color="auto" w:fill="FFFFFF"/>
              <w:spacing w:after="75"/>
              <w:rPr>
                <w:szCs w:val="18"/>
                <w:lang w:val="en-GB" w:eastAsia="nl-NL"/>
              </w:rPr>
            </w:pPr>
            <w:r w:rsidRPr="00477F56">
              <w:rPr>
                <w:szCs w:val="18"/>
                <w:lang w:val="en-GB"/>
              </w:rPr>
              <w:t xml:space="preserve">Recommendation for a COUNCIL RECOMMENDATION on the 2023 National Reform Programme of Latvia and delivering a Council opinion on the Stability Programme of Latvia </w:t>
            </w:r>
            <w:hyperlink w:history="1" r:id="rId27">
              <w:r w:rsidRPr="00477F56">
                <w:rPr>
                  <w:rStyle w:val="Hyperlink"/>
                  <w:szCs w:val="18"/>
                  <w:lang w:val="en-GB"/>
                </w:rPr>
                <w:t>COM(2023)614</w:t>
              </w:r>
            </w:hyperlink>
          </w:p>
        </w:tc>
      </w:tr>
      <w:tr w:rsidRPr="005049F2" w:rsidR="006E5214"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6E5214" w:rsidP="00916AF1" w:rsidRDefault="006E5214">
            <w:pPr>
              <w:spacing w:after="240"/>
              <w:rPr>
                <w:szCs w:val="18"/>
                <w:lang w:val="en-GB"/>
              </w:rPr>
            </w:pPr>
          </w:p>
        </w:tc>
        <w:tc>
          <w:tcPr>
            <w:tcW w:w="1035" w:type="dxa"/>
          </w:tcPr>
          <w:p w:rsidRPr="005049F2" w:rsidR="006E5214" w:rsidP="00916AF1" w:rsidRDefault="006E5214">
            <w:pPr>
              <w:spacing w:after="240"/>
              <w:rPr>
                <w:szCs w:val="18"/>
              </w:rPr>
            </w:pPr>
            <w:r w:rsidRPr="005049F2">
              <w:rPr>
                <w:szCs w:val="18"/>
              </w:rPr>
              <w:t>Voorstel</w:t>
            </w:r>
          </w:p>
        </w:tc>
        <w:tc>
          <w:tcPr>
            <w:tcW w:w="6529" w:type="dxa"/>
          </w:tcPr>
          <w:p w:rsidRPr="005049F2" w:rsidR="006E5214" w:rsidP="00916AF1" w:rsidRDefault="006255D8">
            <w:pPr>
              <w:spacing w:after="240"/>
              <w:rPr>
                <w:szCs w:val="18"/>
              </w:rPr>
            </w:pPr>
            <w:r>
              <w:rPr>
                <w:szCs w:val="18"/>
              </w:rPr>
              <w:t>Voor kennisgeving aannemen.</w:t>
            </w:r>
          </w:p>
        </w:tc>
      </w:tr>
      <w:tr w:rsidRPr="005049F2" w:rsidR="006E5214"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6E5214" w:rsidP="00916AF1" w:rsidRDefault="006E5214">
            <w:pPr>
              <w:spacing w:after="240"/>
              <w:rPr>
                <w:color w:val="595959" w:themeColor="text1" w:themeTint="A6"/>
                <w:szCs w:val="18"/>
              </w:rPr>
            </w:pPr>
          </w:p>
        </w:tc>
        <w:tc>
          <w:tcPr>
            <w:tcW w:w="1035" w:type="dxa"/>
          </w:tcPr>
          <w:p w:rsidRPr="005049F2" w:rsidR="006E5214" w:rsidP="00916AF1" w:rsidRDefault="006E5214">
            <w:pPr>
              <w:spacing w:after="240"/>
              <w:rPr>
                <w:color w:val="595959" w:themeColor="text1" w:themeTint="A6"/>
                <w:szCs w:val="18"/>
              </w:rPr>
            </w:pPr>
            <w:r w:rsidRPr="005049F2">
              <w:rPr>
                <w:color w:val="595959" w:themeColor="text1" w:themeTint="A6"/>
                <w:szCs w:val="18"/>
              </w:rPr>
              <w:t>Noot</w:t>
            </w:r>
          </w:p>
        </w:tc>
        <w:tc>
          <w:tcPr>
            <w:tcW w:w="6529" w:type="dxa"/>
          </w:tcPr>
          <w:p w:rsidRPr="005049F2" w:rsidR="006E5214" w:rsidP="00916AF1" w:rsidRDefault="006255D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Letland.</w:t>
            </w:r>
          </w:p>
        </w:tc>
      </w:tr>
    </w:tbl>
    <w:p w:rsidRPr="005049F2" w:rsidR="006E5214" w:rsidP="002A4BD8" w:rsidRDefault="006E52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790AD9"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790AD9" w:rsidP="00916AF1" w:rsidRDefault="00790AD9">
            <w:pPr>
              <w:pStyle w:val="Lijstalinea"/>
              <w:numPr>
                <w:ilvl w:val="0"/>
                <w:numId w:val="10"/>
              </w:numPr>
              <w:spacing w:after="240"/>
              <w:ind w:left="312"/>
              <w:rPr>
                <w:color w:val="595959" w:themeColor="text1" w:themeTint="A6"/>
                <w:szCs w:val="18"/>
              </w:rPr>
            </w:pPr>
          </w:p>
        </w:tc>
        <w:tc>
          <w:tcPr>
            <w:tcW w:w="1035" w:type="dxa"/>
          </w:tcPr>
          <w:p w:rsidRPr="005049F2" w:rsidR="00790AD9" w:rsidP="00916AF1" w:rsidRDefault="00790AD9">
            <w:pPr>
              <w:spacing w:after="240"/>
              <w:rPr>
                <w:color w:val="595959" w:themeColor="text1" w:themeTint="A6"/>
                <w:szCs w:val="18"/>
              </w:rPr>
            </w:pPr>
            <w:r w:rsidRPr="005049F2">
              <w:rPr>
                <w:color w:val="595959" w:themeColor="text1" w:themeTint="A6"/>
                <w:szCs w:val="18"/>
              </w:rPr>
              <w:t>Titel</w:t>
            </w:r>
          </w:p>
        </w:tc>
        <w:tc>
          <w:tcPr>
            <w:tcW w:w="6529" w:type="dxa"/>
          </w:tcPr>
          <w:p w:rsidRPr="00477F56" w:rsidR="00790AD9" w:rsidP="00916AF1" w:rsidRDefault="00790AD9">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Portugal and delivering a Council opinion on the 2023 Stability Programme of Portugal </w:t>
            </w:r>
            <w:hyperlink w:history="1" r:id="rId28">
              <w:r w:rsidRPr="00477F56">
                <w:rPr>
                  <w:rStyle w:val="Hyperlink"/>
                  <w:szCs w:val="18"/>
                  <w:lang w:val="en-GB"/>
                </w:rPr>
                <w:t>COM(2023)622</w:t>
              </w:r>
            </w:hyperlink>
          </w:p>
        </w:tc>
      </w:tr>
      <w:tr w:rsidRPr="005049F2" w:rsidR="00790AD9"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790AD9" w:rsidP="00916AF1" w:rsidRDefault="00790AD9">
            <w:pPr>
              <w:spacing w:after="240"/>
              <w:rPr>
                <w:szCs w:val="18"/>
                <w:lang w:val="en-GB"/>
              </w:rPr>
            </w:pPr>
          </w:p>
        </w:tc>
        <w:tc>
          <w:tcPr>
            <w:tcW w:w="1035" w:type="dxa"/>
          </w:tcPr>
          <w:p w:rsidRPr="005049F2" w:rsidR="00790AD9" w:rsidP="00916AF1" w:rsidRDefault="00790AD9">
            <w:pPr>
              <w:spacing w:after="240"/>
              <w:rPr>
                <w:szCs w:val="18"/>
              </w:rPr>
            </w:pPr>
            <w:r w:rsidRPr="005049F2">
              <w:rPr>
                <w:szCs w:val="18"/>
              </w:rPr>
              <w:t>Voorstel</w:t>
            </w:r>
          </w:p>
        </w:tc>
        <w:tc>
          <w:tcPr>
            <w:tcW w:w="6529" w:type="dxa"/>
          </w:tcPr>
          <w:p w:rsidRPr="005049F2" w:rsidR="00790AD9" w:rsidP="00916AF1" w:rsidRDefault="00E264F5">
            <w:pPr>
              <w:spacing w:after="240"/>
              <w:rPr>
                <w:szCs w:val="18"/>
              </w:rPr>
            </w:pPr>
            <w:r>
              <w:rPr>
                <w:szCs w:val="18"/>
              </w:rPr>
              <w:t>Voor kennisgeving aannemen.</w:t>
            </w:r>
          </w:p>
        </w:tc>
      </w:tr>
      <w:tr w:rsidRPr="005049F2" w:rsidR="00790AD9"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790AD9" w:rsidP="00916AF1" w:rsidRDefault="00790AD9">
            <w:pPr>
              <w:spacing w:after="240"/>
              <w:rPr>
                <w:color w:val="595959" w:themeColor="text1" w:themeTint="A6"/>
                <w:szCs w:val="18"/>
              </w:rPr>
            </w:pPr>
          </w:p>
        </w:tc>
        <w:tc>
          <w:tcPr>
            <w:tcW w:w="1035" w:type="dxa"/>
          </w:tcPr>
          <w:p w:rsidRPr="005049F2" w:rsidR="00790AD9" w:rsidP="00916AF1" w:rsidRDefault="00790AD9">
            <w:pPr>
              <w:spacing w:after="240"/>
              <w:rPr>
                <w:color w:val="595959" w:themeColor="text1" w:themeTint="A6"/>
                <w:szCs w:val="18"/>
              </w:rPr>
            </w:pPr>
            <w:r w:rsidRPr="005049F2">
              <w:rPr>
                <w:color w:val="595959" w:themeColor="text1" w:themeTint="A6"/>
                <w:szCs w:val="18"/>
              </w:rPr>
              <w:t>Noot</w:t>
            </w:r>
          </w:p>
        </w:tc>
        <w:tc>
          <w:tcPr>
            <w:tcW w:w="6529" w:type="dxa"/>
          </w:tcPr>
          <w:p w:rsidRPr="005049F2" w:rsidR="00790AD9" w:rsidP="00916AF1" w:rsidRDefault="006255D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w:t>
            </w:r>
          </w:p>
        </w:tc>
      </w:tr>
    </w:tbl>
    <w:p w:rsidRPr="005049F2" w:rsidR="00790AD9" w:rsidP="002A4BD8" w:rsidRDefault="00790AD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049F2" w:rsidR="00790AD9"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790AD9" w:rsidP="00916AF1" w:rsidRDefault="00790AD9">
            <w:pPr>
              <w:pStyle w:val="Lijstalinea"/>
              <w:numPr>
                <w:ilvl w:val="0"/>
                <w:numId w:val="10"/>
              </w:numPr>
              <w:spacing w:after="240"/>
              <w:ind w:left="312"/>
              <w:rPr>
                <w:color w:val="595959" w:themeColor="text1" w:themeTint="A6"/>
                <w:szCs w:val="18"/>
              </w:rPr>
            </w:pPr>
          </w:p>
        </w:tc>
        <w:tc>
          <w:tcPr>
            <w:tcW w:w="1035" w:type="dxa"/>
          </w:tcPr>
          <w:p w:rsidRPr="005049F2" w:rsidR="00790AD9" w:rsidP="00916AF1" w:rsidRDefault="00790AD9">
            <w:pPr>
              <w:spacing w:after="240"/>
              <w:rPr>
                <w:color w:val="595959" w:themeColor="text1" w:themeTint="A6"/>
                <w:szCs w:val="18"/>
              </w:rPr>
            </w:pPr>
            <w:r w:rsidRPr="005049F2">
              <w:rPr>
                <w:color w:val="595959" w:themeColor="text1" w:themeTint="A6"/>
                <w:szCs w:val="18"/>
              </w:rPr>
              <w:t>Titel</w:t>
            </w:r>
          </w:p>
        </w:tc>
        <w:tc>
          <w:tcPr>
            <w:tcW w:w="6529" w:type="dxa"/>
          </w:tcPr>
          <w:p w:rsidRPr="00477F56" w:rsidR="00790AD9" w:rsidP="00790AD9" w:rsidRDefault="00790AD9">
            <w:pPr>
              <w:shd w:val="clear" w:color="auto" w:fill="FFFFFF"/>
              <w:spacing w:after="75"/>
              <w:rPr>
                <w:szCs w:val="18"/>
                <w:lang w:val="en-GB" w:eastAsia="nl-NL"/>
              </w:rPr>
            </w:pPr>
            <w:r w:rsidRPr="00477F56">
              <w:rPr>
                <w:szCs w:val="18"/>
                <w:lang w:val="en-GB"/>
              </w:rPr>
              <w:t>Recommendation for a COUNCIL RECOMMENDATION on the 2023 National reform Programme of Luxembourg and delivering a Council opinion on the 2023 Stability Programme of Luxembourg</w:t>
            </w:r>
          </w:p>
          <w:p w:rsidRPr="005049F2" w:rsidR="00790AD9" w:rsidP="00790AD9" w:rsidRDefault="00477F56">
            <w:pPr>
              <w:spacing w:after="240"/>
              <w:rPr>
                <w:b/>
                <w:color w:val="595959" w:themeColor="text1" w:themeTint="A6"/>
                <w:szCs w:val="18"/>
              </w:rPr>
            </w:pPr>
            <w:hyperlink w:history="1" r:id="rId29">
              <w:r w:rsidRPr="005049F2" w:rsidR="00790AD9">
                <w:rPr>
                  <w:rStyle w:val="Hyperlink"/>
                  <w:szCs w:val="18"/>
                </w:rPr>
                <w:t>COM(2023)616</w:t>
              </w:r>
            </w:hyperlink>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6255D8" w:rsidP="006255D8" w:rsidRDefault="006255D8">
            <w:pPr>
              <w:spacing w:after="240"/>
              <w:rPr>
                <w:szCs w:val="18"/>
              </w:rPr>
            </w:pPr>
          </w:p>
        </w:tc>
        <w:tc>
          <w:tcPr>
            <w:tcW w:w="1035" w:type="dxa"/>
          </w:tcPr>
          <w:p w:rsidRPr="005049F2" w:rsidR="006255D8" w:rsidP="006255D8" w:rsidRDefault="006255D8">
            <w:pPr>
              <w:spacing w:after="240"/>
              <w:rPr>
                <w:szCs w:val="18"/>
              </w:rPr>
            </w:pPr>
            <w:r w:rsidRPr="005049F2">
              <w:rPr>
                <w:szCs w:val="18"/>
              </w:rPr>
              <w:t>Voorstel</w:t>
            </w:r>
          </w:p>
        </w:tc>
        <w:tc>
          <w:tcPr>
            <w:tcW w:w="6529" w:type="dxa"/>
          </w:tcPr>
          <w:p w:rsidRPr="005049F2" w:rsidR="006255D8" w:rsidP="006255D8" w:rsidRDefault="006255D8">
            <w:pPr>
              <w:spacing w:after="240"/>
              <w:rPr>
                <w:szCs w:val="18"/>
              </w:rPr>
            </w:pPr>
            <w:r>
              <w:rPr>
                <w:szCs w:val="18"/>
              </w:rPr>
              <w:t>Voor kennisgeving aannemen.</w:t>
            </w:r>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6255D8" w:rsidP="006255D8" w:rsidRDefault="006255D8">
            <w:pPr>
              <w:spacing w:after="240"/>
              <w:rPr>
                <w:color w:val="595959" w:themeColor="text1" w:themeTint="A6"/>
                <w:szCs w:val="18"/>
              </w:rPr>
            </w:pPr>
          </w:p>
        </w:tc>
        <w:tc>
          <w:tcPr>
            <w:tcW w:w="1035" w:type="dxa"/>
          </w:tcPr>
          <w:p w:rsidRPr="005049F2" w:rsidR="006255D8" w:rsidP="006255D8" w:rsidRDefault="006255D8">
            <w:pPr>
              <w:spacing w:after="240"/>
              <w:rPr>
                <w:color w:val="595959" w:themeColor="text1" w:themeTint="A6"/>
                <w:szCs w:val="18"/>
              </w:rPr>
            </w:pPr>
            <w:r w:rsidRPr="005049F2">
              <w:rPr>
                <w:color w:val="595959" w:themeColor="text1" w:themeTint="A6"/>
                <w:szCs w:val="18"/>
              </w:rPr>
              <w:t>Noot</w:t>
            </w:r>
          </w:p>
        </w:tc>
        <w:tc>
          <w:tcPr>
            <w:tcW w:w="6529" w:type="dxa"/>
          </w:tcPr>
          <w:p w:rsidRPr="005049F2" w:rsidR="006255D8" w:rsidP="006255D8" w:rsidRDefault="006255D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Portugal.</w:t>
            </w:r>
          </w:p>
        </w:tc>
      </w:tr>
    </w:tbl>
    <w:p w:rsidRPr="005049F2" w:rsidR="00790AD9" w:rsidP="002A4BD8" w:rsidRDefault="00790AD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790AD9"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790AD9" w:rsidP="00916AF1" w:rsidRDefault="00790AD9">
            <w:pPr>
              <w:pStyle w:val="Lijstalinea"/>
              <w:numPr>
                <w:ilvl w:val="0"/>
                <w:numId w:val="10"/>
              </w:numPr>
              <w:spacing w:after="240"/>
              <w:ind w:left="312"/>
              <w:rPr>
                <w:color w:val="595959" w:themeColor="text1" w:themeTint="A6"/>
                <w:szCs w:val="18"/>
              </w:rPr>
            </w:pPr>
          </w:p>
        </w:tc>
        <w:tc>
          <w:tcPr>
            <w:tcW w:w="1035" w:type="dxa"/>
          </w:tcPr>
          <w:p w:rsidRPr="005049F2" w:rsidR="00790AD9" w:rsidP="00916AF1" w:rsidRDefault="00790AD9">
            <w:pPr>
              <w:spacing w:after="240"/>
              <w:rPr>
                <w:color w:val="595959" w:themeColor="text1" w:themeTint="A6"/>
                <w:szCs w:val="18"/>
              </w:rPr>
            </w:pPr>
            <w:r w:rsidRPr="005049F2">
              <w:rPr>
                <w:color w:val="595959" w:themeColor="text1" w:themeTint="A6"/>
                <w:szCs w:val="18"/>
              </w:rPr>
              <w:t>Titel</w:t>
            </w:r>
          </w:p>
        </w:tc>
        <w:tc>
          <w:tcPr>
            <w:tcW w:w="6529" w:type="dxa"/>
          </w:tcPr>
          <w:p w:rsidRPr="00477F56" w:rsidR="00790AD9" w:rsidP="00916AF1" w:rsidRDefault="00790AD9">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Romania and delivering a Council opinion on the 2023 Convergence Programme of Romania </w:t>
            </w:r>
            <w:hyperlink w:history="1" r:id="rId30">
              <w:r w:rsidRPr="00477F56">
                <w:rPr>
                  <w:rStyle w:val="Hyperlink"/>
                  <w:szCs w:val="18"/>
                  <w:lang w:val="en-GB"/>
                </w:rPr>
                <w:t>COM(2023)623</w:t>
              </w:r>
            </w:hyperlink>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6255D8" w:rsidP="006255D8" w:rsidRDefault="006255D8">
            <w:pPr>
              <w:spacing w:after="240"/>
              <w:rPr>
                <w:szCs w:val="18"/>
                <w:lang w:val="en-GB"/>
              </w:rPr>
            </w:pPr>
          </w:p>
        </w:tc>
        <w:tc>
          <w:tcPr>
            <w:tcW w:w="1035" w:type="dxa"/>
          </w:tcPr>
          <w:p w:rsidRPr="005049F2" w:rsidR="006255D8" w:rsidP="006255D8" w:rsidRDefault="006255D8">
            <w:pPr>
              <w:spacing w:after="240"/>
              <w:rPr>
                <w:szCs w:val="18"/>
              </w:rPr>
            </w:pPr>
            <w:r w:rsidRPr="005049F2">
              <w:rPr>
                <w:szCs w:val="18"/>
              </w:rPr>
              <w:t>Voorstel</w:t>
            </w:r>
          </w:p>
        </w:tc>
        <w:tc>
          <w:tcPr>
            <w:tcW w:w="6529" w:type="dxa"/>
          </w:tcPr>
          <w:p w:rsidRPr="005049F2" w:rsidR="006255D8" w:rsidP="006255D8" w:rsidRDefault="006255D8">
            <w:pPr>
              <w:spacing w:after="240"/>
              <w:rPr>
                <w:szCs w:val="18"/>
              </w:rPr>
            </w:pPr>
            <w:r>
              <w:rPr>
                <w:szCs w:val="18"/>
              </w:rPr>
              <w:t>Voor kennisgeving aannemen.</w:t>
            </w:r>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6255D8" w:rsidP="006255D8" w:rsidRDefault="006255D8">
            <w:pPr>
              <w:spacing w:after="240"/>
              <w:rPr>
                <w:color w:val="595959" w:themeColor="text1" w:themeTint="A6"/>
                <w:szCs w:val="18"/>
              </w:rPr>
            </w:pPr>
          </w:p>
        </w:tc>
        <w:tc>
          <w:tcPr>
            <w:tcW w:w="1035" w:type="dxa"/>
          </w:tcPr>
          <w:p w:rsidRPr="005049F2" w:rsidR="006255D8" w:rsidP="006255D8" w:rsidRDefault="006255D8">
            <w:pPr>
              <w:spacing w:after="240"/>
              <w:rPr>
                <w:color w:val="595959" w:themeColor="text1" w:themeTint="A6"/>
                <w:szCs w:val="18"/>
              </w:rPr>
            </w:pPr>
            <w:r w:rsidRPr="005049F2">
              <w:rPr>
                <w:color w:val="595959" w:themeColor="text1" w:themeTint="A6"/>
                <w:szCs w:val="18"/>
              </w:rPr>
              <w:t>Noot</w:t>
            </w:r>
          </w:p>
        </w:tc>
        <w:tc>
          <w:tcPr>
            <w:tcW w:w="6529" w:type="dxa"/>
          </w:tcPr>
          <w:p w:rsidRPr="005049F2" w:rsidR="006255D8" w:rsidP="006255D8" w:rsidRDefault="006255D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Roemenië.</w:t>
            </w:r>
          </w:p>
        </w:tc>
      </w:tr>
    </w:tbl>
    <w:p w:rsidRPr="005049F2" w:rsidR="00790AD9" w:rsidP="002A4BD8" w:rsidRDefault="00790AD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049F2" w:rsidR="00790AD9"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790AD9" w:rsidP="00916AF1" w:rsidRDefault="00790AD9">
            <w:pPr>
              <w:pStyle w:val="Lijstalinea"/>
              <w:numPr>
                <w:ilvl w:val="0"/>
                <w:numId w:val="10"/>
              </w:numPr>
              <w:spacing w:after="240"/>
              <w:ind w:left="312"/>
              <w:rPr>
                <w:color w:val="595959" w:themeColor="text1" w:themeTint="A6"/>
                <w:szCs w:val="18"/>
              </w:rPr>
            </w:pPr>
          </w:p>
        </w:tc>
        <w:tc>
          <w:tcPr>
            <w:tcW w:w="1035" w:type="dxa"/>
          </w:tcPr>
          <w:p w:rsidRPr="005049F2" w:rsidR="00790AD9" w:rsidP="00916AF1" w:rsidRDefault="00790AD9">
            <w:pPr>
              <w:spacing w:after="240"/>
              <w:rPr>
                <w:color w:val="595959" w:themeColor="text1" w:themeTint="A6"/>
                <w:szCs w:val="18"/>
              </w:rPr>
            </w:pPr>
            <w:r w:rsidRPr="005049F2">
              <w:rPr>
                <w:color w:val="595959" w:themeColor="text1" w:themeTint="A6"/>
                <w:szCs w:val="18"/>
              </w:rPr>
              <w:t>Titel</w:t>
            </w:r>
          </w:p>
        </w:tc>
        <w:tc>
          <w:tcPr>
            <w:tcW w:w="6529" w:type="dxa"/>
          </w:tcPr>
          <w:p w:rsidRPr="005049F2" w:rsidR="000124D4" w:rsidP="000124D4" w:rsidRDefault="000124D4">
            <w:pPr>
              <w:shd w:val="clear" w:color="auto" w:fill="FFFFFF"/>
              <w:spacing w:after="75"/>
              <w:rPr>
                <w:szCs w:val="18"/>
                <w:lang w:eastAsia="nl-NL"/>
              </w:rPr>
            </w:pPr>
            <w:r w:rsidRPr="005049F2">
              <w:rPr>
                <w:szCs w:val="18"/>
              </w:rPr>
              <w:t>Aanbeveling voor een AANBEVELING VAN DE RAAD over het nationale hervormingsprogramma 2023 van België en met een advies van de Raad over het stabiliteitsprogramma 2023 van België</w:t>
            </w:r>
          </w:p>
          <w:p w:rsidRPr="005049F2" w:rsidR="00790AD9" w:rsidP="000124D4" w:rsidRDefault="00477F56">
            <w:pPr>
              <w:spacing w:after="240"/>
              <w:rPr>
                <w:b/>
                <w:color w:val="595959" w:themeColor="text1" w:themeTint="A6"/>
                <w:szCs w:val="18"/>
              </w:rPr>
            </w:pPr>
            <w:hyperlink w:history="1" r:id="rId31">
              <w:r w:rsidRPr="005049F2" w:rsidR="000124D4">
                <w:rPr>
                  <w:rStyle w:val="Hyperlink"/>
                  <w:szCs w:val="18"/>
                </w:rPr>
                <w:t>COM(2023)601</w:t>
              </w:r>
            </w:hyperlink>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6255D8" w:rsidP="006255D8" w:rsidRDefault="006255D8">
            <w:pPr>
              <w:spacing w:after="240"/>
              <w:rPr>
                <w:szCs w:val="18"/>
              </w:rPr>
            </w:pPr>
          </w:p>
        </w:tc>
        <w:tc>
          <w:tcPr>
            <w:tcW w:w="1035" w:type="dxa"/>
          </w:tcPr>
          <w:p w:rsidRPr="005049F2" w:rsidR="006255D8" w:rsidP="006255D8" w:rsidRDefault="006255D8">
            <w:pPr>
              <w:spacing w:after="240"/>
              <w:rPr>
                <w:szCs w:val="18"/>
              </w:rPr>
            </w:pPr>
            <w:r w:rsidRPr="005049F2">
              <w:rPr>
                <w:szCs w:val="18"/>
              </w:rPr>
              <w:t>Voorstel</w:t>
            </w:r>
          </w:p>
        </w:tc>
        <w:tc>
          <w:tcPr>
            <w:tcW w:w="6529" w:type="dxa"/>
          </w:tcPr>
          <w:p w:rsidRPr="005049F2" w:rsidR="006255D8" w:rsidP="006255D8" w:rsidRDefault="006255D8">
            <w:pPr>
              <w:spacing w:after="240"/>
              <w:rPr>
                <w:szCs w:val="18"/>
              </w:rPr>
            </w:pPr>
            <w:r>
              <w:rPr>
                <w:szCs w:val="18"/>
              </w:rPr>
              <w:t>Voor kennisgeving aannemen.</w:t>
            </w:r>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6255D8" w:rsidP="006255D8" w:rsidRDefault="006255D8">
            <w:pPr>
              <w:spacing w:after="240"/>
              <w:rPr>
                <w:color w:val="595959" w:themeColor="text1" w:themeTint="A6"/>
                <w:szCs w:val="18"/>
              </w:rPr>
            </w:pPr>
          </w:p>
        </w:tc>
        <w:tc>
          <w:tcPr>
            <w:tcW w:w="1035" w:type="dxa"/>
          </w:tcPr>
          <w:p w:rsidRPr="005049F2" w:rsidR="006255D8" w:rsidP="006255D8" w:rsidRDefault="006255D8">
            <w:pPr>
              <w:spacing w:after="240"/>
              <w:rPr>
                <w:color w:val="595959" w:themeColor="text1" w:themeTint="A6"/>
                <w:szCs w:val="18"/>
              </w:rPr>
            </w:pPr>
            <w:r w:rsidRPr="005049F2">
              <w:rPr>
                <w:color w:val="595959" w:themeColor="text1" w:themeTint="A6"/>
                <w:szCs w:val="18"/>
              </w:rPr>
              <w:t>Noot</w:t>
            </w:r>
          </w:p>
        </w:tc>
        <w:tc>
          <w:tcPr>
            <w:tcW w:w="6529" w:type="dxa"/>
          </w:tcPr>
          <w:p w:rsidRPr="005049F2" w:rsidR="006255D8" w:rsidP="006255D8" w:rsidRDefault="006255D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België.</w:t>
            </w:r>
          </w:p>
        </w:tc>
      </w:tr>
    </w:tbl>
    <w:p w:rsidRPr="005049F2" w:rsidR="00790AD9" w:rsidP="002A4BD8" w:rsidRDefault="00790AD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049F2" w:rsidR="00FA523B"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FA523B" w:rsidP="00916AF1" w:rsidRDefault="00FA523B">
            <w:pPr>
              <w:pStyle w:val="Lijstalinea"/>
              <w:numPr>
                <w:ilvl w:val="0"/>
                <w:numId w:val="10"/>
              </w:numPr>
              <w:spacing w:after="240"/>
              <w:ind w:left="312"/>
              <w:rPr>
                <w:color w:val="595959" w:themeColor="text1" w:themeTint="A6"/>
                <w:szCs w:val="18"/>
              </w:rPr>
            </w:pPr>
          </w:p>
        </w:tc>
        <w:tc>
          <w:tcPr>
            <w:tcW w:w="1035" w:type="dxa"/>
          </w:tcPr>
          <w:p w:rsidRPr="005049F2" w:rsidR="00FA523B" w:rsidP="00916AF1" w:rsidRDefault="00FA523B">
            <w:pPr>
              <w:spacing w:after="240"/>
              <w:rPr>
                <w:color w:val="595959" w:themeColor="text1" w:themeTint="A6"/>
                <w:szCs w:val="18"/>
              </w:rPr>
            </w:pPr>
            <w:r w:rsidRPr="005049F2">
              <w:rPr>
                <w:color w:val="595959" w:themeColor="text1" w:themeTint="A6"/>
                <w:szCs w:val="18"/>
              </w:rPr>
              <w:t>Titel</w:t>
            </w:r>
          </w:p>
        </w:tc>
        <w:tc>
          <w:tcPr>
            <w:tcW w:w="6529" w:type="dxa"/>
          </w:tcPr>
          <w:p w:rsidRPr="00477F56" w:rsidR="00FA523B" w:rsidP="00FA523B" w:rsidRDefault="00FA523B">
            <w:pPr>
              <w:shd w:val="clear" w:color="auto" w:fill="FFFFFF"/>
              <w:spacing w:after="75"/>
              <w:rPr>
                <w:szCs w:val="18"/>
                <w:lang w:val="en-GB" w:eastAsia="nl-NL"/>
              </w:rPr>
            </w:pPr>
            <w:r w:rsidRPr="00477F56">
              <w:rPr>
                <w:szCs w:val="18"/>
                <w:lang w:val="en-GB"/>
              </w:rPr>
              <w:t>Recommendation for a COUNCIL RECOMMENDATION on the 2023 National Reform Programme of Cyprus and delivering a Council opinion on the 2023 Stability Programme of Cyprus</w:t>
            </w:r>
          </w:p>
          <w:p w:rsidRPr="005049F2" w:rsidR="00FA523B" w:rsidP="00FA523B" w:rsidRDefault="00477F56">
            <w:pPr>
              <w:spacing w:after="240"/>
              <w:rPr>
                <w:b/>
                <w:color w:val="595959" w:themeColor="text1" w:themeTint="A6"/>
                <w:szCs w:val="18"/>
              </w:rPr>
            </w:pPr>
            <w:hyperlink w:history="1" r:id="rId32">
              <w:r w:rsidRPr="005049F2" w:rsidR="00FA523B">
                <w:rPr>
                  <w:rStyle w:val="Hyperlink"/>
                  <w:szCs w:val="18"/>
                </w:rPr>
                <w:t>COM(2023)613</w:t>
              </w:r>
            </w:hyperlink>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6255D8" w:rsidP="006255D8" w:rsidRDefault="006255D8">
            <w:pPr>
              <w:spacing w:after="240"/>
              <w:rPr>
                <w:szCs w:val="18"/>
              </w:rPr>
            </w:pPr>
          </w:p>
        </w:tc>
        <w:tc>
          <w:tcPr>
            <w:tcW w:w="1035" w:type="dxa"/>
          </w:tcPr>
          <w:p w:rsidRPr="005049F2" w:rsidR="006255D8" w:rsidP="006255D8" w:rsidRDefault="006255D8">
            <w:pPr>
              <w:spacing w:after="240"/>
              <w:rPr>
                <w:szCs w:val="18"/>
              </w:rPr>
            </w:pPr>
            <w:r w:rsidRPr="005049F2">
              <w:rPr>
                <w:szCs w:val="18"/>
              </w:rPr>
              <w:t>Voorstel</w:t>
            </w:r>
          </w:p>
        </w:tc>
        <w:tc>
          <w:tcPr>
            <w:tcW w:w="6529" w:type="dxa"/>
          </w:tcPr>
          <w:p w:rsidRPr="005049F2" w:rsidR="006255D8" w:rsidP="006255D8" w:rsidRDefault="006255D8">
            <w:pPr>
              <w:spacing w:after="240"/>
              <w:rPr>
                <w:szCs w:val="18"/>
              </w:rPr>
            </w:pPr>
            <w:r>
              <w:rPr>
                <w:szCs w:val="18"/>
              </w:rPr>
              <w:t>Voor kennisgeving aannemen.</w:t>
            </w:r>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6255D8" w:rsidP="006255D8" w:rsidRDefault="006255D8">
            <w:pPr>
              <w:spacing w:after="240"/>
              <w:rPr>
                <w:color w:val="595959" w:themeColor="text1" w:themeTint="A6"/>
                <w:szCs w:val="18"/>
              </w:rPr>
            </w:pPr>
          </w:p>
        </w:tc>
        <w:tc>
          <w:tcPr>
            <w:tcW w:w="1035" w:type="dxa"/>
          </w:tcPr>
          <w:p w:rsidRPr="005049F2" w:rsidR="006255D8" w:rsidP="006255D8" w:rsidRDefault="006255D8">
            <w:pPr>
              <w:spacing w:after="240"/>
              <w:rPr>
                <w:color w:val="595959" w:themeColor="text1" w:themeTint="A6"/>
                <w:szCs w:val="18"/>
              </w:rPr>
            </w:pPr>
            <w:r w:rsidRPr="005049F2">
              <w:rPr>
                <w:color w:val="595959" w:themeColor="text1" w:themeTint="A6"/>
                <w:szCs w:val="18"/>
              </w:rPr>
              <w:t>Noot</w:t>
            </w:r>
          </w:p>
        </w:tc>
        <w:tc>
          <w:tcPr>
            <w:tcW w:w="6529" w:type="dxa"/>
          </w:tcPr>
          <w:p w:rsidRPr="005049F2" w:rsidR="006255D8" w:rsidP="006255D8" w:rsidRDefault="006255D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Cyprus.</w:t>
            </w:r>
          </w:p>
        </w:tc>
      </w:tr>
    </w:tbl>
    <w:p w:rsidRPr="005049F2" w:rsidR="00FA523B" w:rsidP="002A4BD8" w:rsidRDefault="00FA523B">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FA523B"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FA523B" w:rsidP="00916AF1" w:rsidRDefault="00FA523B">
            <w:pPr>
              <w:pStyle w:val="Lijstalinea"/>
              <w:numPr>
                <w:ilvl w:val="0"/>
                <w:numId w:val="10"/>
              </w:numPr>
              <w:spacing w:after="240"/>
              <w:ind w:left="312"/>
              <w:rPr>
                <w:color w:val="595959" w:themeColor="text1" w:themeTint="A6"/>
                <w:szCs w:val="18"/>
              </w:rPr>
            </w:pPr>
          </w:p>
        </w:tc>
        <w:tc>
          <w:tcPr>
            <w:tcW w:w="1035" w:type="dxa"/>
          </w:tcPr>
          <w:p w:rsidRPr="005049F2" w:rsidR="00FA523B" w:rsidP="00916AF1" w:rsidRDefault="00FA523B">
            <w:pPr>
              <w:spacing w:after="240"/>
              <w:rPr>
                <w:color w:val="595959" w:themeColor="text1" w:themeTint="A6"/>
                <w:szCs w:val="18"/>
              </w:rPr>
            </w:pPr>
            <w:r w:rsidRPr="005049F2">
              <w:rPr>
                <w:color w:val="595959" w:themeColor="text1" w:themeTint="A6"/>
                <w:szCs w:val="18"/>
              </w:rPr>
              <w:t>Titel</w:t>
            </w:r>
          </w:p>
        </w:tc>
        <w:tc>
          <w:tcPr>
            <w:tcW w:w="6529" w:type="dxa"/>
          </w:tcPr>
          <w:p w:rsidRPr="00477F56" w:rsidR="00FA523B" w:rsidP="00916AF1" w:rsidRDefault="00FA523B">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Italy and delivering a Council opinion on the 2023 Stability Programme of Italy </w:t>
            </w:r>
            <w:hyperlink w:history="1" r:id="rId33">
              <w:r w:rsidRPr="00477F56">
                <w:rPr>
                  <w:rStyle w:val="Hyperlink"/>
                  <w:szCs w:val="18"/>
                  <w:lang w:val="en-GB"/>
                </w:rPr>
                <w:t>COM(2023)612</w:t>
              </w:r>
            </w:hyperlink>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6255D8" w:rsidP="006255D8" w:rsidRDefault="006255D8">
            <w:pPr>
              <w:spacing w:after="240"/>
              <w:rPr>
                <w:szCs w:val="18"/>
                <w:lang w:val="en-GB"/>
              </w:rPr>
            </w:pPr>
          </w:p>
        </w:tc>
        <w:tc>
          <w:tcPr>
            <w:tcW w:w="1035" w:type="dxa"/>
          </w:tcPr>
          <w:p w:rsidRPr="005049F2" w:rsidR="006255D8" w:rsidP="006255D8" w:rsidRDefault="006255D8">
            <w:pPr>
              <w:spacing w:after="240"/>
              <w:rPr>
                <w:szCs w:val="18"/>
              </w:rPr>
            </w:pPr>
            <w:r w:rsidRPr="005049F2">
              <w:rPr>
                <w:szCs w:val="18"/>
              </w:rPr>
              <w:t>Voorstel</w:t>
            </w:r>
          </w:p>
        </w:tc>
        <w:tc>
          <w:tcPr>
            <w:tcW w:w="6529" w:type="dxa"/>
          </w:tcPr>
          <w:p w:rsidRPr="005049F2" w:rsidR="006255D8" w:rsidP="006255D8" w:rsidRDefault="006255D8">
            <w:pPr>
              <w:spacing w:after="240"/>
              <w:rPr>
                <w:szCs w:val="18"/>
              </w:rPr>
            </w:pPr>
            <w:r>
              <w:rPr>
                <w:szCs w:val="18"/>
              </w:rPr>
              <w:t>Voor kennisgeving aannemen.</w:t>
            </w:r>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6255D8" w:rsidP="006255D8" w:rsidRDefault="006255D8">
            <w:pPr>
              <w:spacing w:after="240"/>
              <w:rPr>
                <w:color w:val="595959" w:themeColor="text1" w:themeTint="A6"/>
                <w:szCs w:val="18"/>
              </w:rPr>
            </w:pPr>
          </w:p>
        </w:tc>
        <w:tc>
          <w:tcPr>
            <w:tcW w:w="1035" w:type="dxa"/>
          </w:tcPr>
          <w:p w:rsidRPr="005049F2" w:rsidR="006255D8" w:rsidP="006255D8" w:rsidRDefault="006255D8">
            <w:pPr>
              <w:spacing w:after="240"/>
              <w:rPr>
                <w:color w:val="595959" w:themeColor="text1" w:themeTint="A6"/>
                <w:szCs w:val="18"/>
              </w:rPr>
            </w:pPr>
            <w:r w:rsidRPr="005049F2">
              <w:rPr>
                <w:color w:val="595959" w:themeColor="text1" w:themeTint="A6"/>
                <w:szCs w:val="18"/>
              </w:rPr>
              <w:t>Noot</w:t>
            </w:r>
          </w:p>
        </w:tc>
        <w:tc>
          <w:tcPr>
            <w:tcW w:w="6529" w:type="dxa"/>
          </w:tcPr>
          <w:p w:rsidRPr="005049F2" w:rsidR="006255D8" w:rsidP="006255D8" w:rsidRDefault="006255D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Italië.</w:t>
            </w:r>
          </w:p>
        </w:tc>
      </w:tr>
    </w:tbl>
    <w:p w:rsidRPr="005049F2" w:rsidR="00FA523B" w:rsidP="002A4BD8" w:rsidRDefault="00FA523B">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FA523B"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FA523B" w:rsidP="00916AF1" w:rsidRDefault="00FA523B">
            <w:pPr>
              <w:pStyle w:val="Lijstalinea"/>
              <w:numPr>
                <w:ilvl w:val="0"/>
                <w:numId w:val="10"/>
              </w:numPr>
              <w:spacing w:after="240"/>
              <w:ind w:left="312"/>
              <w:rPr>
                <w:color w:val="595959" w:themeColor="text1" w:themeTint="A6"/>
                <w:szCs w:val="18"/>
              </w:rPr>
            </w:pPr>
          </w:p>
        </w:tc>
        <w:tc>
          <w:tcPr>
            <w:tcW w:w="1035" w:type="dxa"/>
          </w:tcPr>
          <w:p w:rsidRPr="005049F2" w:rsidR="00FA523B" w:rsidP="00916AF1" w:rsidRDefault="00FA523B">
            <w:pPr>
              <w:spacing w:after="240"/>
              <w:rPr>
                <w:color w:val="595959" w:themeColor="text1" w:themeTint="A6"/>
                <w:szCs w:val="18"/>
              </w:rPr>
            </w:pPr>
            <w:r w:rsidRPr="005049F2">
              <w:rPr>
                <w:color w:val="595959" w:themeColor="text1" w:themeTint="A6"/>
                <w:szCs w:val="18"/>
              </w:rPr>
              <w:t>Titel</w:t>
            </w:r>
          </w:p>
        </w:tc>
        <w:tc>
          <w:tcPr>
            <w:tcW w:w="6529" w:type="dxa"/>
          </w:tcPr>
          <w:p w:rsidRPr="00477F56" w:rsidR="00FA523B" w:rsidP="00916AF1" w:rsidRDefault="002836B0">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Croatia and delivering a Council opinion on the 2023 Stability Programme of Croatia </w:t>
            </w:r>
            <w:hyperlink w:history="1" r:id="rId34">
              <w:r w:rsidRPr="00477F56">
                <w:rPr>
                  <w:rStyle w:val="Hyperlink"/>
                  <w:szCs w:val="18"/>
                  <w:lang w:val="en-GB"/>
                </w:rPr>
                <w:t>COM(2023)611</w:t>
              </w:r>
            </w:hyperlink>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6255D8" w:rsidP="006255D8" w:rsidRDefault="006255D8">
            <w:pPr>
              <w:spacing w:after="240"/>
              <w:rPr>
                <w:szCs w:val="18"/>
                <w:lang w:val="en-GB"/>
              </w:rPr>
            </w:pPr>
          </w:p>
        </w:tc>
        <w:tc>
          <w:tcPr>
            <w:tcW w:w="1035" w:type="dxa"/>
          </w:tcPr>
          <w:p w:rsidRPr="005049F2" w:rsidR="006255D8" w:rsidP="006255D8" w:rsidRDefault="006255D8">
            <w:pPr>
              <w:spacing w:after="240"/>
              <w:rPr>
                <w:szCs w:val="18"/>
              </w:rPr>
            </w:pPr>
            <w:r w:rsidRPr="005049F2">
              <w:rPr>
                <w:szCs w:val="18"/>
              </w:rPr>
              <w:t>Voorstel</w:t>
            </w:r>
          </w:p>
        </w:tc>
        <w:tc>
          <w:tcPr>
            <w:tcW w:w="6529" w:type="dxa"/>
          </w:tcPr>
          <w:p w:rsidRPr="005049F2" w:rsidR="006255D8" w:rsidP="006255D8" w:rsidRDefault="006255D8">
            <w:pPr>
              <w:spacing w:after="240"/>
              <w:rPr>
                <w:szCs w:val="18"/>
              </w:rPr>
            </w:pPr>
            <w:r>
              <w:rPr>
                <w:szCs w:val="18"/>
              </w:rPr>
              <w:t>Voor kennisgeving aannemen.</w:t>
            </w:r>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6255D8" w:rsidP="006255D8" w:rsidRDefault="006255D8">
            <w:pPr>
              <w:spacing w:after="240"/>
              <w:rPr>
                <w:color w:val="595959" w:themeColor="text1" w:themeTint="A6"/>
                <w:szCs w:val="18"/>
              </w:rPr>
            </w:pPr>
          </w:p>
        </w:tc>
        <w:tc>
          <w:tcPr>
            <w:tcW w:w="1035" w:type="dxa"/>
          </w:tcPr>
          <w:p w:rsidRPr="005049F2" w:rsidR="006255D8" w:rsidP="006255D8" w:rsidRDefault="006255D8">
            <w:pPr>
              <w:spacing w:after="240"/>
              <w:rPr>
                <w:color w:val="595959" w:themeColor="text1" w:themeTint="A6"/>
                <w:szCs w:val="18"/>
              </w:rPr>
            </w:pPr>
            <w:r w:rsidRPr="005049F2">
              <w:rPr>
                <w:color w:val="595959" w:themeColor="text1" w:themeTint="A6"/>
                <w:szCs w:val="18"/>
              </w:rPr>
              <w:t>Noot</w:t>
            </w:r>
          </w:p>
        </w:tc>
        <w:tc>
          <w:tcPr>
            <w:tcW w:w="6529" w:type="dxa"/>
          </w:tcPr>
          <w:p w:rsidRPr="005049F2" w:rsidR="006255D8" w:rsidP="006255D8" w:rsidRDefault="006255D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Kroatië.</w:t>
            </w:r>
          </w:p>
        </w:tc>
      </w:tr>
    </w:tbl>
    <w:p w:rsidRPr="005049F2" w:rsidR="00FA523B" w:rsidP="002A4BD8" w:rsidRDefault="00FA523B">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FA523B"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FA523B" w:rsidP="00916AF1" w:rsidRDefault="00FA523B">
            <w:pPr>
              <w:pStyle w:val="Lijstalinea"/>
              <w:numPr>
                <w:ilvl w:val="0"/>
                <w:numId w:val="10"/>
              </w:numPr>
              <w:spacing w:after="240"/>
              <w:ind w:left="312"/>
              <w:rPr>
                <w:color w:val="595959" w:themeColor="text1" w:themeTint="A6"/>
                <w:szCs w:val="18"/>
              </w:rPr>
            </w:pPr>
          </w:p>
        </w:tc>
        <w:tc>
          <w:tcPr>
            <w:tcW w:w="1035" w:type="dxa"/>
          </w:tcPr>
          <w:p w:rsidRPr="005049F2" w:rsidR="00FA523B" w:rsidP="00916AF1" w:rsidRDefault="00FA523B">
            <w:pPr>
              <w:spacing w:after="240"/>
              <w:rPr>
                <w:color w:val="595959" w:themeColor="text1" w:themeTint="A6"/>
                <w:szCs w:val="18"/>
              </w:rPr>
            </w:pPr>
            <w:r w:rsidRPr="005049F2">
              <w:rPr>
                <w:color w:val="595959" w:themeColor="text1" w:themeTint="A6"/>
                <w:szCs w:val="18"/>
              </w:rPr>
              <w:t>Titel</w:t>
            </w:r>
          </w:p>
        </w:tc>
        <w:tc>
          <w:tcPr>
            <w:tcW w:w="6529" w:type="dxa"/>
          </w:tcPr>
          <w:p w:rsidRPr="00477F56" w:rsidR="00FA523B" w:rsidP="00916AF1" w:rsidRDefault="00F72A15">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France and delivering a Council opinion on the 2023 Stability Programme of France </w:t>
            </w:r>
            <w:hyperlink w:history="1" r:id="rId35">
              <w:r w:rsidRPr="00477F56">
                <w:rPr>
                  <w:rStyle w:val="Hyperlink"/>
                  <w:szCs w:val="18"/>
                  <w:lang w:val="en-GB"/>
                </w:rPr>
                <w:t>COM(2023)610</w:t>
              </w:r>
            </w:hyperlink>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6255D8" w:rsidP="006255D8" w:rsidRDefault="006255D8">
            <w:pPr>
              <w:spacing w:after="240"/>
              <w:rPr>
                <w:szCs w:val="18"/>
                <w:lang w:val="en-GB"/>
              </w:rPr>
            </w:pPr>
          </w:p>
        </w:tc>
        <w:tc>
          <w:tcPr>
            <w:tcW w:w="1035" w:type="dxa"/>
          </w:tcPr>
          <w:p w:rsidRPr="005049F2" w:rsidR="006255D8" w:rsidP="006255D8" w:rsidRDefault="006255D8">
            <w:pPr>
              <w:spacing w:after="240"/>
              <w:rPr>
                <w:szCs w:val="18"/>
              </w:rPr>
            </w:pPr>
            <w:r w:rsidRPr="005049F2">
              <w:rPr>
                <w:szCs w:val="18"/>
              </w:rPr>
              <w:t>Voorstel</w:t>
            </w:r>
          </w:p>
        </w:tc>
        <w:tc>
          <w:tcPr>
            <w:tcW w:w="6529" w:type="dxa"/>
          </w:tcPr>
          <w:p w:rsidRPr="005049F2" w:rsidR="006255D8" w:rsidP="006255D8" w:rsidRDefault="006255D8">
            <w:pPr>
              <w:spacing w:after="240"/>
              <w:rPr>
                <w:szCs w:val="18"/>
              </w:rPr>
            </w:pPr>
            <w:r>
              <w:rPr>
                <w:szCs w:val="18"/>
              </w:rPr>
              <w:t>Voor kennisgeving aannemen.</w:t>
            </w:r>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6255D8" w:rsidP="006255D8" w:rsidRDefault="006255D8">
            <w:pPr>
              <w:spacing w:after="240"/>
              <w:rPr>
                <w:color w:val="595959" w:themeColor="text1" w:themeTint="A6"/>
                <w:szCs w:val="18"/>
              </w:rPr>
            </w:pPr>
          </w:p>
        </w:tc>
        <w:tc>
          <w:tcPr>
            <w:tcW w:w="1035" w:type="dxa"/>
          </w:tcPr>
          <w:p w:rsidRPr="005049F2" w:rsidR="006255D8" w:rsidP="006255D8" w:rsidRDefault="006255D8">
            <w:pPr>
              <w:spacing w:after="240"/>
              <w:rPr>
                <w:color w:val="595959" w:themeColor="text1" w:themeTint="A6"/>
                <w:szCs w:val="18"/>
              </w:rPr>
            </w:pPr>
            <w:r w:rsidRPr="005049F2">
              <w:rPr>
                <w:color w:val="595959" w:themeColor="text1" w:themeTint="A6"/>
                <w:szCs w:val="18"/>
              </w:rPr>
              <w:t>Noot</w:t>
            </w:r>
          </w:p>
        </w:tc>
        <w:tc>
          <w:tcPr>
            <w:tcW w:w="6529" w:type="dxa"/>
          </w:tcPr>
          <w:p w:rsidRPr="005049F2" w:rsidR="006255D8" w:rsidP="006255D8" w:rsidRDefault="006255D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Frankrijk.</w:t>
            </w:r>
          </w:p>
        </w:tc>
      </w:tr>
    </w:tbl>
    <w:p w:rsidRPr="005049F2" w:rsidR="00FA523B" w:rsidP="002A4BD8" w:rsidRDefault="00FA523B">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2836B0"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2836B0" w:rsidP="00916AF1" w:rsidRDefault="002836B0">
            <w:pPr>
              <w:pStyle w:val="Lijstalinea"/>
              <w:numPr>
                <w:ilvl w:val="0"/>
                <w:numId w:val="10"/>
              </w:numPr>
              <w:spacing w:after="240"/>
              <w:ind w:left="312"/>
              <w:rPr>
                <w:color w:val="595959" w:themeColor="text1" w:themeTint="A6"/>
                <w:szCs w:val="18"/>
              </w:rPr>
            </w:pPr>
          </w:p>
        </w:tc>
        <w:tc>
          <w:tcPr>
            <w:tcW w:w="1035" w:type="dxa"/>
          </w:tcPr>
          <w:p w:rsidRPr="005049F2" w:rsidR="002836B0" w:rsidP="00916AF1" w:rsidRDefault="002836B0">
            <w:pPr>
              <w:spacing w:after="240"/>
              <w:rPr>
                <w:color w:val="595959" w:themeColor="text1" w:themeTint="A6"/>
                <w:szCs w:val="18"/>
              </w:rPr>
            </w:pPr>
            <w:r w:rsidRPr="005049F2">
              <w:rPr>
                <w:color w:val="595959" w:themeColor="text1" w:themeTint="A6"/>
                <w:szCs w:val="18"/>
              </w:rPr>
              <w:t>Titel</w:t>
            </w:r>
          </w:p>
        </w:tc>
        <w:tc>
          <w:tcPr>
            <w:tcW w:w="6529" w:type="dxa"/>
          </w:tcPr>
          <w:p w:rsidRPr="00477F56" w:rsidR="002836B0" w:rsidP="00916AF1" w:rsidRDefault="009D2F70">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Spain and delivering a Council opinion on the 2023 Stability Programme of Spain </w:t>
            </w:r>
            <w:hyperlink w:history="1" r:id="rId36">
              <w:r w:rsidRPr="00477F56">
                <w:rPr>
                  <w:rStyle w:val="Hyperlink"/>
                  <w:szCs w:val="18"/>
                  <w:lang w:val="en-GB"/>
                </w:rPr>
                <w:t>COM(2023)609</w:t>
              </w:r>
            </w:hyperlink>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6255D8" w:rsidP="006255D8" w:rsidRDefault="006255D8">
            <w:pPr>
              <w:spacing w:after="240"/>
              <w:rPr>
                <w:szCs w:val="18"/>
                <w:lang w:val="en-GB"/>
              </w:rPr>
            </w:pPr>
          </w:p>
        </w:tc>
        <w:tc>
          <w:tcPr>
            <w:tcW w:w="1035" w:type="dxa"/>
          </w:tcPr>
          <w:p w:rsidRPr="005049F2" w:rsidR="006255D8" w:rsidP="006255D8" w:rsidRDefault="006255D8">
            <w:pPr>
              <w:spacing w:after="240"/>
              <w:rPr>
                <w:szCs w:val="18"/>
              </w:rPr>
            </w:pPr>
            <w:r w:rsidRPr="005049F2">
              <w:rPr>
                <w:szCs w:val="18"/>
              </w:rPr>
              <w:t>Voorstel</w:t>
            </w:r>
          </w:p>
        </w:tc>
        <w:tc>
          <w:tcPr>
            <w:tcW w:w="6529" w:type="dxa"/>
          </w:tcPr>
          <w:p w:rsidRPr="005049F2" w:rsidR="006255D8" w:rsidP="006255D8" w:rsidRDefault="006255D8">
            <w:pPr>
              <w:spacing w:after="240"/>
              <w:rPr>
                <w:szCs w:val="18"/>
              </w:rPr>
            </w:pPr>
            <w:r>
              <w:rPr>
                <w:szCs w:val="18"/>
              </w:rPr>
              <w:t>Voor kennisgeving aannemen.</w:t>
            </w:r>
          </w:p>
        </w:tc>
      </w:tr>
      <w:tr w:rsidRPr="005049F2" w:rsidR="006255D8"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6255D8" w:rsidP="006255D8" w:rsidRDefault="006255D8">
            <w:pPr>
              <w:spacing w:after="240"/>
              <w:rPr>
                <w:color w:val="595959" w:themeColor="text1" w:themeTint="A6"/>
                <w:szCs w:val="18"/>
              </w:rPr>
            </w:pPr>
          </w:p>
        </w:tc>
        <w:tc>
          <w:tcPr>
            <w:tcW w:w="1035" w:type="dxa"/>
          </w:tcPr>
          <w:p w:rsidRPr="005049F2" w:rsidR="006255D8" w:rsidP="006255D8" w:rsidRDefault="006255D8">
            <w:pPr>
              <w:spacing w:after="240"/>
              <w:rPr>
                <w:color w:val="595959" w:themeColor="text1" w:themeTint="A6"/>
                <w:szCs w:val="18"/>
              </w:rPr>
            </w:pPr>
            <w:r w:rsidRPr="005049F2">
              <w:rPr>
                <w:color w:val="595959" w:themeColor="text1" w:themeTint="A6"/>
                <w:szCs w:val="18"/>
              </w:rPr>
              <w:t>Noot</w:t>
            </w:r>
          </w:p>
        </w:tc>
        <w:tc>
          <w:tcPr>
            <w:tcW w:w="6529" w:type="dxa"/>
          </w:tcPr>
          <w:p w:rsidRPr="005049F2" w:rsidR="006255D8" w:rsidP="006255D8" w:rsidRDefault="006255D8">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Spanje.</w:t>
            </w:r>
          </w:p>
        </w:tc>
      </w:tr>
    </w:tbl>
    <w:p w:rsidRPr="005049F2" w:rsidR="002836B0" w:rsidP="002A4BD8" w:rsidRDefault="002836B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2836B0"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2836B0" w:rsidP="00916AF1" w:rsidRDefault="002836B0">
            <w:pPr>
              <w:pStyle w:val="Lijstalinea"/>
              <w:numPr>
                <w:ilvl w:val="0"/>
                <w:numId w:val="10"/>
              </w:numPr>
              <w:spacing w:after="240"/>
              <w:ind w:left="312"/>
              <w:rPr>
                <w:color w:val="595959" w:themeColor="text1" w:themeTint="A6"/>
                <w:szCs w:val="18"/>
              </w:rPr>
            </w:pPr>
          </w:p>
        </w:tc>
        <w:tc>
          <w:tcPr>
            <w:tcW w:w="1035" w:type="dxa"/>
          </w:tcPr>
          <w:p w:rsidRPr="005049F2" w:rsidR="002836B0" w:rsidP="00916AF1" w:rsidRDefault="002836B0">
            <w:pPr>
              <w:spacing w:after="240"/>
              <w:rPr>
                <w:color w:val="595959" w:themeColor="text1" w:themeTint="A6"/>
                <w:szCs w:val="18"/>
              </w:rPr>
            </w:pPr>
            <w:r w:rsidRPr="005049F2">
              <w:rPr>
                <w:color w:val="595959" w:themeColor="text1" w:themeTint="A6"/>
                <w:szCs w:val="18"/>
              </w:rPr>
              <w:t>Titel</w:t>
            </w:r>
          </w:p>
        </w:tc>
        <w:tc>
          <w:tcPr>
            <w:tcW w:w="6529" w:type="dxa"/>
          </w:tcPr>
          <w:p w:rsidRPr="00477F56" w:rsidR="002836B0" w:rsidP="00916AF1" w:rsidRDefault="009D2F70">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Greece and delivering a Council opinion on the 2023 Stability Programme of Greece </w:t>
            </w:r>
            <w:hyperlink w:history="1" r:id="rId37">
              <w:r w:rsidRPr="00477F56">
                <w:rPr>
                  <w:rStyle w:val="Hyperlink"/>
                  <w:szCs w:val="18"/>
                  <w:lang w:val="en-GB"/>
                </w:rPr>
                <w:t>COM(2023)608</w:t>
              </w:r>
            </w:hyperlink>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916AF1" w:rsidP="00916AF1" w:rsidRDefault="00916AF1">
            <w:pPr>
              <w:spacing w:after="240"/>
              <w:rPr>
                <w:szCs w:val="18"/>
                <w:lang w:val="en-GB"/>
              </w:rPr>
            </w:pPr>
          </w:p>
        </w:tc>
        <w:tc>
          <w:tcPr>
            <w:tcW w:w="1035" w:type="dxa"/>
          </w:tcPr>
          <w:p w:rsidRPr="005049F2" w:rsidR="00916AF1" w:rsidP="00916AF1" w:rsidRDefault="00916AF1">
            <w:pPr>
              <w:spacing w:after="240"/>
              <w:rPr>
                <w:szCs w:val="18"/>
              </w:rPr>
            </w:pPr>
            <w:r w:rsidRPr="005049F2">
              <w:rPr>
                <w:szCs w:val="18"/>
              </w:rPr>
              <w:t>Voorstel</w:t>
            </w:r>
          </w:p>
        </w:tc>
        <w:tc>
          <w:tcPr>
            <w:tcW w:w="6529" w:type="dxa"/>
          </w:tcPr>
          <w:p w:rsidRPr="005049F2" w:rsidR="00916AF1" w:rsidP="00916AF1" w:rsidRDefault="00916AF1">
            <w:pPr>
              <w:spacing w:after="240"/>
              <w:rPr>
                <w:szCs w:val="18"/>
              </w:rPr>
            </w:pPr>
            <w:r>
              <w:rPr>
                <w:szCs w:val="18"/>
              </w:rPr>
              <w:t>Voor kennisgeving aannemen.</w:t>
            </w:r>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916AF1" w:rsidP="00916AF1" w:rsidRDefault="00916AF1">
            <w:pPr>
              <w:spacing w:after="240"/>
              <w:rPr>
                <w:color w:val="595959" w:themeColor="text1" w:themeTint="A6"/>
                <w:szCs w:val="18"/>
              </w:rPr>
            </w:pPr>
          </w:p>
        </w:tc>
        <w:tc>
          <w:tcPr>
            <w:tcW w:w="1035" w:type="dxa"/>
          </w:tcPr>
          <w:p w:rsidRPr="005049F2" w:rsidR="00916AF1" w:rsidP="00916AF1" w:rsidRDefault="00916AF1">
            <w:pPr>
              <w:spacing w:after="240"/>
              <w:rPr>
                <w:color w:val="595959" w:themeColor="text1" w:themeTint="A6"/>
                <w:szCs w:val="18"/>
              </w:rPr>
            </w:pPr>
            <w:r w:rsidRPr="005049F2">
              <w:rPr>
                <w:color w:val="595959" w:themeColor="text1" w:themeTint="A6"/>
                <w:szCs w:val="18"/>
              </w:rPr>
              <w:t>Noot</w:t>
            </w:r>
          </w:p>
        </w:tc>
        <w:tc>
          <w:tcPr>
            <w:tcW w:w="6529" w:type="dxa"/>
          </w:tcPr>
          <w:p w:rsidRPr="005049F2" w:rsidR="00916AF1" w:rsidP="00916AF1" w:rsidRDefault="00916AF1">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Griekenland.</w:t>
            </w:r>
          </w:p>
        </w:tc>
      </w:tr>
    </w:tbl>
    <w:p w:rsidRPr="005049F2" w:rsidR="002836B0" w:rsidP="002A4BD8" w:rsidRDefault="002836B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2836B0"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2836B0" w:rsidP="00916AF1" w:rsidRDefault="002836B0">
            <w:pPr>
              <w:pStyle w:val="Lijstalinea"/>
              <w:numPr>
                <w:ilvl w:val="0"/>
                <w:numId w:val="10"/>
              </w:numPr>
              <w:spacing w:after="240"/>
              <w:ind w:left="312"/>
              <w:rPr>
                <w:color w:val="595959" w:themeColor="text1" w:themeTint="A6"/>
                <w:szCs w:val="18"/>
              </w:rPr>
            </w:pPr>
          </w:p>
        </w:tc>
        <w:tc>
          <w:tcPr>
            <w:tcW w:w="1035" w:type="dxa"/>
          </w:tcPr>
          <w:p w:rsidRPr="005049F2" w:rsidR="002836B0" w:rsidP="00916AF1" w:rsidRDefault="002836B0">
            <w:pPr>
              <w:spacing w:after="240"/>
              <w:rPr>
                <w:color w:val="595959" w:themeColor="text1" w:themeTint="A6"/>
                <w:szCs w:val="18"/>
              </w:rPr>
            </w:pPr>
            <w:r w:rsidRPr="005049F2">
              <w:rPr>
                <w:color w:val="595959" w:themeColor="text1" w:themeTint="A6"/>
                <w:szCs w:val="18"/>
              </w:rPr>
              <w:t>Titel</w:t>
            </w:r>
          </w:p>
        </w:tc>
        <w:tc>
          <w:tcPr>
            <w:tcW w:w="6529" w:type="dxa"/>
          </w:tcPr>
          <w:p w:rsidRPr="00477F56" w:rsidR="002836B0" w:rsidP="00916AF1" w:rsidRDefault="00915FE3">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Ireland and delivering a Council opinion on the 2023 Stability Programme of Ireland </w:t>
            </w:r>
            <w:hyperlink w:history="1" r:id="rId38">
              <w:r w:rsidRPr="00477F56">
                <w:rPr>
                  <w:rStyle w:val="Hyperlink"/>
                  <w:szCs w:val="18"/>
                  <w:lang w:val="en-GB"/>
                </w:rPr>
                <w:t>COM(2023)607</w:t>
              </w:r>
            </w:hyperlink>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916AF1" w:rsidP="00916AF1" w:rsidRDefault="00916AF1">
            <w:pPr>
              <w:spacing w:after="240"/>
              <w:rPr>
                <w:szCs w:val="18"/>
                <w:lang w:val="en-GB"/>
              </w:rPr>
            </w:pPr>
          </w:p>
        </w:tc>
        <w:tc>
          <w:tcPr>
            <w:tcW w:w="1035" w:type="dxa"/>
          </w:tcPr>
          <w:p w:rsidRPr="005049F2" w:rsidR="00916AF1" w:rsidP="00916AF1" w:rsidRDefault="00916AF1">
            <w:pPr>
              <w:spacing w:after="240"/>
              <w:rPr>
                <w:szCs w:val="18"/>
              </w:rPr>
            </w:pPr>
            <w:r w:rsidRPr="005049F2">
              <w:rPr>
                <w:szCs w:val="18"/>
              </w:rPr>
              <w:t>Voorstel</w:t>
            </w:r>
          </w:p>
        </w:tc>
        <w:tc>
          <w:tcPr>
            <w:tcW w:w="6529" w:type="dxa"/>
          </w:tcPr>
          <w:p w:rsidRPr="005049F2" w:rsidR="00916AF1" w:rsidP="00916AF1" w:rsidRDefault="00916AF1">
            <w:pPr>
              <w:spacing w:after="240"/>
              <w:rPr>
                <w:szCs w:val="18"/>
              </w:rPr>
            </w:pPr>
            <w:r>
              <w:rPr>
                <w:szCs w:val="18"/>
              </w:rPr>
              <w:t>Voor kennisgeving aannemen.</w:t>
            </w:r>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916AF1" w:rsidP="00916AF1" w:rsidRDefault="00916AF1">
            <w:pPr>
              <w:spacing w:after="240"/>
              <w:rPr>
                <w:color w:val="595959" w:themeColor="text1" w:themeTint="A6"/>
                <w:szCs w:val="18"/>
              </w:rPr>
            </w:pPr>
          </w:p>
        </w:tc>
        <w:tc>
          <w:tcPr>
            <w:tcW w:w="1035" w:type="dxa"/>
          </w:tcPr>
          <w:p w:rsidRPr="005049F2" w:rsidR="00916AF1" w:rsidP="00916AF1" w:rsidRDefault="00916AF1">
            <w:pPr>
              <w:spacing w:after="240"/>
              <w:rPr>
                <w:color w:val="595959" w:themeColor="text1" w:themeTint="A6"/>
                <w:szCs w:val="18"/>
              </w:rPr>
            </w:pPr>
            <w:r w:rsidRPr="005049F2">
              <w:rPr>
                <w:color w:val="595959" w:themeColor="text1" w:themeTint="A6"/>
                <w:szCs w:val="18"/>
              </w:rPr>
              <w:t>Noot</w:t>
            </w:r>
          </w:p>
        </w:tc>
        <w:tc>
          <w:tcPr>
            <w:tcW w:w="6529" w:type="dxa"/>
          </w:tcPr>
          <w:p w:rsidRPr="005049F2" w:rsidR="00916AF1" w:rsidP="00916AF1" w:rsidRDefault="00916AF1">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Ierland.</w:t>
            </w:r>
          </w:p>
        </w:tc>
      </w:tr>
    </w:tbl>
    <w:p w:rsidRPr="005049F2" w:rsidR="002836B0" w:rsidP="002A4BD8" w:rsidRDefault="002836B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F72A15"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F72A15" w:rsidP="00916AF1" w:rsidRDefault="00F72A15">
            <w:pPr>
              <w:pStyle w:val="Lijstalinea"/>
              <w:numPr>
                <w:ilvl w:val="0"/>
                <w:numId w:val="10"/>
              </w:numPr>
              <w:spacing w:after="240"/>
              <w:ind w:left="312"/>
              <w:rPr>
                <w:color w:val="595959" w:themeColor="text1" w:themeTint="A6"/>
                <w:szCs w:val="18"/>
              </w:rPr>
            </w:pPr>
          </w:p>
        </w:tc>
        <w:tc>
          <w:tcPr>
            <w:tcW w:w="1035" w:type="dxa"/>
          </w:tcPr>
          <w:p w:rsidRPr="005049F2" w:rsidR="00F72A15" w:rsidP="00916AF1" w:rsidRDefault="00F72A15">
            <w:pPr>
              <w:spacing w:after="240"/>
              <w:rPr>
                <w:color w:val="595959" w:themeColor="text1" w:themeTint="A6"/>
                <w:szCs w:val="18"/>
              </w:rPr>
            </w:pPr>
            <w:r w:rsidRPr="005049F2">
              <w:rPr>
                <w:color w:val="595959" w:themeColor="text1" w:themeTint="A6"/>
                <w:szCs w:val="18"/>
              </w:rPr>
              <w:t>Titel</w:t>
            </w:r>
          </w:p>
        </w:tc>
        <w:tc>
          <w:tcPr>
            <w:tcW w:w="6529" w:type="dxa"/>
          </w:tcPr>
          <w:p w:rsidRPr="00477F56" w:rsidR="00F72A15" w:rsidP="00916AF1" w:rsidRDefault="003A2906">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Bulgaria and delivering a Council opinion on the 2023 Convergence Programme of Bulgaria </w:t>
            </w:r>
            <w:hyperlink w:history="1" r:id="rId39">
              <w:r w:rsidRPr="00477F56">
                <w:rPr>
                  <w:rStyle w:val="Hyperlink"/>
                  <w:szCs w:val="18"/>
                  <w:lang w:val="en-GB"/>
                </w:rPr>
                <w:t>COM(2023)602</w:t>
              </w:r>
            </w:hyperlink>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916AF1" w:rsidP="00916AF1" w:rsidRDefault="00916AF1">
            <w:pPr>
              <w:spacing w:after="240"/>
              <w:rPr>
                <w:szCs w:val="18"/>
                <w:lang w:val="en-GB"/>
              </w:rPr>
            </w:pPr>
          </w:p>
        </w:tc>
        <w:tc>
          <w:tcPr>
            <w:tcW w:w="1035" w:type="dxa"/>
          </w:tcPr>
          <w:p w:rsidRPr="005049F2" w:rsidR="00916AF1" w:rsidP="00916AF1" w:rsidRDefault="00916AF1">
            <w:pPr>
              <w:spacing w:after="240"/>
              <w:rPr>
                <w:szCs w:val="18"/>
              </w:rPr>
            </w:pPr>
            <w:r w:rsidRPr="005049F2">
              <w:rPr>
                <w:szCs w:val="18"/>
              </w:rPr>
              <w:t>Voorstel</w:t>
            </w:r>
          </w:p>
        </w:tc>
        <w:tc>
          <w:tcPr>
            <w:tcW w:w="6529" w:type="dxa"/>
          </w:tcPr>
          <w:p w:rsidRPr="005049F2" w:rsidR="00916AF1" w:rsidP="00916AF1" w:rsidRDefault="00916AF1">
            <w:pPr>
              <w:spacing w:after="240"/>
              <w:rPr>
                <w:szCs w:val="18"/>
              </w:rPr>
            </w:pPr>
            <w:r>
              <w:rPr>
                <w:szCs w:val="18"/>
              </w:rPr>
              <w:t>Voor kennisgeving aannemen.</w:t>
            </w:r>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916AF1" w:rsidP="00916AF1" w:rsidRDefault="00916AF1">
            <w:pPr>
              <w:spacing w:after="240"/>
              <w:rPr>
                <w:color w:val="595959" w:themeColor="text1" w:themeTint="A6"/>
                <w:szCs w:val="18"/>
              </w:rPr>
            </w:pPr>
          </w:p>
        </w:tc>
        <w:tc>
          <w:tcPr>
            <w:tcW w:w="1035" w:type="dxa"/>
          </w:tcPr>
          <w:p w:rsidRPr="005049F2" w:rsidR="00916AF1" w:rsidP="00916AF1" w:rsidRDefault="00916AF1">
            <w:pPr>
              <w:spacing w:after="240"/>
              <w:rPr>
                <w:color w:val="595959" w:themeColor="text1" w:themeTint="A6"/>
                <w:szCs w:val="18"/>
              </w:rPr>
            </w:pPr>
            <w:r w:rsidRPr="005049F2">
              <w:rPr>
                <w:color w:val="595959" w:themeColor="text1" w:themeTint="A6"/>
                <w:szCs w:val="18"/>
              </w:rPr>
              <w:t>Noot</w:t>
            </w:r>
          </w:p>
        </w:tc>
        <w:tc>
          <w:tcPr>
            <w:tcW w:w="6529" w:type="dxa"/>
          </w:tcPr>
          <w:p w:rsidRPr="005049F2" w:rsidR="00916AF1" w:rsidP="00916AF1" w:rsidRDefault="00916AF1">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Bulgarije.</w:t>
            </w:r>
          </w:p>
        </w:tc>
      </w:tr>
    </w:tbl>
    <w:p w:rsidRPr="005049F2" w:rsidR="00F72A15" w:rsidP="002A4BD8" w:rsidRDefault="00F72A1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F72A15"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F72A15" w:rsidP="00916AF1" w:rsidRDefault="00F72A15">
            <w:pPr>
              <w:pStyle w:val="Lijstalinea"/>
              <w:numPr>
                <w:ilvl w:val="0"/>
                <w:numId w:val="10"/>
              </w:numPr>
              <w:spacing w:after="240"/>
              <w:ind w:left="312"/>
              <w:rPr>
                <w:color w:val="595959" w:themeColor="text1" w:themeTint="A6"/>
                <w:szCs w:val="18"/>
              </w:rPr>
            </w:pPr>
          </w:p>
        </w:tc>
        <w:tc>
          <w:tcPr>
            <w:tcW w:w="1035" w:type="dxa"/>
          </w:tcPr>
          <w:p w:rsidRPr="005049F2" w:rsidR="00F72A15" w:rsidP="00916AF1" w:rsidRDefault="00F72A15">
            <w:pPr>
              <w:spacing w:after="240"/>
              <w:rPr>
                <w:color w:val="595959" w:themeColor="text1" w:themeTint="A6"/>
                <w:szCs w:val="18"/>
              </w:rPr>
            </w:pPr>
            <w:r w:rsidRPr="005049F2">
              <w:rPr>
                <w:color w:val="595959" w:themeColor="text1" w:themeTint="A6"/>
                <w:szCs w:val="18"/>
              </w:rPr>
              <w:t>Titel</w:t>
            </w:r>
          </w:p>
        </w:tc>
        <w:tc>
          <w:tcPr>
            <w:tcW w:w="6529" w:type="dxa"/>
          </w:tcPr>
          <w:p w:rsidRPr="00477F56" w:rsidR="00F72A15" w:rsidP="00916AF1" w:rsidRDefault="0084498F">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Hungary and delivering a Council opinion on the 2023 Convergence Programme of Hungary </w:t>
            </w:r>
            <w:hyperlink w:history="1" r:id="rId40">
              <w:r w:rsidRPr="00477F56">
                <w:rPr>
                  <w:rStyle w:val="Hyperlink"/>
                  <w:szCs w:val="18"/>
                  <w:lang w:val="en-GB"/>
                </w:rPr>
                <w:t>COM(2023)617</w:t>
              </w:r>
            </w:hyperlink>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916AF1" w:rsidP="00916AF1" w:rsidRDefault="00916AF1">
            <w:pPr>
              <w:spacing w:after="240"/>
              <w:rPr>
                <w:szCs w:val="18"/>
                <w:lang w:val="en-GB"/>
              </w:rPr>
            </w:pPr>
          </w:p>
        </w:tc>
        <w:tc>
          <w:tcPr>
            <w:tcW w:w="1035" w:type="dxa"/>
          </w:tcPr>
          <w:p w:rsidRPr="005049F2" w:rsidR="00916AF1" w:rsidP="00916AF1" w:rsidRDefault="00916AF1">
            <w:pPr>
              <w:spacing w:after="240"/>
              <w:rPr>
                <w:szCs w:val="18"/>
              </w:rPr>
            </w:pPr>
            <w:r w:rsidRPr="005049F2">
              <w:rPr>
                <w:szCs w:val="18"/>
              </w:rPr>
              <w:t>Voorstel</w:t>
            </w:r>
          </w:p>
        </w:tc>
        <w:tc>
          <w:tcPr>
            <w:tcW w:w="6529" w:type="dxa"/>
          </w:tcPr>
          <w:p w:rsidRPr="005049F2" w:rsidR="00916AF1" w:rsidP="00916AF1" w:rsidRDefault="00916AF1">
            <w:pPr>
              <w:spacing w:after="240"/>
              <w:rPr>
                <w:szCs w:val="18"/>
              </w:rPr>
            </w:pPr>
            <w:r>
              <w:rPr>
                <w:szCs w:val="18"/>
              </w:rPr>
              <w:t>Voor kennisgeving aannemen.</w:t>
            </w:r>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916AF1" w:rsidP="00916AF1" w:rsidRDefault="00916AF1">
            <w:pPr>
              <w:spacing w:after="240"/>
              <w:rPr>
                <w:color w:val="595959" w:themeColor="text1" w:themeTint="A6"/>
                <w:szCs w:val="18"/>
              </w:rPr>
            </w:pPr>
          </w:p>
        </w:tc>
        <w:tc>
          <w:tcPr>
            <w:tcW w:w="1035" w:type="dxa"/>
          </w:tcPr>
          <w:p w:rsidRPr="005049F2" w:rsidR="00916AF1" w:rsidP="00916AF1" w:rsidRDefault="00916AF1">
            <w:pPr>
              <w:spacing w:after="240"/>
              <w:rPr>
                <w:color w:val="595959" w:themeColor="text1" w:themeTint="A6"/>
                <w:szCs w:val="18"/>
              </w:rPr>
            </w:pPr>
            <w:r w:rsidRPr="005049F2">
              <w:rPr>
                <w:color w:val="595959" w:themeColor="text1" w:themeTint="A6"/>
                <w:szCs w:val="18"/>
              </w:rPr>
              <w:t>Noot</w:t>
            </w:r>
          </w:p>
        </w:tc>
        <w:tc>
          <w:tcPr>
            <w:tcW w:w="6529" w:type="dxa"/>
          </w:tcPr>
          <w:p w:rsidRPr="005049F2" w:rsidR="00916AF1" w:rsidP="00916AF1" w:rsidRDefault="00916AF1">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Hongarije.</w:t>
            </w:r>
          </w:p>
        </w:tc>
      </w:tr>
    </w:tbl>
    <w:p w:rsidRPr="005049F2" w:rsidR="00F72A15" w:rsidP="002A4BD8" w:rsidRDefault="00F72A1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F72A15"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F72A15" w:rsidP="00916AF1" w:rsidRDefault="00F72A15">
            <w:pPr>
              <w:pStyle w:val="Lijstalinea"/>
              <w:numPr>
                <w:ilvl w:val="0"/>
                <w:numId w:val="10"/>
              </w:numPr>
              <w:spacing w:after="240"/>
              <w:ind w:left="312"/>
              <w:rPr>
                <w:color w:val="595959" w:themeColor="text1" w:themeTint="A6"/>
                <w:szCs w:val="18"/>
              </w:rPr>
            </w:pPr>
          </w:p>
        </w:tc>
        <w:tc>
          <w:tcPr>
            <w:tcW w:w="1035" w:type="dxa"/>
          </w:tcPr>
          <w:p w:rsidRPr="005049F2" w:rsidR="00F72A15" w:rsidP="00916AF1" w:rsidRDefault="00F72A15">
            <w:pPr>
              <w:spacing w:after="240"/>
              <w:rPr>
                <w:color w:val="595959" w:themeColor="text1" w:themeTint="A6"/>
                <w:szCs w:val="18"/>
              </w:rPr>
            </w:pPr>
            <w:r w:rsidRPr="005049F2">
              <w:rPr>
                <w:color w:val="595959" w:themeColor="text1" w:themeTint="A6"/>
                <w:szCs w:val="18"/>
              </w:rPr>
              <w:t>Titel</w:t>
            </w:r>
          </w:p>
        </w:tc>
        <w:tc>
          <w:tcPr>
            <w:tcW w:w="6529" w:type="dxa"/>
          </w:tcPr>
          <w:p w:rsidRPr="00477F56" w:rsidR="00F72A15" w:rsidP="00916AF1" w:rsidRDefault="008D6F20">
            <w:pPr>
              <w:shd w:val="clear" w:color="auto" w:fill="FFFFFF"/>
              <w:spacing w:after="75"/>
              <w:rPr>
                <w:szCs w:val="18"/>
                <w:lang w:val="en-GB" w:eastAsia="nl-NL"/>
              </w:rPr>
            </w:pPr>
            <w:r w:rsidRPr="00477F56">
              <w:rPr>
                <w:szCs w:val="18"/>
                <w:lang w:val="en-GB"/>
              </w:rPr>
              <w:t xml:space="preserve">Recommendation for a COUNCIL RECOMMENDATION on the 2023 National Reform Programme of Austria and delivering a Council opinion on the 2023 Stability Programme of Austria </w:t>
            </w:r>
            <w:hyperlink w:history="1" r:id="rId41">
              <w:r w:rsidRPr="00477F56">
                <w:rPr>
                  <w:rStyle w:val="Hyperlink"/>
                  <w:szCs w:val="18"/>
                  <w:lang w:val="en-GB"/>
                </w:rPr>
                <w:t>COM(2023)620</w:t>
              </w:r>
            </w:hyperlink>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916AF1" w:rsidP="00916AF1" w:rsidRDefault="00916AF1">
            <w:pPr>
              <w:spacing w:after="240"/>
              <w:rPr>
                <w:szCs w:val="18"/>
                <w:lang w:val="en-GB"/>
              </w:rPr>
            </w:pPr>
          </w:p>
        </w:tc>
        <w:tc>
          <w:tcPr>
            <w:tcW w:w="1035" w:type="dxa"/>
          </w:tcPr>
          <w:p w:rsidRPr="005049F2" w:rsidR="00916AF1" w:rsidP="00916AF1" w:rsidRDefault="00916AF1">
            <w:pPr>
              <w:spacing w:after="240"/>
              <w:rPr>
                <w:szCs w:val="18"/>
              </w:rPr>
            </w:pPr>
            <w:r w:rsidRPr="005049F2">
              <w:rPr>
                <w:szCs w:val="18"/>
              </w:rPr>
              <w:t>Voorstel</w:t>
            </w:r>
          </w:p>
        </w:tc>
        <w:tc>
          <w:tcPr>
            <w:tcW w:w="6529" w:type="dxa"/>
          </w:tcPr>
          <w:p w:rsidRPr="005049F2" w:rsidR="00916AF1" w:rsidP="00916AF1" w:rsidRDefault="00916AF1">
            <w:pPr>
              <w:spacing w:after="240"/>
              <w:rPr>
                <w:szCs w:val="18"/>
              </w:rPr>
            </w:pPr>
            <w:r>
              <w:rPr>
                <w:szCs w:val="18"/>
              </w:rPr>
              <w:t>Voor kennisgeving aannemen.</w:t>
            </w:r>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916AF1" w:rsidP="00916AF1" w:rsidRDefault="00916AF1">
            <w:pPr>
              <w:spacing w:after="240"/>
              <w:rPr>
                <w:color w:val="595959" w:themeColor="text1" w:themeTint="A6"/>
                <w:szCs w:val="18"/>
              </w:rPr>
            </w:pPr>
          </w:p>
        </w:tc>
        <w:tc>
          <w:tcPr>
            <w:tcW w:w="1035" w:type="dxa"/>
          </w:tcPr>
          <w:p w:rsidRPr="005049F2" w:rsidR="00916AF1" w:rsidP="00916AF1" w:rsidRDefault="00916AF1">
            <w:pPr>
              <w:spacing w:after="240"/>
              <w:rPr>
                <w:color w:val="595959" w:themeColor="text1" w:themeTint="A6"/>
                <w:szCs w:val="18"/>
              </w:rPr>
            </w:pPr>
            <w:r w:rsidRPr="005049F2">
              <w:rPr>
                <w:color w:val="595959" w:themeColor="text1" w:themeTint="A6"/>
                <w:szCs w:val="18"/>
              </w:rPr>
              <w:t>Noot</w:t>
            </w:r>
          </w:p>
        </w:tc>
        <w:tc>
          <w:tcPr>
            <w:tcW w:w="6529" w:type="dxa"/>
          </w:tcPr>
          <w:p w:rsidRPr="005049F2" w:rsidR="00916AF1" w:rsidP="00916AF1" w:rsidRDefault="00916AF1">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Oostenrijk.</w:t>
            </w:r>
          </w:p>
        </w:tc>
      </w:tr>
    </w:tbl>
    <w:p w:rsidRPr="005049F2" w:rsidR="00F72A15" w:rsidP="002A4BD8" w:rsidRDefault="00F72A1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F72A15"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F72A15" w:rsidP="00916AF1" w:rsidRDefault="00F72A15">
            <w:pPr>
              <w:pStyle w:val="Lijstalinea"/>
              <w:numPr>
                <w:ilvl w:val="0"/>
                <w:numId w:val="10"/>
              </w:numPr>
              <w:spacing w:after="240"/>
              <w:ind w:left="312"/>
              <w:rPr>
                <w:color w:val="595959" w:themeColor="text1" w:themeTint="A6"/>
                <w:szCs w:val="18"/>
              </w:rPr>
            </w:pPr>
          </w:p>
        </w:tc>
        <w:tc>
          <w:tcPr>
            <w:tcW w:w="1035" w:type="dxa"/>
          </w:tcPr>
          <w:p w:rsidRPr="005049F2" w:rsidR="00F72A15" w:rsidP="00916AF1" w:rsidRDefault="00F72A15">
            <w:pPr>
              <w:spacing w:after="240"/>
              <w:rPr>
                <w:color w:val="595959" w:themeColor="text1" w:themeTint="A6"/>
                <w:szCs w:val="18"/>
              </w:rPr>
            </w:pPr>
            <w:r w:rsidRPr="005049F2">
              <w:rPr>
                <w:color w:val="595959" w:themeColor="text1" w:themeTint="A6"/>
                <w:szCs w:val="18"/>
              </w:rPr>
              <w:t>Titel</w:t>
            </w:r>
          </w:p>
        </w:tc>
        <w:tc>
          <w:tcPr>
            <w:tcW w:w="6529" w:type="dxa"/>
          </w:tcPr>
          <w:p w:rsidRPr="00477F56" w:rsidR="00F72A15" w:rsidP="00916AF1" w:rsidRDefault="008373ED">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Poland and delivering a Council </w:t>
            </w:r>
            <w:r w:rsidRPr="00477F56">
              <w:rPr>
                <w:szCs w:val="18"/>
                <w:lang w:val="en-GB"/>
              </w:rPr>
              <w:lastRenderedPageBreak/>
              <w:t xml:space="preserve">opinion on the 2023 Convergence Programme of Poland </w:t>
            </w:r>
            <w:hyperlink w:history="1" r:id="rId42">
              <w:r w:rsidRPr="00477F56">
                <w:rPr>
                  <w:rStyle w:val="Hyperlink"/>
                  <w:szCs w:val="18"/>
                  <w:lang w:val="en-GB"/>
                </w:rPr>
                <w:t>COM(2023)621</w:t>
              </w:r>
            </w:hyperlink>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916AF1" w:rsidP="00916AF1" w:rsidRDefault="00916AF1">
            <w:pPr>
              <w:spacing w:after="240"/>
              <w:rPr>
                <w:szCs w:val="18"/>
                <w:lang w:val="en-GB"/>
              </w:rPr>
            </w:pPr>
          </w:p>
        </w:tc>
        <w:tc>
          <w:tcPr>
            <w:tcW w:w="1035" w:type="dxa"/>
          </w:tcPr>
          <w:p w:rsidRPr="005049F2" w:rsidR="00916AF1" w:rsidP="00916AF1" w:rsidRDefault="00916AF1">
            <w:pPr>
              <w:spacing w:after="240"/>
              <w:rPr>
                <w:szCs w:val="18"/>
              </w:rPr>
            </w:pPr>
            <w:r w:rsidRPr="005049F2">
              <w:rPr>
                <w:szCs w:val="18"/>
              </w:rPr>
              <w:t>Voorstel</w:t>
            </w:r>
          </w:p>
        </w:tc>
        <w:tc>
          <w:tcPr>
            <w:tcW w:w="6529" w:type="dxa"/>
          </w:tcPr>
          <w:p w:rsidRPr="005049F2" w:rsidR="00916AF1" w:rsidP="00916AF1" w:rsidRDefault="00916AF1">
            <w:pPr>
              <w:spacing w:after="240"/>
              <w:rPr>
                <w:szCs w:val="18"/>
              </w:rPr>
            </w:pPr>
            <w:r>
              <w:rPr>
                <w:szCs w:val="18"/>
              </w:rPr>
              <w:t>Voor kennisgeving aannemen.</w:t>
            </w:r>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916AF1" w:rsidP="00916AF1" w:rsidRDefault="00916AF1">
            <w:pPr>
              <w:spacing w:after="240"/>
              <w:rPr>
                <w:color w:val="595959" w:themeColor="text1" w:themeTint="A6"/>
                <w:szCs w:val="18"/>
              </w:rPr>
            </w:pPr>
          </w:p>
        </w:tc>
        <w:tc>
          <w:tcPr>
            <w:tcW w:w="1035" w:type="dxa"/>
          </w:tcPr>
          <w:p w:rsidRPr="005049F2" w:rsidR="00916AF1" w:rsidP="00916AF1" w:rsidRDefault="00916AF1">
            <w:pPr>
              <w:spacing w:after="240"/>
              <w:rPr>
                <w:color w:val="595959" w:themeColor="text1" w:themeTint="A6"/>
                <w:szCs w:val="18"/>
              </w:rPr>
            </w:pPr>
            <w:r w:rsidRPr="005049F2">
              <w:rPr>
                <w:color w:val="595959" w:themeColor="text1" w:themeTint="A6"/>
                <w:szCs w:val="18"/>
              </w:rPr>
              <w:t>Noot</w:t>
            </w:r>
          </w:p>
        </w:tc>
        <w:tc>
          <w:tcPr>
            <w:tcW w:w="6529" w:type="dxa"/>
          </w:tcPr>
          <w:p w:rsidRPr="005049F2" w:rsidR="00916AF1" w:rsidP="00916AF1" w:rsidRDefault="00916AF1">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Polen.</w:t>
            </w:r>
          </w:p>
        </w:tc>
      </w:tr>
    </w:tbl>
    <w:p w:rsidRPr="005049F2" w:rsidR="00F72A15" w:rsidP="002A4BD8" w:rsidRDefault="00F72A1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F72A15"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F72A15" w:rsidP="00916AF1" w:rsidRDefault="00F72A15">
            <w:pPr>
              <w:pStyle w:val="Lijstalinea"/>
              <w:numPr>
                <w:ilvl w:val="0"/>
                <w:numId w:val="10"/>
              </w:numPr>
              <w:spacing w:after="240"/>
              <w:ind w:left="312"/>
              <w:rPr>
                <w:color w:val="595959" w:themeColor="text1" w:themeTint="A6"/>
                <w:szCs w:val="18"/>
              </w:rPr>
            </w:pPr>
          </w:p>
        </w:tc>
        <w:tc>
          <w:tcPr>
            <w:tcW w:w="1035" w:type="dxa"/>
          </w:tcPr>
          <w:p w:rsidRPr="005049F2" w:rsidR="00F72A15" w:rsidP="00916AF1" w:rsidRDefault="00F72A15">
            <w:pPr>
              <w:spacing w:after="240"/>
              <w:rPr>
                <w:color w:val="595959" w:themeColor="text1" w:themeTint="A6"/>
                <w:szCs w:val="18"/>
              </w:rPr>
            </w:pPr>
            <w:r w:rsidRPr="005049F2">
              <w:rPr>
                <w:color w:val="595959" w:themeColor="text1" w:themeTint="A6"/>
                <w:szCs w:val="18"/>
              </w:rPr>
              <w:t>Titel</w:t>
            </w:r>
          </w:p>
        </w:tc>
        <w:tc>
          <w:tcPr>
            <w:tcW w:w="6529" w:type="dxa"/>
          </w:tcPr>
          <w:p w:rsidRPr="00477F56" w:rsidR="00F72A15" w:rsidP="00916AF1" w:rsidRDefault="0088742D">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Malta and delivering a Council opinion on the 2023 Stability Programme of Malta </w:t>
            </w:r>
            <w:hyperlink w:history="1" r:id="rId43">
              <w:r w:rsidRPr="00477F56">
                <w:rPr>
                  <w:rStyle w:val="Hyperlink"/>
                  <w:szCs w:val="18"/>
                  <w:lang w:val="en-GB"/>
                </w:rPr>
                <w:t>COM(2023)618</w:t>
              </w:r>
            </w:hyperlink>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916AF1" w:rsidP="00916AF1" w:rsidRDefault="00916AF1">
            <w:pPr>
              <w:spacing w:after="240"/>
              <w:rPr>
                <w:szCs w:val="18"/>
                <w:lang w:val="en-GB"/>
              </w:rPr>
            </w:pPr>
          </w:p>
        </w:tc>
        <w:tc>
          <w:tcPr>
            <w:tcW w:w="1035" w:type="dxa"/>
          </w:tcPr>
          <w:p w:rsidRPr="005049F2" w:rsidR="00916AF1" w:rsidP="00916AF1" w:rsidRDefault="00916AF1">
            <w:pPr>
              <w:spacing w:after="240"/>
              <w:rPr>
                <w:szCs w:val="18"/>
              </w:rPr>
            </w:pPr>
            <w:r w:rsidRPr="005049F2">
              <w:rPr>
                <w:szCs w:val="18"/>
              </w:rPr>
              <w:t>Voorstel</w:t>
            </w:r>
          </w:p>
        </w:tc>
        <w:tc>
          <w:tcPr>
            <w:tcW w:w="6529" w:type="dxa"/>
          </w:tcPr>
          <w:p w:rsidRPr="005049F2" w:rsidR="00916AF1" w:rsidP="00916AF1" w:rsidRDefault="00916AF1">
            <w:pPr>
              <w:spacing w:after="240"/>
              <w:rPr>
                <w:szCs w:val="18"/>
              </w:rPr>
            </w:pPr>
            <w:r>
              <w:rPr>
                <w:szCs w:val="18"/>
              </w:rPr>
              <w:t>Voor kennisgeving aannemen.</w:t>
            </w:r>
          </w:p>
        </w:tc>
      </w:tr>
      <w:tr w:rsidRPr="005049F2" w:rsidR="00916AF1"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916AF1" w:rsidP="00916AF1" w:rsidRDefault="00916AF1">
            <w:pPr>
              <w:spacing w:after="240"/>
              <w:rPr>
                <w:color w:val="595959" w:themeColor="text1" w:themeTint="A6"/>
                <w:szCs w:val="18"/>
              </w:rPr>
            </w:pPr>
          </w:p>
        </w:tc>
        <w:tc>
          <w:tcPr>
            <w:tcW w:w="1035" w:type="dxa"/>
          </w:tcPr>
          <w:p w:rsidRPr="005049F2" w:rsidR="00916AF1" w:rsidP="00916AF1" w:rsidRDefault="00916AF1">
            <w:pPr>
              <w:spacing w:after="240"/>
              <w:rPr>
                <w:color w:val="595959" w:themeColor="text1" w:themeTint="A6"/>
                <w:szCs w:val="18"/>
              </w:rPr>
            </w:pPr>
            <w:r w:rsidRPr="005049F2">
              <w:rPr>
                <w:color w:val="595959" w:themeColor="text1" w:themeTint="A6"/>
                <w:szCs w:val="18"/>
              </w:rPr>
              <w:t>Noot</w:t>
            </w:r>
          </w:p>
        </w:tc>
        <w:tc>
          <w:tcPr>
            <w:tcW w:w="6529" w:type="dxa"/>
          </w:tcPr>
          <w:p w:rsidRPr="005049F2" w:rsidR="00916AF1" w:rsidP="00916AF1" w:rsidRDefault="00916AF1">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w:t>
            </w:r>
            <w:r w:rsidR="00C54B8A">
              <w:rPr>
                <w:color w:val="595959" w:themeColor="text1" w:themeTint="A6"/>
                <w:szCs w:val="18"/>
              </w:rPr>
              <w:t>Malta.</w:t>
            </w:r>
          </w:p>
        </w:tc>
      </w:tr>
    </w:tbl>
    <w:p w:rsidRPr="005049F2" w:rsidR="00F72A15" w:rsidP="002A4BD8" w:rsidRDefault="00F72A1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049F2" w:rsidR="00F72A15"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F72A15" w:rsidP="00916AF1" w:rsidRDefault="00F72A15">
            <w:pPr>
              <w:pStyle w:val="Lijstalinea"/>
              <w:numPr>
                <w:ilvl w:val="0"/>
                <w:numId w:val="10"/>
              </w:numPr>
              <w:spacing w:after="240"/>
              <w:ind w:left="312"/>
              <w:rPr>
                <w:color w:val="595959" w:themeColor="text1" w:themeTint="A6"/>
                <w:szCs w:val="18"/>
              </w:rPr>
            </w:pPr>
          </w:p>
        </w:tc>
        <w:tc>
          <w:tcPr>
            <w:tcW w:w="1035" w:type="dxa"/>
          </w:tcPr>
          <w:p w:rsidRPr="005049F2" w:rsidR="00F72A15" w:rsidP="00916AF1" w:rsidRDefault="00F72A15">
            <w:pPr>
              <w:spacing w:after="240"/>
              <w:rPr>
                <w:color w:val="595959" w:themeColor="text1" w:themeTint="A6"/>
                <w:szCs w:val="18"/>
              </w:rPr>
            </w:pPr>
            <w:r w:rsidRPr="005049F2">
              <w:rPr>
                <w:color w:val="595959" w:themeColor="text1" w:themeTint="A6"/>
                <w:szCs w:val="18"/>
              </w:rPr>
              <w:t>Titel</w:t>
            </w:r>
          </w:p>
        </w:tc>
        <w:tc>
          <w:tcPr>
            <w:tcW w:w="6529" w:type="dxa"/>
          </w:tcPr>
          <w:p w:rsidRPr="006255D8" w:rsidR="00F72A15" w:rsidP="00916AF1" w:rsidRDefault="0088742D">
            <w:pPr>
              <w:spacing w:after="240"/>
              <w:rPr>
                <w:b/>
                <w:color w:val="595959" w:themeColor="text1" w:themeTint="A6"/>
                <w:szCs w:val="18"/>
                <w:highlight w:val="yellow"/>
              </w:rPr>
            </w:pPr>
            <w:r w:rsidRPr="00767266">
              <w:rPr>
                <w:szCs w:val="18"/>
              </w:rPr>
              <w:t xml:space="preserve">Aanbeveling voor een AANBEVELING VAN DE RAAD over het nationale hervormingsprogramma 2023 van Nederland en met een advies van de Raad over het stabiliteitsprogramma 2023 van Nederland </w:t>
            </w:r>
            <w:hyperlink w:history="1" r:id="rId44">
              <w:r w:rsidRPr="00767266">
                <w:rPr>
                  <w:rStyle w:val="Hyperlink"/>
                  <w:szCs w:val="18"/>
                </w:rPr>
                <w:t>COM(2023)619</w:t>
              </w:r>
            </w:hyperlink>
          </w:p>
        </w:tc>
      </w:tr>
      <w:tr w:rsidRPr="005049F2" w:rsidR="00F72A15"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F72A15" w:rsidP="00916AF1" w:rsidRDefault="00F72A15">
            <w:pPr>
              <w:spacing w:after="240"/>
              <w:rPr>
                <w:szCs w:val="18"/>
              </w:rPr>
            </w:pPr>
          </w:p>
        </w:tc>
        <w:tc>
          <w:tcPr>
            <w:tcW w:w="1035" w:type="dxa"/>
          </w:tcPr>
          <w:p w:rsidRPr="005049F2" w:rsidR="00F72A15" w:rsidP="00916AF1" w:rsidRDefault="00F72A15">
            <w:pPr>
              <w:spacing w:after="240"/>
              <w:rPr>
                <w:szCs w:val="18"/>
              </w:rPr>
            </w:pPr>
            <w:r w:rsidRPr="005049F2">
              <w:rPr>
                <w:szCs w:val="18"/>
              </w:rPr>
              <w:t>Voorstel</w:t>
            </w:r>
          </w:p>
        </w:tc>
        <w:tc>
          <w:tcPr>
            <w:tcW w:w="6529" w:type="dxa"/>
          </w:tcPr>
          <w:p w:rsidRPr="005049F2" w:rsidR="00F72A15" w:rsidP="00916AF1" w:rsidRDefault="00767266">
            <w:pPr>
              <w:spacing w:after="240"/>
              <w:rPr>
                <w:szCs w:val="18"/>
              </w:rPr>
            </w:pPr>
            <w:r>
              <w:rPr>
                <w:szCs w:val="18"/>
              </w:rPr>
              <w:t>Desgewenst betrekken bij het Commissiedebat Eurogroep/</w:t>
            </w:r>
            <w:proofErr w:type="spellStart"/>
            <w:r>
              <w:rPr>
                <w:szCs w:val="18"/>
              </w:rPr>
              <w:t>Ecofin</w:t>
            </w:r>
            <w:proofErr w:type="spellEnd"/>
            <w:r>
              <w:rPr>
                <w:szCs w:val="18"/>
              </w:rPr>
              <w:t xml:space="preserve"> van 13 juni 2023.</w:t>
            </w:r>
          </w:p>
        </w:tc>
      </w:tr>
      <w:tr w:rsidRPr="005049F2" w:rsidR="00F72A15"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F72A15" w:rsidP="00916AF1" w:rsidRDefault="00F72A15">
            <w:pPr>
              <w:spacing w:after="240"/>
              <w:rPr>
                <w:color w:val="595959" w:themeColor="text1" w:themeTint="A6"/>
                <w:szCs w:val="18"/>
              </w:rPr>
            </w:pPr>
          </w:p>
        </w:tc>
        <w:tc>
          <w:tcPr>
            <w:tcW w:w="1035" w:type="dxa"/>
          </w:tcPr>
          <w:p w:rsidRPr="005049F2" w:rsidR="00F72A15" w:rsidP="00916AF1" w:rsidRDefault="00F72A15">
            <w:pPr>
              <w:spacing w:after="240"/>
              <w:rPr>
                <w:color w:val="595959" w:themeColor="text1" w:themeTint="A6"/>
                <w:szCs w:val="18"/>
              </w:rPr>
            </w:pPr>
            <w:r w:rsidRPr="005049F2">
              <w:rPr>
                <w:color w:val="595959" w:themeColor="text1" w:themeTint="A6"/>
                <w:szCs w:val="18"/>
              </w:rPr>
              <w:t>Noot</w:t>
            </w:r>
          </w:p>
        </w:tc>
        <w:tc>
          <w:tcPr>
            <w:tcW w:w="6529" w:type="dxa"/>
          </w:tcPr>
          <w:p w:rsidRPr="005049F2" w:rsidR="00F72A15" w:rsidP="00767266" w:rsidRDefault="00767266">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Nederland. De Commissie doet vier aanbevelingen voor Nederland die zien op i) </w:t>
            </w:r>
            <w:proofErr w:type="spellStart"/>
            <w:r>
              <w:rPr>
                <w:color w:val="595959" w:themeColor="text1" w:themeTint="A6"/>
                <w:szCs w:val="18"/>
              </w:rPr>
              <w:t>uitfaseren</w:t>
            </w:r>
            <w:proofErr w:type="spellEnd"/>
            <w:r>
              <w:rPr>
                <w:color w:val="595959" w:themeColor="text1" w:themeTint="A6"/>
                <w:szCs w:val="18"/>
              </w:rPr>
              <w:t xml:space="preserve"> van de energie gerelateerde steunmaatregelen, prudent begrotingsbeleid, overheidsinvesteringen in de groene en digitale transitie in stand houden, op de middellange termijn een begrotingsstrategie van duurzame consolidatie, verstoringen op de woningmarkt verminderen en de </w:t>
            </w:r>
            <w:r w:rsidRPr="00767266">
              <w:rPr>
                <w:color w:val="595959" w:themeColor="text1" w:themeTint="A6"/>
                <w:szCs w:val="18"/>
              </w:rPr>
              <w:t>beschikbaarheid en</w:t>
            </w:r>
            <w:r>
              <w:rPr>
                <w:color w:val="595959" w:themeColor="text1" w:themeTint="A6"/>
                <w:szCs w:val="18"/>
              </w:rPr>
              <w:t xml:space="preserve"> betaalbaarheid van particuliere huurwoningen </w:t>
            </w:r>
            <w:r w:rsidRPr="00767266">
              <w:rPr>
                <w:color w:val="595959" w:themeColor="text1" w:themeTint="A6"/>
                <w:szCs w:val="18"/>
              </w:rPr>
              <w:t>ondersteunen</w:t>
            </w:r>
            <w:r>
              <w:rPr>
                <w:color w:val="595959" w:themeColor="text1" w:themeTint="A6"/>
                <w:szCs w:val="18"/>
              </w:rPr>
              <w:t xml:space="preserve">, ii) doorgaan met de uitvoering van het herstel- en veerkrachtplan, het </w:t>
            </w:r>
            <w:proofErr w:type="spellStart"/>
            <w:r>
              <w:rPr>
                <w:color w:val="595959" w:themeColor="text1" w:themeTint="A6"/>
                <w:szCs w:val="18"/>
              </w:rPr>
              <w:t>RepowerEU</w:t>
            </w:r>
            <w:proofErr w:type="spellEnd"/>
            <w:r>
              <w:rPr>
                <w:color w:val="595959" w:themeColor="text1" w:themeTint="A6"/>
                <w:szCs w:val="18"/>
              </w:rPr>
              <w:t xml:space="preserve">-hoofdstuk afronden, voortgaan met uitvoering cohesiebeleid, iii) prikkels voor </w:t>
            </w:r>
            <w:r w:rsidRPr="00767266">
              <w:rPr>
                <w:color w:val="595959" w:themeColor="text1" w:themeTint="A6"/>
                <w:szCs w:val="18"/>
              </w:rPr>
              <w:t>flexibele of tijdelijke contracten verminderen</w:t>
            </w:r>
            <w:r>
              <w:rPr>
                <w:color w:val="595959" w:themeColor="text1" w:themeTint="A6"/>
                <w:szCs w:val="18"/>
              </w:rPr>
              <w:t xml:space="preserve">, </w:t>
            </w:r>
            <w:r w:rsidRPr="00767266">
              <w:rPr>
                <w:color w:val="595959" w:themeColor="text1" w:themeTint="A6"/>
                <w:szCs w:val="18"/>
              </w:rPr>
              <w:t xml:space="preserve">het onderbenutte arbeidspotentieel </w:t>
            </w:r>
            <w:r>
              <w:rPr>
                <w:color w:val="595959" w:themeColor="text1" w:themeTint="A6"/>
                <w:szCs w:val="18"/>
              </w:rPr>
              <w:t>benutten</w:t>
            </w:r>
            <w:r w:rsidRPr="00767266">
              <w:rPr>
                <w:color w:val="595959" w:themeColor="text1" w:themeTint="A6"/>
                <w:szCs w:val="18"/>
              </w:rPr>
              <w:t xml:space="preserve"> en de bij- en omscholingsmogelijkheden verbeteren,</w:t>
            </w:r>
            <w:r>
              <w:rPr>
                <w:color w:val="595959" w:themeColor="text1" w:themeTint="A6"/>
                <w:szCs w:val="18"/>
              </w:rPr>
              <w:t xml:space="preserve"> en iv) de afhankelijkheid van fossiele brandstoffen verminderen </w:t>
            </w:r>
            <w:r w:rsidRPr="00767266">
              <w:rPr>
                <w:color w:val="595959" w:themeColor="text1" w:themeTint="A6"/>
                <w:szCs w:val="18"/>
              </w:rPr>
              <w:t>door de uitrol van herni</w:t>
            </w:r>
            <w:r>
              <w:rPr>
                <w:color w:val="595959" w:themeColor="text1" w:themeTint="A6"/>
                <w:szCs w:val="18"/>
              </w:rPr>
              <w:t>euwbare energie te versnellen en d</w:t>
            </w:r>
            <w:r w:rsidRPr="00767266">
              <w:rPr>
                <w:color w:val="595959" w:themeColor="text1" w:themeTint="A6"/>
                <w:szCs w:val="18"/>
              </w:rPr>
              <w:t>e transitie naar duurzame landbouw ondersteunen.</w:t>
            </w:r>
          </w:p>
        </w:tc>
      </w:tr>
    </w:tbl>
    <w:p w:rsidRPr="005049F2" w:rsidR="00F72A15" w:rsidP="002A4BD8" w:rsidRDefault="00F72A1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663914"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663914" w:rsidP="00916AF1" w:rsidRDefault="00663914">
            <w:pPr>
              <w:pStyle w:val="Lijstalinea"/>
              <w:numPr>
                <w:ilvl w:val="0"/>
                <w:numId w:val="10"/>
              </w:numPr>
              <w:spacing w:after="240"/>
              <w:ind w:left="312"/>
              <w:rPr>
                <w:color w:val="595959" w:themeColor="text1" w:themeTint="A6"/>
                <w:szCs w:val="18"/>
              </w:rPr>
            </w:pPr>
          </w:p>
        </w:tc>
        <w:tc>
          <w:tcPr>
            <w:tcW w:w="1035" w:type="dxa"/>
          </w:tcPr>
          <w:p w:rsidRPr="005049F2" w:rsidR="00663914" w:rsidP="00916AF1" w:rsidRDefault="00663914">
            <w:pPr>
              <w:spacing w:after="240"/>
              <w:rPr>
                <w:color w:val="595959" w:themeColor="text1" w:themeTint="A6"/>
                <w:szCs w:val="18"/>
              </w:rPr>
            </w:pPr>
            <w:r w:rsidRPr="005049F2">
              <w:rPr>
                <w:color w:val="595959" w:themeColor="text1" w:themeTint="A6"/>
                <w:szCs w:val="18"/>
              </w:rPr>
              <w:t>Titel</w:t>
            </w:r>
          </w:p>
        </w:tc>
        <w:tc>
          <w:tcPr>
            <w:tcW w:w="6529" w:type="dxa"/>
          </w:tcPr>
          <w:p w:rsidRPr="00477F56" w:rsidR="00663914" w:rsidP="00916AF1" w:rsidRDefault="0088742D">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Denmark </w:t>
            </w:r>
            <w:hyperlink w:history="1" r:id="rId45">
              <w:r w:rsidRPr="00477F56">
                <w:rPr>
                  <w:rStyle w:val="Hyperlink"/>
                  <w:szCs w:val="18"/>
                  <w:lang w:val="en-GB"/>
                </w:rPr>
                <w:t>COM(2023)604</w:t>
              </w:r>
            </w:hyperlink>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C54B8A" w:rsidP="00C54B8A" w:rsidRDefault="00C54B8A">
            <w:pPr>
              <w:spacing w:after="240"/>
              <w:rPr>
                <w:szCs w:val="18"/>
                <w:lang w:val="en-GB"/>
              </w:rPr>
            </w:pPr>
          </w:p>
        </w:tc>
        <w:tc>
          <w:tcPr>
            <w:tcW w:w="1035" w:type="dxa"/>
          </w:tcPr>
          <w:p w:rsidRPr="005049F2" w:rsidR="00C54B8A" w:rsidP="00C54B8A" w:rsidRDefault="00C54B8A">
            <w:pPr>
              <w:spacing w:after="240"/>
              <w:rPr>
                <w:szCs w:val="18"/>
              </w:rPr>
            </w:pPr>
            <w:r w:rsidRPr="005049F2">
              <w:rPr>
                <w:szCs w:val="18"/>
              </w:rPr>
              <w:t>Voorstel</w:t>
            </w:r>
          </w:p>
        </w:tc>
        <w:tc>
          <w:tcPr>
            <w:tcW w:w="6529" w:type="dxa"/>
          </w:tcPr>
          <w:p w:rsidRPr="005049F2" w:rsidR="00C54B8A" w:rsidP="00C54B8A" w:rsidRDefault="00C54B8A">
            <w:pPr>
              <w:spacing w:after="240"/>
              <w:rPr>
                <w:szCs w:val="18"/>
              </w:rPr>
            </w:pPr>
            <w:r>
              <w:rPr>
                <w:szCs w:val="18"/>
              </w:rPr>
              <w:t>Voor kennisgeving aannemen.</w:t>
            </w:r>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C54B8A" w:rsidP="00C54B8A" w:rsidRDefault="00C54B8A">
            <w:pPr>
              <w:spacing w:after="240"/>
              <w:rPr>
                <w:color w:val="595959" w:themeColor="text1" w:themeTint="A6"/>
                <w:szCs w:val="18"/>
              </w:rPr>
            </w:pPr>
          </w:p>
        </w:tc>
        <w:tc>
          <w:tcPr>
            <w:tcW w:w="1035" w:type="dxa"/>
          </w:tcPr>
          <w:p w:rsidRPr="005049F2" w:rsidR="00C54B8A" w:rsidP="00C54B8A" w:rsidRDefault="00C54B8A">
            <w:pPr>
              <w:spacing w:after="240"/>
              <w:rPr>
                <w:color w:val="595959" w:themeColor="text1" w:themeTint="A6"/>
                <w:szCs w:val="18"/>
              </w:rPr>
            </w:pPr>
            <w:r w:rsidRPr="005049F2">
              <w:rPr>
                <w:color w:val="595959" w:themeColor="text1" w:themeTint="A6"/>
                <w:szCs w:val="18"/>
              </w:rPr>
              <w:t>Noot</w:t>
            </w:r>
          </w:p>
        </w:tc>
        <w:tc>
          <w:tcPr>
            <w:tcW w:w="6529" w:type="dxa"/>
          </w:tcPr>
          <w:p w:rsidRPr="005049F2" w:rsidR="00C54B8A" w:rsidP="00C54B8A" w:rsidRDefault="00C54B8A">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Denemarken.</w:t>
            </w:r>
          </w:p>
        </w:tc>
      </w:tr>
    </w:tbl>
    <w:p w:rsidRPr="005049F2" w:rsidR="00663914" w:rsidP="002A4BD8" w:rsidRDefault="006639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663914"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663914" w:rsidP="00916AF1" w:rsidRDefault="00663914">
            <w:pPr>
              <w:pStyle w:val="Lijstalinea"/>
              <w:numPr>
                <w:ilvl w:val="0"/>
                <w:numId w:val="10"/>
              </w:numPr>
              <w:spacing w:after="240"/>
              <w:ind w:left="312"/>
              <w:rPr>
                <w:color w:val="595959" w:themeColor="text1" w:themeTint="A6"/>
                <w:szCs w:val="18"/>
              </w:rPr>
            </w:pPr>
          </w:p>
        </w:tc>
        <w:tc>
          <w:tcPr>
            <w:tcW w:w="1035" w:type="dxa"/>
          </w:tcPr>
          <w:p w:rsidRPr="005049F2" w:rsidR="00663914" w:rsidP="00916AF1" w:rsidRDefault="00663914">
            <w:pPr>
              <w:spacing w:after="240"/>
              <w:rPr>
                <w:color w:val="595959" w:themeColor="text1" w:themeTint="A6"/>
                <w:szCs w:val="18"/>
              </w:rPr>
            </w:pPr>
            <w:r w:rsidRPr="005049F2">
              <w:rPr>
                <w:color w:val="595959" w:themeColor="text1" w:themeTint="A6"/>
                <w:szCs w:val="18"/>
              </w:rPr>
              <w:t>Titel</w:t>
            </w:r>
          </w:p>
        </w:tc>
        <w:tc>
          <w:tcPr>
            <w:tcW w:w="6529" w:type="dxa"/>
          </w:tcPr>
          <w:p w:rsidRPr="00477F56" w:rsidR="00663914" w:rsidP="00916AF1" w:rsidRDefault="004F7830">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w:t>
            </w:r>
            <w:proofErr w:type="spellStart"/>
            <w:r w:rsidRPr="00477F56">
              <w:rPr>
                <w:szCs w:val="18"/>
                <w:lang w:val="en-GB"/>
              </w:rPr>
              <w:t>Czechia</w:t>
            </w:r>
            <w:proofErr w:type="spellEnd"/>
            <w:r w:rsidRPr="00477F56">
              <w:rPr>
                <w:szCs w:val="18"/>
                <w:lang w:val="en-GB"/>
              </w:rPr>
              <w:t xml:space="preserve"> and delivering a Council opinion on the 2023 Convergence Programme of </w:t>
            </w:r>
            <w:proofErr w:type="spellStart"/>
            <w:r w:rsidRPr="00477F56">
              <w:rPr>
                <w:szCs w:val="18"/>
                <w:lang w:val="en-GB"/>
              </w:rPr>
              <w:t>Czechia</w:t>
            </w:r>
            <w:proofErr w:type="spellEnd"/>
            <w:r w:rsidRPr="00477F56">
              <w:rPr>
                <w:szCs w:val="18"/>
                <w:lang w:val="en-GB"/>
              </w:rPr>
              <w:t xml:space="preserve"> </w:t>
            </w:r>
            <w:hyperlink w:history="1" r:id="rId46">
              <w:r w:rsidRPr="00477F56">
                <w:rPr>
                  <w:rStyle w:val="Hyperlink"/>
                  <w:szCs w:val="18"/>
                  <w:lang w:val="en-GB"/>
                </w:rPr>
                <w:t>COM(2023)603</w:t>
              </w:r>
            </w:hyperlink>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C54B8A" w:rsidP="00C54B8A" w:rsidRDefault="00C54B8A">
            <w:pPr>
              <w:spacing w:after="240"/>
              <w:rPr>
                <w:szCs w:val="18"/>
                <w:lang w:val="en-GB"/>
              </w:rPr>
            </w:pPr>
          </w:p>
        </w:tc>
        <w:tc>
          <w:tcPr>
            <w:tcW w:w="1035" w:type="dxa"/>
          </w:tcPr>
          <w:p w:rsidRPr="005049F2" w:rsidR="00C54B8A" w:rsidP="00C54B8A" w:rsidRDefault="00C54B8A">
            <w:pPr>
              <w:spacing w:after="240"/>
              <w:rPr>
                <w:szCs w:val="18"/>
              </w:rPr>
            </w:pPr>
            <w:r w:rsidRPr="005049F2">
              <w:rPr>
                <w:szCs w:val="18"/>
              </w:rPr>
              <w:t>Voorstel</w:t>
            </w:r>
          </w:p>
        </w:tc>
        <w:tc>
          <w:tcPr>
            <w:tcW w:w="6529" w:type="dxa"/>
          </w:tcPr>
          <w:p w:rsidRPr="005049F2" w:rsidR="00C54B8A" w:rsidP="00C54B8A" w:rsidRDefault="00C54B8A">
            <w:pPr>
              <w:spacing w:after="240"/>
              <w:rPr>
                <w:szCs w:val="18"/>
              </w:rPr>
            </w:pPr>
            <w:r>
              <w:rPr>
                <w:szCs w:val="18"/>
              </w:rPr>
              <w:t>Voor kennisgeving aannemen.</w:t>
            </w:r>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C54B8A" w:rsidP="00C54B8A" w:rsidRDefault="00C54B8A">
            <w:pPr>
              <w:spacing w:after="240"/>
              <w:rPr>
                <w:color w:val="595959" w:themeColor="text1" w:themeTint="A6"/>
                <w:szCs w:val="18"/>
              </w:rPr>
            </w:pPr>
          </w:p>
        </w:tc>
        <w:tc>
          <w:tcPr>
            <w:tcW w:w="1035" w:type="dxa"/>
          </w:tcPr>
          <w:p w:rsidRPr="005049F2" w:rsidR="00C54B8A" w:rsidP="00C54B8A" w:rsidRDefault="00C54B8A">
            <w:pPr>
              <w:spacing w:after="240"/>
              <w:rPr>
                <w:color w:val="595959" w:themeColor="text1" w:themeTint="A6"/>
                <w:szCs w:val="18"/>
              </w:rPr>
            </w:pPr>
            <w:r w:rsidRPr="005049F2">
              <w:rPr>
                <w:color w:val="595959" w:themeColor="text1" w:themeTint="A6"/>
                <w:szCs w:val="18"/>
              </w:rPr>
              <w:t>Noot</w:t>
            </w:r>
          </w:p>
        </w:tc>
        <w:tc>
          <w:tcPr>
            <w:tcW w:w="6529" w:type="dxa"/>
          </w:tcPr>
          <w:p w:rsidRPr="005049F2" w:rsidR="00C54B8A" w:rsidP="00C54B8A" w:rsidRDefault="00C54B8A">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Tsjechië.</w:t>
            </w:r>
          </w:p>
        </w:tc>
      </w:tr>
    </w:tbl>
    <w:p w:rsidRPr="005049F2" w:rsidR="00663914" w:rsidP="002A4BD8" w:rsidRDefault="006639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663914"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663914" w:rsidP="00916AF1" w:rsidRDefault="00663914">
            <w:pPr>
              <w:pStyle w:val="Lijstalinea"/>
              <w:numPr>
                <w:ilvl w:val="0"/>
                <w:numId w:val="10"/>
              </w:numPr>
              <w:spacing w:after="240"/>
              <w:ind w:left="312"/>
              <w:rPr>
                <w:color w:val="595959" w:themeColor="text1" w:themeTint="A6"/>
                <w:szCs w:val="18"/>
              </w:rPr>
            </w:pPr>
          </w:p>
        </w:tc>
        <w:tc>
          <w:tcPr>
            <w:tcW w:w="1035" w:type="dxa"/>
          </w:tcPr>
          <w:p w:rsidRPr="005049F2" w:rsidR="00663914" w:rsidP="00916AF1" w:rsidRDefault="00663914">
            <w:pPr>
              <w:spacing w:after="240"/>
              <w:rPr>
                <w:color w:val="595959" w:themeColor="text1" w:themeTint="A6"/>
                <w:szCs w:val="18"/>
              </w:rPr>
            </w:pPr>
            <w:r w:rsidRPr="005049F2">
              <w:rPr>
                <w:color w:val="595959" w:themeColor="text1" w:themeTint="A6"/>
                <w:szCs w:val="18"/>
              </w:rPr>
              <w:t>Titel</w:t>
            </w:r>
          </w:p>
        </w:tc>
        <w:tc>
          <w:tcPr>
            <w:tcW w:w="6529" w:type="dxa"/>
          </w:tcPr>
          <w:p w:rsidRPr="00477F56" w:rsidR="00663914" w:rsidP="00C54B8A" w:rsidRDefault="007A23E3">
            <w:pPr>
              <w:shd w:val="clear" w:color="auto" w:fill="FFFFFF"/>
              <w:spacing w:after="75"/>
              <w:rPr>
                <w:szCs w:val="18"/>
                <w:lang w:val="en-GB" w:eastAsia="nl-NL"/>
              </w:rPr>
            </w:pPr>
            <w:r w:rsidRPr="00477F56">
              <w:rPr>
                <w:szCs w:val="18"/>
                <w:lang w:val="en-GB"/>
              </w:rPr>
              <w:t xml:space="preserve">Recommendation for a COUNCIL RECOMMENDATION on the 2023 National Reform Programme of Estonia and delivering a Council opinion on the 2023 Stability Programme of Estonia </w:t>
            </w:r>
            <w:hyperlink w:history="1" r:id="rId47">
              <w:r w:rsidRPr="00477F56">
                <w:rPr>
                  <w:rStyle w:val="Hyperlink"/>
                  <w:szCs w:val="18"/>
                  <w:lang w:val="en-GB"/>
                </w:rPr>
                <w:t>COM(2023)606</w:t>
              </w:r>
            </w:hyperlink>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C54B8A" w:rsidP="00C54B8A" w:rsidRDefault="00C54B8A">
            <w:pPr>
              <w:spacing w:after="240"/>
              <w:rPr>
                <w:szCs w:val="18"/>
                <w:lang w:val="en-GB"/>
              </w:rPr>
            </w:pPr>
          </w:p>
        </w:tc>
        <w:tc>
          <w:tcPr>
            <w:tcW w:w="1035" w:type="dxa"/>
          </w:tcPr>
          <w:p w:rsidRPr="005049F2" w:rsidR="00C54B8A" w:rsidP="00C54B8A" w:rsidRDefault="00C54B8A">
            <w:pPr>
              <w:spacing w:after="240"/>
              <w:rPr>
                <w:szCs w:val="18"/>
              </w:rPr>
            </w:pPr>
            <w:r w:rsidRPr="005049F2">
              <w:rPr>
                <w:szCs w:val="18"/>
              </w:rPr>
              <w:t>Voorstel</w:t>
            </w:r>
          </w:p>
        </w:tc>
        <w:tc>
          <w:tcPr>
            <w:tcW w:w="6529" w:type="dxa"/>
          </w:tcPr>
          <w:p w:rsidRPr="005049F2" w:rsidR="00C54B8A" w:rsidP="00C54B8A" w:rsidRDefault="00C54B8A">
            <w:pPr>
              <w:spacing w:after="240"/>
              <w:rPr>
                <w:szCs w:val="18"/>
              </w:rPr>
            </w:pPr>
            <w:r>
              <w:rPr>
                <w:szCs w:val="18"/>
              </w:rPr>
              <w:t>Voor kennisgeving aannemen.</w:t>
            </w:r>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C54B8A" w:rsidP="00C54B8A" w:rsidRDefault="00C54B8A">
            <w:pPr>
              <w:spacing w:after="240"/>
              <w:rPr>
                <w:color w:val="595959" w:themeColor="text1" w:themeTint="A6"/>
                <w:szCs w:val="18"/>
              </w:rPr>
            </w:pPr>
          </w:p>
        </w:tc>
        <w:tc>
          <w:tcPr>
            <w:tcW w:w="1035" w:type="dxa"/>
          </w:tcPr>
          <w:p w:rsidRPr="005049F2" w:rsidR="00C54B8A" w:rsidP="00C54B8A" w:rsidRDefault="00C54B8A">
            <w:pPr>
              <w:spacing w:after="240"/>
              <w:rPr>
                <w:color w:val="595959" w:themeColor="text1" w:themeTint="A6"/>
                <w:szCs w:val="18"/>
              </w:rPr>
            </w:pPr>
            <w:r w:rsidRPr="005049F2">
              <w:rPr>
                <w:color w:val="595959" w:themeColor="text1" w:themeTint="A6"/>
                <w:szCs w:val="18"/>
              </w:rPr>
              <w:t>Noot</w:t>
            </w:r>
          </w:p>
        </w:tc>
        <w:tc>
          <w:tcPr>
            <w:tcW w:w="6529" w:type="dxa"/>
          </w:tcPr>
          <w:p w:rsidRPr="005049F2" w:rsidR="00C54B8A" w:rsidP="00C54B8A" w:rsidRDefault="00C54B8A">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Estland.</w:t>
            </w:r>
          </w:p>
        </w:tc>
      </w:tr>
    </w:tbl>
    <w:p w:rsidRPr="005049F2" w:rsidR="00663914" w:rsidP="002A4BD8" w:rsidRDefault="006639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663914"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663914" w:rsidP="00916AF1" w:rsidRDefault="00663914">
            <w:pPr>
              <w:pStyle w:val="Lijstalinea"/>
              <w:numPr>
                <w:ilvl w:val="0"/>
                <w:numId w:val="10"/>
              </w:numPr>
              <w:spacing w:after="240"/>
              <w:ind w:left="312"/>
              <w:rPr>
                <w:color w:val="595959" w:themeColor="text1" w:themeTint="A6"/>
                <w:szCs w:val="18"/>
              </w:rPr>
            </w:pPr>
          </w:p>
        </w:tc>
        <w:tc>
          <w:tcPr>
            <w:tcW w:w="1035" w:type="dxa"/>
          </w:tcPr>
          <w:p w:rsidRPr="005049F2" w:rsidR="00663914" w:rsidP="00916AF1" w:rsidRDefault="00663914">
            <w:pPr>
              <w:spacing w:after="240"/>
              <w:rPr>
                <w:color w:val="595959" w:themeColor="text1" w:themeTint="A6"/>
                <w:szCs w:val="18"/>
              </w:rPr>
            </w:pPr>
            <w:r w:rsidRPr="005049F2">
              <w:rPr>
                <w:color w:val="595959" w:themeColor="text1" w:themeTint="A6"/>
                <w:szCs w:val="18"/>
              </w:rPr>
              <w:t>Titel</w:t>
            </w:r>
          </w:p>
        </w:tc>
        <w:tc>
          <w:tcPr>
            <w:tcW w:w="6529" w:type="dxa"/>
          </w:tcPr>
          <w:p w:rsidRPr="00477F56" w:rsidR="00663914" w:rsidP="00916AF1" w:rsidRDefault="00252ABA">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Germany and delivering a Council opinion on the 2023 Stability Programme of Germany </w:t>
            </w:r>
            <w:hyperlink w:history="1" r:id="rId48">
              <w:r w:rsidRPr="00477F56">
                <w:rPr>
                  <w:rStyle w:val="Hyperlink"/>
                  <w:szCs w:val="18"/>
                  <w:lang w:val="en-GB"/>
                </w:rPr>
                <w:t>COM(2023)605</w:t>
              </w:r>
            </w:hyperlink>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C54B8A" w:rsidP="00C54B8A" w:rsidRDefault="00C54B8A">
            <w:pPr>
              <w:spacing w:after="240"/>
              <w:rPr>
                <w:szCs w:val="18"/>
                <w:lang w:val="en-GB"/>
              </w:rPr>
            </w:pPr>
          </w:p>
        </w:tc>
        <w:tc>
          <w:tcPr>
            <w:tcW w:w="1035" w:type="dxa"/>
          </w:tcPr>
          <w:p w:rsidRPr="005049F2" w:rsidR="00C54B8A" w:rsidP="00C54B8A" w:rsidRDefault="00C54B8A">
            <w:pPr>
              <w:spacing w:after="240"/>
              <w:rPr>
                <w:szCs w:val="18"/>
              </w:rPr>
            </w:pPr>
            <w:r w:rsidRPr="005049F2">
              <w:rPr>
                <w:szCs w:val="18"/>
              </w:rPr>
              <w:t>Voorstel</w:t>
            </w:r>
          </w:p>
        </w:tc>
        <w:tc>
          <w:tcPr>
            <w:tcW w:w="6529" w:type="dxa"/>
          </w:tcPr>
          <w:p w:rsidRPr="005049F2" w:rsidR="00C54B8A" w:rsidP="00C54B8A" w:rsidRDefault="00C54B8A">
            <w:pPr>
              <w:spacing w:after="240"/>
              <w:rPr>
                <w:szCs w:val="18"/>
              </w:rPr>
            </w:pPr>
            <w:r>
              <w:rPr>
                <w:szCs w:val="18"/>
              </w:rPr>
              <w:t>Voor kennisgeving aannemen.</w:t>
            </w:r>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C54B8A" w:rsidP="00C54B8A" w:rsidRDefault="00C54B8A">
            <w:pPr>
              <w:spacing w:after="240"/>
              <w:rPr>
                <w:color w:val="595959" w:themeColor="text1" w:themeTint="A6"/>
                <w:szCs w:val="18"/>
              </w:rPr>
            </w:pPr>
          </w:p>
        </w:tc>
        <w:tc>
          <w:tcPr>
            <w:tcW w:w="1035" w:type="dxa"/>
          </w:tcPr>
          <w:p w:rsidRPr="005049F2" w:rsidR="00C54B8A" w:rsidP="00C54B8A" w:rsidRDefault="00C54B8A">
            <w:pPr>
              <w:spacing w:after="240"/>
              <w:rPr>
                <w:color w:val="595959" w:themeColor="text1" w:themeTint="A6"/>
                <w:szCs w:val="18"/>
              </w:rPr>
            </w:pPr>
            <w:r w:rsidRPr="005049F2">
              <w:rPr>
                <w:color w:val="595959" w:themeColor="text1" w:themeTint="A6"/>
                <w:szCs w:val="18"/>
              </w:rPr>
              <w:t>Noot</w:t>
            </w:r>
          </w:p>
        </w:tc>
        <w:tc>
          <w:tcPr>
            <w:tcW w:w="6529" w:type="dxa"/>
          </w:tcPr>
          <w:p w:rsidRPr="005049F2" w:rsidR="00C54B8A" w:rsidP="00C54B8A" w:rsidRDefault="00C54B8A">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Duitsland.</w:t>
            </w:r>
          </w:p>
        </w:tc>
      </w:tr>
    </w:tbl>
    <w:p w:rsidRPr="005049F2" w:rsidR="00663914" w:rsidP="002A4BD8" w:rsidRDefault="006639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663914"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663914" w:rsidP="00916AF1" w:rsidRDefault="00663914">
            <w:pPr>
              <w:pStyle w:val="Lijstalinea"/>
              <w:numPr>
                <w:ilvl w:val="0"/>
                <w:numId w:val="10"/>
              </w:numPr>
              <w:spacing w:after="240"/>
              <w:ind w:left="312"/>
              <w:rPr>
                <w:color w:val="595959" w:themeColor="text1" w:themeTint="A6"/>
                <w:szCs w:val="18"/>
              </w:rPr>
            </w:pPr>
          </w:p>
        </w:tc>
        <w:tc>
          <w:tcPr>
            <w:tcW w:w="1035" w:type="dxa"/>
          </w:tcPr>
          <w:p w:rsidRPr="005049F2" w:rsidR="00663914" w:rsidP="00916AF1" w:rsidRDefault="00663914">
            <w:pPr>
              <w:spacing w:after="240"/>
              <w:rPr>
                <w:color w:val="595959" w:themeColor="text1" w:themeTint="A6"/>
                <w:szCs w:val="18"/>
              </w:rPr>
            </w:pPr>
            <w:r w:rsidRPr="005049F2">
              <w:rPr>
                <w:color w:val="595959" w:themeColor="text1" w:themeTint="A6"/>
                <w:szCs w:val="18"/>
              </w:rPr>
              <w:t>Titel</w:t>
            </w:r>
          </w:p>
        </w:tc>
        <w:tc>
          <w:tcPr>
            <w:tcW w:w="6529" w:type="dxa"/>
          </w:tcPr>
          <w:p w:rsidRPr="00477F56" w:rsidR="00663914" w:rsidP="00916AF1" w:rsidRDefault="008C6A9F">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Finland and delivering a Council opinion on the 2023 Stability Programme of Finland </w:t>
            </w:r>
            <w:hyperlink w:history="1" r:id="rId49">
              <w:r w:rsidRPr="00477F56">
                <w:rPr>
                  <w:rStyle w:val="Hyperlink"/>
                  <w:szCs w:val="18"/>
                  <w:lang w:val="en-GB"/>
                </w:rPr>
                <w:t>COM(2023)626</w:t>
              </w:r>
            </w:hyperlink>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C54B8A" w:rsidP="00C54B8A" w:rsidRDefault="00C54B8A">
            <w:pPr>
              <w:spacing w:after="240"/>
              <w:rPr>
                <w:szCs w:val="18"/>
                <w:lang w:val="en-GB"/>
              </w:rPr>
            </w:pPr>
          </w:p>
        </w:tc>
        <w:tc>
          <w:tcPr>
            <w:tcW w:w="1035" w:type="dxa"/>
          </w:tcPr>
          <w:p w:rsidRPr="005049F2" w:rsidR="00C54B8A" w:rsidP="00C54B8A" w:rsidRDefault="00C54B8A">
            <w:pPr>
              <w:spacing w:after="240"/>
              <w:rPr>
                <w:szCs w:val="18"/>
              </w:rPr>
            </w:pPr>
            <w:r w:rsidRPr="005049F2">
              <w:rPr>
                <w:szCs w:val="18"/>
              </w:rPr>
              <w:t>Voorstel</w:t>
            </w:r>
          </w:p>
        </w:tc>
        <w:tc>
          <w:tcPr>
            <w:tcW w:w="6529" w:type="dxa"/>
          </w:tcPr>
          <w:p w:rsidRPr="005049F2" w:rsidR="00C54B8A" w:rsidP="00C54B8A" w:rsidRDefault="00C54B8A">
            <w:pPr>
              <w:spacing w:after="240"/>
              <w:rPr>
                <w:szCs w:val="18"/>
              </w:rPr>
            </w:pPr>
            <w:r>
              <w:rPr>
                <w:szCs w:val="18"/>
              </w:rPr>
              <w:t>Voor kennisgeving aannemen.</w:t>
            </w:r>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C54B8A" w:rsidP="00C54B8A" w:rsidRDefault="00C54B8A">
            <w:pPr>
              <w:spacing w:after="240"/>
              <w:rPr>
                <w:color w:val="595959" w:themeColor="text1" w:themeTint="A6"/>
                <w:szCs w:val="18"/>
              </w:rPr>
            </w:pPr>
          </w:p>
        </w:tc>
        <w:tc>
          <w:tcPr>
            <w:tcW w:w="1035" w:type="dxa"/>
          </w:tcPr>
          <w:p w:rsidRPr="005049F2" w:rsidR="00C54B8A" w:rsidP="00C54B8A" w:rsidRDefault="00C54B8A">
            <w:pPr>
              <w:spacing w:after="240"/>
              <w:rPr>
                <w:color w:val="595959" w:themeColor="text1" w:themeTint="A6"/>
                <w:szCs w:val="18"/>
              </w:rPr>
            </w:pPr>
            <w:r w:rsidRPr="005049F2">
              <w:rPr>
                <w:color w:val="595959" w:themeColor="text1" w:themeTint="A6"/>
                <w:szCs w:val="18"/>
              </w:rPr>
              <w:t>Noot</w:t>
            </w:r>
          </w:p>
        </w:tc>
        <w:tc>
          <w:tcPr>
            <w:tcW w:w="6529" w:type="dxa"/>
          </w:tcPr>
          <w:p w:rsidRPr="005049F2" w:rsidR="00C54B8A" w:rsidP="00C54B8A" w:rsidRDefault="00C54B8A">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Finland.</w:t>
            </w:r>
          </w:p>
        </w:tc>
      </w:tr>
    </w:tbl>
    <w:p w:rsidRPr="005049F2" w:rsidR="00663914" w:rsidP="002A4BD8" w:rsidRDefault="006639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D461AC"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D461AC" w:rsidP="00916AF1" w:rsidRDefault="00D461AC">
            <w:pPr>
              <w:pStyle w:val="Lijstalinea"/>
              <w:numPr>
                <w:ilvl w:val="0"/>
                <w:numId w:val="10"/>
              </w:numPr>
              <w:spacing w:after="240"/>
              <w:ind w:left="312"/>
              <w:rPr>
                <w:color w:val="595959" w:themeColor="text1" w:themeTint="A6"/>
                <w:szCs w:val="18"/>
              </w:rPr>
            </w:pPr>
          </w:p>
        </w:tc>
        <w:tc>
          <w:tcPr>
            <w:tcW w:w="1035" w:type="dxa"/>
          </w:tcPr>
          <w:p w:rsidRPr="005049F2" w:rsidR="00D461AC" w:rsidP="00916AF1" w:rsidRDefault="00D461AC">
            <w:pPr>
              <w:spacing w:after="240"/>
              <w:rPr>
                <w:color w:val="595959" w:themeColor="text1" w:themeTint="A6"/>
                <w:szCs w:val="18"/>
              </w:rPr>
            </w:pPr>
            <w:r w:rsidRPr="005049F2">
              <w:rPr>
                <w:color w:val="595959" w:themeColor="text1" w:themeTint="A6"/>
                <w:szCs w:val="18"/>
              </w:rPr>
              <w:t>Titel</w:t>
            </w:r>
          </w:p>
        </w:tc>
        <w:tc>
          <w:tcPr>
            <w:tcW w:w="6529" w:type="dxa"/>
          </w:tcPr>
          <w:p w:rsidRPr="00477F56" w:rsidR="00D461AC" w:rsidP="00916AF1" w:rsidRDefault="00E253B7">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Sweden and delivering a Council opinion on the 2023 Convergence Programme of Sweden </w:t>
            </w:r>
            <w:hyperlink w:history="1" r:id="rId50">
              <w:r w:rsidRPr="00477F56">
                <w:rPr>
                  <w:rStyle w:val="Hyperlink"/>
                  <w:szCs w:val="18"/>
                  <w:lang w:val="en-GB"/>
                </w:rPr>
                <w:t>COM(2023)627</w:t>
              </w:r>
            </w:hyperlink>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C54B8A" w:rsidP="00C54B8A" w:rsidRDefault="00C54B8A">
            <w:pPr>
              <w:spacing w:after="240"/>
              <w:rPr>
                <w:szCs w:val="18"/>
                <w:lang w:val="en-GB"/>
              </w:rPr>
            </w:pPr>
          </w:p>
        </w:tc>
        <w:tc>
          <w:tcPr>
            <w:tcW w:w="1035" w:type="dxa"/>
          </w:tcPr>
          <w:p w:rsidRPr="005049F2" w:rsidR="00C54B8A" w:rsidP="00C54B8A" w:rsidRDefault="00C54B8A">
            <w:pPr>
              <w:spacing w:after="240"/>
              <w:rPr>
                <w:szCs w:val="18"/>
              </w:rPr>
            </w:pPr>
            <w:r w:rsidRPr="005049F2">
              <w:rPr>
                <w:szCs w:val="18"/>
              </w:rPr>
              <w:t>Voorstel</w:t>
            </w:r>
          </w:p>
        </w:tc>
        <w:tc>
          <w:tcPr>
            <w:tcW w:w="6529" w:type="dxa"/>
          </w:tcPr>
          <w:p w:rsidRPr="005049F2" w:rsidR="00C54B8A" w:rsidP="00C54B8A" w:rsidRDefault="00C54B8A">
            <w:pPr>
              <w:spacing w:after="240"/>
              <w:rPr>
                <w:szCs w:val="18"/>
              </w:rPr>
            </w:pPr>
            <w:r>
              <w:rPr>
                <w:szCs w:val="18"/>
              </w:rPr>
              <w:t>Voor kennisgeving aannemen.</w:t>
            </w:r>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C54B8A" w:rsidP="00C54B8A" w:rsidRDefault="00C54B8A">
            <w:pPr>
              <w:spacing w:after="240"/>
              <w:rPr>
                <w:color w:val="595959" w:themeColor="text1" w:themeTint="A6"/>
                <w:szCs w:val="18"/>
              </w:rPr>
            </w:pPr>
          </w:p>
        </w:tc>
        <w:tc>
          <w:tcPr>
            <w:tcW w:w="1035" w:type="dxa"/>
          </w:tcPr>
          <w:p w:rsidRPr="005049F2" w:rsidR="00C54B8A" w:rsidP="00C54B8A" w:rsidRDefault="00C54B8A">
            <w:pPr>
              <w:spacing w:after="240"/>
              <w:rPr>
                <w:color w:val="595959" w:themeColor="text1" w:themeTint="A6"/>
                <w:szCs w:val="18"/>
              </w:rPr>
            </w:pPr>
            <w:r w:rsidRPr="005049F2">
              <w:rPr>
                <w:color w:val="595959" w:themeColor="text1" w:themeTint="A6"/>
                <w:szCs w:val="18"/>
              </w:rPr>
              <w:t>Noot</w:t>
            </w:r>
          </w:p>
        </w:tc>
        <w:tc>
          <w:tcPr>
            <w:tcW w:w="6529" w:type="dxa"/>
          </w:tcPr>
          <w:p w:rsidRPr="005049F2" w:rsidR="00C54B8A" w:rsidP="00C54B8A" w:rsidRDefault="00C54B8A">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Zweden.</w:t>
            </w:r>
          </w:p>
        </w:tc>
      </w:tr>
    </w:tbl>
    <w:p w:rsidRPr="005049F2" w:rsidR="00D461AC" w:rsidP="002A4BD8" w:rsidRDefault="00D461AC">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D461AC"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D461AC" w:rsidP="00916AF1" w:rsidRDefault="00D461AC">
            <w:pPr>
              <w:pStyle w:val="Lijstalinea"/>
              <w:numPr>
                <w:ilvl w:val="0"/>
                <w:numId w:val="10"/>
              </w:numPr>
              <w:spacing w:after="240"/>
              <w:ind w:left="312"/>
              <w:rPr>
                <w:color w:val="595959" w:themeColor="text1" w:themeTint="A6"/>
                <w:szCs w:val="18"/>
              </w:rPr>
            </w:pPr>
          </w:p>
        </w:tc>
        <w:tc>
          <w:tcPr>
            <w:tcW w:w="1035" w:type="dxa"/>
          </w:tcPr>
          <w:p w:rsidRPr="005049F2" w:rsidR="00D461AC" w:rsidP="00916AF1" w:rsidRDefault="00D461AC">
            <w:pPr>
              <w:spacing w:after="240"/>
              <w:rPr>
                <w:color w:val="595959" w:themeColor="text1" w:themeTint="A6"/>
                <w:szCs w:val="18"/>
              </w:rPr>
            </w:pPr>
            <w:r w:rsidRPr="005049F2">
              <w:rPr>
                <w:color w:val="595959" w:themeColor="text1" w:themeTint="A6"/>
                <w:szCs w:val="18"/>
              </w:rPr>
              <w:t>Titel</w:t>
            </w:r>
          </w:p>
        </w:tc>
        <w:tc>
          <w:tcPr>
            <w:tcW w:w="6529" w:type="dxa"/>
          </w:tcPr>
          <w:p w:rsidRPr="00477F56" w:rsidR="00D461AC" w:rsidP="00916AF1" w:rsidRDefault="00207FAC">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Slovakia and delivering a Council opinion on the 2023 Stability Programme of Slovakia </w:t>
            </w:r>
            <w:hyperlink w:history="1" r:id="rId51">
              <w:r w:rsidRPr="00477F56">
                <w:rPr>
                  <w:rStyle w:val="Hyperlink"/>
                  <w:szCs w:val="18"/>
                  <w:lang w:val="en-GB"/>
                </w:rPr>
                <w:t>COM(2023)625</w:t>
              </w:r>
            </w:hyperlink>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C54B8A" w:rsidP="00C54B8A" w:rsidRDefault="00C54B8A">
            <w:pPr>
              <w:spacing w:after="240"/>
              <w:rPr>
                <w:szCs w:val="18"/>
                <w:lang w:val="en-GB"/>
              </w:rPr>
            </w:pPr>
          </w:p>
        </w:tc>
        <w:tc>
          <w:tcPr>
            <w:tcW w:w="1035" w:type="dxa"/>
          </w:tcPr>
          <w:p w:rsidRPr="005049F2" w:rsidR="00C54B8A" w:rsidP="00C54B8A" w:rsidRDefault="00C54B8A">
            <w:pPr>
              <w:spacing w:after="240"/>
              <w:rPr>
                <w:szCs w:val="18"/>
              </w:rPr>
            </w:pPr>
            <w:r w:rsidRPr="005049F2">
              <w:rPr>
                <w:szCs w:val="18"/>
              </w:rPr>
              <w:t>Voorstel</w:t>
            </w:r>
          </w:p>
        </w:tc>
        <w:tc>
          <w:tcPr>
            <w:tcW w:w="6529" w:type="dxa"/>
          </w:tcPr>
          <w:p w:rsidRPr="005049F2" w:rsidR="00C54B8A" w:rsidP="00C54B8A" w:rsidRDefault="00C54B8A">
            <w:pPr>
              <w:spacing w:after="240"/>
              <w:rPr>
                <w:szCs w:val="18"/>
              </w:rPr>
            </w:pPr>
            <w:r>
              <w:rPr>
                <w:szCs w:val="18"/>
              </w:rPr>
              <w:t>Voor kennisgeving aannemen.</w:t>
            </w:r>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C54B8A" w:rsidP="00C54B8A" w:rsidRDefault="00C54B8A">
            <w:pPr>
              <w:spacing w:after="240"/>
              <w:rPr>
                <w:color w:val="595959" w:themeColor="text1" w:themeTint="A6"/>
                <w:szCs w:val="18"/>
              </w:rPr>
            </w:pPr>
          </w:p>
        </w:tc>
        <w:tc>
          <w:tcPr>
            <w:tcW w:w="1035" w:type="dxa"/>
          </w:tcPr>
          <w:p w:rsidRPr="005049F2" w:rsidR="00C54B8A" w:rsidP="00C54B8A" w:rsidRDefault="00C54B8A">
            <w:pPr>
              <w:spacing w:after="240"/>
              <w:rPr>
                <w:color w:val="595959" w:themeColor="text1" w:themeTint="A6"/>
                <w:szCs w:val="18"/>
              </w:rPr>
            </w:pPr>
            <w:r w:rsidRPr="005049F2">
              <w:rPr>
                <w:color w:val="595959" w:themeColor="text1" w:themeTint="A6"/>
                <w:szCs w:val="18"/>
              </w:rPr>
              <w:t>Noot</w:t>
            </w:r>
          </w:p>
        </w:tc>
        <w:tc>
          <w:tcPr>
            <w:tcW w:w="6529" w:type="dxa"/>
          </w:tcPr>
          <w:p w:rsidRPr="005049F2" w:rsidR="00C54B8A" w:rsidP="00C54B8A" w:rsidRDefault="00C54B8A">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Slowakije.</w:t>
            </w:r>
          </w:p>
        </w:tc>
      </w:tr>
    </w:tbl>
    <w:p w:rsidRPr="005049F2" w:rsidR="00D461AC" w:rsidP="002A4BD8" w:rsidRDefault="00D461AC">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77F56" w:rsidR="00D461AC" w:rsidTr="00916AF1">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049F2" w:rsidR="00D461AC" w:rsidP="00916AF1" w:rsidRDefault="00D461AC">
            <w:pPr>
              <w:pStyle w:val="Lijstalinea"/>
              <w:numPr>
                <w:ilvl w:val="0"/>
                <w:numId w:val="10"/>
              </w:numPr>
              <w:spacing w:after="240"/>
              <w:ind w:left="312"/>
              <w:rPr>
                <w:color w:val="595959" w:themeColor="text1" w:themeTint="A6"/>
                <w:szCs w:val="18"/>
              </w:rPr>
            </w:pPr>
          </w:p>
        </w:tc>
        <w:tc>
          <w:tcPr>
            <w:tcW w:w="1035" w:type="dxa"/>
          </w:tcPr>
          <w:p w:rsidRPr="005049F2" w:rsidR="00D461AC" w:rsidP="00916AF1" w:rsidRDefault="00D461AC">
            <w:pPr>
              <w:spacing w:after="240"/>
              <w:rPr>
                <w:color w:val="595959" w:themeColor="text1" w:themeTint="A6"/>
                <w:szCs w:val="18"/>
              </w:rPr>
            </w:pPr>
            <w:r w:rsidRPr="005049F2">
              <w:rPr>
                <w:color w:val="595959" w:themeColor="text1" w:themeTint="A6"/>
                <w:szCs w:val="18"/>
              </w:rPr>
              <w:t>Titel</w:t>
            </w:r>
          </w:p>
        </w:tc>
        <w:tc>
          <w:tcPr>
            <w:tcW w:w="6529" w:type="dxa"/>
          </w:tcPr>
          <w:p w:rsidRPr="00477F56" w:rsidR="00D461AC" w:rsidP="00916AF1" w:rsidRDefault="00FA6FF7">
            <w:pPr>
              <w:spacing w:after="240"/>
              <w:rPr>
                <w:b/>
                <w:color w:val="595959" w:themeColor="text1" w:themeTint="A6"/>
                <w:szCs w:val="18"/>
                <w:lang w:val="en-GB"/>
              </w:rPr>
            </w:pPr>
            <w:r w:rsidRPr="00477F56">
              <w:rPr>
                <w:szCs w:val="18"/>
                <w:lang w:val="en-GB"/>
              </w:rPr>
              <w:t xml:space="preserve">Recommendation for a COUNCIL RECOMMENDATION on the 2023 National Reform Programme of Slovenia and delivering a Council opinion on the 2023 Stability Programme of Slovenia </w:t>
            </w:r>
            <w:hyperlink w:history="1" r:id="rId52">
              <w:r w:rsidRPr="00477F56">
                <w:rPr>
                  <w:rStyle w:val="Hyperlink"/>
                  <w:szCs w:val="18"/>
                  <w:lang w:val="en-GB"/>
                </w:rPr>
                <w:t>COM(2023)624</w:t>
              </w:r>
            </w:hyperlink>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477F56" w:rsidR="00C54B8A" w:rsidP="00C54B8A" w:rsidRDefault="00C54B8A">
            <w:pPr>
              <w:spacing w:after="240"/>
              <w:rPr>
                <w:szCs w:val="18"/>
                <w:lang w:val="en-GB"/>
              </w:rPr>
            </w:pPr>
          </w:p>
        </w:tc>
        <w:tc>
          <w:tcPr>
            <w:tcW w:w="1035" w:type="dxa"/>
          </w:tcPr>
          <w:p w:rsidRPr="005049F2" w:rsidR="00C54B8A" w:rsidP="00C54B8A" w:rsidRDefault="00C54B8A">
            <w:pPr>
              <w:spacing w:after="240"/>
              <w:rPr>
                <w:szCs w:val="18"/>
              </w:rPr>
            </w:pPr>
            <w:r w:rsidRPr="005049F2">
              <w:rPr>
                <w:szCs w:val="18"/>
              </w:rPr>
              <w:t>Voorstel</w:t>
            </w:r>
          </w:p>
        </w:tc>
        <w:tc>
          <w:tcPr>
            <w:tcW w:w="6529" w:type="dxa"/>
          </w:tcPr>
          <w:p w:rsidRPr="005049F2" w:rsidR="00C54B8A" w:rsidP="00C54B8A" w:rsidRDefault="00C54B8A">
            <w:pPr>
              <w:spacing w:after="240"/>
              <w:rPr>
                <w:szCs w:val="18"/>
              </w:rPr>
            </w:pPr>
            <w:r>
              <w:rPr>
                <w:szCs w:val="18"/>
              </w:rPr>
              <w:t>Voor kennisgeving aannemen.</w:t>
            </w:r>
          </w:p>
        </w:tc>
      </w:tr>
      <w:tr w:rsidRPr="005049F2" w:rsidR="00C54B8A" w:rsidTr="00916AF1">
        <w:tc>
          <w:tcPr>
            <w:tcW w:w="421" w:type="dxa"/>
            <w:vMerge/>
            <w:tcBorders>
              <w:top w:val="nil"/>
              <w:bottom w:val="single" w:color="D9D9D9" w:themeColor="background1" w:themeShade="D9" w:sz="4" w:space="0"/>
            </w:tcBorders>
            <w:shd w:val="clear" w:color="auto" w:fill="F2F2F2" w:themeFill="background1" w:themeFillShade="F2"/>
          </w:tcPr>
          <w:p w:rsidRPr="005049F2" w:rsidR="00C54B8A" w:rsidP="00C54B8A" w:rsidRDefault="00C54B8A">
            <w:pPr>
              <w:spacing w:after="240"/>
              <w:rPr>
                <w:color w:val="595959" w:themeColor="text1" w:themeTint="A6"/>
                <w:szCs w:val="18"/>
              </w:rPr>
            </w:pPr>
          </w:p>
        </w:tc>
        <w:tc>
          <w:tcPr>
            <w:tcW w:w="1035" w:type="dxa"/>
          </w:tcPr>
          <w:p w:rsidRPr="005049F2" w:rsidR="00C54B8A" w:rsidP="00C54B8A" w:rsidRDefault="00C54B8A">
            <w:pPr>
              <w:spacing w:after="240"/>
              <w:rPr>
                <w:color w:val="595959" w:themeColor="text1" w:themeTint="A6"/>
                <w:szCs w:val="18"/>
              </w:rPr>
            </w:pPr>
            <w:r w:rsidRPr="005049F2">
              <w:rPr>
                <w:color w:val="595959" w:themeColor="text1" w:themeTint="A6"/>
                <w:szCs w:val="18"/>
              </w:rPr>
              <w:t>Noot</w:t>
            </w:r>
          </w:p>
        </w:tc>
        <w:tc>
          <w:tcPr>
            <w:tcW w:w="6529" w:type="dxa"/>
          </w:tcPr>
          <w:p w:rsidRPr="005049F2" w:rsidR="00C54B8A" w:rsidP="00C54B8A" w:rsidRDefault="00C54B8A">
            <w:pPr>
              <w:spacing w:after="240"/>
              <w:rPr>
                <w:color w:val="595959" w:themeColor="text1" w:themeTint="A6"/>
                <w:szCs w:val="18"/>
              </w:rPr>
            </w:pPr>
            <w:r>
              <w:rPr>
                <w:color w:val="595959" w:themeColor="text1" w:themeTint="A6"/>
                <w:szCs w:val="18"/>
              </w:rPr>
              <w:t xml:space="preserve">Dit betreft het voorstel van de Europese Commissie voor de </w:t>
            </w:r>
            <w:proofErr w:type="spellStart"/>
            <w:r>
              <w:rPr>
                <w:color w:val="595959" w:themeColor="text1" w:themeTint="A6"/>
                <w:szCs w:val="18"/>
              </w:rPr>
              <w:t>landspecifieke</w:t>
            </w:r>
            <w:proofErr w:type="spellEnd"/>
            <w:r>
              <w:rPr>
                <w:color w:val="595959" w:themeColor="text1" w:themeTint="A6"/>
                <w:szCs w:val="18"/>
              </w:rPr>
              <w:t xml:space="preserve"> aanbevelingen voor Slovenië.</w:t>
            </w:r>
          </w:p>
        </w:tc>
      </w:tr>
    </w:tbl>
    <w:p w:rsidRPr="005049F2" w:rsidR="00D461AC" w:rsidP="002A4BD8" w:rsidRDefault="00D461AC">
      <w:pPr>
        <w:rPr>
          <w:szCs w:val="18"/>
        </w:rPr>
      </w:pPr>
    </w:p>
    <w:p w:rsidRPr="005049F2" w:rsidR="00D461AC" w:rsidP="002A4BD8" w:rsidRDefault="00D461AC">
      <w:pPr>
        <w:rPr>
          <w:szCs w:val="18"/>
        </w:rPr>
      </w:pPr>
    </w:p>
    <w:sectPr w:rsidRPr="005049F2" w:rsidR="00D461AC" w:rsidSect="00BF62AD">
      <w:headerReference w:type="default" r:id="rId53"/>
      <w:footerReference w:type="default" r:id="rId54"/>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A5E" w:rsidRDefault="009C1A5E">
      <w:r>
        <w:separator/>
      </w:r>
    </w:p>
  </w:endnote>
  <w:endnote w:type="continuationSeparator" w:id="0">
    <w:p w:rsidR="009C1A5E" w:rsidRDefault="009C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F1" w:rsidRDefault="00916AF1">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916AF1" w:rsidRDefault="00916AF1">
                          <w:pPr>
                            <w:pStyle w:val="Huisstijl-Paginanummer"/>
                          </w:pPr>
                          <w:r>
                            <w:fldChar w:fldCharType="begin"/>
                          </w:r>
                          <w:r>
                            <w:instrText xml:space="preserve"> PAGE  \* Arabic  \* MERGEFORMAT </w:instrText>
                          </w:r>
                          <w:r>
                            <w:fldChar w:fldCharType="separate"/>
                          </w:r>
                          <w:r w:rsidR="00477F5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916AF1" w:rsidRDefault="00916AF1">
                    <w:pPr>
                      <w:pStyle w:val="Huisstijl-Paginanummer"/>
                    </w:pPr>
                    <w:r>
                      <w:fldChar w:fldCharType="begin"/>
                    </w:r>
                    <w:r>
                      <w:instrText xml:space="preserve"> PAGE  \* Arabic  \* MERGEFORMAT </w:instrText>
                    </w:r>
                    <w:r>
                      <w:fldChar w:fldCharType="separate"/>
                    </w:r>
                    <w:r w:rsidR="00477F56">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AF1" w:rsidRDefault="00916AF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916AF1" w:rsidRDefault="00916AF1"/>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F1" w:rsidRDefault="00916AF1">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916AF1" w:rsidRDefault="00916AF1">
                          <w:pPr>
                            <w:pStyle w:val="Huisstijl-Paginanummer"/>
                          </w:pPr>
                          <w:r>
                            <w:fldChar w:fldCharType="begin"/>
                          </w:r>
                          <w:r>
                            <w:instrText xml:space="preserve"> PAGE  \* Arabic  \* MERGEFORMAT </w:instrText>
                          </w:r>
                          <w:r>
                            <w:fldChar w:fldCharType="separate"/>
                          </w:r>
                          <w:r w:rsidR="00477F56">
                            <w:rPr>
                              <w:noProof/>
                            </w:rPr>
                            <w:t>11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916AF1" w:rsidRDefault="00916AF1">
                    <w:pPr>
                      <w:pStyle w:val="Huisstijl-Paginanummer"/>
                    </w:pPr>
                    <w:r>
                      <w:fldChar w:fldCharType="begin"/>
                    </w:r>
                    <w:r>
                      <w:instrText xml:space="preserve"> PAGE  \* Arabic  \* MERGEFORMAT </w:instrText>
                    </w:r>
                    <w:r>
                      <w:fldChar w:fldCharType="separate"/>
                    </w:r>
                    <w:r w:rsidR="00477F56">
                      <w:rPr>
                        <w:noProof/>
                      </w:rPr>
                      <w:t>11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AF1" w:rsidRDefault="00916AF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916AF1" w:rsidRDefault="00916AF1"/>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A5E" w:rsidRDefault="009C1A5E">
      <w:r>
        <w:separator/>
      </w:r>
    </w:p>
  </w:footnote>
  <w:footnote w:type="continuationSeparator" w:id="0">
    <w:p w:rsidR="009C1A5E" w:rsidRDefault="009C1A5E">
      <w:r>
        <w:continuationSeparator/>
      </w:r>
    </w:p>
  </w:footnote>
  <w:footnote w:id="1">
    <w:p w:rsidR="00916AF1" w:rsidRDefault="00916AF1"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F1" w:rsidRDefault="00916AF1">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F1" w:rsidRDefault="00916AF1">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6AF1" w:rsidRDefault="00916AF1"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916AF1" w:rsidRDefault="00916AF1"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24D4"/>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A66A3"/>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4F2"/>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07FAC"/>
    <w:rsid w:val="00210705"/>
    <w:rsid w:val="00211391"/>
    <w:rsid w:val="00216C27"/>
    <w:rsid w:val="00221D6B"/>
    <w:rsid w:val="0022374D"/>
    <w:rsid w:val="00224294"/>
    <w:rsid w:val="002259F3"/>
    <w:rsid w:val="00227D85"/>
    <w:rsid w:val="00235B3D"/>
    <w:rsid w:val="00241DE4"/>
    <w:rsid w:val="00245D08"/>
    <w:rsid w:val="00251996"/>
    <w:rsid w:val="00252ABA"/>
    <w:rsid w:val="002538C7"/>
    <w:rsid w:val="00262A1B"/>
    <w:rsid w:val="00266365"/>
    <w:rsid w:val="00271075"/>
    <w:rsid w:val="0028208B"/>
    <w:rsid w:val="002826C8"/>
    <w:rsid w:val="002836B0"/>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C7CD7"/>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2906"/>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6F25"/>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77F56"/>
    <w:rsid w:val="00482405"/>
    <w:rsid w:val="00484544"/>
    <w:rsid w:val="00484658"/>
    <w:rsid w:val="00491847"/>
    <w:rsid w:val="004A0757"/>
    <w:rsid w:val="004A2857"/>
    <w:rsid w:val="004A48F2"/>
    <w:rsid w:val="004A553E"/>
    <w:rsid w:val="004B109E"/>
    <w:rsid w:val="004B1540"/>
    <w:rsid w:val="004B447F"/>
    <w:rsid w:val="004B572A"/>
    <w:rsid w:val="004B5B19"/>
    <w:rsid w:val="004C7B01"/>
    <w:rsid w:val="004E2531"/>
    <w:rsid w:val="004E3424"/>
    <w:rsid w:val="004E426E"/>
    <w:rsid w:val="004E5595"/>
    <w:rsid w:val="004F7830"/>
    <w:rsid w:val="005049F2"/>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55D8"/>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3914"/>
    <w:rsid w:val="00666E8A"/>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B4EB4"/>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4BFD"/>
    <w:rsid w:val="00726354"/>
    <w:rsid w:val="00736908"/>
    <w:rsid w:val="007417AC"/>
    <w:rsid w:val="007439D7"/>
    <w:rsid w:val="00745D31"/>
    <w:rsid w:val="00755534"/>
    <w:rsid w:val="00757AA5"/>
    <w:rsid w:val="007642F9"/>
    <w:rsid w:val="00767266"/>
    <w:rsid w:val="00770A61"/>
    <w:rsid w:val="00773074"/>
    <w:rsid w:val="00773C33"/>
    <w:rsid w:val="00781A50"/>
    <w:rsid w:val="007876BC"/>
    <w:rsid w:val="00787C51"/>
    <w:rsid w:val="00790AD9"/>
    <w:rsid w:val="0079316B"/>
    <w:rsid w:val="00794A22"/>
    <w:rsid w:val="00796433"/>
    <w:rsid w:val="00796B75"/>
    <w:rsid w:val="007974E6"/>
    <w:rsid w:val="007A03BA"/>
    <w:rsid w:val="007A23E3"/>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373ED"/>
    <w:rsid w:val="00840FA0"/>
    <w:rsid w:val="00843FBB"/>
    <w:rsid w:val="0084498F"/>
    <w:rsid w:val="008454D2"/>
    <w:rsid w:val="00845DEC"/>
    <w:rsid w:val="0085294F"/>
    <w:rsid w:val="00866593"/>
    <w:rsid w:val="00870719"/>
    <w:rsid w:val="00872013"/>
    <w:rsid w:val="0088742D"/>
    <w:rsid w:val="00892314"/>
    <w:rsid w:val="0089371C"/>
    <w:rsid w:val="008A4075"/>
    <w:rsid w:val="008A5C07"/>
    <w:rsid w:val="008A5F82"/>
    <w:rsid w:val="008B33EB"/>
    <w:rsid w:val="008B3ABC"/>
    <w:rsid w:val="008B4B43"/>
    <w:rsid w:val="008B5E4B"/>
    <w:rsid w:val="008B7783"/>
    <w:rsid w:val="008C43A5"/>
    <w:rsid w:val="008C4443"/>
    <w:rsid w:val="008C6A9F"/>
    <w:rsid w:val="008D6F20"/>
    <w:rsid w:val="008E1635"/>
    <w:rsid w:val="008E1DAE"/>
    <w:rsid w:val="008E363B"/>
    <w:rsid w:val="008E3675"/>
    <w:rsid w:val="008E7DAC"/>
    <w:rsid w:val="00901055"/>
    <w:rsid w:val="009027A8"/>
    <w:rsid w:val="0090730F"/>
    <w:rsid w:val="0091479F"/>
    <w:rsid w:val="00914C45"/>
    <w:rsid w:val="00915FE3"/>
    <w:rsid w:val="00916678"/>
    <w:rsid w:val="00916AF1"/>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1A5E"/>
    <w:rsid w:val="009C2266"/>
    <w:rsid w:val="009D0749"/>
    <w:rsid w:val="009D2F70"/>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0486"/>
    <w:rsid w:val="00AA44E4"/>
    <w:rsid w:val="00AB0987"/>
    <w:rsid w:val="00AB35A7"/>
    <w:rsid w:val="00AB365C"/>
    <w:rsid w:val="00AB601C"/>
    <w:rsid w:val="00AB6984"/>
    <w:rsid w:val="00AB6D0E"/>
    <w:rsid w:val="00AC226A"/>
    <w:rsid w:val="00AC2D1E"/>
    <w:rsid w:val="00AC68C0"/>
    <w:rsid w:val="00AD0985"/>
    <w:rsid w:val="00AD33F2"/>
    <w:rsid w:val="00AD4211"/>
    <w:rsid w:val="00AE17EA"/>
    <w:rsid w:val="00AE3B5E"/>
    <w:rsid w:val="00AE4AA4"/>
    <w:rsid w:val="00AE681E"/>
    <w:rsid w:val="00AE69BE"/>
    <w:rsid w:val="00AE768D"/>
    <w:rsid w:val="00AF18CF"/>
    <w:rsid w:val="00AF27EB"/>
    <w:rsid w:val="00AF294D"/>
    <w:rsid w:val="00AF7BAC"/>
    <w:rsid w:val="00B257AD"/>
    <w:rsid w:val="00B26FD2"/>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4839"/>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54B8A"/>
    <w:rsid w:val="00C60BB7"/>
    <w:rsid w:val="00C643E9"/>
    <w:rsid w:val="00C660F6"/>
    <w:rsid w:val="00C71065"/>
    <w:rsid w:val="00C727FA"/>
    <w:rsid w:val="00C75EFA"/>
    <w:rsid w:val="00C76646"/>
    <w:rsid w:val="00C776F3"/>
    <w:rsid w:val="00C77C19"/>
    <w:rsid w:val="00C81CF5"/>
    <w:rsid w:val="00C8222D"/>
    <w:rsid w:val="00C920B0"/>
    <w:rsid w:val="00C92FEA"/>
    <w:rsid w:val="00C95F3E"/>
    <w:rsid w:val="00C97A62"/>
    <w:rsid w:val="00CA2071"/>
    <w:rsid w:val="00CA2568"/>
    <w:rsid w:val="00CA2E09"/>
    <w:rsid w:val="00CA686E"/>
    <w:rsid w:val="00CA7319"/>
    <w:rsid w:val="00CB3935"/>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1AC"/>
    <w:rsid w:val="00D46679"/>
    <w:rsid w:val="00D467E2"/>
    <w:rsid w:val="00D5774F"/>
    <w:rsid w:val="00D64CF8"/>
    <w:rsid w:val="00D64F93"/>
    <w:rsid w:val="00D653AE"/>
    <w:rsid w:val="00D6591C"/>
    <w:rsid w:val="00D67F7F"/>
    <w:rsid w:val="00D7255C"/>
    <w:rsid w:val="00D72CC9"/>
    <w:rsid w:val="00D75535"/>
    <w:rsid w:val="00D75CD9"/>
    <w:rsid w:val="00DA5144"/>
    <w:rsid w:val="00DB2B90"/>
    <w:rsid w:val="00DB3F6B"/>
    <w:rsid w:val="00DB464F"/>
    <w:rsid w:val="00DB6B9D"/>
    <w:rsid w:val="00DC0EBD"/>
    <w:rsid w:val="00DC1442"/>
    <w:rsid w:val="00DC165E"/>
    <w:rsid w:val="00DD343B"/>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25B"/>
    <w:rsid w:val="00E246A3"/>
    <w:rsid w:val="00E246A4"/>
    <w:rsid w:val="00E253B7"/>
    <w:rsid w:val="00E2607E"/>
    <w:rsid w:val="00E264F5"/>
    <w:rsid w:val="00E265FC"/>
    <w:rsid w:val="00E269CC"/>
    <w:rsid w:val="00E3590E"/>
    <w:rsid w:val="00E37DB4"/>
    <w:rsid w:val="00E407E1"/>
    <w:rsid w:val="00E41C82"/>
    <w:rsid w:val="00E4200D"/>
    <w:rsid w:val="00E42FB9"/>
    <w:rsid w:val="00E452DF"/>
    <w:rsid w:val="00E46ACB"/>
    <w:rsid w:val="00E4701A"/>
    <w:rsid w:val="00E53C1E"/>
    <w:rsid w:val="00E619E2"/>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3D49"/>
    <w:rsid w:val="00EF4583"/>
    <w:rsid w:val="00EF69C7"/>
    <w:rsid w:val="00F004B2"/>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1472"/>
    <w:rsid w:val="00F62D5D"/>
    <w:rsid w:val="00F65184"/>
    <w:rsid w:val="00F71F61"/>
    <w:rsid w:val="00F72A15"/>
    <w:rsid w:val="00F73681"/>
    <w:rsid w:val="00F839FE"/>
    <w:rsid w:val="00F84683"/>
    <w:rsid w:val="00F85D51"/>
    <w:rsid w:val="00F85F4D"/>
    <w:rsid w:val="00F87AC5"/>
    <w:rsid w:val="00F9004F"/>
    <w:rsid w:val="00F9024C"/>
    <w:rsid w:val="00F938C6"/>
    <w:rsid w:val="00F9641A"/>
    <w:rsid w:val="00F9703B"/>
    <w:rsid w:val="00FA03AA"/>
    <w:rsid w:val="00FA523B"/>
    <w:rsid w:val="00FA5C15"/>
    <w:rsid w:val="00FA6BD8"/>
    <w:rsid w:val="00FA6FF7"/>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F16895"/>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7176105">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9048692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8863">
      <w:bodyDiv w:val="1"/>
      <w:marLeft w:val="0"/>
      <w:marRight w:val="0"/>
      <w:marTop w:val="0"/>
      <w:marBottom w:val="0"/>
      <w:divBdr>
        <w:top w:val="none" w:sz="0" w:space="0" w:color="auto"/>
        <w:left w:val="none" w:sz="0" w:space="0" w:color="auto"/>
        <w:bottom w:val="none" w:sz="0" w:space="0" w:color="auto"/>
        <w:right w:val="none" w:sz="0" w:space="0" w:color="auto"/>
      </w:divBdr>
      <w:divsChild>
        <w:div w:id="144667009">
          <w:marLeft w:val="0"/>
          <w:marRight w:val="0"/>
          <w:marTop w:val="0"/>
          <w:marBottom w:val="0"/>
          <w:divBdr>
            <w:top w:val="none" w:sz="0" w:space="0" w:color="auto"/>
            <w:left w:val="none" w:sz="0" w:space="0" w:color="auto"/>
            <w:bottom w:val="none" w:sz="0" w:space="0" w:color="auto"/>
            <w:right w:val="none" w:sz="0" w:space="0" w:color="auto"/>
          </w:divBdr>
        </w:div>
      </w:divsChild>
    </w:div>
    <w:div w:id="875116870">
      <w:bodyDiv w:val="1"/>
      <w:marLeft w:val="0"/>
      <w:marRight w:val="0"/>
      <w:marTop w:val="0"/>
      <w:marBottom w:val="0"/>
      <w:divBdr>
        <w:top w:val="none" w:sz="0" w:space="0" w:color="auto"/>
        <w:left w:val="none" w:sz="0" w:space="0" w:color="auto"/>
        <w:bottom w:val="none" w:sz="0" w:space="0" w:color="auto"/>
        <w:right w:val="none" w:sz="0" w:space="0" w:color="auto"/>
      </w:divBdr>
    </w:div>
    <w:div w:id="92637759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96762126">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52600063">
      <w:bodyDiv w:val="1"/>
      <w:marLeft w:val="0"/>
      <w:marRight w:val="0"/>
      <w:marTop w:val="0"/>
      <w:marBottom w:val="0"/>
      <w:divBdr>
        <w:top w:val="none" w:sz="0" w:space="0" w:color="auto"/>
        <w:left w:val="none" w:sz="0" w:space="0" w:color="auto"/>
        <w:bottom w:val="none" w:sz="0" w:space="0" w:color="auto"/>
        <w:right w:val="none" w:sz="0" w:space="0" w:color="auto"/>
      </w:divBdr>
    </w:div>
    <w:div w:id="1365904318">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4294614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2483741">
      <w:bodyDiv w:val="1"/>
      <w:marLeft w:val="0"/>
      <w:marRight w:val="0"/>
      <w:marTop w:val="0"/>
      <w:marBottom w:val="0"/>
      <w:divBdr>
        <w:top w:val="none" w:sz="0" w:space="0" w:color="auto"/>
        <w:left w:val="none" w:sz="0" w:space="0" w:color="auto"/>
        <w:bottom w:val="none" w:sz="0" w:space="0" w:color="auto"/>
        <w:right w:val="none" w:sz="0" w:space="0" w:color="auto"/>
      </w:divBdr>
    </w:div>
    <w:div w:id="1825316323">
      <w:bodyDiv w:val="1"/>
      <w:marLeft w:val="0"/>
      <w:marRight w:val="0"/>
      <w:marTop w:val="0"/>
      <w:marBottom w:val="0"/>
      <w:divBdr>
        <w:top w:val="none" w:sz="0" w:space="0" w:color="auto"/>
        <w:left w:val="none" w:sz="0" w:space="0" w:color="auto"/>
        <w:bottom w:val="none" w:sz="0" w:space="0" w:color="auto"/>
        <w:right w:val="none" w:sz="0" w:space="0" w:color="auto"/>
      </w:divBdr>
    </w:div>
    <w:div w:id="183972864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eur-lex.europa.eu/legal-content/NL/TXT/?uri=CELEX%3A52023PC0278&amp;qid=1685446033087" TargetMode="External" Id="rId18" /><Relationship Type="http://schemas.openxmlformats.org/officeDocument/2006/relationships/hyperlink" Target="https://eur-lex.europa.eu/legal-content/NL/TXT/?uri=CELEX%3A52023DC0615&amp;qid=1685446575230" TargetMode="External" Id="rId26" /><Relationship Type="http://schemas.openxmlformats.org/officeDocument/2006/relationships/hyperlink" Target="https://eur-lex.europa.eu/legal-content/NL/TXT/?uri=CELEX%3A52023DC0602&amp;qid=1685448463186" TargetMode="External" Id="rId39" /><Relationship Type="http://schemas.openxmlformats.org/officeDocument/2006/relationships/hyperlink" Target="https://eur-lex.europa.eu/legal-content/NL/TXT/?uri=CELEX%3A52023PC0267&amp;qid=1685445639404" TargetMode="External" Id="rId21" /><Relationship Type="http://schemas.openxmlformats.org/officeDocument/2006/relationships/hyperlink" Target="https://eur-lex.europa.eu/legal-content/NL/TXT/?uri=CELEX%3A52023DC0611&amp;qid=1685447989415" TargetMode="External" Id="rId34" /><Relationship Type="http://schemas.openxmlformats.org/officeDocument/2006/relationships/hyperlink" Target="https://eur-lex.europa.eu/legal-content/NL/TXT/?uri=CELEX%3A52023DC0621&amp;qid=1685449432268" TargetMode="External" Id="rId42" /><Relationship Type="http://schemas.openxmlformats.org/officeDocument/2006/relationships/hyperlink" Target="https://eur-lex.europa.eu/legal-content/NL/TXT/?uri=CELEX%3A52023DC0606&amp;qid=1685450073694" TargetMode="External" Id="rId47" /><Relationship Type="http://schemas.openxmlformats.org/officeDocument/2006/relationships/hyperlink" Target="https://eur-lex.europa.eu/legal-content/NL/TXT/?uri=CELEX%3A52023DC0627&amp;qid=1685450453970" TargetMode="External" Id="rId50" /><Relationship Type="http://schemas.openxmlformats.org/officeDocument/2006/relationships/fontTable" Target="fontTable.xml" Id="rId55"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3PC0279&amp;qid=1685446134604" TargetMode="External" Id="rId17" /><Relationship Type="http://schemas.openxmlformats.org/officeDocument/2006/relationships/hyperlink" Target="https://eur-lex.europa.eu/legal-content/NL/TXT/?uri=CELEX%3A52023DC0600&amp;qid=1685446509647" TargetMode="External" Id="rId25" /><Relationship Type="http://schemas.openxmlformats.org/officeDocument/2006/relationships/hyperlink" Target="https://eur-lex.europa.eu/legal-content/NL/TXT/?uri=CELEX%3A52023DC0612&amp;qid=1685447918429" TargetMode="External" Id="rId33" /><Relationship Type="http://schemas.openxmlformats.org/officeDocument/2006/relationships/hyperlink" Target="https://eur-lex.europa.eu/legal-content/NL/TXT/?uri=CELEX%3A52023DC0607&amp;qid=1685448359585" TargetMode="External" Id="rId38" /><Relationship Type="http://schemas.openxmlformats.org/officeDocument/2006/relationships/hyperlink" Target="https://eur-lex.europa.eu/legal-content/NL/TXT/?uri=CELEX%3A52023DC0603&amp;qid=1685449787914" TargetMode="External" Id="rId46" /><Relationship Type="http://schemas.openxmlformats.org/officeDocument/2006/relationships/hyperlink" Target="https://eur-lex.europa.eu/legal-content/NL/TXT/?uri=CELEX%3A52023PC0259&amp;qid=1684739719620" TargetMode="External" Id="rId16" /><Relationship Type="http://schemas.openxmlformats.org/officeDocument/2006/relationships/hyperlink" Target="https://eur-lex.europa.eu/legal-content/NL/TXT/?uri=CELEX%3A52023DC0249&amp;qid=1684232771968" TargetMode="External" Id="rId20" /><Relationship Type="http://schemas.openxmlformats.org/officeDocument/2006/relationships/hyperlink" Target="https://eur-lex.europa.eu/legal-content/NL/TXT/?uri=CELEX%3A52023DC0616&amp;qid=1685447424489" TargetMode="External" Id="rId29" /><Relationship Type="http://schemas.openxmlformats.org/officeDocument/2006/relationships/hyperlink" Target="https://eur-lex.europa.eu/legal-content/NL/TXT/?uri=CELEX%3A52023DC0620&amp;qid=1685449325668" TargetMode="External" Id="rId41" /><Relationship Type="http://schemas.openxmlformats.org/officeDocument/2006/relationships/footer" Target="footer2.xml" Id="rId54" /><Relationship Type="http://schemas.openxmlformats.org/officeDocument/2006/relationships/footnotes" Target="footnotes.xml" Id="rId11" /><Relationship Type="http://schemas.openxmlformats.org/officeDocument/2006/relationships/hyperlink" Target="https://eur-lex.europa.eu/legal-content/NL/TXT/?uri=CELEX%3A52023DC0631&amp;qid=1685446273158" TargetMode="External" Id="rId24" /><Relationship Type="http://schemas.openxmlformats.org/officeDocument/2006/relationships/hyperlink" Target="https://eur-lex.europa.eu/legal-content/NL/TXT/?uri=CELEX%3A52023DC0613&amp;qid=1685447819703" TargetMode="External" Id="rId32" /><Relationship Type="http://schemas.openxmlformats.org/officeDocument/2006/relationships/hyperlink" Target="https://eur-lex.europa.eu/legal-content/NL/TXT/?uri=CELEX%3A52023DC0608&amp;qid=1685448290278" TargetMode="External" Id="rId37" /><Relationship Type="http://schemas.openxmlformats.org/officeDocument/2006/relationships/hyperlink" Target="https://eur-lex.europa.eu/legal-content/NL/TXT/?uri=CELEX%3A52023DC0617&amp;qid=1685448523320" TargetMode="External" Id="rId40" /><Relationship Type="http://schemas.openxmlformats.org/officeDocument/2006/relationships/hyperlink" Target="https://eur-lex.europa.eu/legal-content/NL/TXT/?uri=CELEX%3A52023DC0604&amp;qid=1685449708280" TargetMode="External" Id="rId45" /><Relationship Type="http://schemas.openxmlformats.org/officeDocument/2006/relationships/header" Target="header2.xml" Id="rId53" /><Relationship Type="http://schemas.openxmlformats.org/officeDocument/2006/relationships/hyperlink" Target="https://eur-lex.europa.eu/legal-content/NL/TXT/?uri=CELEX%3A52023PC0262&amp;qid=1684739654357" TargetMode="External" Id="rId15" /><Relationship Type="http://schemas.openxmlformats.org/officeDocument/2006/relationships/hyperlink" Target="https://eur-lex.europa.eu/legal-content/NL/TXT/?uri=CELEX%3A52023DC0257&amp;qid=1684739287544" TargetMode="External" Id="rId23" /><Relationship Type="http://schemas.openxmlformats.org/officeDocument/2006/relationships/hyperlink" Target="https://eur-lex.europa.eu/legal-content/NL/TXT/?uri=CELEX%3A52023DC0622&amp;qid=1685447308351" TargetMode="External" Id="rId28" /><Relationship Type="http://schemas.openxmlformats.org/officeDocument/2006/relationships/hyperlink" Target="https://eur-lex.europa.eu/legal-content/NL/TXT/?uri=CELEX%3A52023DC0609&amp;qid=1685448226911" TargetMode="External" Id="rId36" /><Relationship Type="http://schemas.openxmlformats.org/officeDocument/2006/relationships/hyperlink" Target="https://eur-lex.europa.eu/legal-content/NL/TXT/?uri=CELEX%3A52023DC0626&amp;qid=1685450307900" TargetMode="External" Id="rId49" /><Relationship Type="http://schemas.openxmlformats.org/officeDocument/2006/relationships/webSettings" Target="webSettings.xml" Id="rId10" /><Relationship Type="http://schemas.openxmlformats.org/officeDocument/2006/relationships/hyperlink" Target="https://eur-lex.europa.eu/legal-content/NL/TXT/?uri=CELEX%3A52023DC0248&amp;qid=1684232713973" TargetMode="External" Id="rId19" /><Relationship Type="http://schemas.openxmlformats.org/officeDocument/2006/relationships/hyperlink" Target="https://eur-lex.europa.eu/legal-content/NL/TXT/?uri=CELEX%3A52023DC0601&amp;qid=1685447673293" TargetMode="External" Id="rId31" /><Relationship Type="http://schemas.openxmlformats.org/officeDocument/2006/relationships/hyperlink" Target="https://eur-lex.europa.eu/legal-content/NL/TXT/?uri=CELEX%3A52023DC0619&amp;qid=1685449628111" TargetMode="External" Id="rId44" /><Relationship Type="http://schemas.openxmlformats.org/officeDocument/2006/relationships/hyperlink" Target="https://eur-lex.europa.eu/legal-content/NL/TXT/?uri=CELEX%3A52023DC0624&amp;qid=1685450578857" TargetMode="External" Id="rId52"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lex.europa.eu/legal-content/NL/TXT/?uri=CELEX%3A52023PC0265&amp;qid=1684233105063" TargetMode="External" Id="rId22" /><Relationship Type="http://schemas.openxmlformats.org/officeDocument/2006/relationships/hyperlink" Target="https://eur-lex.europa.eu/legal-content/NL/TXT/?uri=CELEX%3A52023DC0614&amp;qid=1685446637439" TargetMode="External" Id="rId27" /><Relationship Type="http://schemas.openxmlformats.org/officeDocument/2006/relationships/hyperlink" Target="https://eur-lex.europa.eu/legal-content/NL/TXT/?uri=CELEX%3A52023DC0623&amp;qid=1685447491141" TargetMode="External" Id="rId30" /><Relationship Type="http://schemas.openxmlformats.org/officeDocument/2006/relationships/hyperlink" Target="https://eur-lex.europa.eu/legal-content/NL/TXT/?uri=CELEX%3A52023DC0610&amp;qid=1685448057891" TargetMode="External" Id="rId35" /><Relationship Type="http://schemas.openxmlformats.org/officeDocument/2006/relationships/hyperlink" Target="https://eur-lex.europa.eu/legal-content/NL/TXT/?uri=CELEX%3A52023DC0618&amp;qid=1685449576619" TargetMode="External" Id="rId43" /><Relationship Type="http://schemas.openxmlformats.org/officeDocument/2006/relationships/hyperlink" Target="https://eur-lex.europa.eu/legal-content/NL/TXT/?uri=CELEX%3A52023DC0605&amp;qid=1685450229612" TargetMode="External" Id="rId48" /><Relationship Type="http://schemas.openxmlformats.org/officeDocument/2006/relationships/theme" Target="theme/theme1.xml" Id="rId56" /><Relationship Type="http://schemas.openxmlformats.org/officeDocument/2006/relationships/styles" Target="styles.xml" Id="rId8" /><Relationship Type="http://schemas.openxmlformats.org/officeDocument/2006/relationships/hyperlink" Target="https://eur-lex.europa.eu/legal-content/NL/TXT/?uri=CELEX%3A52023DC0625&amp;qid=1685450526091" TargetMode="External" Id="rId51"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2817</ap:Words>
  <ap:Characters>21790</ap:Characters>
  <ap:DocSecurity>4</ap:DocSecurity>
  <ap:Lines>181</ap:Lines>
  <ap:Paragraphs>49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2023-06-05T11:38:00.0000000Z</dcterms:created>
  <dcterms:modified xsi:type="dcterms:W3CDTF">2023-06-05T11:38:00.0000000Z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ba12815b-fb03-428b-b014-e2098915bc31</vt:lpwstr>
  </property>
</Properties>
</file>