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7531" w:rsidR="0083083D" w:rsidP="0083083D" w:rsidRDefault="0083083D" w14:paraId="1C120A9B" w14:textId="77777777">
      <w:pPr>
        <w:rPr>
          <w:rFonts w:ascii="Calibri" w:hAnsi="Calibri" w:eastAsia="Calibri" w:cs="Calibri"/>
          <w:color w:val="000000" w:themeColor="text1"/>
        </w:rPr>
      </w:pPr>
      <w:r w:rsidRPr="00257531">
        <w:rPr>
          <w:noProof/>
          <w:color w:val="2B579A"/>
          <w:shd w:val="clear" w:color="auto" w:fill="E6E6E6"/>
        </w:rPr>
        <w:drawing>
          <wp:inline distT="0" distB="0" distL="0" distR="0" wp14:anchorId="07787F5D" wp14:editId="34BAD506">
            <wp:extent cx="1762125" cy="533400"/>
            <wp:effectExtent l="0" t="0" r="0" b="0"/>
            <wp:docPr id="830439959" name="Picture 830439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00" w:firstRow="0" w:lastRow="0" w:firstColumn="0" w:lastColumn="0" w:noHBand="1" w:noVBand="1"/>
      </w:tblPr>
      <w:tblGrid>
        <w:gridCol w:w="7048"/>
        <w:gridCol w:w="1967"/>
      </w:tblGrid>
      <w:tr w:rsidRPr="00257531" w:rsidR="0083083D" w:rsidTr="00A06CEA" w14:paraId="6220E73B" w14:textId="77777777">
        <w:trPr>
          <w:trHeight w:val="330"/>
        </w:trPr>
        <w:tc>
          <w:tcPr>
            <w:tcW w:w="704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257531" w:rsidR="0083083D" w:rsidP="00A06CEA" w:rsidRDefault="0083083D" w14:paraId="7B2DA057" w14:textId="77777777">
            <w:pPr>
              <w:spacing w:after="0" w:line="240" w:lineRule="auto"/>
              <w:rPr>
                <w:rFonts w:ascii="Palatino Linotype" w:hAnsi="Palatino Linotype" w:eastAsia="Palatino Linotype" w:cs="Palatino Linotype"/>
                <w:b/>
                <w:bCs/>
                <w:smallCaps/>
                <w:sz w:val="20"/>
                <w:szCs w:val="20"/>
              </w:rPr>
            </w:pPr>
            <w:r w:rsidRPr="00257531">
              <w:rPr>
                <w:rFonts w:ascii="Palatino Linotype" w:hAnsi="Palatino Linotype" w:eastAsia="Palatino Linotype" w:cs="Palatino Linotype"/>
                <w:b/>
                <w:bCs/>
                <w:smallCaps/>
                <w:sz w:val="20"/>
                <w:szCs w:val="20"/>
              </w:rPr>
              <w:t>Preparedness 2.0 in the WHO European region</w:t>
            </w:r>
          </w:p>
          <w:p w:rsidRPr="00257531" w:rsidR="0083083D" w:rsidP="00A06CEA" w:rsidRDefault="0083083D" w14:paraId="206D271D" w14:textId="77777777">
            <w:pPr>
              <w:spacing w:after="0" w:line="240" w:lineRule="auto"/>
              <w:rPr>
                <w:rFonts w:ascii="Palatino Linotype" w:hAnsi="Palatino Linotype" w:eastAsia="Palatino Linotype" w:cs="Palatino Linotype"/>
                <w:b/>
                <w:bCs/>
                <w:smallCaps/>
                <w:sz w:val="20"/>
                <w:szCs w:val="20"/>
              </w:rPr>
            </w:pPr>
          </w:p>
          <w:p w:rsidRPr="00257531" w:rsidR="0083083D" w:rsidP="00A06CEA" w:rsidRDefault="0083083D" w14:paraId="1682409B" w14:textId="77777777">
            <w:pPr>
              <w:spacing w:after="0" w:line="240" w:lineRule="auto"/>
              <w:rPr>
                <w:rFonts w:ascii="Palatino Linotype" w:hAnsi="Palatino Linotype" w:eastAsia="Palatino Linotype" w:cs="Palatino Linotype"/>
                <w:sz w:val="20"/>
                <w:szCs w:val="20"/>
              </w:rPr>
            </w:pPr>
            <w:r w:rsidRPr="00257531">
              <w:rPr>
                <w:rFonts w:ascii="Palatino Linotype" w:hAnsi="Palatino Linotype" w:eastAsia="Palatino Linotype" w:cs="Palatino Linotype"/>
                <w:b/>
                <w:bCs/>
                <w:smallCaps/>
                <w:sz w:val="20"/>
                <w:szCs w:val="20"/>
              </w:rPr>
              <w:t>Position paper for the House of Representatives of the Netherlands Roundtable on Pandemic Preparedness in an International Perspective, 17 May 2023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257531" w:rsidR="0083083D" w:rsidP="00A06CEA" w:rsidRDefault="0083083D" w14:paraId="1DF52F36" w14:textId="77777777">
            <w:pPr>
              <w:jc w:val="righ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257531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Pr="00257531" w:rsidR="0083083D" w:rsidTr="00A06CEA" w14:paraId="2E7A8ACF" w14:textId="77777777">
        <w:trPr>
          <w:trHeight w:val="117"/>
        </w:trPr>
        <w:tc>
          <w:tcPr>
            <w:tcW w:w="7048" w:type="dxa"/>
            <w:tcBorders>
              <w:top w:val="nil"/>
              <w:left w:val="nil"/>
              <w:bottom w:val="single" w:color="000000" w:themeColor="text1" w:sz="6" w:space="0"/>
              <w:right w:val="nil"/>
            </w:tcBorders>
            <w:tcMar>
              <w:left w:w="105" w:type="dxa"/>
              <w:right w:w="105" w:type="dxa"/>
            </w:tcMar>
          </w:tcPr>
          <w:p w:rsidRPr="00257531" w:rsidR="0083083D" w:rsidP="00A06CEA" w:rsidRDefault="0083083D" w14:paraId="2353C09D" w14:textId="77777777">
            <w:pPr>
              <w:rPr>
                <w:rFonts w:ascii="Palatino Linotype" w:hAnsi="Palatino Linotype" w:eastAsia="Palatino Linotype" w:cs="Palatino Linotype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color="000000" w:themeColor="text1" w:sz="6" w:space="0"/>
              <w:right w:val="nil"/>
            </w:tcBorders>
            <w:tcMar>
              <w:left w:w="105" w:type="dxa"/>
              <w:right w:w="105" w:type="dxa"/>
            </w:tcMar>
          </w:tcPr>
          <w:p w:rsidRPr="00257531" w:rsidR="0083083D" w:rsidP="00A06CEA" w:rsidRDefault="0083083D" w14:paraId="5F111C60" w14:textId="77777777">
            <w:pPr>
              <w:jc w:val="right"/>
              <w:rPr>
                <w:rFonts w:ascii="Palatino Linotype" w:hAnsi="Palatino Linotype" w:eastAsia="Palatino Linotype" w:cs="Palatino Linotype"/>
                <w:sz w:val="20"/>
                <w:szCs w:val="20"/>
              </w:rPr>
            </w:pPr>
          </w:p>
        </w:tc>
      </w:tr>
    </w:tbl>
    <w:p w:rsidRPr="00257531" w:rsidR="0083083D" w:rsidP="0083083D" w:rsidRDefault="0083083D" w14:paraId="2E2BEB4F" w14:textId="58215899">
      <w:pPr>
        <w:jc w:val="both"/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</w:pPr>
      <w:r w:rsidRPr="00257531">
        <w:rPr>
          <w:rFonts w:ascii="Palatino Linotype" w:hAnsi="Palatino Linotype" w:eastAsia="Palatino Linotype" w:cs="Palatino Linotype"/>
          <w:color w:val="000000" w:themeColor="text1"/>
        </w:rPr>
        <w:br/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The experience of </w:t>
      </w:r>
      <w:r w:rsidR="00582289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the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COVID-19 </w:t>
      </w:r>
      <w:r w:rsidR="00582289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pandemic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has </w:t>
      </w:r>
      <w:r w:rsidR="00582289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triggered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 considerable </w:t>
      </w:r>
      <w:r w:rsidR="00582289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global and regional initiatives to strengthen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 pandemic preparedness and response. Multiple high-level reviews and lessons learned at the global level</w:t>
      </w:r>
      <w:r w:rsidRPr="00257531">
        <w:rPr>
          <w:rStyle w:val="FootnoteReference"/>
          <w:rFonts w:ascii="Palatino Linotype" w:hAnsi="Palatino Linotype" w:eastAsia="Palatino Linotype" w:cs="Palatino Linotype"/>
          <w:color w:val="222222"/>
          <w:sz w:val="20"/>
          <w:szCs w:val="20"/>
        </w:rPr>
        <w:footnoteReference w:id="1"/>
      </w:r>
      <w:r w:rsidRPr="00257531">
        <w:rPr>
          <w:rStyle w:val="FootnoteReference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and at the regional level</w:t>
      </w:r>
      <w:r w:rsidRPr="00257531">
        <w:rPr>
          <w:rStyle w:val="FootnoteReference"/>
          <w:rFonts w:ascii="Palatino Linotype" w:hAnsi="Palatino Linotype" w:eastAsia="Palatino Linotype" w:cs="Palatino Linotype"/>
          <w:color w:val="222222"/>
          <w:sz w:val="20"/>
          <w:szCs w:val="20"/>
        </w:rPr>
        <w:footnoteReference w:id="2"/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 have highlighted areas in need of </w:t>
      </w:r>
      <w:r w:rsidR="00582289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capacity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strengthening across the 53 Member States in the WHO European </w:t>
      </w:r>
      <w:r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R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egion. </w:t>
      </w:r>
      <w:r w:rsidR="00582289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As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the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current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five-year Action plan to improve public health preparedness and response in the WHO European Region (2018–2023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)</w:t>
      </w:r>
      <w:r w:rsidRPr="00257531">
        <w:rPr>
          <w:rStyle w:val="FootnoteReference"/>
          <w:rFonts w:ascii="Palatino Linotype" w:hAnsi="Palatino Linotype" w:eastAsia="Palatino Linotype" w:cs="Palatino Linotype"/>
          <w:color w:val="222222"/>
          <w:sz w:val="20"/>
          <w:szCs w:val="20"/>
        </w:rPr>
        <w:footnoteReference w:id="3"/>
      </w:r>
      <w:r w:rsidR="00582289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 ends this year,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 the 72nd session of the Regional Committee for Europe mandated the WHO Regional Office for Europe to start </w:t>
      </w:r>
      <w:r w:rsidR="00582289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a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 process of developing a new regional strategy and action plan </w:t>
      </w:r>
      <w:r w:rsidR="00582289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to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 strengthen health emergency preparedness, response</w:t>
      </w:r>
      <w:r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,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 and resilience (Preparedness 2.0), in close consultation with Member States. </w:t>
      </w:r>
    </w:p>
    <w:p w:rsidRPr="00257531" w:rsidR="0083083D" w:rsidP="0083083D" w:rsidRDefault="0083083D" w14:paraId="65EF13CF" w14:textId="7870F636">
      <w:pPr>
        <w:jc w:val="both"/>
        <w:rPr>
          <w:rFonts w:ascii="Palatino Linotype" w:hAnsi="Palatino Linotype" w:eastAsia="Palatino Linotype" w:cs="Palatino Linotype"/>
          <w:sz w:val="20"/>
          <w:szCs w:val="20"/>
        </w:rPr>
      </w:pPr>
      <w:r w:rsidRPr="00257531">
        <w:rPr>
          <w:rFonts w:ascii="Palatino Linotype" w:hAnsi="Palatino Linotype" w:eastAsia="Palatino Linotype" w:cs="Palatino Linotype"/>
          <w:sz w:val="20"/>
          <w:szCs w:val="20"/>
        </w:rPr>
        <w:t xml:space="preserve">Preparedness 2.0 </w:t>
      </w:r>
      <w:r w:rsidR="00582289">
        <w:rPr>
          <w:rFonts w:ascii="Palatino Linotype" w:hAnsi="Palatino Linotype" w:eastAsia="Palatino Linotype" w:cs="Palatino Linotype"/>
          <w:sz w:val="20"/>
          <w:szCs w:val="20"/>
        </w:rPr>
        <w:t xml:space="preserve">aims for </w:t>
      </w:r>
      <w:r w:rsidRPr="00257531">
        <w:rPr>
          <w:rFonts w:ascii="Palatino Linotype" w:hAnsi="Palatino Linotype" w:eastAsia="Palatino Linotype" w:cs="Palatino Linotype"/>
          <w:sz w:val="20"/>
          <w:szCs w:val="20"/>
        </w:rPr>
        <w:t>an updated strategy to strengthen health emergency preparedness, readiness, response</w:t>
      </w:r>
      <w:r>
        <w:rPr>
          <w:rFonts w:ascii="Palatino Linotype" w:hAnsi="Palatino Linotype" w:eastAsia="Palatino Linotype" w:cs="Palatino Linotype"/>
          <w:sz w:val="20"/>
          <w:szCs w:val="20"/>
        </w:rPr>
        <w:t>,</w:t>
      </w:r>
      <w:r w:rsidRPr="00257531">
        <w:rPr>
          <w:rFonts w:ascii="Palatino Linotype" w:hAnsi="Palatino Linotype" w:eastAsia="Palatino Linotype" w:cs="Palatino Linotype"/>
          <w:sz w:val="20"/>
          <w:szCs w:val="20"/>
        </w:rPr>
        <w:t xml:space="preserve"> and resilience across the WHO European Region through an all-hazard and One Health approach to support countries in developing fit-for-purpose national health emergency preparedness and response plans and systems. It will do so by incorporating lessons learn</w:t>
      </w:r>
      <w:r w:rsidR="002F0D0B">
        <w:rPr>
          <w:rFonts w:ascii="Palatino Linotype" w:hAnsi="Palatino Linotype" w:eastAsia="Palatino Linotype" w:cs="Palatino Linotype"/>
          <w:sz w:val="20"/>
          <w:szCs w:val="20"/>
        </w:rPr>
        <w:t>ed</w:t>
      </w:r>
      <w:r w:rsidRPr="00257531">
        <w:rPr>
          <w:rFonts w:ascii="Palatino Linotype" w:hAnsi="Palatino Linotype" w:eastAsia="Palatino Linotype" w:cs="Palatino Linotype"/>
          <w:sz w:val="20"/>
          <w:szCs w:val="20"/>
        </w:rPr>
        <w:t xml:space="preserve"> from the COVID-19 pandemic and other recent and ongoing emergencies, </w:t>
      </w:r>
      <w:r>
        <w:rPr>
          <w:rFonts w:ascii="Palatino Linotype" w:hAnsi="Palatino Linotype" w:eastAsia="Palatino Linotype" w:cs="Palatino Linotype"/>
          <w:sz w:val="20"/>
          <w:szCs w:val="20"/>
        </w:rPr>
        <w:t>as well as</w:t>
      </w:r>
      <w:r w:rsidRPr="00257531">
        <w:rPr>
          <w:rFonts w:ascii="Palatino Linotype" w:hAnsi="Palatino Linotype" w:eastAsia="Palatino Linotype" w:cs="Palatino Linotype"/>
          <w:sz w:val="20"/>
          <w:szCs w:val="20"/>
        </w:rPr>
        <w:t xml:space="preserve"> supporting countries in regionalising and implementing changes to the health security architecture at the global level.   </w:t>
      </w:r>
    </w:p>
    <w:p w:rsidRPr="00257531" w:rsidR="0083083D" w:rsidP="0083083D" w:rsidRDefault="0083083D" w14:paraId="1FD7CB6F" w14:textId="66C19B51">
      <w:pPr>
        <w:jc w:val="both"/>
        <w:rPr>
          <w:rFonts w:ascii="Palatino Linotype" w:hAnsi="Palatino Linotype" w:eastAsia="Palatino Linotype" w:cs="Palatino Linotype"/>
          <w:sz w:val="20"/>
          <w:szCs w:val="20"/>
        </w:rPr>
      </w:pPr>
      <w:r w:rsidRPr="00257531">
        <w:rPr>
          <w:rFonts w:ascii="Palatino Linotype" w:hAnsi="Palatino Linotype" w:eastAsia="Palatino Linotype" w:cs="Palatino Linotype"/>
          <w:sz w:val="20"/>
          <w:szCs w:val="20"/>
        </w:rPr>
        <w:t xml:space="preserve">Preparedness 2.0 will be informed </w:t>
      </w:r>
      <w:r w:rsidR="00780B27">
        <w:rPr>
          <w:rFonts w:ascii="Palatino Linotype" w:hAnsi="Palatino Linotype" w:eastAsia="Palatino Linotype" w:cs="Palatino Linotype"/>
          <w:sz w:val="20"/>
          <w:szCs w:val="20"/>
        </w:rPr>
        <w:t xml:space="preserve">by </w:t>
      </w:r>
      <w:r w:rsidRPr="00257531">
        <w:rPr>
          <w:rFonts w:ascii="Palatino Linotype" w:hAnsi="Palatino Linotype" w:eastAsia="Palatino Linotype" w:cs="Palatino Linotype"/>
          <w:sz w:val="20"/>
          <w:szCs w:val="20"/>
        </w:rPr>
        <w:t xml:space="preserve">and aligned with ongoing </w:t>
      </w:r>
      <w:r w:rsidR="00027F32">
        <w:rPr>
          <w:rFonts w:ascii="Palatino Linotype" w:hAnsi="Palatino Linotype" w:eastAsia="Palatino Linotype" w:cs="Palatino Linotype"/>
          <w:sz w:val="20"/>
          <w:szCs w:val="20"/>
        </w:rPr>
        <w:t xml:space="preserve">global and regional </w:t>
      </w:r>
      <w:r w:rsidRPr="00257531">
        <w:rPr>
          <w:rFonts w:ascii="Palatino Linotype" w:hAnsi="Palatino Linotype" w:eastAsia="Palatino Linotype" w:cs="Palatino Linotype"/>
          <w:sz w:val="20"/>
          <w:szCs w:val="20"/>
        </w:rPr>
        <w:t xml:space="preserve">processes: </w:t>
      </w:r>
    </w:p>
    <w:p w:rsidRPr="00257531" w:rsidR="0083083D" w:rsidP="0083083D" w:rsidRDefault="00780B27" w14:paraId="34A435FF" w14:textId="17029276">
      <w:pPr>
        <w:pStyle w:val="ListParagraph"/>
        <w:numPr>
          <w:ilvl w:val="0"/>
          <w:numId w:val="1"/>
        </w:numPr>
        <w:jc w:val="both"/>
        <w:rPr>
          <w:rStyle w:val="normaltextrun"/>
          <w:rFonts w:ascii="Palatino Linotype" w:hAnsi="Palatino Linotype" w:eastAsia="Palatino Linotype" w:cs="Palatino Linotype"/>
          <w:sz w:val="20"/>
          <w:szCs w:val="20"/>
        </w:rPr>
      </w:pPr>
      <w:r>
        <w:rPr>
          <w:rFonts w:ascii="Palatino Linotype" w:hAnsi="Palatino Linotype" w:eastAsia="Palatino Linotype" w:cs="Palatino Linotype"/>
          <w:sz w:val="20"/>
          <w:szCs w:val="20"/>
        </w:rPr>
        <w:t xml:space="preserve">The </w:t>
      </w:r>
      <w:r w:rsidRPr="00257531" w:rsidR="0083083D">
        <w:rPr>
          <w:rFonts w:ascii="Palatino Linotype" w:hAnsi="Palatino Linotype" w:eastAsia="Palatino Linotype" w:cs="Palatino Linotype"/>
          <w:sz w:val="20"/>
          <w:szCs w:val="20"/>
        </w:rPr>
        <w:t>WHO Director</w:t>
      </w:r>
      <w:r w:rsidR="0083083D">
        <w:rPr>
          <w:rFonts w:ascii="Palatino Linotype" w:hAnsi="Palatino Linotype" w:eastAsia="Palatino Linotype" w:cs="Palatino Linotype"/>
          <w:sz w:val="20"/>
          <w:szCs w:val="20"/>
        </w:rPr>
        <w:t>-</w:t>
      </w:r>
      <w:r w:rsidRPr="00257531" w:rsidR="0083083D">
        <w:rPr>
          <w:rFonts w:ascii="Palatino Linotype" w:hAnsi="Palatino Linotype" w:eastAsia="Palatino Linotype" w:cs="Palatino Linotype"/>
          <w:sz w:val="20"/>
          <w:szCs w:val="20"/>
        </w:rPr>
        <w:t xml:space="preserve">Generals 10 proposals to strengthen the global architecture for health emergency preparedness, response and resilience, and its accompanying framework (HEPR). </w:t>
      </w:r>
    </w:p>
    <w:p w:rsidRPr="00257531" w:rsidR="0083083D" w:rsidP="0083083D" w:rsidRDefault="0083083D" w14:paraId="1AB834DB" w14:textId="77777777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eastAsia="Palatino Linotype" w:cs="Palatino Linotype"/>
          <w:sz w:val="20"/>
          <w:szCs w:val="20"/>
        </w:rPr>
      </w:pPr>
      <w:r w:rsidRPr="00257531">
        <w:rPr>
          <w:rFonts w:ascii="Palatino Linotype" w:hAnsi="Palatino Linotype" w:eastAsia="Palatino Linotype" w:cs="Palatino Linotype"/>
          <w:sz w:val="20"/>
          <w:szCs w:val="20"/>
        </w:rPr>
        <w:t>The Member State-led Working Group on Amendments to the International Health Regulations (2005) (WGIHR).</w:t>
      </w:r>
    </w:p>
    <w:p w:rsidRPr="00257531" w:rsidR="0083083D" w:rsidP="0083083D" w:rsidRDefault="0083083D" w14:paraId="27D07865" w14:textId="3337F6EF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eastAsia="Palatino Linotype" w:cs="Palatino Linotype"/>
          <w:sz w:val="20"/>
          <w:szCs w:val="20"/>
        </w:rPr>
      </w:pPr>
      <w:r w:rsidRPr="00257531">
        <w:rPr>
          <w:rFonts w:ascii="Palatino Linotype" w:hAnsi="Palatino Linotype" w:eastAsia="Palatino Linotype" w:cs="Palatino Linotype"/>
          <w:sz w:val="20"/>
          <w:szCs w:val="20"/>
        </w:rPr>
        <w:t xml:space="preserve">The Member State-led Intergovernmental Negotiating Body (INB) to draft and negotiate a WHO convention, agreement or </w:t>
      </w:r>
      <w:r>
        <w:rPr>
          <w:rFonts w:ascii="Palatino Linotype" w:hAnsi="Palatino Linotype" w:eastAsia="Palatino Linotype" w:cs="Palatino Linotype"/>
          <w:sz w:val="20"/>
          <w:szCs w:val="20"/>
        </w:rPr>
        <w:t>other intentional instrument</w:t>
      </w:r>
      <w:r w:rsidRPr="00257531">
        <w:rPr>
          <w:rFonts w:ascii="Palatino Linotype" w:hAnsi="Palatino Linotype" w:eastAsia="Palatino Linotype" w:cs="Palatino Linotype"/>
          <w:sz w:val="20"/>
          <w:szCs w:val="20"/>
        </w:rPr>
        <w:t xml:space="preserve"> on pandemic prevention preparedness and response (CA+).</w:t>
      </w:r>
    </w:p>
    <w:p w:rsidRPr="00257531" w:rsidR="0083083D" w:rsidP="0083083D" w:rsidRDefault="000E0EE4" w14:paraId="03A7956F" w14:textId="349FB88B">
      <w:pPr>
        <w:pStyle w:val="ListParagraph"/>
        <w:numPr>
          <w:ilvl w:val="0"/>
          <w:numId w:val="1"/>
        </w:numPr>
        <w:jc w:val="both"/>
        <w:rPr>
          <w:rStyle w:val="normaltextrun"/>
          <w:rFonts w:ascii="Palatino Linotype" w:hAnsi="Palatino Linotype" w:eastAsia="Palatino Linotype" w:cs="Palatino Linotype"/>
          <w:sz w:val="20"/>
          <w:szCs w:val="20"/>
        </w:rPr>
      </w:pPr>
      <w:r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The </w:t>
      </w:r>
      <w:r w:rsidRPr="00257531" w:rsidR="0083083D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WHO Preparedness and Resilience for Emerging Threats (PRET) initiative</w:t>
      </w:r>
      <w:r w:rsidRPr="00257531" w:rsidR="0083083D">
        <w:rPr>
          <w:rStyle w:val="superscript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  <w:vertAlign w:val="superscript"/>
        </w:rPr>
        <w:t>10</w:t>
      </w:r>
      <w:r w:rsidRPr="00257531" w:rsidR="0083083D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, an innovative, hazards-based approach to improving pandemic preparedness that recognizes that the same </w:t>
      </w:r>
      <w:r w:rsidRPr="00257531" w:rsidR="0083083D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lastRenderedPageBreak/>
        <w:t>systems, capacities, knowledge, and tools can be leveraged and applied for groups of pathogens based on their mode of transmission.</w:t>
      </w:r>
    </w:p>
    <w:p w:rsidRPr="00257531" w:rsidR="0083083D" w:rsidP="0083083D" w:rsidRDefault="005440C1" w14:paraId="4F1C7587" w14:textId="4A04D953">
      <w:pPr>
        <w:pStyle w:val="ListParagraph"/>
        <w:numPr>
          <w:ilvl w:val="0"/>
          <w:numId w:val="1"/>
        </w:numPr>
        <w:jc w:val="both"/>
        <w:rPr>
          <w:rStyle w:val="normaltextrun"/>
          <w:rFonts w:ascii="Palatino Linotype" w:hAnsi="Palatino Linotype" w:eastAsia="Palatino Linotype" w:cs="Palatino Linotype"/>
          <w:sz w:val="20"/>
          <w:szCs w:val="20"/>
        </w:rPr>
      </w:pPr>
      <w:r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The </w:t>
      </w:r>
      <w:r w:rsidRPr="00257531" w:rsidR="0083083D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One Health Quadripartite Joint Plan of Action 2022-2026 (OH JPA)</w:t>
      </w:r>
      <w:r w:rsidR="0083083D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.</w:t>
      </w:r>
    </w:p>
    <w:p w:rsidRPr="00257531" w:rsidR="0083083D" w:rsidP="0083083D" w:rsidRDefault="005440C1" w14:paraId="11D58A59" w14:textId="2186A893">
      <w:pPr>
        <w:pStyle w:val="ListParagraph"/>
        <w:numPr>
          <w:ilvl w:val="0"/>
          <w:numId w:val="1"/>
        </w:numPr>
        <w:jc w:val="both"/>
        <w:rPr>
          <w:rFonts w:ascii="Palatino Linotype" w:hAnsi="Palatino Linotype" w:eastAsia="Palatino Linotype" w:cs="Palatino Linotype"/>
          <w:sz w:val="20"/>
          <w:szCs w:val="20"/>
        </w:rPr>
      </w:pPr>
      <w:r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The </w:t>
      </w:r>
      <w:r w:rsidRPr="00257531" w:rsidR="0083083D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European Union’s initiative to update its Health security framework, including through the adoption of Regulation (EU) 2022/2371 on serious cross-border threats to health and repealing Decision No 1082/2013/EU.</w:t>
      </w:r>
    </w:p>
    <w:p w:rsidRPr="00257531" w:rsidR="0083083D" w:rsidP="0083083D" w:rsidRDefault="0083083D" w14:paraId="482924B0" w14:textId="77777777">
      <w:pPr>
        <w:spacing w:line="257" w:lineRule="auto"/>
        <w:rPr>
          <w:rFonts w:ascii="Palatino Linotype" w:hAnsi="Palatino Linotype" w:eastAsia="Palatino Linotype" w:cs="Palatino Linotype"/>
          <w:sz w:val="20"/>
          <w:szCs w:val="20"/>
        </w:rPr>
      </w:pPr>
      <w:r w:rsidRPr="00257531">
        <w:rPr>
          <w:rFonts w:ascii="Palatino Linotype" w:hAnsi="Palatino Linotype" w:eastAsia="Palatino Linotype" w:cs="Palatino Linotype"/>
          <w:b/>
          <w:bCs/>
          <w:color w:val="365F91"/>
          <w:sz w:val="20"/>
          <w:szCs w:val="20"/>
          <w:u w:val="single"/>
        </w:rPr>
        <w:t>Priority Areas for Preparedness 2.0</w:t>
      </w:r>
    </w:p>
    <w:p w:rsidRPr="00257531" w:rsidR="0083083D" w:rsidP="0083083D" w:rsidRDefault="0083083D" w14:paraId="6D716228" w14:textId="37F51D08">
      <w:pPr>
        <w:jc w:val="both"/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</w:pPr>
      <w:r w:rsidRPr="00257531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 xml:space="preserve">Preparedness 2.0 will progress </w:t>
      </w:r>
      <w:r w:rsidR="00EF6E33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 xml:space="preserve">with a </w:t>
      </w:r>
      <w:proofErr w:type="gramStart"/>
      <w:r w:rsidR="00EF6E33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>step</w:t>
      </w:r>
      <w:r w:rsidR="00F57F83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>-</w:t>
      </w:r>
      <w:r w:rsidR="00EF6E33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>wise</w:t>
      </w:r>
      <w:proofErr w:type="gramEnd"/>
      <w:r w:rsidRPr="00257531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 xml:space="preserve"> approach in consultation with Member States in the WHO European Region. It is further guided by input</w:t>
      </w:r>
      <w:r w:rsidR="00EF6E33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>s</w:t>
      </w:r>
      <w:r w:rsidRPr="00257531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 xml:space="preserve"> from the Technical Advisory Group </w:t>
      </w:r>
      <w:r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 xml:space="preserve">(TAG) </w:t>
      </w:r>
      <w:r w:rsidRPr="00257531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>for Preparedness 2.0</w:t>
      </w:r>
      <w:r w:rsidRPr="00257531">
        <w:rPr>
          <w:rStyle w:val="FootnoteReference"/>
          <w:rFonts w:ascii="Palatino Linotype" w:hAnsi="Palatino Linotype" w:eastAsia="Palatino Linotype" w:cs="Palatino Linotype"/>
          <w:color w:val="1A1A1A"/>
          <w:sz w:val="20"/>
          <w:szCs w:val="20"/>
        </w:rPr>
        <w:footnoteReference w:id="4"/>
      </w:r>
      <w:r w:rsidRPr="00257531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 xml:space="preserve">. </w:t>
      </w:r>
    </w:p>
    <w:p w:rsidRPr="00257531" w:rsidR="0083083D" w:rsidP="0083083D" w:rsidRDefault="0083083D" w14:paraId="31CF79CA" w14:textId="02458DB9">
      <w:pPr>
        <w:jc w:val="both"/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</w:pPr>
      <w:r w:rsidRPr="00257531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>Based on i</w:t>
      </w:r>
      <w:r w:rsidRPr="00257531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  <w:shd w:val="clear" w:color="auto" w:fill="FFFFFF"/>
        </w:rPr>
        <w:t xml:space="preserve">dentified lessons from the COVID-19 pandemic and other concurrent emergencies, Preparedness 2.0 will support countries in enhancing capacities enabling agile health systems and their ability to manage the </w:t>
      </w:r>
      <w:r w:rsidRPr="00257531">
        <w:rPr>
          <w:rStyle w:val="normaltextrun"/>
          <w:rFonts w:ascii="Palatino Linotype" w:hAnsi="Palatino Linotype" w:eastAsia="Palatino Linotype" w:cs="Palatino Linotype"/>
          <w:b/>
          <w:color w:val="1E7FB8"/>
          <w:sz w:val="20"/>
          <w:szCs w:val="20"/>
          <w:shd w:val="clear" w:color="auto" w:fill="FFFFFF"/>
        </w:rPr>
        <w:t>“dual-track” approach</w:t>
      </w:r>
      <w:r w:rsidRPr="00257531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  <w:shd w:val="clear" w:color="auto" w:fill="FFFFFF"/>
        </w:rPr>
        <w:t xml:space="preserve">, </w:t>
      </w:r>
      <w:r w:rsidRPr="00257531" w:rsidR="00854497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  <w:shd w:val="clear" w:color="auto" w:fill="FFFFFF"/>
        </w:rPr>
        <w:t>maintai</w:t>
      </w:r>
      <w:r w:rsidR="00854497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  <w:shd w:val="clear" w:color="auto" w:fill="FFFFFF"/>
        </w:rPr>
        <w:t>ning</w:t>
      </w:r>
      <w:r w:rsidRPr="00257531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  <w:shd w:val="clear" w:color="auto" w:fill="FFFFFF"/>
        </w:rPr>
        <w:t xml:space="preserve"> essential health services while </w:t>
      </w:r>
      <w:r w:rsidR="00D16670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  <w:shd w:val="clear" w:color="auto" w:fill="FFFFFF"/>
        </w:rPr>
        <w:t>managing the</w:t>
      </w:r>
      <w:r w:rsidRPr="00257531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  <w:shd w:val="clear" w:color="auto" w:fill="FFFFFF"/>
        </w:rPr>
        <w:t xml:space="preserve"> emergency response. </w:t>
      </w:r>
      <w:r w:rsidR="00D16670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  <w:shd w:val="clear" w:color="auto" w:fill="FFFFFF"/>
        </w:rPr>
        <w:t>Further</w:t>
      </w:r>
      <w:r w:rsidRPr="00257531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 xml:space="preserve"> core elements of Preparedness 2.0 include (but </w:t>
      </w:r>
      <w:r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>are</w:t>
      </w:r>
      <w:r w:rsidRPr="00257531">
        <w:rPr>
          <w:rStyle w:val="normaltextrun"/>
          <w:rFonts w:ascii="Palatino Linotype" w:hAnsi="Palatino Linotype" w:eastAsia="Palatino Linotype" w:cs="Palatino Linotype"/>
          <w:color w:val="1A1A1A"/>
          <w:sz w:val="20"/>
          <w:szCs w:val="20"/>
        </w:rPr>
        <w:t xml:space="preserve"> not limited to):</w:t>
      </w:r>
    </w:p>
    <w:p w:rsidRPr="00257531" w:rsidR="0083083D" w:rsidP="0083083D" w:rsidRDefault="0083083D" w14:paraId="7F800B87" w14:textId="2AF6D7DC">
      <w:pPr>
        <w:pStyle w:val="ListParagraph"/>
        <w:numPr>
          <w:ilvl w:val="0"/>
          <w:numId w:val="1"/>
        </w:numPr>
        <w:jc w:val="both"/>
        <w:rPr>
          <w:rStyle w:val="normaltextrun"/>
          <w:rFonts w:ascii="Palatino Linotype" w:hAnsi="Palatino Linotype" w:eastAsia="Palatino Linotype" w:cs="Palatino Linotype"/>
          <w:sz w:val="20"/>
          <w:szCs w:val="20"/>
        </w:rPr>
      </w:pP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>Governance and leadership for health emergencies</w:t>
      </w:r>
      <w:r w:rsidRPr="00257531">
        <w:rPr>
          <w:rStyle w:val="normaltextrun"/>
          <w:rFonts w:ascii="Palatino Linotype" w:hAnsi="Palatino Linotype" w:eastAsia="Palatino Linotype" w:cs="Palatino Linotype"/>
          <w:color w:val="1E7FB8"/>
          <w:sz w:val="20"/>
          <w:szCs w:val="20"/>
        </w:rPr>
        <w:t xml:space="preserve">: </w:t>
      </w:r>
      <w:r w:rsidRPr="00257531">
        <w:rPr>
          <w:rStyle w:val="normaltextrun"/>
          <w:rFonts w:ascii="Palatino Linotype" w:hAnsi="Palatino Linotype" w:eastAsia="Palatino Linotype" w:cs="Palatino Linotype"/>
          <w:sz w:val="20"/>
          <w:szCs w:val="20"/>
        </w:rPr>
        <w:t xml:space="preserve">Ensuring </w:t>
      </w:r>
      <w:r w:rsidRPr="00257531">
        <w:rPr>
          <w:rStyle w:val="eop"/>
          <w:rFonts w:ascii="Palatino Linotype" w:hAnsi="Palatino Linotype" w:eastAsia="Palatino Linotype" w:cs="Palatino Linotype"/>
          <w:b/>
          <w:bCs/>
          <w:sz w:val="20"/>
          <w:szCs w:val="20"/>
        </w:rPr>
        <w:t>e</w:t>
      </w:r>
      <w:r w:rsidRPr="00257531">
        <w:rPr>
          <w:rStyle w:val="normaltextrun"/>
          <w:rFonts w:ascii="Palatino Linotype" w:hAnsi="Palatino Linotype" w:eastAsia="Palatino Linotype" w:cs="Palatino Linotype"/>
          <w:sz w:val="20"/>
          <w:szCs w:val="20"/>
          <w:shd w:val="clear" w:color="auto" w:fill="FFFFFF"/>
        </w:rPr>
        <w:t xml:space="preserve">ffective </w:t>
      </w:r>
      <w:r w:rsidRPr="00257531">
        <w:rPr>
          <w:rStyle w:val="normaltextrun"/>
          <w:rFonts w:ascii="Palatino Linotype" w:hAnsi="Palatino Linotype" w:eastAsia="Palatino Linotype" w:cs="Palatino Linotype"/>
          <w:color w:val="000000"/>
          <w:sz w:val="20"/>
          <w:szCs w:val="20"/>
          <w:shd w:val="clear" w:color="auto" w:fill="FFFFFF"/>
        </w:rPr>
        <w:t xml:space="preserve">multi-sector coordination, evidence-based decision making, effective budgeting and timely recourse allocation, </w:t>
      </w:r>
      <w:r w:rsidR="001174F7">
        <w:rPr>
          <w:rStyle w:val="normaltextrun"/>
          <w:rFonts w:ascii="Palatino Linotype" w:hAnsi="Palatino Linotype" w:eastAsia="Palatino Linotype" w:cs="Palatino Linotype"/>
          <w:color w:val="000000"/>
          <w:sz w:val="20"/>
          <w:szCs w:val="20"/>
          <w:shd w:val="clear" w:color="auto" w:fill="FFFFFF"/>
        </w:rPr>
        <w:t xml:space="preserve">and </w:t>
      </w:r>
      <w:r w:rsidRPr="00257531">
        <w:rPr>
          <w:rStyle w:val="normaltextrun"/>
          <w:rFonts w:ascii="Palatino Linotype" w:hAnsi="Palatino Linotype" w:eastAsia="Palatino Linotype" w:cs="Palatino Linotype"/>
          <w:color w:val="000000"/>
          <w:sz w:val="20"/>
          <w:szCs w:val="20"/>
          <w:shd w:val="clear" w:color="auto" w:fill="FFFFFF"/>
        </w:rPr>
        <w:t>clear communication and accountability frameworks</w:t>
      </w:r>
      <w:r w:rsidRPr="00257531">
        <w:rPr>
          <w:rStyle w:val="normaltextrun"/>
          <w:rFonts w:ascii="Palatino Linotype" w:hAnsi="Palatino Linotype" w:eastAsia="Palatino Linotype" w:cs="Palatino Linotype"/>
          <w:color w:val="000000" w:themeColor="text1"/>
          <w:sz w:val="20"/>
          <w:szCs w:val="20"/>
        </w:rPr>
        <w:t xml:space="preserve"> for preparing for and responding </w:t>
      </w:r>
      <w:r w:rsidRPr="00257531">
        <w:rPr>
          <w:rStyle w:val="normaltextrun"/>
          <w:rFonts w:ascii="Palatino Linotype" w:hAnsi="Palatino Linotype" w:eastAsia="Palatino Linotype" w:cs="Palatino Linotype"/>
          <w:color w:val="000000"/>
          <w:sz w:val="20"/>
          <w:szCs w:val="20"/>
          <w:shd w:val="clear" w:color="auto" w:fill="FFFFFF"/>
        </w:rPr>
        <w:t xml:space="preserve">to health emergencies, </w:t>
      </w:r>
      <w:r w:rsidR="000C7E4D">
        <w:rPr>
          <w:rStyle w:val="normaltextrun"/>
          <w:rFonts w:ascii="Palatino Linotype" w:hAnsi="Palatino Linotype" w:eastAsia="Palatino Linotype" w:cs="Palatino Linotype"/>
          <w:color w:val="000000"/>
          <w:sz w:val="20"/>
          <w:szCs w:val="20"/>
          <w:shd w:val="clear" w:color="auto" w:fill="FFFFFF"/>
        </w:rPr>
        <w:t>so</w:t>
      </w:r>
      <w:r w:rsidRPr="00257531">
        <w:rPr>
          <w:rStyle w:val="normaltextrun"/>
          <w:rFonts w:ascii="Palatino Linotype" w:hAnsi="Palatino Linotype" w:eastAsia="Palatino Linotype" w:cs="Palatino Linotype"/>
          <w:color w:val="000000"/>
          <w:sz w:val="20"/>
          <w:szCs w:val="20"/>
          <w:shd w:val="clear" w:color="auto" w:fill="FFFFFF"/>
        </w:rPr>
        <w:t xml:space="preserve"> response actions are coordinated, efficient, and effective</w:t>
      </w:r>
      <w:r w:rsidRPr="00257531">
        <w:rPr>
          <w:rStyle w:val="normaltextrun"/>
          <w:rFonts w:ascii="Palatino Linotype" w:hAnsi="Palatino Linotype" w:eastAsia="Palatino Linotype" w:cs="Palatino Linotype"/>
          <w:color w:val="000000" w:themeColor="text1"/>
          <w:sz w:val="20"/>
          <w:szCs w:val="20"/>
        </w:rPr>
        <w:t xml:space="preserve">. </w:t>
      </w:r>
    </w:p>
    <w:p w:rsidRPr="00257531" w:rsidR="0083083D" w:rsidP="0083083D" w:rsidRDefault="0083083D" w14:paraId="6E472F61" w14:textId="0B1BBDDA">
      <w:pPr>
        <w:pStyle w:val="ListParagraph"/>
        <w:numPr>
          <w:ilvl w:val="0"/>
          <w:numId w:val="1"/>
        </w:numPr>
        <w:jc w:val="both"/>
        <w:rPr>
          <w:rStyle w:val="normaltextrun"/>
          <w:rFonts w:ascii="Palatino Linotype" w:hAnsi="Palatino Linotype" w:eastAsia="Palatino Linotype" w:cs="Palatino Linotype"/>
          <w:sz w:val="20"/>
          <w:szCs w:val="20"/>
        </w:rPr>
      </w:pP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>Collaborative surveillance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</w:rPr>
        <w:t>:</w:t>
      </w:r>
      <w:r w:rsidRPr="00257531">
        <w:rPr>
          <w:rStyle w:val="eop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> 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Strengthen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ing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and integrat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ing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event-based collaborative surveillance systems to routine respiratory and all hazard </w:t>
      </w:r>
      <w:r w:rsidR="0069079B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monitoring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systems, ensuring a range of operational public health functions relating to surveillance mechanisms and modalities, enhanced data and pathogen sharing, increasing laboratory capacity, and increasing country risk assessment ability for emerging pathogens. </w:t>
      </w:r>
      <w:r w:rsidRPr="00257531">
        <w:rPr>
          <w:rStyle w:val="eop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  </w:t>
      </w:r>
    </w:p>
    <w:p w:rsidRPr="00257531" w:rsidR="0083083D" w:rsidP="0083083D" w:rsidRDefault="0083083D" w14:paraId="3BF18776" w14:textId="562DAE3B">
      <w:pPr>
        <w:pStyle w:val="ListParagraph"/>
        <w:numPr>
          <w:ilvl w:val="0"/>
          <w:numId w:val="1"/>
        </w:numPr>
        <w:jc w:val="both"/>
        <w:rPr>
          <w:rStyle w:val="normaltextrun"/>
          <w:rFonts w:ascii="Palatino Linotype" w:hAnsi="Palatino Linotype" w:eastAsia="Palatino Linotype" w:cs="Palatino Linotype"/>
          <w:sz w:val="20"/>
          <w:szCs w:val="20"/>
        </w:rPr>
      </w:pP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>Community protection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</w:rPr>
        <w:t>: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</w:t>
      </w:r>
      <w:r w:rsidR="00981C88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Scaled up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support </w:t>
      </w:r>
      <w:r w:rsidR="00981C88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to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countries </w:t>
      </w:r>
      <w:r w:rsidR="00981C88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for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building and strengthening multi-hazard Risk Communication, Community </w:t>
      </w:r>
      <w:proofErr w:type="gramStart"/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Engagement</w:t>
      </w:r>
      <w:proofErr w:type="gramEnd"/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Infodemic</w:t>
      </w:r>
      <w:proofErr w:type="spellEnd"/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Management (RCCE-IM) capacity, </w:t>
      </w:r>
      <w:r w:rsidR="00E42C9F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and consolidating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</w:t>
      </w:r>
      <w:r w:rsidR="00B50E19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respective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structures, systems, and skills.</w:t>
      </w:r>
      <w:r w:rsidRPr="00257531">
        <w:rPr>
          <w:rStyle w:val="eop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 </w:t>
      </w:r>
    </w:p>
    <w:p w:rsidRPr="00257531" w:rsidR="0083083D" w:rsidP="0083083D" w:rsidRDefault="0083083D" w14:paraId="3BE69102" w14:textId="2AD7C66E">
      <w:pPr>
        <w:pStyle w:val="ListParagraph"/>
        <w:numPr>
          <w:ilvl w:val="0"/>
          <w:numId w:val="1"/>
        </w:numPr>
        <w:jc w:val="both"/>
        <w:rPr>
          <w:rStyle w:val="normaltextrun"/>
          <w:rFonts w:ascii="Palatino Linotype" w:hAnsi="Palatino Linotype" w:eastAsia="Palatino Linotype" w:cs="Palatino Linotype"/>
          <w:sz w:val="20"/>
          <w:szCs w:val="20"/>
        </w:rPr>
      </w:pP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 xml:space="preserve">Strategies for strengthening capacities for border health 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</w:rPr>
        <w:t>and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 xml:space="preserve"> points of entry, mass gathering and implementing P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</w:rPr>
        <w:t xml:space="preserve">ublic 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>H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</w:rPr>
        <w:t xml:space="preserve">ealth and 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>S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</w:rPr>
        <w:t xml:space="preserve">ocial 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>M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</w:rPr>
        <w:t>easures (PHSM)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 xml:space="preserve"> during health emergencies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</w:rPr>
        <w:t>: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> 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PHSM play an immediate and critical role throughout the different stages of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the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health emergenc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y cycle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and contribute to decreasing the burden on health systems so that essential services can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be maintained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. </w:t>
      </w:r>
    </w:p>
    <w:p w:rsidRPr="00257531" w:rsidR="0083083D" w:rsidP="0083083D" w:rsidRDefault="0083083D" w14:paraId="1755DD16" w14:textId="5C7A445F">
      <w:pPr>
        <w:pStyle w:val="ListParagraph"/>
        <w:numPr>
          <w:ilvl w:val="0"/>
          <w:numId w:val="1"/>
        </w:numPr>
        <w:jc w:val="both"/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</w:pP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>Safe and scalable care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</w:rPr>
        <w:t>:</w:t>
      </w:r>
      <w:r w:rsidRPr="00257531">
        <w:rPr>
          <w:rStyle w:val="eop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> </w:t>
      </w:r>
      <w:r w:rsidR="0011418C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B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uilding resilient health systems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;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</w:t>
      </w:r>
      <w:r w:rsidR="0011418C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with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the resources and capacity to re-organise and deploy existing resources in response to increased demands </w:t>
      </w:r>
      <w:r w:rsidR="00F84E04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in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health emergencies with agility and flexibility, while maintaining essential services</w:t>
      </w:r>
      <w:r w:rsidR="00D20CE8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, and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protecting and supporting health workers and patients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. This includes developing human resources for health security, and </w:t>
      </w:r>
      <w:r w:rsidR="003849F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a flexible</w:t>
      </w:r>
      <w:r w:rsidR="004C282E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health</w:t>
      </w:r>
      <w:r w:rsidR="003849F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work</w:t>
      </w:r>
      <w:r w:rsidR="003849F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force</w:t>
      </w:r>
      <w:r w:rsidR="004C282E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 to respond to evolving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 emergency</w:t>
      </w:r>
      <w:r w:rsidR="004C282E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 needs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.</w:t>
      </w:r>
    </w:p>
    <w:p w:rsidRPr="00257531" w:rsidR="0083083D" w:rsidP="0083083D" w:rsidRDefault="0083083D" w14:paraId="540F42EC" w14:textId="5634D484">
      <w:pPr>
        <w:pStyle w:val="ListParagraph"/>
        <w:numPr>
          <w:ilvl w:val="0"/>
          <w:numId w:val="1"/>
        </w:numPr>
        <w:jc w:val="both"/>
        <w:rPr>
          <w:rStyle w:val="normaltextrun"/>
          <w:rFonts w:ascii="Palatino Linotype" w:hAnsi="Palatino Linotype" w:eastAsia="Palatino Linotype" w:cs="Palatino Linotype"/>
          <w:sz w:val="20"/>
          <w:szCs w:val="20"/>
        </w:rPr>
      </w:pP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>Access to countermeasures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</w:rPr>
        <w:t>:</w:t>
      </w:r>
      <w:r w:rsidRPr="00257531">
        <w:rPr>
          <w:rStyle w:val="eop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> 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Ensuring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preparedness efforts </w:t>
      </w:r>
      <w:r w:rsidR="0036451D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focus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on the development of processes for </w:t>
      </w:r>
      <w:r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fast-tracked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research and development, with pre-negotiated benefit-sharing agreements and appropriate financing instruments;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regulatory frameworks and legal preparedness,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scalable manufacturing platforms and agreements for technology transfer; and coordinated procurement and emergency supply chains to enable equitable access.</w:t>
      </w:r>
    </w:p>
    <w:p w:rsidRPr="00257531" w:rsidR="0083083D" w:rsidP="0083083D" w:rsidRDefault="0083083D" w14:paraId="68873ED5" w14:textId="6A765AAF">
      <w:pPr>
        <w:pStyle w:val="ListParagraph"/>
        <w:numPr>
          <w:ilvl w:val="1"/>
          <w:numId w:val="1"/>
        </w:numPr>
        <w:jc w:val="both"/>
        <w:rPr>
          <w:rStyle w:val="eop"/>
          <w:rFonts w:ascii="Palatino Linotype" w:hAnsi="Palatino Linotype" w:eastAsia="Palatino Linotype" w:cs="Palatino Linotype"/>
          <w:sz w:val="20"/>
          <w:szCs w:val="20"/>
        </w:rPr>
      </w:pP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>Emergency coordination</w:t>
      </w:r>
      <w:r w:rsidRPr="00257531">
        <w:rPr>
          <w:rStyle w:val="normaltextrun"/>
          <w:rFonts w:ascii="Palatino Linotype" w:hAnsi="Palatino Linotype" w:eastAsia="Palatino Linotype" w:cs="Palatino Linotype"/>
          <w:b/>
          <w:bCs/>
          <w:color w:val="1E7FB8"/>
          <w:sz w:val="20"/>
          <w:szCs w:val="20"/>
        </w:rPr>
        <w:t>:</w:t>
      </w:r>
      <w:r w:rsidRPr="00257531">
        <w:rPr>
          <w:rStyle w:val="eop"/>
          <w:rFonts w:ascii="Palatino Linotype" w:hAnsi="Palatino Linotype" w:eastAsia="Palatino Linotype" w:cs="Palatino Linotype"/>
          <w:b/>
          <w:bCs/>
          <w:color w:val="1E7FB8"/>
          <w:sz w:val="20"/>
          <w:szCs w:val="20"/>
          <w:shd w:val="clear" w:color="auto" w:fill="FFFFFF"/>
        </w:rPr>
        <w:t> 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Enhanc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>ing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multisectoral collaboration and coordination calls for </w:t>
      </w:r>
      <w:r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the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operationalisation of a One Health approach to better prevent, predict,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lastRenderedPageBreak/>
        <w:t xml:space="preserve">detect, and respond to health threats </w:t>
      </w:r>
      <w:r w:rsidR="00953185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at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the human-animal-environment interface. This includes </w:t>
      </w:r>
      <w:r w:rsidRPr="00257531">
        <w:rPr>
          <w:rStyle w:val="normaltextrun"/>
          <w:rFonts w:ascii="Palatino Linotype" w:hAnsi="Palatino Linotype" w:eastAsia="Palatino Linotype" w:cs="Palatino Linotype"/>
          <w:sz w:val="20"/>
          <w:szCs w:val="20"/>
          <w:shd w:val="clear" w:color="auto" w:fill="FFFFFF"/>
        </w:rPr>
        <w:t>capacity building and planning</w:t>
      </w:r>
      <w:r w:rsidRPr="00257531">
        <w:rPr>
          <w:rStyle w:val="normaltextrun"/>
          <w:rFonts w:ascii="Palatino Linotype" w:hAnsi="Palatino Linotype" w:eastAsia="Palatino Linotype" w:cs="Palatino Linotype"/>
          <w:b/>
          <w:sz w:val="20"/>
          <w:szCs w:val="20"/>
          <w:shd w:val="clear" w:color="auto" w:fill="FFFFFF"/>
        </w:rPr>
        <w:t xml:space="preserve">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through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national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action plans such as the National Action Plan for Health Security (NAPHS)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; </w:t>
      </w:r>
      <w:r w:rsidRPr="00257531">
        <w:rPr>
          <w:rStyle w:val="normaltextrun"/>
          <w:rFonts w:ascii="Palatino Linotype" w:hAnsi="Palatino Linotype" w:eastAsia="Palatino Linotype" w:cs="Palatino Linotype"/>
          <w:sz w:val="20"/>
          <w:szCs w:val="20"/>
        </w:rPr>
        <w:t>building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 a strong </w:t>
      </w:r>
      <w:r w:rsidR="000D1A96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Pan</w:t>
      </w:r>
      <w:r w:rsidR="000936AB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-</w:t>
      </w:r>
      <w:r w:rsidR="000D1A96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Europ</w:t>
      </w:r>
      <w:r w:rsidR="00B9429C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 xml:space="preserve">ean network for disease control (NDC), a 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  <w:shd w:val="clear" w:color="auto" w:fill="FFFFFF"/>
        </w:rPr>
        <w:t>European health emergency corps that links partnerships across the region; and coordination through a standardized and commonly applied emergency response framework</w:t>
      </w:r>
      <w:r w:rsidRPr="00257531">
        <w:rPr>
          <w:rStyle w:val="normaltextrun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. </w:t>
      </w:r>
    </w:p>
    <w:p w:rsidR="0083083D" w:rsidP="198F59DA" w:rsidRDefault="0083083D" w14:paraId="2FB4CCCB" w14:textId="7565DAB1">
      <w:pPr>
        <w:jc w:val="both"/>
        <w:rPr>
          <w:rStyle w:val="eop"/>
          <w:rFonts w:ascii="Palatino Linotype" w:hAnsi="Palatino Linotype" w:eastAsia="Palatino Linotype" w:cs="Palatino Linotype"/>
          <w:color w:val="222222"/>
          <w:sz w:val="20"/>
          <w:szCs w:val="20"/>
        </w:rPr>
      </w:pPr>
      <w:r w:rsidRPr="198F59DA">
        <w:rPr>
          <w:rStyle w:val="eop"/>
          <w:rFonts w:ascii="Palatino Linotype" w:hAnsi="Palatino Linotype" w:eastAsia="Palatino Linotype" w:cs="Palatino Linotype"/>
          <w:color w:val="222222"/>
          <w:sz w:val="20"/>
          <w:szCs w:val="20"/>
        </w:rPr>
        <w:t xml:space="preserve">WHO and partners are ready to support the implementation of relevant actions at the national level to strengthen context-specific capacities for better-prepared and resilient health systems for future public health threats and emergencies, leaving no one </w:t>
      </w:r>
      <w:proofErr w:type="gramStart"/>
      <w:r w:rsidRPr="198F59DA">
        <w:rPr>
          <w:rStyle w:val="eop"/>
          <w:rFonts w:ascii="Palatino Linotype" w:hAnsi="Palatino Linotype" w:eastAsia="Palatino Linotype" w:cs="Palatino Linotype"/>
          <w:color w:val="222222"/>
          <w:sz w:val="20"/>
          <w:szCs w:val="20"/>
        </w:rPr>
        <w:t>behind.</w:t>
      </w:r>
      <w:proofErr w:type="gramEnd"/>
    </w:p>
    <w:sectPr w:rsidR="0083083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CD9C" w14:textId="77777777" w:rsidR="00C728B0" w:rsidRDefault="00C728B0" w:rsidP="0083083D">
      <w:pPr>
        <w:spacing w:after="0" w:line="240" w:lineRule="auto"/>
      </w:pPr>
      <w:r>
        <w:separator/>
      </w:r>
    </w:p>
  </w:endnote>
  <w:endnote w:type="continuationSeparator" w:id="0">
    <w:p w14:paraId="4A390426" w14:textId="77777777" w:rsidR="00C728B0" w:rsidRDefault="00C728B0" w:rsidP="0083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  <w:sz w:val="20"/>
        <w:szCs w:val="20"/>
      </w:rPr>
      <w:id w:val="1766251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EBAB24" w14:textId="64DD7C19" w:rsidR="0083083D" w:rsidRPr="0083083D" w:rsidRDefault="0083083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Palatino Linotype" w:hAnsi="Palatino Linotype"/>
            <w:sz w:val="20"/>
            <w:szCs w:val="20"/>
          </w:rPr>
        </w:pPr>
        <w:r w:rsidRPr="0083083D">
          <w:rPr>
            <w:rFonts w:ascii="Palatino Linotype" w:hAnsi="Palatino Linotype"/>
            <w:sz w:val="20"/>
            <w:szCs w:val="20"/>
          </w:rPr>
          <w:fldChar w:fldCharType="begin"/>
        </w:r>
        <w:r w:rsidRPr="0083083D">
          <w:rPr>
            <w:rFonts w:ascii="Palatino Linotype" w:hAnsi="Palatino Linotype"/>
            <w:sz w:val="20"/>
            <w:szCs w:val="20"/>
          </w:rPr>
          <w:instrText xml:space="preserve"> PAGE   \* MERGEFORMAT </w:instrText>
        </w:r>
        <w:r w:rsidRPr="0083083D">
          <w:rPr>
            <w:rFonts w:ascii="Palatino Linotype" w:hAnsi="Palatino Linotype"/>
            <w:sz w:val="20"/>
            <w:szCs w:val="20"/>
          </w:rPr>
          <w:fldChar w:fldCharType="separate"/>
        </w:r>
        <w:r w:rsidRPr="0083083D">
          <w:rPr>
            <w:rFonts w:ascii="Palatino Linotype" w:hAnsi="Palatino Linotype"/>
            <w:noProof/>
            <w:sz w:val="20"/>
            <w:szCs w:val="20"/>
          </w:rPr>
          <w:t>2</w:t>
        </w:r>
        <w:r w:rsidRPr="0083083D">
          <w:rPr>
            <w:rFonts w:ascii="Palatino Linotype" w:hAnsi="Palatino Linotype"/>
            <w:noProof/>
            <w:sz w:val="20"/>
            <w:szCs w:val="20"/>
          </w:rPr>
          <w:fldChar w:fldCharType="end"/>
        </w:r>
      </w:p>
    </w:sdtContent>
  </w:sdt>
  <w:p w14:paraId="358653A0" w14:textId="77777777" w:rsidR="00554496" w:rsidRPr="0083083D" w:rsidRDefault="00B42AD9">
    <w:pPr>
      <w:pStyle w:val="Footer"/>
      <w:rPr>
        <w:rFonts w:ascii="Palatino Linotype" w:hAnsi="Palatino Linotyp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1049" w14:textId="77777777" w:rsidR="00C728B0" w:rsidRDefault="00C728B0" w:rsidP="0083083D">
      <w:pPr>
        <w:spacing w:after="0" w:line="240" w:lineRule="auto"/>
      </w:pPr>
      <w:r>
        <w:separator/>
      </w:r>
    </w:p>
  </w:footnote>
  <w:footnote w:type="continuationSeparator" w:id="0">
    <w:p w14:paraId="72302B8E" w14:textId="77777777" w:rsidR="00C728B0" w:rsidRDefault="00C728B0" w:rsidP="0083083D">
      <w:pPr>
        <w:spacing w:after="0" w:line="240" w:lineRule="auto"/>
      </w:pPr>
      <w:r>
        <w:continuationSeparator/>
      </w:r>
    </w:p>
  </w:footnote>
  <w:footnote w:id="1">
    <w:p w14:paraId="7E8B1088" w14:textId="77777777" w:rsidR="0083083D" w:rsidRPr="00257531" w:rsidRDefault="0083083D" w:rsidP="0083083D">
      <w:pPr>
        <w:pStyle w:val="FootnoteText"/>
        <w:jc w:val="both"/>
        <w:rPr>
          <w:rFonts w:ascii="Palatino Linotype" w:hAnsi="Palatino Linotype"/>
          <w:sz w:val="16"/>
          <w:szCs w:val="16"/>
        </w:rPr>
      </w:pPr>
      <w:r w:rsidRPr="00257531">
        <w:rPr>
          <w:rStyle w:val="FootnoteReference"/>
          <w:rFonts w:ascii="Palatino Linotype" w:hAnsi="Palatino Linotype"/>
          <w:sz w:val="16"/>
          <w:szCs w:val="16"/>
        </w:rPr>
        <w:footnoteRef/>
      </w:r>
      <w:r w:rsidRPr="00257531">
        <w:rPr>
          <w:rFonts w:ascii="Palatino Linotype" w:hAnsi="Palatino Linotype"/>
          <w:color w:val="2B579A"/>
          <w:sz w:val="16"/>
          <w:szCs w:val="16"/>
          <w:shd w:val="clear" w:color="auto" w:fill="E6E6E6"/>
        </w:rPr>
        <w:t xml:space="preserve"> </w:t>
      </w:r>
      <w:r>
        <w:rPr>
          <w:rFonts w:ascii="Palatino Linotype" w:hAnsi="Palatino Linotype"/>
          <w:color w:val="2B579A"/>
          <w:sz w:val="16"/>
          <w:szCs w:val="16"/>
          <w:shd w:val="clear" w:color="auto" w:fill="E6E6E6"/>
        </w:rPr>
        <w:t>E</w:t>
      </w:r>
      <w:r w:rsidRPr="00257531">
        <w:rPr>
          <w:rFonts w:ascii="Palatino Linotype" w:hAnsi="Palatino Linotype"/>
          <w:color w:val="2B579A"/>
          <w:sz w:val="16"/>
          <w:szCs w:val="16"/>
          <w:shd w:val="clear" w:color="auto" w:fill="E6E6E6"/>
        </w:rPr>
        <w:t>.g.</w:t>
      </w:r>
      <w:r>
        <w:rPr>
          <w:rFonts w:ascii="Palatino Linotype" w:hAnsi="Palatino Linotype"/>
          <w:color w:val="2B579A"/>
          <w:sz w:val="16"/>
          <w:szCs w:val="16"/>
          <w:shd w:val="clear" w:color="auto" w:fill="E6E6E6"/>
        </w:rPr>
        <w:t>,</w:t>
      </w:r>
      <w:r w:rsidRPr="00257531">
        <w:rPr>
          <w:rFonts w:ascii="Palatino Linotype" w:hAnsi="Palatino Linotype"/>
          <w:color w:val="2B579A"/>
          <w:sz w:val="16"/>
          <w:szCs w:val="16"/>
          <w:shd w:val="clear" w:color="auto" w:fill="E6E6E6"/>
        </w:rPr>
        <w:t xml:space="preserve"> The Independent Panel for Pandemic Preparedness and Response, COVID-19 Make it the Last Pandemic </w:t>
      </w:r>
      <w:hyperlink r:id="rId1" w:history="1">
        <w:r w:rsidRPr="00257531">
          <w:rPr>
            <w:rStyle w:val="Hyperlink"/>
            <w:rFonts w:ascii="Palatino Linotype" w:hAnsi="Palatino Linotype"/>
            <w:sz w:val="16"/>
            <w:szCs w:val="16"/>
          </w:rPr>
          <w:t>https://theindependentpanel.org/wp-content/uploads/2021/05/COVID-19-Make-it-the-Last-Pandemic_final.pdf</w:t>
        </w:r>
      </w:hyperlink>
      <w:r w:rsidRPr="00257531">
        <w:rPr>
          <w:rFonts w:ascii="Palatino Linotype" w:hAnsi="Palatino Linotype"/>
          <w:color w:val="2B579A"/>
          <w:sz w:val="16"/>
          <w:szCs w:val="16"/>
          <w:shd w:val="clear" w:color="auto" w:fill="E6E6E6"/>
        </w:rPr>
        <w:t xml:space="preserve">; IHR Review Committee for Functioning of IHR during COVID </w:t>
      </w:r>
      <w:hyperlink r:id="rId2" w:history="1">
        <w:r w:rsidRPr="00257531">
          <w:rPr>
            <w:rStyle w:val="Hyperlink"/>
            <w:rFonts w:ascii="Palatino Linotype" w:hAnsi="Palatino Linotype"/>
            <w:sz w:val="16"/>
            <w:szCs w:val="16"/>
          </w:rPr>
          <w:t>https://www.who.int/publications/m/item/a74-9-who-s-work-in-health-emergencies</w:t>
        </w:r>
      </w:hyperlink>
      <w:r w:rsidRPr="00257531">
        <w:rPr>
          <w:rFonts w:ascii="Palatino Linotype" w:hAnsi="Palatino Linotype"/>
          <w:color w:val="2B579A"/>
          <w:sz w:val="16"/>
          <w:szCs w:val="16"/>
          <w:shd w:val="clear" w:color="auto" w:fill="E6E6E6"/>
        </w:rPr>
        <w:t xml:space="preserve"> </w:t>
      </w:r>
    </w:p>
  </w:footnote>
  <w:footnote w:id="2">
    <w:p w14:paraId="38062AF1" w14:textId="77777777" w:rsidR="0083083D" w:rsidRPr="00257531" w:rsidRDefault="0083083D" w:rsidP="0083083D">
      <w:pPr>
        <w:pStyle w:val="FootnoteText"/>
        <w:jc w:val="both"/>
        <w:rPr>
          <w:rFonts w:ascii="Palatino Linotype" w:hAnsi="Palatino Linotype"/>
          <w:sz w:val="16"/>
          <w:szCs w:val="16"/>
        </w:rPr>
      </w:pPr>
      <w:r w:rsidRPr="00257531">
        <w:rPr>
          <w:rStyle w:val="FootnoteReference"/>
          <w:rFonts w:ascii="Palatino Linotype" w:hAnsi="Palatino Linotype"/>
          <w:sz w:val="16"/>
          <w:szCs w:val="16"/>
        </w:rPr>
        <w:footnoteRef/>
      </w:r>
      <w:r w:rsidRPr="00257531">
        <w:rPr>
          <w:rFonts w:ascii="Palatino Linotype" w:hAnsi="Palatino Linotype"/>
          <w:color w:val="2B579A"/>
          <w:sz w:val="16"/>
          <w:szCs w:val="16"/>
          <w:shd w:val="clear" w:color="auto" w:fill="E6E6E6"/>
        </w:rPr>
        <w:t xml:space="preserve"> Response to the COVID-19 pandemic: lessons learned to date from the WHO European  Region </w:t>
      </w:r>
      <w:hyperlink r:id="rId3" w:history="1">
        <w:r w:rsidRPr="00257531">
          <w:rPr>
            <w:rStyle w:val="Hyperlink"/>
            <w:rFonts w:ascii="Palatino Linotype" w:hAnsi="Palatino Linotype"/>
            <w:sz w:val="16"/>
            <w:szCs w:val="16"/>
          </w:rPr>
          <w:t>https://apps.who.int/iris/bitstream/handle/10665/343157/71wd06e-rev1-PR-Response-LessonsLearned-210693.pdf?sequence=1&amp;isAllowed=y</w:t>
        </w:r>
      </w:hyperlink>
      <w:r w:rsidRPr="00257531">
        <w:rPr>
          <w:rFonts w:ascii="Palatino Linotype" w:hAnsi="Palatino Linotype"/>
          <w:color w:val="2B579A"/>
          <w:sz w:val="16"/>
          <w:szCs w:val="16"/>
          <w:shd w:val="clear" w:color="auto" w:fill="E6E6E6"/>
        </w:rPr>
        <w:t xml:space="preserve">; Pan European Commission on Health and Sustainable Development </w:t>
      </w:r>
      <w:hyperlink r:id="rId4" w:history="1">
        <w:r w:rsidRPr="00257531">
          <w:rPr>
            <w:rStyle w:val="Hyperlink"/>
            <w:rFonts w:ascii="Palatino Linotype" w:hAnsi="Palatino Linotype"/>
            <w:sz w:val="16"/>
            <w:szCs w:val="16"/>
          </w:rPr>
          <w:t>https://www.who.int/europe/publications/m/item/drawing-light-from-the-pandemic--a-new-strategy-for-health-and-sustainable-development</w:t>
        </w:r>
      </w:hyperlink>
    </w:p>
  </w:footnote>
  <w:footnote w:id="3">
    <w:p w14:paraId="5FAA2B01" w14:textId="5C09AD7A" w:rsidR="0083083D" w:rsidRPr="00257531" w:rsidRDefault="0083083D" w:rsidP="0083083D">
      <w:pPr>
        <w:pStyle w:val="FootnoteText"/>
        <w:jc w:val="both"/>
        <w:rPr>
          <w:rFonts w:ascii="Palatino Linotype" w:hAnsi="Palatino Linotype"/>
          <w:sz w:val="16"/>
          <w:szCs w:val="16"/>
          <w:lang w:val="en-US"/>
        </w:rPr>
      </w:pPr>
      <w:r w:rsidRPr="00257531">
        <w:rPr>
          <w:rStyle w:val="FootnoteReference"/>
          <w:rFonts w:ascii="Palatino Linotype" w:hAnsi="Palatino Linotype"/>
          <w:sz w:val="16"/>
          <w:szCs w:val="16"/>
        </w:rPr>
        <w:footnoteRef/>
      </w:r>
      <w:hyperlink r:id="rId5" w:anchor=":~:text=The%20action%20plan%20to%20improve,to%20affected%20countries%2C%20when%20necessary" w:history="1">
        <w:r w:rsidRPr="007B5509">
          <w:rPr>
            <w:rStyle w:val="Hyperlink"/>
            <w:rFonts w:ascii="Palatino Linotype" w:hAnsi="Palatino Linotype"/>
            <w:sz w:val="16"/>
            <w:szCs w:val="16"/>
          </w:rPr>
          <w:t>https://apps.who.int/iris/handle/10665/312235#:~:text=The%20action%20plan%20to%20improve,to%20affected%20countries%2C%20when%20necessary</w:t>
        </w:r>
      </w:hyperlink>
    </w:p>
  </w:footnote>
  <w:footnote w:id="4">
    <w:p w14:paraId="1E409BD5" w14:textId="77777777" w:rsidR="0083083D" w:rsidRPr="00257531" w:rsidRDefault="0083083D" w:rsidP="0083083D">
      <w:pPr>
        <w:pStyle w:val="FootnoteText"/>
        <w:jc w:val="both"/>
        <w:rPr>
          <w:rFonts w:ascii="Palatino Linotype" w:hAnsi="Palatino Linotype"/>
          <w:sz w:val="16"/>
          <w:szCs w:val="16"/>
          <w:lang w:val="en-US"/>
        </w:rPr>
      </w:pPr>
      <w:r w:rsidRPr="00257531">
        <w:rPr>
          <w:rStyle w:val="FootnoteReference"/>
          <w:rFonts w:ascii="Palatino Linotype" w:hAnsi="Palatino Linotype"/>
          <w:sz w:val="16"/>
          <w:szCs w:val="16"/>
        </w:rPr>
        <w:footnoteRef/>
      </w:r>
      <w:r w:rsidRPr="00257531">
        <w:rPr>
          <w:rFonts w:ascii="Palatino Linotype" w:hAnsi="Palatino Linotype"/>
          <w:sz w:val="16"/>
          <w:szCs w:val="16"/>
        </w:rPr>
        <w:t xml:space="preserve"> </w:t>
      </w:r>
      <w:hyperlink r:id="rId6" w:history="1">
        <w:r w:rsidRPr="00257531">
          <w:rPr>
            <w:rStyle w:val="Hyperlink"/>
            <w:rFonts w:ascii="Palatino Linotype" w:hAnsi="Palatino Linotype"/>
            <w:sz w:val="16"/>
            <w:szCs w:val="16"/>
          </w:rPr>
          <w:t>https://www.who.int/europe/news-room/articles/item/call-for-experts-tag-on-development-of-strategy-action-plan-on-health-emergency-preparedness-response-resilience</w:t>
        </w:r>
      </w:hyperlink>
      <w:r w:rsidRPr="00257531">
        <w:rPr>
          <w:rFonts w:ascii="Palatino Linotype" w:hAnsi="Palatino Linotype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8F59DA" w14:paraId="36C4171E" w14:textId="77777777" w:rsidTr="198F59DA">
      <w:trPr>
        <w:trHeight w:val="300"/>
      </w:trPr>
      <w:tc>
        <w:tcPr>
          <w:tcW w:w="3005" w:type="dxa"/>
        </w:tcPr>
        <w:p w14:paraId="39C56431" w14:textId="681382CE" w:rsidR="198F59DA" w:rsidRDefault="198F59DA" w:rsidP="198F59DA">
          <w:pPr>
            <w:pStyle w:val="Header"/>
            <w:ind w:left="-115"/>
          </w:pPr>
        </w:p>
      </w:tc>
      <w:tc>
        <w:tcPr>
          <w:tcW w:w="3005" w:type="dxa"/>
        </w:tcPr>
        <w:p w14:paraId="66E5B913" w14:textId="60D5CB02" w:rsidR="198F59DA" w:rsidRDefault="198F59DA" w:rsidP="198F59DA">
          <w:pPr>
            <w:pStyle w:val="Header"/>
            <w:jc w:val="center"/>
          </w:pPr>
        </w:p>
      </w:tc>
      <w:tc>
        <w:tcPr>
          <w:tcW w:w="3005" w:type="dxa"/>
        </w:tcPr>
        <w:p w14:paraId="5BF0FBC4" w14:textId="344BDD6D" w:rsidR="198F59DA" w:rsidRDefault="198F59DA" w:rsidP="198F59DA">
          <w:pPr>
            <w:pStyle w:val="Header"/>
            <w:ind w:right="-115"/>
            <w:jc w:val="right"/>
          </w:pPr>
        </w:p>
      </w:tc>
    </w:tr>
  </w:tbl>
  <w:p w14:paraId="3FBC7D89" w14:textId="0C5F306A" w:rsidR="198F59DA" w:rsidRDefault="198F59DA" w:rsidP="198F5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55A13"/>
    <w:multiLevelType w:val="hybridMultilevel"/>
    <w:tmpl w:val="98D6E81E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2222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3D"/>
    <w:rsid w:val="00027F32"/>
    <w:rsid w:val="00067B13"/>
    <w:rsid w:val="000936AB"/>
    <w:rsid w:val="000C7E4D"/>
    <w:rsid w:val="000D1A96"/>
    <w:rsid w:val="000E0EE4"/>
    <w:rsid w:val="0011418C"/>
    <w:rsid w:val="001174F7"/>
    <w:rsid w:val="002F0D0B"/>
    <w:rsid w:val="0036451D"/>
    <w:rsid w:val="003849F1"/>
    <w:rsid w:val="004C282E"/>
    <w:rsid w:val="005440C1"/>
    <w:rsid w:val="00582289"/>
    <w:rsid w:val="0069079B"/>
    <w:rsid w:val="00694202"/>
    <w:rsid w:val="006B7294"/>
    <w:rsid w:val="00780B27"/>
    <w:rsid w:val="0083083D"/>
    <w:rsid w:val="00854497"/>
    <w:rsid w:val="00921F0D"/>
    <w:rsid w:val="00953185"/>
    <w:rsid w:val="00981C88"/>
    <w:rsid w:val="00A0552D"/>
    <w:rsid w:val="00A06C00"/>
    <w:rsid w:val="00B42AD9"/>
    <w:rsid w:val="00B50E19"/>
    <w:rsid w:val="00B9429C"/>
    <w:rsid w:val="00BF67B2"/>
    <w:rsid w:val="00C728B0"/>
    <w:rsid w:val="00CB6D7A"/>
    <w:rsid w:val="00D16670"/>
    <w:rsid w:val="00D20CE8"/>
    <w:rsid w:val="00D60E5A"/>
    <w:rsid w:val="00E42C9F"/>
    <w:rsid w:val="00EF6E33"/>
    <w:rsid w:val="00F57F83"/>
    <w:rsid w:val="00F84E04"/>
    <w:rsid w:val="198F59DA"/>
    <w:rsid w:val="510A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10483"/>
  <w15:chartTrackingRefBased/>
  <w15:docId w15:val="{411AAA43-B2DC-40B8-8ABC-BD728043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83D"/>
    <w:rPr>
      <w:rFonts w:eastAsiaTheme="minorHAnsi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3083D"/>
  </w:style>
  <w:style w:type="character" w:customStyle="1" w:styleId="superscript">
    <w:name w:val="superscript"/>
    <w:basedOn w:val="DefaultParagraphFont"/>
    <w:rsid w:val="0083083D"/>
  </w:style>
  <w:style w:type="character" w:customStyle="1" w:styleId="eop">
    <w:name w:val="eop"/>
    <w:basedOn w:val="DefaultParagraphFont"/>
    <w:rsid w:val="0083083D"/>
  </w:style>
  <w:style w:type="paragraph" w:styleId="ListParagraph">
    <w:name w:val="List Paragraph"/>
    <w:basedOn w:val="Normal"/>
    <w:uiPriority w:val="34"/>
    <w:qFormat/>
    <w:rsid w:val="0083083D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83083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3083D"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83D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083D"/>
    <w:pPr>
      <w:spacing w:after="0" w:line="240" w:lineRule="auto"/>
    </w:pPr>
    <w:rPr>
      <w:rFonts w:eastAsiaTheme="minorEastAsia"/>
      <w:kern w:val="0"/>
      <w:sz w:val="20"/>
      <w:szCs w:val="20"/>
      <w:lang w:eastAsia="ko-KR"/>
      <w14:ligatures w14:val="none"/>
    </w:rPr>
  </w:style>
  <w:style w:type="character" w:customStyle="1" w:styleId="FootnoteTextChar1">
    <w:name w:val="Footnote Text Char1"/>
    <w:basedOn w:val="DefaultParagraphFont"/>
    <w:uiPriority w:val="99"/>
    <w:semiHidden/>
    <w:rsid w:val="0083083D"/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30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83D"/>
    <w:rPr>
      <w:rFonts w:eastAsiaTheme="minorHAnsi"/>
      <w:kern w:val="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830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83D"/>
    <w:rPr>
      <w:rFonts w:eastAsiaTheme="minorHAns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pps.who.int/iris/bitstream/handle/10665/343157/71wd06e-rev1-PR-Response-LessonsLearned-210693.pdf?sequence=1&amp;isAllowed=y" TargetMode="External"/><Relationship Id="rId2" Type="http://schemas.openxmlformats.org/officeDocument/2006/relationships/hyperlink" Target="https://www.who.int/publications/m/item/a74-9-who-s-work-in-health-emergencies" TargetMode="External"/><Relationship Id="rId1" Type="http://schemas.openxmlformats.org/officeDocument/2006/relationships/hyperlink" Target="https://theindependentpanel.org/wp-content/uploads/2021/05/COVID-19-Make-it-the-Last-Pandemic_final.pdf" TargetMode="External"/><Relationship Id="rId6" Type="http://schemas.openxmlformats.org/officeDocument/2006/relationships/hyperlink" Target="https://www.who.int/europe/news-room/articles/item/call-for-experts-tag-on-development-of-strategy-action-plan-on-health-emergency-preparedness-response-resilience" TargetMode="External"/><Relationship Id="rId5" Type="http://schemas.openxmlformats.org/officeDocument/2006/relationships/hyperlink" Target="https://apps.who.int/iris/handle/10665/312235" TargetMode="External"/><Relationship Id="rId4" Type="http://schemas.openxmlformats.org/officeDocument/2006/relationships/hyperlink" Target="https://www.who.int/europe/publications/m/item/drawing-light-from-the-pandemic--a-new-strategy-for-health-and-sustainable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979</ap:Words>
  <ap:Characters>5584</ap:Characters>
  <ap:DocSecurity>0</ap:DocSecurity>
  <ap:Lines>46</ap:Lines>
  <ap:Paragraphs>13</ap:Paragraphs>
  <ap:ScaleCrop>false</ap:ScaleCrop>
  <ap:LinksUpToDate>false</ap:LinksUpToDate>
  <ap:CharactersWithSpaces>6550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2023-05-11T13:43:00.0000000Z</dcterms:created>
  <dcterms:modified xsi:type="dcterms:W3CDTF">2023-05-11T14:06:00.0000000Z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196c2823-b87e-4586-a231-84a9af5186f1</vt:lpwstr>
  </property>
  <property fmtid="{D5CDD505-2E9C-101B-9397-08002B2CF9AE}" pid="3" name="ContentTypeId">
    <vt:lpwstr>0x01010021BBB8FE9DFA9147A1088D072D403381</vt:lpwstr>
  </property>
  <property fmtid="{D5CDD505-2E9C-101B-9397-08002B2CF9AE}" pid="4" name="MediaServiceImageTags">
    <vt:lpwstr/>
  </property>
</Properties>
</file>