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33230BD0"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6BA248AC" wp14:anchorId="29F9B50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AA0A40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F9B50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636D17" w:rsidP="00796479" w:rsidRDefault="00636D17" w14:paraId="4AA0A40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E907D2C" wp14:anchorId="4BCACFB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W06.22.0109/III/K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oktober 2022</w:t>
              </w:r>
            </w:sdtContent>
          </w:sdt>
        </w:p>
        <w:p w:rsidRPr="00831363" w:rsidR="001410FD" w:rsidP="00AC5AD9" w:rsidRDefault="001410FD" w14:paraId="6288F6C3" w14:textId="77777777">
          <w:pPr>
            <w:tabs>
              <w:tab w:val="left" w:pos="3686"/>
            </w:tabs>
          </w:pPr>
        </w:p>
        <w:p w:rsidRPr="00831363" w:rsidR="00636D17" w:rsidP="00636D17" w:rsidRDefault="00636D17" w14:paraId="3B6F8CA1" w14:textId="77777777">
          <w:pPr>
            <w:tabs>
              <w:tab w:val="left" w:pos="3685"/>
            </w:tabs>
          </w:pPr>
        </w:p>
        <w:p w:rsidRPr="00831363" w:rsidR="00636D17" w:rsidP="00636D17" w:rsidRDefault="00636D17" w14:paraId="4172C4A5"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405D8B" w:rsidRDefault="00FE5644" w14:paraId="6AEEC4B5" w14:textId="77777777">
              <w:r>
                <w:t>Bij Kabinetsmissive van 5 juli 2022, no.2022001463, heeft Uwe Majesteit, op voordracht van de Staatssecretaris van Fiscaliteit en Belastingdienst, bij de Afdeling advisering van de Raad van State van het Koninkrijk ter overweging aanhangig gemaakt het voor</w:t>
              </w:r>
              <w:r>
                <w:t>stel van rijkswet tot wijziging van de Belastingregeling Nederland Curaçao in verband met de implementatie van de uitkomsten van het Base Erosion and Profit Shifting project van de Organisatie voor Economische Samenwerking en Ontwikkeling alsmede enige ove</w:t>
              </w:r>
              <w:r>
                <w:t>rige wijzigingen, met memorie van toelichting.</w:t>
              </w:r>
            </w:p>
          </w:sdtContent>
        </w:sdt>
        <w:p w:rsidRPr="00831363" w:rsidR="00CE4655" w:rsidP="003C7608" w:rsidRDefault="00CE4655" w14:paraId="64FD3AA1" w14:textId="77777777"/>
        <w:sdt>
          <w:sdtPr>
            <w:alias w:val="VrijeTekst1"/>
            <w:tag w:val="VrijeTekst1"/>
            <w:id w:val="-437221631"/>
            <w:lock w:val="sdtLocked"/>
          </w:sdtPr>
          <w:sdtEndPr/>
          <w:sdtContent>
            <w:p w:rsidR="00550B19" w:rsidP="00FF035E" w:rsidRDefault="00FE5644" w14:paraId="61BF1B76" w14:textId="77777777">
              <w:r>
                <w:t>Het voorstel van rijkswet wijzigt de sinds 1 december 2015 van kracht zijnde Belastingregeling Nederland Curaçao (hierna: BRNC). De voorgestelde aanpassingen van de BRNC zijn ingegeven door internationale o</w:t>
              </w:r>
              <w:r>
                <w:t xml:space="preserve">ntwikkelingen op het gebied van antimisbruikbepalingen en door enkele wijzigingen in de fiscale wetten van zowel Nederland als Curaçao. </w:t>
              </w:r>
            </w:p>
            <w:p w:rsidR="00550B19" w:rsidP="00FF035E" w:rsidRDefault="00FE5644" w14:paraId="7B8D6A0F" w14:textId="77777777"/>
            <w:p w:rsidR="00E63E4C" w:rsidP="00FF035E" w:rsidRDefault="00FE5644" w14:paraId="7B2ACCBD" w14:textId="77777777">
              <w:r>
                <w:t xml:space="preserve">De Afdeling advisering van de Raad van State maakt een opmerking over de beoogde wijziging van de considerans van de BRNC en maakt daarnaast enkele kleinere opmerkingen, mede gelet op de wens van Nederland en </w:t>
              </w:r>
              <w:r w:rsidRPr="0067016E">
                <w:t>Curaçao</w:t>
              </w:r>
              <w:r>
                <w:t xml:space="preserve"> om zo duidelijk mogelijke afspraken te </w:t>
              </w:r>
              <w:r>
                <w:t>maken. In verband hiermee is aanpassing van het voorstel en de toelichting wenselijk.</w:t>
              </w:r>
            </w:p>
            <w:p w:rsidR="00E63E4C" w:rsidP="00FF035E" w:rsidRDefault="00FE5644" w14:paraId="33FD6247" w14:textId="77777777"/>
            <w:p w:rsidR="00E63E4C" w:rsidP="00FF035E" w:rsidRDefault="00FE5644" w14:paraId="1AAFFBC3" w14:textId="77777777">
              <w:r>
                <w:t>1.</w:t>
              </w:r>
              <w:r>
                <w:tab/>
              </w:r>
              <w:r w:rsidRPr="00D053F9">
                <w:rPr>
                  <w:u w:val="single"/>
                </w:rPr>
                <w:t>Considerans BRNC</w:t>
              </w:r>
            </w:p>
            <w:p w:rsidR="00E63E4C" w:rsidP="00FF035E" w:rsidRDefault="00FE5644" w14:paraId="6C5A23A1" w14:textId="77777777"/>
            <w:p w:rsidR="00AF5041" w:rsidP="00AF5041" w:rsidRDefault="00FE5644" w14:paraId="5915D5BE" w14:textId="77777777">
              <w:r>
                <w:t>Het voorstel van rijkswet</w:t>
              </w:r>
              <w:r w:rsidRPr="00D053F9">
                <w:t xml:space="preserve"> w</w:t>
              </w:r>
              <w:r>
                <w:t>ijzigt in artikel I, onderdeel A,</w:t>
              </w:r>
              <w:r w:rsidRPr="00D053F9">
                <w:t xml:space="preserve"> de considerans van de </w:t>
              </w:r>
              <w:r>
                <w:t>BRNC</w:t>
              </w:r>
              <w:r w:rsidRPr="00D053F9">
                <w:t>.</w:t>
              </w:r>
              <w:r>
                <w:rPr>
                  <w:rStyle w:val="Voetnootmarkering"/>
                </w:rPr>
                <w:footnoteReference w:id="1"/>
              </w:r>
              <w:r w:rsidRPr="00D053F9">
                <w:t xml:space="preserve"> </w:t>
              </w:r>
              <w:r>
                <w:t xml:space="preserve">Het opschrift en de aanhef van een regeling, </w:t>
              </w:r>
              <w:r>
                <w:t>waaronder de considerans, zoals deze luiden bij de totstandkoming van de regeling, worden echter nadien niet gewijzigd.</w:t>
              </w:r>
              <w:r>
                <w:rPr>
                  <w:rStyle w:val="Voetnootmarkering"/>
                </w:rPr>
                <w:footnoteReference w:id="2"/>
              </w:r>
              <w:r>
                <w:t xml:space="preserve"> Hiervan kan alleen worden afgeweken als het ongewijzigd laten van de considerans uit oogpunt van goede regelgeving niet tot aanvaardba</w:t>
              </w:r>
              <w:r>
                <w:t>re resultaten zou leiden.</w:t>
              </w:r>
              <w:r>
                <w:rPr>
                  <w:rStyle w:val="Voetnootmarkering"/>
                </w:rPr>
                <w:footnoteReference w:id="3"/>
              </w:r>
              <w:r>
                <w:t xml:space="preserve"> De Afdeling merkt op dat hieraan in de toelichting geen aandacht wordt besteed. In dat verband is van belang dat vraagtekens kunnen worden gezet bij de effectiviteit van de aanpassing van de considerans. Hoewel de aanpassing in </w:t>
              </w:r>
              <w:r>
                <w:t xml:space="preserve">dit voorstel van rijkswet zichtbaar en toegelicht is, zal de aangepaste considerans van de BRNC op wetten.nl bij de BRNC niet zichtbaar worden. </w:t>
              </w:r>
            </w:p>
            <w:p w:rsidR="00D053F9" w:rsidP="00FF035E" w:rsidRDefault="00FE5644" w14:paraId="35B5B669" w14:textId="77777777"/>
            <w:p w:rsidR="00406B73" w:rsidP="00406B73" w:rsidRDefault="00FE5644" w14:paraId="1723B290" w14:textId="77777777">
              <w:bookmarkStart w:name="_Hlk115896376" w:id="0"/>
              <w:r w:rsidRPr="000F5007">
                <w:t>De Afdeling adviseert artikel I, onderdeel A, te schrappen</w:t>
              </w:r>
              <w:r>
                <w:t>.</w:t>
              </w:r>
              <w:r w:rsidRPr="000F5007">
                <w:t xml:space="preserve"> </w:t>
              </w:r>
              <w:r>
                <w:t>Als er toch voor wordt gekozen om artikel I, onder</w:t>
              </w:r>
              <w:r>
                <w:t>deel A, te handhaven, adviseert de Afdeling met inachtneming van het vo</w:t>
              </w:r>
              <w:r>
                <w:t>o</w:t>
              </w:r>
              <w:r>
                <w:t>r</w:t>
              </w:r>
              <w:r>
                <w:t>g</w:t>
              </w:r>
              <w:r>
                <w:t xml:space="preserve">aande te motiveren waarom </w:t>
              </w:r>
              <w:r w:rsidRPr="000F5007">
                <w:t xml:space="preserve">handhaving van de </w:t>
              </w:r>
              <w:r w:rsidRPr="000F5007">
                <w:lastRenderedPageBreak/>
                <w:t>huidige considerans van de BRNC uit oogpunt van goede regelgeving niet aanvaardbaar is.</w:t>
              </w:r>
              <w:bookmarkEnd w:id="0"/>
            </w:p>
            <w:p w:rsidR="00D053F9" w:rsidP="00FF035E" w:rsidRDefault="00FE5644" w14:paraId="4F85FEAD" w14:textId="77777777"/>
            <w:p w:rsidR="00E63E4C" w:rsidP="00FF035E" w:rsidRDefault="00FE5644" w14:paraId="62880DCF" w14:textId="77777777">
              <w:r>
                <w:t xml:space="preserve">2. </w:t>
              </w:r>
              <w:r>
                <w:tab/>
              </w:r>
              <w:r>
                <w:rPr>
                  <w:u w:val="single"/>
                </w:rPr>
                <w:t>Overige</w:t>
              </w:r>
              <w:r w:rsidRPr="005279D5">
                <w:rPr>
                  <w:u w:val="single"/>
                </w:rPr>
                <w:t xml:space="preserve"> opmerkingen</w:t>
              </w:r>
            </w:p>
            <w:p w:rsidR="00E63E4C" w:rsidP="00FF035E" w:rsidRDefault="00FE5644" w14:paraId="1886ABAC" w14:textId="77777777"/>
            <w:p w:rsidR="00F6409C" w:rsidP="00FF035E" w:rsidRDefault="00FE5644" w14:paraId="0174A76D" w14:textId="77777777">
              <w:r>
                <w:t>De BRNC heeft tot doel e</w:t>
              </w:r>
              <w:r>
                <w:t>en betere aansluiting te creëren tussen de fiscale stelsels van Nederland en Curaçao en met de internationale fiscale standaarden zoals neergelegd in het OESO-modelverdrag.</w:t>
              </w:r>
              <w:r>
                <w:rPr>
                  <w:rStyle w:val="Voetnootmarkering"/>
                </w:rPr>
                <w:footnoteReference w:id="4"/>
              </w:r>
              <w:r>
                <w:t xml:space="preserve"> De Afdeling onderschrijft het belang van het in dit verband zo duidelijk mogelijk</w:t>
              </w:r>
              <w:r>
                <w:t>e afspraken maken.</w:t>
              </w:r>
              <w:r>
                <w:rPr>
                  <w:rStyle w:val="Voetnootmarkering"/>
                </w:rPr>
                <w:footnoteReference w:id="5"/>
              </w:r>
              <w:r>
                <w:t xml:space="preserve"> Zij maakt enkele technische opmerkingen ter verduidelijking van de BRNC en de toelichting daarop.</w:t>
              </w:r>
            </w:p>
            <w:p w:rsidR="005279D5" w:rsidP="00FF035E" w:rsidRDefault="00FE5644" w14:paraId="7347AE14" w14:textId="77777777"/>
            <w:p w:rsidR="00DF3C69" w:rsidP="00FF035E" w:rsidRDefault="00FE5644" w14:paraId="1FEE18EC" w14:textId="77777777">
              <w:r>
                <w:t>a.</w:t>
              </w:r>
              <w:r>
                <w:tab/>
              </w:r>
              <w:r w:rsidRPr="00DF3C69">
                <w:rPr>
                  <w:i/>
                  <w:iCs/>
                </w:rPr>
                <w:t>Vorderingen</w:t>
              </w:r>
            </w:p>
            <w:p w:rsidR="005279D5" w:rsidP="0027037D" w:rsidRDefault="00FE5644" w14:paraId="0C3EEB15" w14:textId="77777777">
              <w:r>
                <w:t>In artikel I, onderdeel B, onder 4, wordt aan artikel 1 van de BRNC een vierde lid toegevoegd. In de eerste zin van dat v</w:t>
              </w:r>
              <w:r>
                <w:t>ierde lid is geregeld wie aanspraak kan maken op voordelen ter vermijding van dubbele belasting. In de tweede zin staat dat “vorderingen als bedoeld in de eerste zin (…) voorwerp [kunnen] zijn van een onderzoek”. Nu de eerste zin geen melding van vordering</w:t>
              </w:r>
              <w:r>
                <w:t>en maakt, adviseert de Afdeling in de toelichting te verduidelijken wat daarmee wordt bedoeld en zo nodig het voorstel aan te passen.</w:t>
              </w:r>
            </w:p>
            <w:p w:rsidR="0027037D" w:rsidP="0027037D" w:rsidRDefault="00FE5644" w14:paraId="64CD33D5" w14:textId="77777777"/>
            <w:p w:rsidR="00DF3C69" w:rsidP="00FF035E" w:rsidRDefault="00FE5644" w14:paraId="2F4A5CDA" w14:textId="77777777">
              <w:r>
                <w:t xml:space="preserve">b. </w:t>
              </w:r>
              <w:r>
                <w:tab/>
              </w:r>
              <w:r w:rsidRPr="00F73C6A">
                <w:rPr>
                  <w:i/>
                  <w:iCs/>
                </w:rPr>
                <w:t xml:space="preserve">Uitdrukking </w:t>
              </w:r>
              <w:r>
                <w:rPr>
                  <w:i/>
                  <w:iCs/>
                </w:rPr>
                <w:t>‘</w:t>
              </w:r>
              <w:r w:rsidRPr="00F73C6A">
                <w:rPr>
                  <w:i/>
                  <w:iCs/>
                </w:rPr>
                <w:t>pensioenfonds</w:t>
              </w:r>
              <w:r>
                <w:rPr>
                  <w:i/>
                  <w:iCs/>
                </w:rPr>
                <w:t>’</w:t>
              </w:r>
            </w:p>
            <w:p w:rsidR="00FD40F0" w:rsidP="007F5C38" w:rsidRDefault="00FE5644" w14:paraId="52D8F54E" w14:textId="77777777">
              <w:r>
                <w:t xml:space="preserve">In het voorstel wordt de uitdrukking </w:t>
              </w:r>
              <w:r>
                <w:t>‘</w:t>
              </w:r>
              <w:r>
                <w:t>pensioenfonds</w:t>
              </w:r>
              <w:r>
                <w:t>’</w:t>
              </w:r>
              <w:r>
                <w:t xml:space="preserve"> opnieuw vastgesteld.</w:t>
              </w:r>
              <w:r>
                <w:rPr>
                  <w:rStyle w:val="Voetnootmarkering"/>
                </w:rPr>
                <w:footnoteReference w:id="6"/>
              </w:r>
              <w:r>
                <w:t xml:space="preserve"> Daarbij worde</w:t>
              </w:r>
              <w:r>
                <w:t>n twee soorten pensioenfonds</w:t>
              </w:r>
              <w:r>
                <w:t>en</w:t>
              </w:r>
              <w:r>
                <w:t xml:space="preserve"> onderscheiden. De eerste soort is een lichaam </w:t>
              </w:r>
              <w:r w:rsidRPr="000317D4">
                <w:t xml:space="preserve">dat </w:t>
              </w:r>
              <w:r>
                <w:t xml:space="preserve">cumulatief </w:t>
              </w:r>
              <w:r w:rsidRPr="000317D4">
                <w:t>voldoet aan de eisen onder subonderdeel 1º tot en met 4º. De tweede soort is een lichaam dat voldoet aan de eisen van subonderdeel 5º. Ter verduidelijking hiervan k</w:t>
              </w:r>
              <w:r w:rsidRPr="000317D4">
                <w:t>an worden overwogen om in het voorstel de wettekst nauwer aan te laten sluiten bij de definitie van het begrip pensioenfonds in het OESO-modelverdrag.</w:t>
              </w:r>
              <w:r w:rsidRPr="000317D4">
                <w:rPr>
                  <w:rStyle w:val="Voetnootmarkering"/>
                </w:rPr>
                <w:footnoteReference w:id="7"/>
              </w:r>
              <w:r w:rsidRPr="000317D4">
                <w:t xml:space="preserve"> Als daarvoor niet wordt gekozen, adviseert de Afdeling de toelichting op dit punt te ver</w:t>
              </w:r>
              <w:r>
                <w:t>duidelijken, in het bijzonder dat ook in het geval van het vijfde lid cumulatief aan alle vier de criteria moet zijn voldaan</w:t>
              </w:r>
              <w:r w:rsidRPr="000317D4">
                <w:t xml:space="preserve">. </w:t>
              </w:r>
            </w:p>
            <w:p w:rsidRPr="000317D4" w:rsidR="00DF3C69" w:rsidP="007F5C38" w:rsidRDefault="00FE5644" w14:paraId="68479091" w14:textId="77777777"/>
            <w:p w:rsidRPr="000317D4" w:rsidR="00DF3C69" w:rsidP="00DF3C69" w:rsidRDefault="00FE5644" w14:paraId="1C8205B6" w14:textId="77777777">
              <w:r w:rsidRPr="000317D4">
                <w:t xml:space="preserve">c. </w:t>
              </w:r>
              <w:r w:rsidRPr="000317D4">
                <w:tab/>
              </w:r>
              <w:r w:rsidRPr="000317D4">
                <w:rPr>
                  <w:i/>
                  <w:iCs/>
                </w:rPr>
                <w:t>Bronnen in dat land</w:t>
              </w:r>
            </w:p>
            <w:p w:rsidR="008D376B" w:rsidP="00DF3C69" w:rsidRDefault="00FE5644" w14:paraId="4321D455" w14:textId="77777777">
              <w:r w:rsidRPr="000317D4">
                <w:t xml:space="preserve">Artikel 4 </w:t>
              </w:r>
              <w:r w:rsidRPr="000317D4">
                <w:t>van de BRNC bevat bepalingen ter aanvulling van het begrip inwoner. Artikel I, onderdeel E, eerste lid, van het voorstel voegt een zin toe aan artikel 4, eerste lid, van de BRNC. Volgens de toelichting wordt met deze wijziging aansluiting gezocht bij de op</w:t>
              </w:r>
              <w:r w:rsidRPr="000317D4">
                <w:t xml:space="preserve">bouw van artikel 4 van het OESO-modelverdrag en is </w:t>
              </w:r>
              <w:r w:rsidRPr="000317D4">
                <w:lastRenderedPageBreak/>
                <w:t>het OESO-commentaar bij deze tekst relevant.</w:t>
              </w:r>
              <w:r w:rsidRPr="000317D4">
                <w:rPr>
                  <w:rStyle w:val="Voetnootmarkering"/>
                </w:rPr>
                <w:footnoteReference w:id="8"/>
              </w:r>
              <w:r w:rsidRPr="000317D4">
                <w:t xml:space="preserve"> De Afdeling merkt op dat de tekst van de toe te voegen zin afwijkt van de betreffende zin in artikel 4 van het OESO-modelverdrag.</w:t>
              </w:r>
              <w:r w:rsidRPr="000317D4">
                <w:rPr>
                  <w:rStyle w:val="Voetnootmarkering"/>
                </w:rPr>
                <w:footnoteReference w:id="9"/>
              </w:r>
              <w:r w:rsidRPr="000317D4">
                <w:t xml:space="preserve"> </w:t>
              </w:r>
            </w:p>
            <w:p w:rsidRPr="000317D4" w:rsidR="00140B8F" w:rsidP="00DF3C69" w:rsidRDefault="00FE5644" w14:paraId="03DBAA15" w14:textId="77777777"/>
            <w:p w:rsidRPr="000317D4" w:rsidR="00FD40F0" w:rsidP="00DF3C69" w:rsidRDefault="00FE5644" w14:paraId="1D189C02" w14:textId="77777777">
              <w:r w:rsidRPr="000317D4">
                <w:t>De Afdeling adviseert he</w:t>
              </w:r>
              <w:r w:rsidRPr="000317D4">
                <w:t>t voorstel op dit punt in overeenstemming te brengen met de tekst van het OESO-modelverdrag</w:t>
              </w:r>
              <w:r>
                <w:t>.</w:t>
              </w:r>
            </w:p>
            <w:p w:rsidRPr="000317D4" w:rsidR="00FD40F0" w:rsidP="00D55024" w:rsidRDefault="00FE5644" w14:paraId="5425AAED" w14:textId="77777777"/>
            <w:p w:rsidRPr="000317D4" w:rsidR="00FD40F0" w:rsidP="00165F03" w:rsidRDefault="00FE5644" w14:paraId="441B3AC3" w14:textId="77777777">
              <w:pPr>
                <w:rPr>
                  <w:i/>
                  <w:iCs/>
                </w:rPr>
              </w:pPr>
              <w:r w:rsidRPr="000317D4">
                <w:t xml:space="preserve">d. </w:t>
              </w:r>
              <w:r w:rsidRPr="000317D4">
                <w:tab/>
              </w:r>
              <w:r w:rsidRPr="000317D4">
                <w:rPr>
                  <w:i/>
                  <w:iCs/>
                </w:rPr>
                <w:t>Vermijden van dubbele belasting</w:t>
              </w:r>
            </w:p>
            <w:p w:rsidR="005279D5" w:rsidP="00165F03" w:rsidRDefault="00FE5644" w14:paraId="63AA1D8F" w14:textId="77777777">
              <w:r w:rsidRPr="000317D4">
                <w:t>In artikel I, onderdeel K, tweede</w:t>
              </w:r>
              <w:r>
                <w:t xml:space="preserve"> lid, wordt een toevoeging aan artikel 21, zevende lid (nieuw), tweede zin, van de BRNC voorg</w:t>
              </w:r>
              <w:r>
                <w:t xml:space="preserve">esteld. In die bepaling wordt geregeld welke aftrek door </w:t>
              </w:r>
              <w:r w:rsidRPr="00165F03">
                <w:t>Curaçao</w:t>
              </w:r>
              <w:r>
                <w:t xml:space="preserve"> wordt verleend ter vermijding van dubbele belasting. De toevoeging “dan wel is gelijk aan” roept de vraag op in welk geval dat aan de orde is. De toelichting doet vermoeden dat dit afhankelij</w:t>
              </w:r>
              <w:r>
                <w:t xml:space="preserve">k is van welke nationale wetgeving in </w:t>
              </w:r>
              <w:r w:rsidRPr="00165F03">
                <w:t>Curaçao</w:t>
              </w:r>
              <w:r>
                <w:t xml:space="preserve"> geldt, maar de wettekst en de toelichting bieden geen uitsluitsel. De Afdeling adviseert de toelichting en zo nodig het voorstel op dit punt te verduidelijken. </w:t>
              </w:r>
            </w:p>
            <w:p w:rsidR="00165F03" w:rsidP="00165F03" w:rsidRDefault="00FE5644" w14:paraId="103CE52C" w14:textId="77777777"/>
            <w:p w:rsidR="00734789" w:rsidP="002679AB" w:rsidRDefault="00FE5644" w14:paraId="0B3083E2" w14:textId="77777777">
              <w:r>
                <w:t>De Afdeling adviseert in verband met het voorgaa</w:t>
              </w:r>
              <w:r>
                <w:t xml:space="preserve">nde het voorstel van rijkswet en de toelichting aan te passen. </w:t>
              </w:r>
            </w:p>
          </w:sdtContent>
        </w:sdt>
        <w:p w:rsidRPr="00831363" w:rsidR="008C5EDD" w:rsidP="00CE4655" w:rsidRDefault="008C5EDD" w14:paraId="5F401FBC" w14:textId="77777777"/>
        <w:sdt>
          <w:sdtPr>
            <w:alias w:val="VrijeTekst2"/>
            <w:tag w:val="VrijeTekst2"/>
            <w:id w:val="-1010833392"/>
            <w:lock w:val="sdtLocked"/>
            <w:placeholder>
              <w:docPart w:val="DefaultPlaceholder_1082065158"/>
            </w:placeholder>
          </w:sdtPr>
          <w:sdtEndPr/>
          <w:sdtContent>
            <w:p w:rsidR="007212F1" w:rsidP="00891BB0" w:rsidRDefault="00FE5644" w14:paraId="3A0E56B3" w14:textId="77777777">
              <w:r>
                <w:t>3</w:t>
              </w:r>
              <w:r>
                <w:t>.</w:t>
              </w:r>
              <w:r>
                <w:tab/>
              </w:r>
              <w:r w:rsidRPr="005F7A2B">
                <w:t>De Afdeling verwijst naar de bij dit advies behorende redactionele bijlage.</w:t>
              </w:r>
            </w:p>
          </w:sdtContent>
        </w:sdt>
        <w:p w:rsidRPr="00831363" w:rsidR="001410FD" w:rsidP="00796479" w:rsidRDefault="001410FD" w14:paraId="5320DDFA" w14:textId="77777777"/>
        <w:sdt>
          <w:sdtPr>
            <w:alias w:val="Dictum"/>
            <w:tag w:val="Dictum"/>
            <w:id w:val="316161467"/>
            <w:lock w:val="sdtContentLocked"/>
            <w:placeholder>
              <w:docPart w:val="DefaultPlaceholder_1082065158"/>
            </w:placeholder>
            <w:text w:multiLine="1"/>
          </w:sdtPr>
          <w:sdtEndPr/>
          <w:sdtContent>
            <w:p w:rsidR="00405D8B" w:rsidRDefault="00FE5644" w14:paraId="2EF0AE91" w14:textId="77777777">
              <w:r>
                <w:t>De Afdeling advisering van de Raad van State van het Koninkrijk heeft een aantal opmerkingen bij het voorst</w:t>
              </w:r>
              <w:r>
                <w:t xml:space="preserve">el van rijkswet en adviseert daarmee rekening te houden voordat het voorstel van rijkswet bij de Tweede Kamer der Staten-Generaal wordt ingediend en aan de Staten van Aruba, die van Curaçao en die van Sint Maarten wordt overgelegd. </w:t>
              </w:r>
              <w:r>
                <w:br/>
              </w:r>
              <w:r>
                <w:br/>
              </w:r>
              <w:r>
                <w:br/>
                <w:t>De vice-president van</w:t>
              </w:r>
              <w:r>
                <w:t xml:space="preserve"> de Raad van State van het Koninkrijk,</w:t>
              </w:r>
            </w:p>
          </w:sdtContent>
        </w:sdt>
        <w:p w:rsidRPr="00831363" w:rsidR="0037367E" w:rsidRDefault="0037367E" w14:paraId="6265B5FC" w14:textId="77777777">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14:paraId="73035F0F"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van het Koninkrijk </w:t>
              </w:r>
            </w:sdtContent>
          </w:sdt>
          <w:r w:rsidRPr="00831363">
            <w:t>betreffende no.</w:t>
          </w:r>
          <w:sdt>
            <w:sdtPr>
              <w:alias w:val="ZaakNummer"/>
              <w:tag w:val="ZaakNummer"/>
              <w:id w:val="809745491"/>
              <w:lock w:val="sdtContentLocked"/>
              <w:placeholder>
                <w:docPart w:val="D10883FDE47A4B5184FB25F7A2C50263"/>
              </w:placeholder>
              <w:text/>
            </w:sdtPr>
            <w:sdtEndPr/>
            <w:sdtContent>
              <w:r>
                <w:t>W06.22.0109</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6362AC79" w14:textId="77777777"/>
        <w:sdt>
          <w:sdtPr>
            <w:alias w:val="VrijeTekst3"/>
            <w:tag w:val="VrijeTekst3"/>
            <w:id w:val="2141764690"/>
            <w:lock w:val="sdtLocked"/>
          </w:sdtPr>
          <w:sdtEndPr/>
          <w:sdtContent>
            <w:p w:rsidRPr="00C65DFC" w:rsidR="006F74A8" w:rsidP="00E276FF" w:rsidRDefault="00FE5644" w14:paraId="5B7F78B2" w14:textId="77777777">
              <w:pPr>
                <w:pStyle w:val="Lijstalinea"/>
                <w:numPr>
                  <w:ilvl w:val="0"/>
                  <w:numId w:val="1"/>
                </w:numPr>
              </w:pPr>
              <w:r w:rsidRPr="00C65DFC">
                <w:t>Bij de artikelsgewijze toelichting op artikel I, onderdeel H</w:t>
              </w:r>
              <w:r>
                <w:t>,</w:t>
              </w:r>
              <w:r w:rsidRPr="00C65DFC">
                <w:t xml:space="preserve"> is een evaluatie aangekondigd. Deze passage hoort th</w:t>
              </w:r>
              <w:r w:rsidRPr="00C65DFC">
                <w:t xml:space="preserve">uis in het algemeen deel van de memorie </w:t>
              </w:r>
              <w:r>
                <w:t xml:space="preserve">van </w:t>
              </w:r>
              <w:r w:rsidRPr="00C65DFC">
                <w:t>toelichting.</w:t>
              </w:r>
            </w:p>
            <w:p w:rsidR="006F74A8" w:rsidP="006F74A8" w:rsidRDefault="00FE5644" w14:paraId="44461D3B" w14:textId="77777777">
              <w:pPr>
                <w:pStyle w:val="Lijstalinea"/>
                <w:numPr>
                  <w:ilvl w:val="0"/>
                  <w:numId w:val="1"/>
                </w:numPr>
              </w:pPr>
              <w:r>
                <w:t xml:space="preserve">Een artikelsgewijze toelichting opnemen bij artikel I, onderdeel J, en bij het in artikel I, onderdeel K, </w:t>
              </w:r>
              <w:r w:rsidRPr="00664F7B">
                <w:t>vijfde lid, voorgestelde artikel 21, tiende lid (nieuw), van de BRNC</w:t>
              </w:r>
              <w:r>
                <w:t>.</w:t>
              </w:r>
              <w:r w:rsidRPr="00664F7B">
                <w:t xml:space="preserve"> </w:t>
              </w:r>
            </w:p>
          </w:sdtContent>
        </w:sdt>
        <w:p w:rsidR="00C50D4F" w:rsidP="005841EA" w:rsidRDefault="00FE5644" w14:paraId="50DC2EBC" w14:textId="77777777">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00074" w14:textId="77777777" w:rsidR="00847094" w:rsidRDefault="00FE5644" w:rsidP="005B3E03">
      <w:r>
        <w:separator/>
      </w:r>
    </w:p>
    <w:p w14:paraId="7A9E4BDC" w14:textId="77777777" w:rsidR="002D0ACF" w:rsidRDefault="00FE5644"/>
  </w:endnote>
  <w:endnote w:type="continuationSeparator" w:id="0">
    <w:p w14:paraId="67EEA4EB" w14:textId="77777777" w:rsidR="00847094" w:rsidRDefault="00FE5644" w:rsidP="005B3E03">
      <w:r>
        <w:continuationSeparator/>
      </w:r>
    </w:p>
    <w:p w14:paraId="4939AA3B" w14:textId="77777777" w:rsidR="002D0ACF" w:rsidRDefault="00FE5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F351" w14:textId="77777777" w:rsidR="00FE5644" w:rsidRDefault="00FE56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D665" w14:textId="77777777" w:rsidR="00FE5644" w:rsidRDefault="00FE56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A6B0"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C6FCF61" wp14:editId="78739F9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6A14C"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FCF61"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" stroked="f">
              <v:textbox>
                <w:txbxContent>
                  <w:p w14:paraId="0496A14C"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CFF5" w14:textId="77777777" w:rsidR="00847094" w:rsidRDefault="00FE5644" w:rsidP="005B3E03">
      <w:r>
        <w:separator/>
      </w:r>
    </w:p>
    <w:p w14:paraId="611CD513" w14:textId="77777777" w:rsidR="002D0ACF" w:rsidRDefault="00FE5644"/>
  </w:footnote>
  <w:footnote w:type="continuationSeparator" w:id="0">
    <w:p w14:paraId="3B6BEC52" w14:textId="77777777" w:rsidR="00847094" w:rsidRDefault="00FE5644" w:rsidP="005B3E03">
      <w:r>
        <w:continuationSeparator/>
      </w:r>
    </w:p>
    <w:p w14:paraId="3655DD75" w14:textId="77777777" w:rsidR="002D0ACF" w:rsidRDefault="00FE5644"/>
  </w:footnote>
  <w:footnote w:id="1">
    <w:p w14:paraId="06BE5E84" w14:textId="77777777" w:rsidR="0067016E" w:rsidRDefault="00FE5644">
      <w:pPr>
        <w:pStyle w:val="Voetnoottekst"/>
      </w:pPr>
      <w:r>
        <w:rPr>
          <w:rStyle w:val="Voetnootmarkering"/>
        </w:rPr>
        <w:footnoteRef/>
      </w:r>
      <w:r>
        <w:t xml:space="preserve"> </w:t>
      </w:r>
      <w:r>
        <w:tab/>
        <w:t>Artikel I, onderdeel A.</w:t>
      </w:r>
    </w:p>
  </w:footnote>
  <w:footnote w:id="2">
    <w:p w14:paraId="503CAEC4" w14:textId="77777777" w:rsidR="003C7D5C" w:rsidRDefault="00FE5644">
      <w:pPr>
        <w:pStyle w:val="Voetnoottekst"/>
      </w:pPr>
      <w:r>
        <w:rPr>
          <w:rStyle w:val="Voetnootmarkering"/>
        </w:rPr>
        <w:footnoteRef/>
      </w:r>
      <w:r>
        <w:t xml:space="preserve"> </w:t>
      </w:r>
      <w:r>
        <w:tab/>
        <w:t>Zie aanwijzing 6.7 van de Aanwijzingen voor de regelgeving (AR) en de toelichting op die aanwijzing, alsmede aanwijzing 3.53, aanhef en onderdeel b, van de AR en de toelichting daarop.</w:t>
      </w:r>
    </w:p>
  </w:footnote>
  <w:footnote w:id="3">
    <w:p w14:paraId="4309739D" w14:textId="77777777" w:rsidR="00AF5041" w:rsidRDefault="00FE5644">
      <w:pPr>
        <w:pStyle w:val="Voetnoottekst"/>
      </w:pPr>
      <w:r>
        <w:rPr>
          <w:rStyle w:val="Voetnootmarkering"/>
        </w:rPr>
        <w:footnoteRef/>
      </w:r>
      <w:r>
        <w:t xml:space="preserve"> </w:t>
      </w:r>
      <w:r>
        <w:tab/>
        <w:t>Zie aanwijzing 1.2 van de Aanwijzin</w:t>
      </w:r>
      <w:r>
        <w:t xml:space="preserve">gen voor de regelgeving. </w:t>
      </w:r>
    </w:p>
  </w:footnote>
  <w:footnote w:id="4">
    <w:p w14:paraId="5CA522C7" w14:textId="77777777" w:rsidR="005279D5" w:rsidRDefault="00FE5644">
      <w:pPr>
        <w:pStyle w:val="Voetnoottekst"/>
      </w:pPr>
      <w:r>
        <w:rPr>
          <w:rStyle w:val="Voetnootmarkering"/>
        </w:rPr>
        <w:footnoteRef/>
      </w:r>
      <w:r>
        <w:t xml:space="preserve"> </w:t>
      </w:r>
      <w:r>
        <w:tab/>
        <w:t>Memorie van toelichting, paragraaf I.0 Inleiding en totstandkoming, eerste tekstblok.</w:t>
      </w:r>
    </w:p>
  </w:footnote>
  <w:footnote w:id="5">
    <w:p w14:paraId="463416D7" w14:textId="77777777" w:rsidR="0067016E" w:rsidRDefault="00FE5644">
      <w:pPr>
        <w:pStyle w:val="Voetnoottekst"/>
      </w:pPr>
      <w:r>
        <w:rPr>
          <w:rStyle w:val="Voetnootmarkering"/>
        </w:rPr>
        <w:footnoteRef/>
      </w:r>
      <w:r>
        <w:t xml:space="preserve"> </w:t>
      </w:r>
      <w:r>
        <w:tab/>
      </w:r>
      <w:r w:rsidRPr="0067016E">
        <w:t>Memorie van toelichting, paragraaf I.0 Inleiding en totstandkoming</w:t>
      </w:r>
      <w:r>
        <w:t>, tweede tekstblok</w:t>
      </w:r>
      <w:r w:rsidRPr="0067016E">
        <w:t>.</w:t>
      </w:r>
    </w:p>
  </w:footnote>
  <w:footnote w:id="6">
    <w:p w14:paraId="575D1B2F" w14:textId="77777777" w:rsidR="009202BC" w:rsidRDefault="00FE5644">
      <w:pPr>
        <w:pStyle w:val="Voetnoottekst"/>
      </w:pPr>
      <w:r>
        <w:rPr>
          <w:rStyle w:val="Voetnootmarkering"/>
        </w:rPr>
        <w:footnoteRef/>
      </w:r>
      <w:r>
        <w:t xml:space="preserve"> </w:t>
      </w:r>
      <w:r>
        <w:tab/>
        <w:t>Artikel I, onderdeel D, artikel 3, eerste lid, on</w:t>
      </w:r>
      <w:r>
        <w:t>derdeel j, van de BRNC.</w:t>
      </w:r>
    </w:p>
  </w:footnote>
  <w:footnote w:id="7">
    <w:p w14:paraId="29E8B530" w14:textId="77777777" w:rsidR="00F92F5E" w:rsidRDefault="00FE5644">
      <w:pPr>
        <w:pStyle w:val="Voetnoottekst"/>
      </w:pPr>
      <w:r>
        <w:rPr>
          <w:rStyle w:val="Voetnootmarkering"/>
        </w:rPr>
        <w:footnoteRef/>
      </w:r>
      <w:r>
        <w:t xml:space="preserve"> </w:t>
      </w:r>
      <w:r>
        <w:tab/>
      </w:r>
      <w:r w:rsidRPr="00F92F5E">
        <w:t xml:space="preserve">Daartoe kan het eerstgenoemde lichaam en de daaraan te stellen eisen worden ondergebracht in artikel 3, eerste lid, onderdeel j, </w:t>
      </w:r>
      <w:r w:rsidRPr="002679AB">
        <w:t>subonderdeel 1º</w:t>
      </w:r>
      <w:r>
        <w:t>,</w:t>
      </w:r>
      <w:r w:rsidRPr="002679AB">
        <w:t xml:space="preserve"> </w:t>
      </w:r>
      <w:r w:rsidRPr="00F92F5E">
        <w:t xml:space="preserve">van de BRNC. De tekst uit </w:t>
      </w:r>
      <w:r>
        <w:t xml:space="preserve">het voorgestelde </w:t>
      </w:r>
      <w:r w:rsidRPr="00F92F5E">
        <w:t>subonderdeel 5º kan dan worden ondergebracht bij subonderdeel 2º, m</w:t>
      </w:r>
      <w:r w:rsidRPr="00F92F5E">
        <w:t>et dien verstande dat “lichamen als bedoeld in de subonderdelen 1°, 2°, 3° en 4°” wordt vervangen door “lichamen als bedoeld in subonderdeel 1º”.</w:t>
      </w:r>
    </w:p>
  </w:footnote>
  <w:footnote w:id="8">
    <w:p w14:paraId="5F7BC77B" w14:textId="77777777" w:rsidR="00204E57" w:rsidRDefault="00FE5644">
      <w:pPr>
        <w:pStyle w:val="Voetnoottekst"/>
      </w:pPr>
      <w:r>
        <w:rPr>
          <w:rStyle w:val="Voetnootmarkering"/>
        </w:rPr>
        <w:footnoteRef/>
      </w:r>
      <w:r>
        <w:t xml:space="preserve"> </w:t>
      </w:r>
      <w:r>
        <w:tab/>
        <w:t>Artikelsgewijze toelichting op artikel I, onderdeel E.</w:t>
      </w:r>
    </w:p>
  </w:footnote>
  <w:footnote w:id="9">
    <w:p w14:paraId="2AA099BE" w14:textId="77777777" w:rsidR="0030122F" w:rsidRDefault="00FE5644">
      <w:pPr>
        <w:pStyle w:val="Voetnoottekst"/>
      </w:pPr>
      <w:r>
        <w:rPr>
          <w:rStyle w:val="Voetnootmarkering"/>
        </w:rPr>
        <w:footnoteRef/>
      </w:r>
      <w:r>
        <w:t xml:space="preserve"> </w:t>
      </w:r>
      <w:r>
        <w:tab/>
        <w:t>Het voorstel bevat de tekst “uit bronnen in dat l</w:t>
      </w:r>
      <w:r>
        <w:t>and die aldaar zijn gelegen”. Het OESO-modelverdrag bevat de tekst “uit bronnen in dat land of van vermogen dat in dat land is gelegen”. In door Nederland bilateraal gesloten verdragen komt ook wel voor enkel de tekst “uit bronnen in dat 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D8F3"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5DDAA33D"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12BA"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9C90" w14:textId="77777777" w:rsidR="00FE5644" w:rsidRDefault="00FE564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93E6"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119A9B79"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D8A"/>
    <w:multiLevelType w:val="hybridMultilevel"/>
    <w:tmpl w:val="D7B02B16"/>
    <w:lvl w:ilvl="0" w:tplc="6D32A5BE">
      <w:start w:val="8"/>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0B17E8D"/>
    <w:multiLevelType w:val="hybridMultilevel"/>
    <w:tmpl w:val="3B5476FA"/>
    <w:lvl w:ilvl="0" w:tplc="E3C0F62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6337576">
    <w:abstractNumId w:val="1"/>
  </w:num>
  <w:num w:numId="2" w16cid:durableId="67229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05D8B"/>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E5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AEF88D8"/>
  <w15:docId w15:val="{C0DB69E3-B492-4A97-B119-9D36AAA2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550B19"/>
    <w:rPr>
      <w:sz w:val="16"/>
      <w:szCs w:val="16"/>
    </w:rPr>
  </w:style>
  <w:style w:type="paragraph" w:styleId="Tekstopmerking">
    <w:name w:val="annotation text"/>
    <w:basedOn w:val="Standaard"/>
    <w:link w:val="TekstopmerkingChar"/>
    <w:semiHidden/>
    <w:unhideWhenUsed/>
    <w:rsid w:val="00550B19"/>
    <w:rPr>
      <w:sz w:val="20"/>
      <w:szCs w:val="20"/>
    </w:rPr>
  </w:style>
  <w:style w:type="character" w:customStyle="1" w:styleId="TekstopmerkingChar">
    <w:name w:val="Tekst opmerking Char"/>
    <w:basedOn w:val="Standaardalinea-lettertype"/>
    <w:link w:val="Tekstopmerking"/>
    <w:semiHidden/>
    <w:rsid w:val="00550B19"/>
    <w:rPr>
      <w:rFonts w:ascii="Univers" w:hAnsi="Univers"/>
    </w:rPr>
  </w:style>
  <w:style w:type="paragraph" w:styleId="Onderwerpvanopmerking">
    <w:name w:val="annotation subject"/>
    <w:basedOn w:val="Tekstopmerking"/>
    <w:next w:val="Tekstopmerking"/>
    <w:link w:val="OnderwerpvanopmerkingChar"/>
    <w:semiHidden/>
    <w:unhideWhenUsed/>
    <w:rsid w:val="00550B19"/>
    <w:rPr>
      <w:b/>
      <w:bCs/>
    </w:rPr>
  </w:style>
  <w:style w:type="character" w:customStyle="1" w:styleId="OnderwerpvanopmerkingChar">
    <w:name w:val="Onderwerp van opmerking Char"/>
    <w:basedOn w:val="TekstopmerkingChar"/>
    <w:link w:val="Onderwerpvanopmerking"/>
    <w:semiHidden/>
    <w:rsid w:val="00550B19"/>
    <w:rPr>
      <w:rFonts w:ascii="Univers" w:hAnsi="Univers"/>
      <w:b/>
      <w:bCs/>
    </w:rPr>
  </w:style>
  <w:style w:type="character" w:styleId="Voetnootmarkering">
    <w:name w:val="footnote reference"/>
    <w:basedOn w:val="Standaardalinea-lettertype"/>
    <w:semiHidden/>
    <w:unhideWhenUsed/>
    <w:rsid w:val="003C7D5C"/>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998</ap:Words>
  <ap:Characters>5495</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2023-05-01T15:10:00.0000000Z</dcterms:created>
  <dcterms:modified xsi:type="dcterms:W3CDTF">2023-05-01T15:10:00.0000000Z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2023-05-01T15:09:34Z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62a13f37-6ce0-4d17-af5d-79bca3829ab4</vt:lpwstr>
  </property>
  <property fmtid="{D5CDD505-2E9C-101B-9397-08002B2CF9AE}" pid="8" name="MSIP_Label_b2aa6e22-2c82-48c6-bf24-1790f4b9c128_ContentBits">
    <vt:lpwstr>0</vt:lpwstr>
  </property>
</Properties>
</file>