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7CB8" w:rsidR="00DE1FAF" w:rsidP="00DE1FAF" w:rsidRDefault="00F77CB8" w14:paraId="32F5AD05" w14:textId="29240309">
      <w:r>
        <w:rPr>
          <w:sz w:val="28"/>
          <w:szCs w:val="28"/>
        </w:rPr>
        <w:br/>
      </w:r>
      <w:r w:rsidRPr="00F77CB8" w:rsidR="00DE1FAF">
        <w:rPr>
          <w:sz w:val="28"/>
          <w:szCs w:val="28"/>
        </w:rPr>
        <w:t xml:space="preserve">Position paper Trimbos-instituut </w:t>
      </w:r>
      <w:r w:rsidRPr="00F77CB8" w:rsidR="0027475E">
        <w:rPr>
          <w:sz w:val="28"/>
          <w:szCs w:val="28"/>
        </w:rPr>
        <w:t>voor</w:t>
      </w:r>
      <w:r w:rsidRPr="00F77CB8" w:rsidR="00DE1FAF">
        <w:rPr>
          <w:sz w:val="28"/>
          <w:szCs w:val="28"/>
        </w:rPr>
        <w:t xml:space="preserve"> </w:t>
      </w:r>
      <w:r w:rsidRPr="00F77CB8" w:rsidR="000575D4">
        <w:rPr>
          <w:sz w:val="28"/>
          <w:szCs w:val="28"/>
        </w:rPr>
        <w:t xml:space="preserve">het </w:t>
      </w:r>
      <w:r w:rsidRPr="00F77CB8" w:rsidR="00DE1FAF">
        <w:rPr>
          <w:sz w:val="28"/>
          <w:szCs w:val="28"/>
        </w:rPr>
        <w:t xml:space="preserve">rondetafelgesprek Tweede Kamer op 17 april 2023 </w:t>
      </w:r>
      <w:r w:rsidRPr="00F77CB8" w:rsidR="0027475E">
        <w:rPr>
          <w:sz w:val="28"/>
          <w:szCs w:val="28"/>
        </w:rPr>
        <w:t>inzake</w:t>
      </w:r>
      <w:r w:rsidRPr="00F77CB8" w:rsidR="00DE1FAF">
        <w:rPr>
          <w:sz w:val="28"/>
          <w:szCs w:val="28"/>
        </w:rPr>
        <w:t xml:space="preserve"> </w:t>
      </w:r>
      <w:r w:rsidRPr="00F77CB8" w:rsidR="000575D4">
        <w:rPr>
          <w:sz w:val="28"/>
          <w:szCs w:val="28"/>
        </w:rPr>
        <w:t xml:space="preserve">het </w:t>
      </w:r>
      <w:r w:rsidRPr="00F77CB8" w:rsidR="00DE1FAF">
        <w:rPr>
          <w:sz w:val="28"/>
          <w:szCs w:val="28"/>
        </w:rPr>
        <w:t>woonplaatsbeginsel beschermd wonen</w:t>
      </w:r>
    </w:p>
    <w:p w:rsidR="00BB6FDE" w:rsidRDefault="004719C7" w14:paraId="27304B66" w14:textId="7E70DD84">
      <w:r>
        <w:t xml:space="preserve">Het Trimbos-instituut is gevraagd om vanuit wetenschappelijk perspectief in te gaan op het </w:t>
      </w:r>
      <w:r w:rsidR="00C43D10">
        <w:t xml:space="preserve">al dan niet invoeren van het </w:t>
      </w:r>
      <w:r>
        <w:t>woonplaatsbeginsel</w:t>
      </w:r>
      <w:r w:rsidR="00C43D10">
        <w:t xml:space="preserve"> voor beschermd wonen</w:t>
      </w:r>
      <w:r>
        <w:t xml:space="preserve">. </w:t>
      </w:r>
      <w:r w:rsidR="00DE1FAF">
        <w:t>Keiharde wetenschappelijke argumenten zijn er voor de beantwoording van deze vraag niet. Wel kunnen we vanuit onze kennis en ervaring een aantal voor- en nadelen geven en daarmee bijdragen aan de politieke keuze.</w:t>
      </w:r>
      <w:r>
        <w:t xml:space="preserve"> </w:t>
      </w:r>
      <w:r w:rsidR="00910673">
        <w:t>Om kort te gaan, we komen tot de conclusie dat de nadelen groter zijn dan de voordelen.</w:t>
      </w:r>
    </w:p>
    <w:p w:rsidR="004719C7" w:rsidRDefault="004719C7" w14:paraId="1A4CDC81" w14:textId="171F9801">
      <w:r>
        <w:t xml:space="preserve">De kwestie van het woonplaatsbeginsel draait om de vraag of het verstandig is om </w:t>
      </w:r>
      <w:r w:rsidR="00A35344">
        <w:t xml:space="preserve">de financiering van het beschermd wonen </w:t>
      </w:r>
      <w:r>
        <w:t>door te decentraliseren</w:t>
      </w:r>
      <w:r w:rsidR="00A35344">
        <w:t xml:space="preserve"> van 43 centrumgemeenten naar alle 342 gemeenten</w:t>
      </w:r>
      <w:r>
        <w:t xml:space="preserve">. </w:t>
      </w:r>
      <w:r w:rsidR="000728A6">
        <w:t xml:space="preserve">Meer in het bijzonder gaat het om één van de drie elementen </w:t>
      </w:r>
      <w:r w:rsidR="00983FB4">
        <w:t>va</w:t>
      </w:r>
      <w:r w:rsidR="000728A6">
        <w:t xml:space="preserve">n deze doordecentralisatie die bepaalt dat </w:t>
      </w:r>
      <w:r w:rsidRPr="000728A6" w:rsidR="000728A6">
        <w:t>de gemeente waar de ingezetene woon</w:t>
      </w:r>
      <w:r w:rsidR="00A82360">
        <w:t>t</w:t>
      </w:r>
      <w:r w:rsidRPr="000728A6" w:rsidR="000728A6">
        <w:t>, verantwoordelijk wordt voor het verstrekken van beschermd wonen</w:t>
      </w:r>
      <w:r w:rsidR="000728A6">
        <w:t>.</w:t>
      </w:r>
    </w:p>
    <w:p w:rsidRPr="009C6A63" w:rsidR="009C6A63" w:rsidRDefault="009C6A63" w14:paraId="604E712B" w14:textId="29D3F4FC">
      <w:pPr>
        <w:rPr>
          <w:b/>
          <w:bCs/>
        </w:rPr>
      </w:pPr>
      <w:r>
        <w:rPr>
          <w:b/>
          <w:bCs/>
        </w:rPr>
        <w:t>Aanloop en oogmerk</w:t>
      </w:r>
    </w:p>
    <w:p w:rsidR="00E13D71" w:rsidRDefault="00C43D10" w14:paraId="0EAC9406" w14:textId="77272384">
      <w:r>
        <w:t xml:space="preserve">Dit voornemen </w:t>
      </w:r>
      <w:r w:rsidR="00A82360">
        <w:t>vloeit</w:t>
      </w:r>
      <w:r>
        <w:t xml:space="preserve"> nog steeds </w:t>
      </w:r>
      <w:r w:rsidR="00A82360">
        <w:t xml:space="preserve">voort uit </w:t>
      </w:r>
      <w:r>
        <w:t xml:space="preserve">de stelselverandering in 2015 waarbij financiering van het beschermd wonen verschoof van </w:t>
      </w:r>
      <w:r w:rsidR="000728A6">
        <w:t xml:space="preserve">de </w:t>
      </w:r>
      <w:r>
        <w:t>AWBZ, ofwel het regionale niveau van het zorgkantoor</w:t>
      </w:r>
      <w:r w:rsidR="000B675C">
        <w:t>,</w:t>
      </w:r>
      <w:r>
        <w:t xml:space="preserve"> naar </w:t>
      </w:r>
      <w:r w:rsidR="000728A6">
        <w:t xml:space="preserve">het gemeentelijke niveau van </w:t>
      </w:r>
      <w:r>
        <w:t xml:space="preserve">de </w:t>
      </w:r>
      <w:proofErr w:type="spellStart"/>
      <w:r>
        <w:t>W</w:t>
      </w:r>
      <w:r w:rsidR="003D3182">
        <w:t>mo</w:t>
      </w:r>
      <w:proofErr w:type="spellEnd"/>
      <w:r>
        <w:t xml:space="preserve">. </w:t>
      </w:r>
      <w:r w:rsidR="000728A6">
        <w:t xml:space="preserve">Beschermd wonen bleef echter een </w:t>
      </w:r>
      <w:r w:rsidR="0052222D">
        <w:t xml:space="preserve">regionaal belegde </w:t>
      </w:r>
      <w:r w:rsidR="000728A6">
        <w:t>verantwoordelijkheid</w:t>
      </w:r>
      <w:r w:rsidR="0052222D">
        <w:t>, namelijk bij</w:t>
      </w:r>
      <w:r w:rsidR="000728A6">
        <w:t xml:space="preserve"> de 43 centrumgemeenten die ook gaan over de maatschappelijke opvang in hun regio. </w:t>
      </w:r>
      <w:r>
        <w:t xml:space="preserve">De commissie </w:t>
      </w:r>
      <w:proofErr w:type="spellStart"/>
      <w:r>
        <w:t>Dannenberg</w:t>
      </w:r>
      <w:proofErr w:type="spellEnd"/>
      <w:r>
        <w:t xml:space="preserve"> adviseerde</w:t>
      </w:r>
      <w:r w:rsidR="000728A6">
        <w:t xml:space="preserve"> </w:t>
      </w:r>
      <w:r>
        <w:t xml:space="preserve">in 2015 om op termijn door te decentraliseren naar </w:t>
      </w:r>
      <w:r w:rsidR="00DE1FAF">
        <w:t xml:space="preserve">het </w:t>
      </w:r>
      <w:r>
        <w:t xml:space="preserve">gemeentelijk niveau. </w:t>
      </w:r>
      <w:r w:rsidR="0052222D">
        <w:t xml:space="preserve">Sindsdien zijn diverse rapporten </w:t>
      </w:r>
      <w:r w:rsidR="00983FB4">
        <w:t xml:space="preserve">van adviesbureaus </w:t>
      </w:r>
      <w:r w:rsidR="0052222D">
        <w:t>over de kwestie verschenen en heeft ook de Raad van State zich tweemaal over de kwestie gebogen</w:t>
      </w:r>
      <w:r w:rsidR="00257F15">
        <w:t xml:space="preserve">, en </w:t>
      </w:r>
      <w:r w:rsidR="00DE1FAF">
        <w:t xml:space="preserve">beide keren </w:t>
      </w:r>
      <w:r w:rsidR="00257F15">
        <w:t>was het advies in essentie negatief</w:t>
      </w:r>
      <w:r w:rsidR="0052222D">
        <w:t>. D</w:t>
      </w:r>
      <w:r>
        <w:t xml:space="preserve">e </w:t>
      </w:r>
      <w:r w:rsidR="00257F15">
        <w:t>beleids</w:t>
      </w:r>
      <w:r>
        <w:t xml:space="preserve">stappen </w:t>
      </w:r>
      <w:r w:rsidR="00257F15">
        <w:t xml:space="preserve">richting doordecentralisatie zijn verschillende </w:t>
      </w:r>
      <w:r>
        <w:t xml:space="preserve">malen </w:t>
      </w:r>
      <w:r w:rsidR="00257F15">
        <w:t xml:space="preserve">uitgesteld </w:t>
      </w:r>
      <w:r>
        <w:t xml:space="preserve">vanwege de risico’s </w:t>
      </w:r>
      <w:r w:rsidR="000728A6">
        <w:t xml:space="preserve">in de ondersteuning voor een kwetsbare doelgroep </w:t>
      </w:r>
      <w:r>
        <w:t xml:space="preserve">die </w:t>
      </w:r>
      <w:r w:rsidR="00910673">
        <w:t>daaraan</w:t>
      </w:r>
      <w:r>
        <w:t xml:space="preserve"> zijn verbonden.</w:t>
      </w:r>
      <w:r w:rsidR="000728A6">
        <w:t xml:space="preserve"> </w:t>
      </w:r>
      <w:r w:rsidR="00E13D71">
        <w:t>Dit traject doet ons terugdenken aan de door Amsterdam UMC en Trimbos-instituut uitgevoerde evaluatie van de Wet Ver</w:t>
      </w:r>
      <w:r w:rsidR="000B675C">
        <w:t>p</w:t>
      </w:r>
      <w:r w:rsidR="00E13D71">
        <w:t xml:space="preserve">lichte GGZ en Wet Zorg en Dwang, waarbij een langdurig traject </w:t>
      </w:r>
      <w:r w:rsidR="009C6A63">
        <w:t xml:space="preserve">met de beste bedoelingen </w:t>
      </w:r>
      <w:r w:rsidR="00E13D71">
        <w:t xml:space="preserve">resulteerde in een </w:t>
      </w:r>
      <w:r w:rsidR="009C6A63">
        <w:t xml:space="preserve">lappendeken aan steeds verder bijgestelde regelingen die </w:t>
      </w:r>
      <w:r w:rsidR="00E13D71">
        <w:t xml:space="preserve">voor het veld </w:t>
      </w:r>
      <w:r w:rsidR="009C6A63">
        <w:t xml:space="preserve">vervolgens </w:t>
      </w:r>
      <w:r w:rsidR="00E13D71">
        <w:t>moeilijk uitvoerba</w:t>
      </w:r>
      <w:r w:rsidR="009C6A63">
        <w:t>ar bleken te zijn.</w:t>
      </w:r>
    </w:p>
    <w:p w:rsidRPr="009C6A63" w:rsidR="009C6A63" w:rsidRDefault="009C6A63" w14:paraId="3564816B" w14:textId="11AFBE3D">
      <w:pPr>
        <w:rPr>
          <w:b/>
          <w:bCs/>
        </w:rPr>
      </w:pPr>
      <w:r>
        <w:rPr>
          <w:b/>
          <w:bCs/>
        </w:rPr>
        <w:t>Prikkelt het woonplaatsbeginsel zelfstandiger woonalternatieven?</w:t>
      </w:r>
    </w:p>
    <w:p w:rsidR="00C43D10" w:rsidRDefault="00C43D10" w14:paraId="65F69326" w14:textId="280CA4C5">
      <w:r>
        <w:t xml:space="preserve">Het voornaamste oogmerk van het woonplaatsbeginsel, </w:t>
      </w:r>
      <w:r w:rsidR="00D1486F">
        <w:t>in 2015 v</w:t>
      </w:r>
      <w:r w:rsidR="00257F15">
        <w:t>erwoord door</w:t>
      </w:r>
      <w:r>
        <w:t xml:space="preserve"> de commissie </w:t>
      </w:r>
      <w:proofErr w:type="spellStart"/>
      <w:r>
        <w:t>Danne</w:t>
      </w:r>
      <w:r w:rsidR="000728A6">
        <w:t>n</w:t>
      </w:r>
      <w:r>
        <w:t>berg</w:t>
      </w:r>
      <w:proofErr w:type="spellEnd"/>
      <w:r>
        <w:t xml:space="preserve"> en nog steeds </w:t>
      </w:r>
      <w:r w:rsidR="00D1486F">
        <w:t xml:space="preserve">te lezen </w:t>
      </w:r>
      <w:r>
        <w:t>in het huidige voorstel van de staatssecretaris</w:t>
      </w:r>
      <w:r w:rsidR="000B675C">
        <w:t>,</w:t>
      </w:r>
      <w:r w:rsidR="001848A4">
        <w:t xml:space="preserve"> is</w:t>
      </w:r>
      <w:r w:rsidR="009C6A63">
        <w:t xml:space="preserve"> </w:t>
      </w:r>
      <w:r w:rsidR="00257F15">
        <w:t xml:space="preserve">om </w:t>
      </w:r>
      <w:r w:rsidR="001848A4">
        <w:t xml:space="preserve">een transitie van intramuraal beschermd wonen in voornamelijk de centrumgemeenten naar meer ambulante vormen van begeleiding in alle gemeenten te stimuleren. </w:t>
      </w:r>
      <w:r w:rsidR="00D1486F">
        <w:t>Ofwel, de wetswijziging moet de beweging naar meer zelfstandig wonen stimuleren</w:t>
      </w:r>
      <w:r w:rsidR="000B1BF0">
        <w:t>, een streven dat in de sector en door cliënten</w:t>
      </w:r>
      <w:r w:rsidR="003959CB">
        <w:t>vertegenwoordigers</w:t>
      </w:r>
      <w:r w:rsidR="000B1BF0">
        <w:t xml:space="preserve"> ook breed wordt onderschreven</w:t>
      </w:r>
      <w:r w:rsidR="00D1486F">
        <w:t xml:space="preserve">. </w:t>
      </w:r>
      <w:r w:rsidR="0003431A">
        <w:t xml:space="preserve">De gedachtegang daarbij is dat de gemeente die voor het relatief dure beschermd </w:t>
      </w:r>
      <w:r w:rsidR="000B675C">
        <w:t xml:space="preserve">wonen </w:t>
      </w:r>
      <w:r w:rsidR="0003431A">
        <w:t xml:space="preserve">moet gaan betalen, meer gaat investeren in ambulante ondersteuning en preventie. Een simpele rekensom leert </w:t>
      </w:r>
      <w:r w:rsidR="00DE1FAF">
        <w:t xml:space="preserve">echter </w:t>
      </w:r>
      <w:r w:rsidR="0003431A">
        <w:t xml:space="preserve">dat </w:t>
      </w:r>
      <w:r w:rsidR="004531C0">
        <w:t xml:space="preserve">dat nog niet zo vanzelfsprekend is. In de 300 niet-centrumgemeenten wonen </w:t>
      </w:r>
      <w:r w:rsidR="00910673">
        <w:t>circa</w:t>
      </w:r>
      <w:r w:rsidR="004531C0">
        <w:t xml:space="preserve"> 10 miljoen mensen. </w:t>
      </w:r>
      <w:r w:rsidR="00DC1825">
        <w:t xml:space="preserve">De helft daarvan heeft 30.000 of minder inwoners. </w:t>
      </w:r>
      <w:r w:rsidR="004531C0">
        <w:t>Er wonen momenteel 24.</w:t>
      </w:r>
      <w:r w:rsidR="003959CB">
        <w:t>5</w:t>
      </w:r>
      <w:r w:rsidR="004531C0">
        <w:t xml:space="preserve">00 mensen beschermd binnen het kader van de </w:t>
      </w:r>
      <w:proofErr w:type="spellStart"/>
      <w:r w:rsidR="004531C0">
        <w:t>W</w:t>
      </w:r>
      <w:r w:rsidR="003D3182">
        <w:t>mo</w:t>
      </w:r>
      <w:proofErr w:type="spellEnd"/>
      <w:r w:rsidR="004531C0">
        <w:t xml:space="preserve">, waarvan onevenredig veel in de </w:t>
      </w:r>
      <w:r w:rsidR="00DC1825">
        <w:t xml:space="preserve">huidige </w:t>
      </w:r>
      <w:r w:rsidR="004531C0">
        <w:t xml:space="preserve">centrumgemeenten. </w:t>
      </w:r>
      <w:r w:rsidR="00F44D5A">
        <w:t xml:space="preserve">Voor menig niet-centrumgemeente gaat </w:t>
      </w:r>
      <w:r w:rsidR="00257F15">
        <w:t xml:space="preserve">het </w:t>
      </w:r>
      <w:r w:rsidR="009C6A63">
        <w:t xml:space="preserve">derhalve </w:t>
      </w:r>
      <w:r w:rsidR="00F44D5A">
        <w:t xml:space="preserve">om hoogstens een handvol mensen die in een jaar een indicatie voor beschermd wonen </w:t>
      </w:r>
      <w:r w:rsidR="00257F15">
        <w:t xml:space="preserve">zullen </w:t>
      </w:r>
      <w:r w:rsidR="00F44D5A">
        <w:t xml:space="preserve">krijgen. De prikkel die van de voorgenomen maatregel uitgaat </w:t>
      </w:r>
      <w:r w:rsidR="00257F15">
        <w:t xml:space="preserve">om dat te voorkomen </w:t>
      </w:r>
      <w:r w:rsidR="009C6A63">
        <w:t xml:space="preserve">lijkt </w:t>
      </w:r>
      <w:r w:rsidR="00F44D5A">
        <w:t xml:space="preserve">marginaal. </w:t>
      </w:r>
      <w:r w:rsidR="003959CB">
        <w:t xml:space="preserve">Op regionale schaal is dit volume veel groter waardoor er </w:t>
      </w:r>
      <w:r w:rsidR="00257F15">
        <w:t xml:space="preserve">op dat niveau veel </w:t>
      </w:r>
      <w:r w:rsidR="003959CB">
        <w:t xml:space="preserve">meer prikkels zijn voor beleid gericht op passende varianten </w:t>
      </w:r>
      <w:r w:rsidR="00124306">
        <w:t xml:space="preserve">tussen </w:t>
      </w:r>
      <w:r w:rsidR="003959CB">
        <w:t xml:space="preserve">beschermd  en zelfstandig wonen </w:t>
      </w:r>
      <w:r w:rsidR="00124306">
        <w:t>om deze kleine, maar heterogene doelgroep goed te kunnen bedienen.</w:t>
      </w:r>
    </w:p>
    <w:p w:rsidR="003D3182" w:rsidRDefault="003D3182" w14:paraId="6458343D" w14:textId="2F44E03E"/>
    <w:p w:rsidRPr="009C6A63" w:rsidR="009C6A63" w:rsidRDefault="00A406E3" w14:paraId="4FFD7473" w14:textId="639753EB">
      <w:pPr>
        <w:rPr>
          <w:b/>
          <w:bCs/>
        </w:rPr>
      </w:pPr>
      <w:r>
        <w:rPr>
          <w:b/>
          <w:bCs/>
        </w:rPr>
        <w:t>Keuzevrijheid</w:t>
      </w:r>
    </w:p>
    <w:p w:rsidR="00A406E3" w:rsidP="00A406E3" w:rsidRDefault="003D3182" w14:paraId="17E8DB0B" w14:textId="52766B91">
      <w:r>
        <w:t xml:space="preserve">Het belang van het streven naar zelfstandiger wonen en sociale inclusie is zonneklaar, ook op basis van wetenschappelijk onderzoek. </w:t>
      </w:r>
      <w:r w:rsidR="00124306">
        <w:t>E</w:t>
      </w:r>
      <w:r>
        <w:t xml:space="preserve">en </w:t>
      </w:r>
      <w:r w:rsidR="00A406E3">
        <w:t xml:space="preserve">mislukt Engels </w:t>
      </w:r>
      <w:r>
        <w:t>onderzoek</w:t>
      </w:r>
      <w:r w:rsidR="00A406E3">
        <w:rPr>
          <w:rStyle w:val="Eindnootmarkering"/>
        </w:rPr>
        <w:endnoteReference w:id="1"/>
      </w:r>
      <w:r>
        <w:t xml:space="preserve"> </w:t>
      </w:r>
      <w:r w:rsidR="00A406E3">
        <w:t xml:space="preserve">van gerenommeerde wetenschappers </w:t>
      </w:r>
      <w:r>
        <w:t xml:space="preserve">naar </w:t>
      </w:r>
      <w:r w:rsidR="00A406E3">
        <w:t xml:space="preserve">de vergelijking van beschermd wonen versus ambulant wonen met ondersteuning </w:t>
      </w:r>
      <w:r w:rsidR="00124306">
        <w:t xml:space="preserve">geeft in dit verband </w:t>
      </w:r>
      <w:r w:rsidR="00A406E3">
        <w:t xml:space="preserve">te denken. De onderzoekers </w:t>
      </w:r>
      <w:r w:rsidR="00124306">
        <w:t>staakten hun pogingen</w:t>
      </w:r>
      <w:r w:rsidR="00A406E3">
        <w:t xml:space="preserve"> na anderhalf jaar. Cliënten en hulpverleners wilden niet dat het lot zou gaan bepalen of de cliënt beschermd of met ambulante ondersteuning zou gaan wonen. </w:t>
      </w:r>
    </w:p>
    <w:p w:rsidR="00A35344" w:rsidRDefault="00A35344" w14:paraId="186F3672" w14:textId="0B094A7F">
      <w:r>
        <w:t xml:space="preserve">Dat brengt ons bij een belangrijk aspect aan deze kwestie: keuzevrijheid van een cliënt om de best passende woonvorm te zoeken. </w:t>
      </w:r>
      <w:r w:rsidR="0003431A">
        <w:t xml:space="preserve">Dat hoeft niet altijd een woonvorm in de buurt te zijn, net zoals er voor ons allemaal soms overwegingen zijn om naar een andere </w:t>
      </w:r>
      <w:r w:rsidR="009C6A63">
        <w:t>regio of provincie</w:t>
      </w:r>
      <w:r w:rsidR="0003431A">
        <w:t xml:space="preserve"> te willen verhuizen. Hoe we het ook wenden of keren, invoering van het woonplaatsbeginsel werpt daarvoor extra barrières op.</w:t>
      </w:r>
      <w:r w:rsidR="00F44D5A">
        <w:t xml:space="preserve"> </w:t>
      </w:r>
      <w:r w:rsidR="003959CB">
        <w:t>Dit t</w:t>
      </w:r>
      <w:r w:rsidR="006B5509">
        <w:t xml:space="preserve">erwijl </w:t>
      </w:r>
      <w:r w:rsidR="00F44D5A">
        <w:t xml:space="preserve">de </w:t>
      </w:r>
      <w:r w:rsidR="003959CB">
        <w:t>meest recente CBS-</w:t>
      </w:r>
      <w:r w:rsidR="00F44D5A">
        <w:t xml:space="preserve">cijfers </w:t>
      </w:r>
      <w:r w:rsidR="006B5509">
        <w:t xml:space="preserve">laten zien dat een substantiële minderheid van de beschermd </w:t>
      </w:r>
      <w:proofErr w:type="spellStart"/>
      <w:r w:rsidR="006B5509">
        <w:t>wonenden</w:t>
      </w:r>
      <w:proofErr w:type="spellEnd"/>
      <w:r w:rsidR="006B5509">
        <w:t xml:space="preserve"> uit een andere regio komt. </w:t>
      </w:r>
      <w:r w:rsidR="0052222D">
        <w:t>De</w:t>
      </w:r>
      <w:r w:rsidR="00257F15">
        <w:t>ze</w:t>
      </w:r>
      <w:r w:rsidR="0052222D">
        <w:t xml:space="preserve"> keuzevrijheid </w:t>
      </w:r>
      <w:r w:rsidR="00257F15">
        <w:t>wordt met de invoering van het woonplaatsbeginsel</w:t>
      </w:r>
      <w:r w:rsidR="0052222D">
        <w:t xml:space="preserve"> beperkt.</w:t>
      </w:r>
    </w:p>
    <w:p w:rsidRPr="009C6A63" w:rsidR="009C6A63" w:rsidRDefault="009C6A63" w14:paraId="2B705534" w14:textId="497C5BB1">
      <w:pPr>
        <w:rPr>
          <w:b/>
          <w:bCs/>
        </w:rPr>
      </w:pPr>
      <w:r>
        <w:rPr>
          <w:b/>
          <w:bCs/>
        </w:rPr>
        <w:t>Gemeentelijke synergie, maar regionale fragmentatie</w:t>
      </w:r>
    </w:p>
    <w:p w:rsidR="006B5509" w:rsidRDefault="006B5509" w14:paraId="2B98AC5F" w14:textId="4D56D720">
      <w:r>
        <w:t>Een argument voor doordecentralisatie en het woonplaatsbeginsel is synergie. De</w:t>
      </w:r>
      <w:r w:rsidR="00E0470C">
        <w:t xml:space="preserve"> afzonderlijke</w:t>
      </w:r>
      <w:r>
        <w:t xml:space="preserve"> gemeenten </w:t>
      </w:r>
      <w:r w:rsidR="00E0470C">
        <w:t>voeren immers al</w:t>
      </w:r>
      <w:r w:rsidR="0052222D">
        <w:t xml:space="preserve"> de meeste </w:t>
      </w:r>
      <w:r w:rsidR="00E0470C">
        <w:t xml:space="preserve">andere </w:t>
      </w:r>
      <w:proofErr w:type="spellStart"/>
      <w:r w:rsidR="00E0470C">
        <w:t>W</w:t>
      </w:r>
      <w:r w:rsidR="003D3182">
        <w:t>mo</w:t>
      </w:r>
      <w:proofErr w:type="spellEnd"/>
      <w:r w:rsidR="00E0470C">
        <w:t xml:space="preserve">-taken uit. </w:t>
      </w:r>
      <w:r w:rsidR="00257F15">
        <w:t xml:space="preserve">Aan dit voordeel kleeft ook een nadeel. </w:t>
      </w:r>
      <w:r w:rsidR="003B6644">
        <w:t>D</w:t>
      </w:r>
      <w:r w:rsidR="00E0470C">
        <w:t>e</w:t>
      </w:r>
      <w:r w:rsidR="003B6644">
        <w:t xml:space="preserve"> beoogde synergie </w:t>
      </w:r>
      <w:r w:rsidR="00257F15">
        <w:t>gaat gepaard met</w:t>
      </w:r>
      <w:r w:rsidR="003B6644">
        <w:t xml:space="preserve"> fragmentatie op andere fronten</w:t>
      </w:r>
      <w:r w:rsidR="00E0470C">
        <w:t>. Immers, belangrijke voorzieningen voor deze kwetsbare doelgroep, zoals de geestelijke gezondheidszorg</w:t>
      </w:r>
      <w:r w:rsidR="000B675C">
        <w:t xml:space="preserve"> binnen de </w:t>
      </w:r>
      <w:proofErr w:type="spellStart"/>
      <w:r w:rsidR="000B675C">
        <w:t>Z</w:t>
      </w:r>
      <w:r w:rsidR="00A406E3">
        <w:t>vw</w:t>
      </w:r>
      <w:proofErr w:type="spellEnd"/>
      <w:r w:rsidR="0052222D">
        <w:t>, de maatschappelijke opvang</w:t>
      </w:r>
      <w:r w:rsidR="00E0470C">
        <w:t xml:space="preserve"> </w:t>
      </w:r>
      <w:r w:rsidR="000B675C">
        <w:t xml:space="preserve">binnen de </w:t>
      </w:r>
      <w:proofErr w:type="spellStart"/>
      <w:r w:rsidR="000B675C">
        <w:t>W</w:t>
      </w:r>
      <w:r w:rsidR="003D3182">
        <w:t>mo</w:t>
      </w:r>
      <w:proofErr w:type="spellEnd"/>
      <w:r w:rsidR="000B675C">
        <w:t xml:space="preserve"> </w:t>
      </w:r>
      <w:r w:rsidR="00E0470C">
        <w:t xml:space="preserve">en het </w:t>
      </w:r>
      <w:r w:rsidR="000B675C">
        <w:t xml:space="preserve">deel van het beschermd wonen dat via de </w:t>
      </w:r>
      <w:proofErr w:type="spellStart"/>
      <w:r w:rsidR="000B675C">
        <w:t>W</w:t>
      </w:r>
      <w:r w:rsidR="00A406E3">
        <w:t>lz</w:t>
      </w:r>
      <w:proofErr w:type="spellEnd"/>
      <w:r w:rsidR="000B675C">
        <w:t xml:space="preserve"> wordt bekostigd,</w:t>
      </w:r>
      <w:r w:rsidR="00E0470C">
        <w:t xml:space="preserve"> worden </w:t>
      </w:r>
      <w:r w:rsidR="000B675C">
        <w:t xml:space="preserve">allen </w:t>
      </w:r>
      <w:r w:rsidR="00E0470C">
        <w:t xml:space="preserve">op regionaal niveau georganiseerd. </w:t>
      </w:r>
      <w:r w:rsidR="000B1BF0">
        <w:t>In het wetsvoornemen wordt deze dreigende fragmentatie tegen</w:t>
      </w:r>
      <w:r w:rsidR="00257F15">
        <w:t>ge</w:t>
      </w:r>
      <w:r w:rsidR="000B1BF0">
        <w:t xml:space="preserve">gaan door regionale samenwerking </w:t>
      </w:r>
      <w:r w:rsidR="0052222D">
        <w:t>op te leggen</w:t>
      </w:r>
      <w:r w:rsidR="000B1BF0">
        <w:t>. Maar</w:t>
      </w:r>
      <w:r w:rsidR="00E0470C">
        <w:t xml:space="preserve"> laten we het zoals het is, dan is het</w:t>
      </w:r>
      <w:r w:rsidR="000B675C">
        <w:t xml:space="preserve"> </w:t>
      </w:r>
      <w:r w:rsidR="00A406E3">
        <w:t>eenvoudiger om</w:t>
      </w:r>
      <w:r w:rsidR="00E0470C">
        <w:t xml:space="preserve"> de regionale synergie te behouden</w:t>
      </w:r>
      <w:r w:rsidR="000B1BF0">
        <w:t xml:space="preserve"> of te versterken</w:t>
      </w:r>
      <w:r w:rsidR="00E0470C">
        <w:t xml:space="preserve">. </w:t>
      </w:r>
    </w:p>
    <w:p w:rsidRPr="009C6A63" w:rsidR="009C6A63" w:rsidRDefault="009C6A63" w14:paraId="6796BEFD" w14:textId="05CD3DAA">
      <w:pPr>
        <w:rPr>
          <w:b/>
          <w:bCs/>
        </w:rPr>
      </w:pPr>
      <w:r>
        <w:rPr>
          <w:b/>
          <w:bCs/>
        </w:rPr>
        <w:t>Naar een simpeler, flexibeler stelsel</w:t>
      </w:r>
    </w:p>
    <w:p w:rsidR="00983FB4" w:rsidRDefault="003B6644" w14:paraId="76AAD7A2" w14:textId="1F4BB899">
      <w:r>
        <w:t xml:space="preserve">Eén van de vragen </w:t>
      </w:r>
      <w:r w:rsidR="000B1BF0">
        <w:t>bij deze rond</w:t>
      </w:r>
      <w:r w:rsidR="0052222D">
        <w:t>e</w:t>
      </w:r>
      <w:r w:rsidR="000B1BF0">
        <w:t xml:space="preserve"> tafel </w:t>
      </w:r>
      <w:r>
        <w:t xml:space="preserve">gaat over de lessen die uit </w:t>
      </w:r>
      <w:r w:rsidR="00983FB4">
        <w:t>andere</w:t>
      </w:r>
      <w:r>
        <w:t xml:space="preserve"> decentralisaties kunnen worden geleerd. </w:t>
      </w:r>
      <w:r w:rsidR="00983FB4">
        <w:t xml:space="preserve">In Finland en Denemarken is de zorg in het verleden gedecentraliseerd. Daar is afgelopen jaren een tegenbeweging op gang gekomen naar juist meer regionalisering, een niveau hoger dan individuele gemeenten. Reden daarvoor was dat er voldoende schaalgrootte nodig is om de zorg op een goede manier te kunnen organiseren. Maar ook omdat dan de kennis van het organiseren en inkopen van zorg beter geborgd is. </w:t>
      </w:r>
      <w:r w:rsidR="00910673">
        <w:t>Bij het beschermd wonen knelt dit des te meer.</w:t>
      </w:r>
    </w:p>
    <w:p w:rsidR="00E13D71" w:rsidRDefault="00E0470C" w14:paraId="22067C94" w14:textId="36F58E30">
      <w:r>
        <w:t xml:space="preserve">Meer in het algemeen kan worden geconstateerd dat het </w:t>
      </w:r>
      <w:r w:rsidR="00910673">
        <w:t xml:space="preserve">Nederlandse </w:t>
      </w:r>
      <w:r>
        <w:t>zorgstelsel voor mensen met psychische problemen piept en kraakt</w:t>
      </w:r>
      <w:r w:rsidR="00750DFC">
        <w:t xml:space="preserve">. In de jaren negentig van de vorige eeuw was er één wet die nagenoeg alles regelde, sinds de invoering van de Zorgverzekeringswet en </w:t>
      </w:r>
      <w:proofErr w:type="spellStart"/>
      <w:r w:rsidR="00750DFC">
        <w:t>W</w:t>
      </w:r>
      <w:r w:rsidR="003D3182">
        <w:t>mo</w:t>
      </w:r>
      <w:proofErr w:type="spellEnd"/>
      <w:r w:rsidR="00750DFC">
        <w:t xml:space="preserve"> zijn er stapsgewijs steeds meer kokers gekomen, waardoor we nu steeds meer ons ho</w:t>
      </w:r>
      <w:r w:rsidR="003B6644">
        <w:t>o</w:t>
      </w:r>
      <w:r w:rsidR="00750DFC">
        <w:t>f</w:t>
      </w:r>
      <w:r w:rsidR="003B6644">
        <w:t>d</w:t>
      </w:r>
      <w:r w:rsidR="00750DFC">
        <w:t xml:space="preserve"> moeten breken over </w:t>
      </w:r>
      <w:proofErr w:type="spellStart"/>
      <w:r w:rsidR="00750DFC">
        <w:t>domeinoverstijgend</w:t>
      </w:r>
      <w:proofErr w:type="spellEnd"/>
      <w:r w:rsidR="00750DFC">
        <w:t xml:space="preserve"> samenwerken</w:t>
      </w:r>
      <w:r w:rsidR="003B6644">
        <w:t xml:space="preserve"> en</w:t>
      </w:r>
      <w:r w:rsidR="00750DFC">
        <w:t xml:space="preserve"> het doorbreken van schotten. </w:t>
      </w:r>
      <w:r w:rsidR="000B1BF0">
        <w:t>E</w:t>
      </w:r>
      <w:r w:rsidR="00750DFC">
        <w:t xml:space="preserve">lke volgende stap in de wetgeving </w:t>
      </w:r>
      <w:r w:rsidR="000B1BF0">
        <w:t xml:space="preserve">zou </w:t>
      </w:r>
      <w:r w:rsidR="00750DFC">
        <w:t>moet</w:t>
      </w:r>
      <w:r w:rsidR="000B1BF0">
        <w:t>en</w:t>
      </w:r>
      <w:r w:rsidR="00750DFC">
        <w:t xml:space="preserve"> helpen bij </w:t>
      </w:r>
      <w:r w:rsidR="003B6644">
        <w:t xml:space="preserve">flexibilisering en </w:t>
      </w:r>
      <w:r w:rsidR="00750DFC">
        <w:t xml:space="preserve">vereenvoudiging van het stelsel, en niet </w:t>
      </w:r>
      <w:r w:rsidR="000B1BF0">
        <w:t>bijdragen aan</w:t>
      </w:r>
      <w:r w:rsidR="00750DFC">
        <w:t xml:space="preserve"> verdere verkokering. </w:t>
      </w:r>
      <w:r w:rsidR="00DA4A69">
        <w:t>Invoering van h</w:t>
      </w:r>
      <w:r w:rsidR="00750DFC">
        <w:t>et woonplaatsbeginsel lijkt in dat opzicht geen stap in de goede richting.</w:t>
      </w:r>
      <w:r w:rsidR="003B6644">
        <w:t xml:space="preserve"> </w:t>
      </w:r>
    </w:p>
    <w:p w:rsidRPr="00910673" w:rsidR="00910673" w:rsidRDefault="00D62A5A" w14:paraId="055CA1A8" w14:textId="05FE8698">
      <w:pPr>
        <w:rPr>
          <w:b/>
          <w:bCs/>
        </w:rPr>
      </w:pPr>
      <w:r>
        <w:rPr>
          <w:b/>
          <w:bCs/>
        </w:rPr>
        <w:t>Hoe kunnen we de doelrealisatie m</w:t>
      </w:r>
      <w:r w:rsidR="00910673">
        <w:rPr>
          <w:b/>
          <w:bCs/>
        </w:rPr>
        <w:t>onitor</w:t>
      </w:r>
      <w:r>
        <w:rPr>
          <w:b/>
          <w:bCs/>
        </w:rPr>
        <w:t>en?</w:t>
      </w:r>
    </w:p>
    <w:p w:rsidR="004719C7" w:rsidRDefault="00257F15" w14:paraId="348962E0" w14:textId="1558A072">
      <w:r>
        <w:t>De laatste vraag voor deze ronde tafel is hoe we ervoor kunnen</w:t>
      </w:r>
      <w:r w:rsidR="00E13D71">
        <w:t xml:space="preserve"> zorgen dat het beoogde doel van de wet</w:t>
      </w:r>
      <w:r w:rsidR="00910673">
        <w:t>swijziging</w:t>
      </w:r>
      <w:r w:rsidR="00E13D71">
        <w:t xml:space="preserve"> ook wordt bereikt. Deze beoogde beweging is onderdeel van een veel groter vraagstuk </w:t>
      </w:r>
      <w:r w:rsidR="00E13D71">
        <w:lastRenderedPageBreak/>
        <w:t>dat door het Trimbos-instituut onder meer wordt behandeld in het rapport Ggz uit de knel</w:t>
      </w:r>
      <w:r w:rsidR="00124306">
        <w:rPr>
          <w:rStyle w:val="Eindnootmarkering"/>
        </w:rPr>
        <w:endnoteReference w:id="2"/>
      </w:r>
      <w:r w:rsidR="00E13D71">
        <w:t xml:space="preserve">, waarin we zes bouwstenen benoemen voor een meer toekomstbestendig georganiseerde geestelijke gezondheidszorg. We willen dat rapport ook in dit verband van harte aanbevelen. </w:t>
      </w:r>
      <w:r w:rsidR="000B675C">
        <w:t>Monitoring kan dan bestaan uit het volgend van de trend</w:t>
      </w:r>
      <w:r w:rsidR="00910673">
        <w:t>s</w:t>
      </w:r>
      <w:r w:rsidR="000B675C">
        <w:t xml:space="preserve"> in beschermd wonen en de mate waarin regionaal de zes bouwstenen in samenhang worden ingevuld. </w:t>
      </w:r>
      <w:r w:rsidR="00E13D71">
        <w:t>En zoals gezegd, cruciaal is dat sector, cliëntenbeweging en gemeenten de</w:t>
      </w:r>
      <w:r w:rsidR="000B675C">
        <w:t>ze</w:t>
      </w:r>
      <w:r w:rsidR="00E13D71">
        <w:t xml:space="preserve"> beweging onderschrijven. Aan u wordt </w:t>
      </w:r>
      <w:r w:rsidR="00DA4A69">
        <w:t xml:space="preserve">daarvoor </w:t>
      </w:r>
      <w:r w:rsidR="00E13D71">
        <w:t>vertrouwen en facilitering gevraagd.</w:t>
      </w:r>
    </w:p>
    <w:p w:rsidR="000575D4" w:rsidRDefault="000575D4" w14:paraId="610B6A2F" w14:textId="52454CB4">
      <w:r>
        <w:t>Auteur: Prof. dr. Hans Kroon</w:t>
      </w:r>
    </w:p>
    <w:p w:rsidR="000575D4" w:rsidRDefault="000575D4" w14:paraId="7FD50AE3" w14:textId="77777777"/>
    <w:sectPr w:rsidR="000575D4">
      <w:headerReference w:type="default" r:id="rId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3057A" w14:textId="77777777" w:rsidR="000D49F9" w:rsidRDefault="000D49F9" w:rsidP="00A406E3">
      <w:pPr>
        <w:spacing w:after="0" w:line="240" w:lineRule="auto"/>
      </w:pPr>
      <w:r>
        <w:separator/>
      </w:r>
    </w:p>
  </w:endnote>
  <w:endnote w:type="continuationSeparator" w:id="0">
    <w:p w14:paraId="3369FB4D" w14:textId="77777777" w:rsidR="000D49F9" w:rsidRDefault="000D49F9" w:rsidP="00A406E3">
      <w:pPr>
        <w:spacing w:after="0" w:line="240" w:lineRule="auto"/>
      </w:pPr>
      <w:r>
        <w:continuationSeparator/>
      </w:r>
    </w:p>
  </w:endnote>
  <w:endnote w:id="1">
    <w:p w14:paraId="0E5C52F5" w14:textId="6D27A815" w:rsidR="00A406E3" w:rsidRDefault="00A406E3">
      <w:pPr>
        <w:pStyle w:val="Eindnoottekst"/>
      </w:pPr>
      <w:r>
        <w:rPr>
          <w:rStyle w:val="Eindnootmarkering"/>
        </w:rPr>
        <w:endnoteRef/>
      </w:r>
      <w:r w:rsidRPr="00124306">
        <w:rPr>
          <w:lang w:val="en-GB"/>
        </w:rPr>
        <w:t xml:space="preserve"> </w:t>
      </w:r>
      <w:r w:rsidR="00124306" w:rsidRPr="00124306">
        <w:rPr>
          <w:rFonts w:ascii="Segoe UI" w:hAnsi="Segoe UI" w:cs="Segoe UI"/>
          <w:color w:val="212121"/>
          <w:shd w:val="clear" w:color="auto" w:fill="FFFFFF"/>
          <w:lang w:val="en-GB"/>
        </w:rPr>
        <w:t>Killaspy, H., Priebe, S., McPherson, P., Zenasni, Z., McCrone, P., Dowling, S., Harrison, I., Krotofil, J., Dalton-Locke, C., McGranahan, R., Arbuthnott, M., Curtis, S., Leavey, G., MacPherson, R., Eldridge, S., &amp; King, M. (2019). Feasibility Randomised Trial Comparing Two Forms of Mental Health Supported Accommodation (Supported Housing and Floating Outreach); a Component of the QuEST (Quality and Effectiveness of Supported Tenancies) Study. </w:t>
      </w:r>
      <w:r w:rsidR="00124306">
        <w:rPr>
          <w:rFonts w:ascii="Segoe UI" w:hAnsi="Segoe UI" w:cs="Segoe UI"/>
          <w:i/>
          <w:iCs/>
          <w:color w:val="212121"/>
          <w:shd w:val="clear" w:color="auto" w:fill="FFFFFF"/>
        </w:rPr>
        <w:t>Frontiers in psychiatry</w:t>
      </w:r>
      <w:r w:rsidR="00124306">
        <w:rPr>
          <w:rFonts w:ascii="Segoe UI" w:hAnsi="Segoe UI" w:cs="Segoe UI"/>
          <w:color w:val="212121"/>
          <w:shd w:val="clear" w:color="auto" w:fill="FFFFFF"/>
        </w:rPr>
        <w:t>, </w:t>
      </w:r>
      <w:r w:rsidR="00124306">
        <w:rPr>
          <w:rFonts w:ascii="Segoe UI" w:hAnsi="Segoe UI" w:cs="Segoe UI"/>
          <w:i/>
          <w:iCs/>
          <w:color w:val="212121"/>
          <w:shd w:val="clear" w:color="auto" w:fill="FFFFFF"/>
        </w:rPr>
        <w:t>10</w:t>
      </w:r>
      <w:r w:rsidR="00124306">
        <w:rPr>
          <w:rFonts w:ascii="Segoe UI" w:hAnsi="Segoe UI" w:cs="Segoe UI"/>
          <w:color w:val="212121"/>
          <w:shd w:val="clear" w:color="auto" w:fill="FFFFFF"/>
        </w:rPr>
        <w:t>, 258. https://doi.org/10.3389/fpsyt.2019.00258</w:t>
      </w:r>
    </w:p>
  </w:endnote>
  <w:endnote w:id="2">
    <w:p w14:paraId="4A4E5D80" w14:textId="6BDDD3D0" w:rsidR="00124306" w:rsidRDefault="00124306">
      <w:pPr>
        <w:pStyle w:val="Eindnoottekst"/>
      </w:pPr>
      <w:r>
        <w:rPr>
          <w:rStyle w:val="Eindnootmarkering"/>
        </w:rPr>
        <w:endnoteRef/>
      </w:r>
      <w:r>
        <w:t xml:space="preserve"> </w:t>
      </w:r>
      <w:hyperlink r:id="rId1" w:history="1">
        <w:r>
          <w:rPr>
            <w:rStyle w:val="Hyperlink"/>
          </w:rPr>
          <w:t>Ggz uit de knel - Trimbos-instituut</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CA7B" w14:textId="4A67D458" w:rsidR="00D72D36" w:rsidRDefault="00D72D36">
    <w:pPr>
      <w:pStyle w:val="Voettekst"/>
      <w:rPr>
        <w:rFonts w:ascii="Verdana" w:hAnsi="Verdana"/>
        <w:sz w:val="16"/>
        <w:szCs w:val="16"/>
      </w:rPr>
    </w:pPr>
    <w:r w:rsidRPr="00D72D36">
      <w:rPr>
        <w:rFonts w:ascii="Verdana" w:hAnsi="Verdana"/>
        <w:sz w:val="16"/>
        <w:szCs w:val="16"/>
      </w:rPr>
      <w:t>Position paper Trimbos-instituut woonplaatsbeginsel beschermd wonen</w:t>
    </w:r>
  </w:p>
  <w:p w14:paraId="0C4A10F5" w14:textId="714FC720" w:rsidR="00D72D36" w:rsidRPr="00D72D36" w:rsidRDefault="006C06BE">
    <w:pPr>
      <w:pStyle w:val="Voettekst"/>
      <w:rPr>
        <w:rFonts w:ascii="Verdana" w:hAnsi="Verdana"/>
        <w:sz w:val="20"/>
        <w:szCs w:val="20"/>
      </w:rPr>
    </w:pPr>
    <w:r>
      <w:rPr>
        <w:rFonts w:ascii="Verdana" w:hAnsi="Verdana"/>
        <w:sz w:val="16"/>
        <w:szCs w:val="16"/>
      </w:rPr>
      <w:t>A</w:t>
    </w:r>
    <w:r w:rsidR="00D72D36">
      <w:rPr>
        <w:rFonts w:ascii="Verdana" w:hAnsi="Verdana"/>
        <w:sz w:val="16"/>
        <w:szCs w:val="16"/>
      </w:rPr>
      <w:t>uteur Prof. dr. Hans Kroon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579CE" w14:textId="77777777" w:rsidR="000D49F9" w:rsidRDefault="000D49F9" w:rsidP="00A406E3">
      <w:pPr>
        <w:spacing w:after="0" w:line="240" w:lineRule="auto"/>
      </w:pPr>
      <w:r>
        <w:separator/>
      </w:r>
    </w:p>
  </w:footnote>
  <w:footnote w:type="continuationSeparator" w:id="0">
    <w:p w14:paraId="713E6ACD" w14:textId="77777777" w:rsidR="000D49F9" w:rsidRDefault="000D49F9" w:rsidP="00A40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5D4D" w14:textId="0CCBBF1A" w:rsidR="00F77CB8" w:rsidRDefault="00F77CB8">
    <w:pPr>
      <w:pStyle w:val="Koptekst"/>
    </w:pPr>
    <w:r>
      <w:rPr>
        <w:noProof/>
        <w:color w:val="2AAAAE"/>
        <w:sz w:val="28"/>
        <w:szCs w:val="28"/>
      </w:rPr>
      <w:drawing>
        <wp:anchor distT="0" distB="0" distL="114300" distR="114300" simplePos="0" relativeHeight="251659264" behindDoc="0" locked="0" layoutInCell="1" allowOverlap="1" wp14:anchorId="7F6F0535" wp14:editId="7E9A27FD">
          <wp:simplePos x="0" y="0"/>
          <wp:positionH relativeFrom="column">
            <wp:posOffset>4732655</wp:posOffset>
          </wp:positionH>
          <wp:positionV relativeFrom="paragraph">
            <wp:posOffset>-211455</wp:posOffset>
          </wp:positionV>
          <wp:extent cx="1094740" cy="62865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94740"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255D0"/>
    <w:multiLevelType w:val="hybridMultilevel"/>
    <w:tmpl w:val="B5F27E9E"/>
    <w:lvl w:ilvl="0" w:tplc="764C9F9C">
      <w:start w:val="4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194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C7"/>
    <w:rsid w:val="0003431A"/>
    <w:rsid w:val="000575D4"/>
    <w:rsid w:val="00062AB5"/>
    <w:rsid w:val="00071D77"/>
    <w:rsid w:val="000728A6"/>
    <w:rsid w:val="000B1BF0"/>
    <w:rsid w:val="000B675C"/>
    <w:rsid w:val="000D49F9"/>
    <w:rsid w:val="00124306"/>
    <w:rsid w:val="001848A4"/>
    <w:rsid w:val="00257F15"/>
    <w:rsid w:val="0027475E"/>
    <w:rsid w:val="003959CB"/>
    <w:rsid w:val="003B6644"/>
    <w:rsid w:val="003D3182"/>
    <w:rsid w:val="004531C0"/>
    <w:rsid w:val="004719C7"/>
    <w:rsid w:val="004B35A6"/>
    <w:rsid w:val="0052222D"/>
    <w:rsid w:val="006B5509"/>
    <w:rsid w:val="006C06BE"/>
    <w:rsid w:val="00750DFC"/>
    <w:rsid w:val="00910673"/>
    <w:rsid w:val="00983FB4"/>
    <w:rsid w:val="009C6A63"/>
    <w:rsid w:val="00A35344"/>
    <w:rsid w:val="00A406E3"/>
    <w:rsid w:val="00A56301"/>
    <w:rsid w:val="00A64D3D"/>
    <w:rsid w:val="00A82360"/>
    <w:rsid w:val="00A84666"/>
    <w:rsid w:val="00AB61A1"/>
    <w:rsid w:val="00B023D8"/>
    <w:rsid w:val="00C43D10"/>
    <w:rsid w:val="00D1486F"/>
    <w:rsid w:val="00D62A5A"/>
    <w:rsid w:val="00D72D36"/>
    <w:rsid w:val="00D75045"/>
    <w:rsid w:val="00DA4A69"/>
    <w:rsid w:val="00DC1825"/>
    <w:rsid w:val="00DE1FAF"/>
    <w:rsid w:val="00E0470C"/>
    <w:rsid w:val="00E13D71"/>
    <w:rsid w:val="00F44D5A"/>
    <w:rsid w:val="00F77C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F2F2"/>
  <w15:chartTrackingRefBased/>
  <w15:docId w15:val="{E629EAF7-75B4-4750-9B48-30B4F2BB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84666"/>
    <w:pPr>
      <w:ind w:left="720"/>
      <w:contextualSpacing/>
    </w:pPr>
  </w:style>
  <w:style w:type="paragraph" w:customStyle="1" w:styleId="Default">
    <w:name w:val="Default"/>
    <w:rsid w:val="00DE1FAF"/>
    <w:pPr>
      <w:autoSpaceDE w:val="0"/>
      <w:autoSpaceDN w:val="0"/>
      <w:adjustRightInd w:val="0"/>
      <w:spacing w:after="0" w:line="240" w:lineRule="auto"/>
    </w:pPr>
    <w:rPr>
      <w:rFonts w:ascii="Calibri" w:hAnsi="Calibri" w:cs="Calibri"/>
      <w:color w:val="000000"/>
      <w:sz w:val="24"/>
      <w:szCs w:val="24"/>
    </w:rPr>
  </w:style>
  <w:style w:type="paragraph" w:styleId="Geenafstand">
    <w:name w:val="No Spacing"/>
    <w:uiPriority w:val="1"/>
    <w:qFormat/>
    <w:rsid w:val="00DE1FAF"/>
    <w:pPr>
      <w:spacing w:after="0" w:line="240" w:lineRule="auto"/>
    </w:pPr>
  </w:style>
  <w:style w:type="paragraph" w:styleId="Eindnoottekst">
    <w:name w:val="endnote text"/>
    <w:basedOn w:val="Standaard"/>
    <w:link w:val="EindnoottekstChar"/>
    <w:uiPriority w:val="99"/>
    <w:semiHidden/>
    <w:unhideWhenUsed/>
    <w:rsid w:val="00A406E3"/>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A406E3"/>
    <w:rPr>
      <w:sz w:val="20"/>
      <w:szCs w:val="20"/>
    </w:rPr>
  </w:style>
  <w:style w:type="character" w:styleId="Eindnootmarkering">
    <w:name w:val="endnote reference"/>
    <w:basedOn w:val="Standaardalinea-lettertype"/>
    <w:uiPriority w:val="99"/>
    <w:semiHidden/>
    <w:unhideWhenUsed/>
    <w:rsid w:val="00A406E3"/>
    <w:rPr>
      <w:vertAlign w:val="superscript"/>
    </w:rPr>
  </w:style>
  <w:style w:type="character" w:styleId="Hyperlink">
    <w:name w:val="Hyperlink"/>
    <w:basedOn w:val="Standaardalinea-lettertype"/>
    <w:uiPriority w:val="99"/>
    <w:semiHidden/>
    <w:unhideWhenUsed/>
    <w:rsid w:val="00124306"/>
    <w:rPr>
      <w:color w:val="0000FF"/>
      <w:u w:val="single"/>
    </w:rPr>
  </w:style>
  <w:style w:type="paragraph" w:styleId="Koptekst">
    <w:name w:val="header"/>
    <w:basedOn w:val="Standaard"/>
    <w:link w:val="KoptekstChar"/>
    <w:uiPriority w:val="99"/>
    <w:unhideWhenUsed/>
    <w:rsid w:val="00F77C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7CB8"/>
  </w:style>
  <w:style w:type="paragraph" w:styleId="Voettekst">
    <w:name w:val="footer"/>
    <w:basedOn w:val="Standaard"/>
    <w:link w:val="VoettekstChar"/>
    <w:uiPriority w:val="99"/>
    <w:unhideWhenUsed/>
    <w:rsid w:val="00F77C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7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57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endnotes.xml.rels><?xml version="1.0" encoding="UTF-8" standalone="yes"?>
<Relationships xmlns="http://schemas.openxmlformats.org/package/2006/relationships"><Relationship Id="rId1" Type="http://schemas.openxmlformats.org/officeDocument/2006/relationships/hyperlink" Target="https://www.trimbos.nl/aanbod/webwinkel/af2059-ggz-uit-de-kn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1209</ap:Words>
  <ap:Characters>6652</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2023-04-13T07:41:00.0000000Z</dcterms:created>
  <dcterms:modified xsi:type="dcterms:W3CDTF">2023-04-13T07:47:00.0000000Z</dcterms:modified>
  <version/>
  <category/>
</coreProperties>
</file>