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E52B75">
                            <w:pPr>
                              <w:pStyle w:val="Huisstijl-Agendatitel"/>
                              <w:ind w:left="0" w:firstLine="0"/>
                              <w:jc w:val="right"/>
                            </w:pPr>
                            <w:r>
                              <w:t>31 maart</w:t>
                            </w:r>
                            <w:r w:rsidR="00474D1B">
                              <w:t xml:space="preserve">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E52B75">
                      <w:pPr>
                        <w:pStyle w:val="Huisstijl-Agendatitel"/>
                        <w:ind w:left="0" w:firstLine="0"/>
                        <w:jc w:val="right"/>
                      </w:pPr>
                      <w:r>
                        <w:t>31 maart</w:t>
                      </w:r>
                      <w:r w:rsidR="00474D1B">
                        <w:t xml:space="preserve">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w:t>
      </w:r>
      <w:bookmarkStart w:name="_GoBack" w:id="0"/>
      <w:bookmarkEnd w:id="0"/>
      <w:r w:rsidRPr="00A9227F">
        <w:rPr>
          <w:rFonts w:ascii="Verdana" w:hAnsi="Verdana"/>
          <w:sz w:val="18"/>
          <w:szCs w:val="18"/>
        </w:rPr>
        <w:t>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6E5214" w:rsidP="002A4BD8" w:rsidRDefault="006E5214">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A9227F" w:rsidR="00D75535" w:rsidP="00D14A89" w:rsidRDefault="00C92D5A">
            <w:pPr>
              <w:spacing w:after="240"/>
              <w:rPr>
                <w:b/>
                <w:color w:val="595959" w:themeColor="text1" w:themeTint="A6"/>
                <w:szCs w:val="18"/>
              </w:rPr>
            </w:pPr>
            <w:r>
              <w:rPr>
                <w:szCs w:val="18"/>
              </w:rPr>
              <w:t xml:space="preserve">Herstel- en veerkrachtfaciliteit (2020-2024) – tussentijdse evaluatie </w:t>
            </w:r>
            <w:hyperlink w:history="1" r:id="rId15">
              <w:r>
                <w:rPr>
                  <w:rStyle w:val="Hyperlink"/>
                  <w:szCs w:val="18"/>
                </w:rPr>
                <w:t>Raadpleging</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szCs w:val="18"/>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610B62">
            <w:pPr>
              <w:spacing w:after="240"/>
              <w:rPr>
                <w:szCs w:val="18"/>
              </w:rPr>
            </w:pPr>
            <w:r w:rsidRPr="00610B62">
              <w:rPr>
                <w:szCs w:val="18"/>
              </w:rPr>
              <w:t>Afschrift van de mogelijke consultatiere</w:t>
            </w:r>
            <w:r>
              <w:rPr>
                <w:szCs w:val="18"/>
              </w:rPr>
              <w:t>actie van het kabinet afwachten</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075D37" w:rsidRDefault="00075D37">
            <w:pPr>
              <w:spacing w:after="240"/>
              <w:rPr>
                <w:color w:val="595959" w:themeColor="text1" w:themeTint="A6"/>
                <w:szCs w:val="18"/>
              </w:rPr>
            </w:pPr>
            <w:r w:rsidRPr="00075D37">
              <w:rPr>
                <w:color w:val="595959" w:themeColor="text1" w:themeTint="A6"/>
                <w:szCs w:val="18"/>
              </w:rPr>
              <w:t>Deze evaluatie beoordeelt de uitvoering halverwege de looptijd</w:t>
            </w:r>
            <w:r>
              <w:rPr>
                <w:color w:val="595959" w:themeColor="text1" w:themeTint="A6"/>
                <w:szCs w:val="18"/>
              </w:rPr>
              <w:t xml:space="preserve"> van de </w:t>
            </w:r>
            <w:r w:rsidRPr="00075D37">
              <w:rPr>
                <w:color w:val="595959" w:themeColor="text1" w:themeTint="A6"/>
                <w:szCs w:val="18"/>
              </w:rPr>
              <w:t>herstel- en veerkrachtfaciliteit (</w:t>
            </w:r>
            <w:r>
              <w:rPr>
                <w:color w:val="595959" w:themeColor="text1" w:themeTint="A6"/>
                <w:szCs w:val="18"/>
              </w:rPr>
              <w:t>HVF</w:t>
            </w:r>
            <w:r w:rsidRPr="00075D37">
              <w:rPr>
                <w:color w:val="595959" w:themeColor="text1" w:themeTint="A6"/>
                <w:szCs w:val="18"/>
              </w:rPr>
              <w:t>)</w:t>
            </w:r>
            <w:r>
              <w:rPr>
                <w:color w:val="595959" w:themeColor="text1" w:themeTint="A6"/>
                <w:szCs w:val="18"/>
              </w:rPr>
              <w:t xml:space="preserve">. In de evaluatie wordt gefocust </w:t>
            </w:r>
            <w:r w:rsidRPr="00075D37">
              <w:rPr>
                <w:color w:val="595959" w:themeColor="text1" w:themeTint="A6"/>
                <w:szCs w:val="18"/>
              </w:rPr>
              <w:t xml:space="preserve">op de doeltreffendheid, efficiëntie, samenhang en relevantie van de doelen van de </w:t>
            </w:r>
            <w:r>
              <w:rPr>
                <w:color w:val="595959" w:themeColor="text1" w:themeTint="A6"/>
                <w:szCs w:val="18"/>
              </w:rPr>
              <w:t>HVF</w:t>
            </w:r>
            <w:r w:rsidRPr="00075D37">
              <w:rPr>
                <w:color w:val="595959" w:themeColor="text1" w:themeTint="A6"/>
                <w:szCs w:val="18"/>
              </w:rPr>
              <w:t>-verordening en de toegevoegde waarde voor de EU.</w:t>
            </w:r>
            <w:r>
              <w:rPr>
                <w:color w:val="595959" w:themeColor="text1" w:themeTint="A6"/>
                <w:szCs w:val="18"/>
              </w:rPr>
              <w:t xml:space="preserve"> De openbare raadpleging loopt tot 8 juni 2023. </w:t>
            </w:r>
          </w:p>
        </w:tc>
      </w:tr>
    </w:tbl>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C92D5A" w:rsidR="002A4BD8" w:rsidP="003A21AA" w:rsidRDefault="00C744F5">
            <w:pPr>
              <w:spacing w:after="240"/>
              <w:rPr>
                <w:b/>
                <w:color w:val="595959" w:themeColor="text1" w:themeTint="A6"/>
                <w:szCs w:val="18"/>
              </w:rPr>
            </w:pPr>
            <w:r>
              <w:t xml:space="preserve">MEDEDELING VAN DE COMMISSIE AAN HET EUROPEES PARLEMENT EN DE RAAD De herstel- en veerkrachtfaciliteit: twee jaar later Een uniek instrument dat de kern vormt van de groene en digitale transformatie van de EU </w:t>
            </w:r>
            <w:hyperlink w:history="1" r:id="rId16">
              <w:r w:rsidRPr="00C744F5">
                <w:rPr>
                  <w:rStyle w:val="Hyperlink"/>
                </w:rPr>
                <w:t>COM(2023)99</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C744F5">
            <w:pPr>
              <w:spacing w:after="240"/>
              <w:rPr>
                <w:szCs w:val="18"/>
              </w:rPr>
            </w:pPr>
            <w:r>
              <w:rPr>
                <w:szCs w:val="18"/>
              </w:rPr>
              <w:t xml:space="preserve">Desgewenst betrekken bij het CD </w:t>
            </w:r>
            <w:r w:rsidRPr="009C31FF">
              <w:rPr>
                <w:szCs w:val="18"/>
              </w:rPr>
              <w:t>Macro-economische ontwikkelingen in Europees perspectief (incl. informele Eurogroep/</w:t>
            </w:r>
            <w:proofErr w:type="spellStart"/>
            <w:r w:rsidRPr="009C31FF">
              <w:rPr>
                <w:szCs w:val="18"/>
              </w:rPr>
              <w:t>Ecofinraad</w:t>
            </w:r>
            <w:proofErr w:type="spellEnd"/>
            <w:r w:rsidRPr="009C31FF">
              <w:rPr>
                <w:szCs w:val="18"/>
              </w:rPr>
              <w:t>)</w:t>
            </w:r>
            <w:r>
              <w:rPr>
                <w:szCs w:val="18"/>
              </w:rPr>
              <w:t xml:space="preserve"> van 20 april 2023</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C20B4" w:rsidRDefault="008D344D">
            <w:pPr>
              <w:spacing w:after="240"/>
              <w:rPr>
                <w:color w:val="595959" w:themeColor="text1" w:themeTint="A6"/>
                <w:szCs w:val="18"/>
              </w:rPr>
            </w:pPr>
            <w:r w:rsidRPr="001B4911">
              <w:rPr>
                <w:color w:val="595959" w:themeColor="text1" w:themeTint="A6"/>
                <w:szCs w:val="18"/>
              </w:rPr>
              <w:t xml:space="preserve">In deze </w:t>
            </w:r>
            <w:bookmarkStart w:name="_Hlk130386709" w:id="1"/>
            <w:r w:rsidRPr="001B4911">
              <w:rPr>
                <w:color w:val="595959" w:themeColor="text1" w:themeTint="A6"/>
                <w:szCs w:val="18"/>
              </w:rPr>
              <w:t xml:space="preserve">mededeling </w:t>
            </w:r>
            <w:bookmarkEnd w:id="1"/>
            <w:r w:rsidRPr="001B4911">
              <w:rPr>
                <w:color w:val="595959" w:themeColor="text1" w:themeTint="A6"/>
                <w:szCs w:val="18"/>
              </w:rPr>
              <w:t xml:space="preserve">brengt de Commissie de doelstellingen en werkwijze van de HVF in herinnering, waarbij ze ook de rol noemt die de HVF speelt bij het nastreven van energie-onafhankelijkheid in het kader van het </w:t>
            </w:r>
            <w:proofErr w:type="spellStart"/>
            <w:r w:rsidRPr="001B4911">
              <w:rPr>
                <w:color w:val="595959" w:themeColor="text1" w:themeTint="A6"/>
                <w:szCs w:val="18"/>
              </w:rPr>
              <w:t>REPowerEU</w:t>
            </w:r>
            <w:proofErr w:type="spellEnd"/>
            <w:r w:rsidRPr="001B4911">
              <w:rPr>
                <w:color w:val="595959" w:themeColor="text1" w:themeTint="A6"/>
                <w:szCs w:val="18"/>
              </w:rPr>
              <w:t xml:space="preserve"> initiatief. Met oog op het vervolg van de HVF geeft de Commissie vervolgens meer uitleg over de wijze waarop zij de nakoming van mijlpalen en doelen beoordeelt en de methode voor het vaststellen van een opschorting van uitbetalingen. De Commissie maakt duidelijk hoe zij de omschrijving van mijlpalen en doelen afbakent, en welke beperkte afwijkingen van de mijlpalen en doelen zij acceptabel acht. Voorbeelden van toegestane afwijkingen zijn numerieke afwijkingen van minder dan 5% en een </w:t>
            </w:r>
            <w:r w:rsidRPr="001B4911">
              <w:rPr>
                <w:color w:val="595959" w:themeColor="text1" w:themeTint="A6"/>
                <w:szCs w:val="18"/>
              </w:rPr>
              <w:lastRenderedPageBreak/>
              <w:t xml:space="preserve">beperkte vertraging tussen publicatie en inwerkingtreding van een regelgevende maatregel. De mogelijkheid tot volledige of gedeeltelijke opschorting van een uitbetaling als mijlpalen en doelen niet volledig zijn verwezenlijkt is opgenomen in de HVF-verordening. De Commissie is bevoegd om het bedrag dat hiermee gemoeid is vast te stellen. De Commissie wil met het publiceren van de methodologie die zij daarbij hanteert bijdragen aan de transparantie. In die methodologie is het vertrekpunt de waarde van een mijlpaal/doel die wordt bepaald door het totale bedrag van een plan te delen door het totale aantal mijlpalen en doelen. Hieraan hangt de Commissie vervolgens gewichten voor een opwaartse of neerwaartse bijstelling; 2 voor grote investeringen; 0,5 voor kleine en tussentijdse investeringen; 1 voor de rest; 5 voor hervormingen die bestaan uit inwerkingtreding van een hervorming; en 0,5 voor hervormingen die bestaan uit tussenstappen of ex-post procedurele stappen. Hier bovenop kan de Commissie verdere aanpassingen doen. Neerwaarts voor investeringen die gedeeltelijk zijn behaald, en hervormingen die minder belangrijk waren voor goedkeuring van een herstelplan of meer dan één beleidsdoel dienen. Opwaarts voor hervormingen die van bijzonder belang zijn voor het invullen van </w:t>
            </w:r>
            <w:proofErr w:type="spellStart"/>
            <w:r w:rsidRPr="001B4911">
              <w:rPr>
                <w:color w:val="595959" w:themeColor="text1" w:themeTint="A6"/>
                <w:szCs w:val="18"/>
              </w:rPr>
              <w:t>landspecifieke</w:t>
            </w:r>
            <w:proofErr w:type="spellEnd"/>
            <w:r w:rsidRPr="001B4911">
              <w:rPr>
                <w:color w:val="595959" w:themeColor="text1" w:themeTint="A6"/>
                <w:szCs w:val="18"/>
              </w:rPr>
              <w:t xml:space="preserve"> aanbevelingen, en investeringen die van bijzonder belang waren voor de goedkeuring van een herstelplan. De Commissie benadrukt dat bij niet-naleving van een mijlpaal of doel op gebied van het audit- en controlesysteem de hele uitbetaling en toekomstige uitbetalingen worden opgeschort. </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E52B75"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E52B75" w:rsidR="002A4BD8" w:rsidP="003A21AA" w:rsidRDefault="00C744F5">
            <w:pPr>
              <w:spacing w:after="240"/>
              <w:rPr>
                <w:b/>
                <w:color w:val="595959" w:themeColor="text1" w:themeTint="A6"/>
                <w:szCs w:val="18"/>
                <w:lang w:val="en-GB"/>
              </w:rPr>
            </w:pPr>
            <w:r w:rsidRPr="00C92D5A">
              <w:rPr>
                <w:szCs w:val="18"/>
                <w:lang w:val="en-US"/>
              </w:rPr>
              <w:t xml:space="preserve">DRAFT AMENDING BUDGET No 1 TO THE GENERAL BUDGET 2023 Technical adjustments stemming from the political agreements reached on several legislative proposals, including with respect to </w:t>
            </w:r>
            <w:proofErr w:type="spellStart"/>
            <w:r w:rsidRPr="00C92D5A">
              <w:rPr>
                <w:szCs w:val="18"/>
                <w:lang w:val="en-US"/>
              </w:rPr>
              <w:t>REPowerEU</w:t>
            </w:r>
            <w:proofErr w:type="spellEnd"/>
            <w:r w:rsidRPr="00C92D5A">
              <w:rPr>
                <w:szCs w:val="18"/>
                <w:lang w:val="en-US"/>
              </w:rPr>
              <w:t xml:space="preserve">, the Carbon Border Adjustment Mechanism and the Union Secure Connectivity </w:t>
            </w:r>
            <w:proofErr w:type="spellStart"/>
            <w:r w:rsidRPr="00C92D5A">
              <w:rPr>
                <w:szCs w:val="18"/>
                <w:lang w:val="en-US"/>
              </w:rPr>
              <w:t>programme</w:t>
            </w:r>
            <w:proofErr w:type="spellEnd"/>
            <w:r w:rsidRPr="00C92D5A">
              <w:rPr>
                <w:szCs w:val="18"/>
                <w:lang w:val="en-US"/>
              </w:rPr>
              <w:t xml:space="preserve"> </w:t>
            </w:r>
            <w:hyperlink w:history="1" r:id="rId17">
              <w:r w:rsidRPr="00C92D5A">
                <w:rPr>
                  <w:rStyle w:val="Hyperlink"/>
                  <w:szCs w:val="18"/>
                  <w:lang w:val="en-US"/>
                </w:rPr>
                <w:t>COM(2023)150</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E52B75"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C744F5">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1B4911" w:rsidRDefault="001B4911">
            <w:pPr>
              <w:spacing w:after="240"/>
              <w:rPr>
                <w:color w:val="595959" w:themeColor="text1" w:themeTint="A6"/>
                <w:szCs w:val="18"/>
              </w:rPr>
            </w:pPr>
            <w:r>
              <w:rPr>
                <w:color w:val="595959" w:themeColor="text1" w:themeTint="A6"/>
                <w:szCs w:val="18"/>
              </w:rPr>
              <w:t>Dit betreft een wijziging van de algemene begroting van de Unie voor het jaar 2023. Het betreft t</w:t>
            </w:r>
            <w:r w:rsidRPr="001B4911">
              <w:rPr>
                <w:color w:val="595959" w:themeColor="text1" w:themeTint="A6"/>
                <w:szCs w:val="18"/>
              </w:rPr>
              <w:t xml:space="preserve">echnische aanpassingen naar aanleiding van de politieke akkoorden die over verschillende wetgevingsvoorstellen zijn bereikt, waaronder </w:t>
            </w:r>
            <w:proofErr w:type="spellStart"/>
            <w:r w:rsidRPr="001B4911">
              <w:rPr>
                <w:color w:val="595959" w:themeColor="text1" w:themeTint="A6"/>
                <w:szCs w:val="18"/>
              </w:rPr>
              <w:t>REPowerEU</w:t>
            </w:r>
            <w:proofErr w:type="spellEnd"/>
            <w:r w:rsidRPr="001B4911">
              <w:rPr>
                <w:color w:val="595959" w:themeColor="text1" w:themeTint="A6"/>
                <w:szCs w:val="18"/>
              </w:rPr>
              <w:t xml:space="preserve">, </w:t>
            </w:r>
            <w:r>
              <w:rPr>
                <w:color w:val="595959" w:themeColor="text1" w:themeTint="A6"/>
                <w:szCs w:val="18"/>
              </w:rPr>
              <w:t>CBAM</w:t>
            </w:r>
            <w:r w:rsidRPr="001B4911">
              <w:rPr>
                <w:color w:val="595959" w:themeColor="text1" w:themeTint="A6"/>
                <w:szCs w:val="18"/>
              </w:rPr>
              <w:t xml:space="preserve"> en het programma van de Unie voor beveiligde connectiviteit</w:t>
            </w:r>
            <w:r>
              <w:rPr>
                <w:color w:val="595959" w:themeColor="text1" w:themeTint="A6"/>
                <w:szCs w:val="18"/>
              </w:rPr>
              <w:t xml:space="preserve">. </w:t>
            </w:r>
            <w:r w:rsidRPr="001B4911">
              <w:rPr>
                <w:color w:val="595959" w:themeColor="text1" w:themeTint="A6"/>
                <w:szCs w:val="18"/>
              </w:rPr>
              <w:t xml:space="preserve">In totaal komt het netto-effect van </w:t>
            </w:r>
            <w:r>
              <w:rPr>
                <w:color w:val="595959" w:themeColor="text1" w:themeTint="A6"/>
                <w:szCs w:val="18"/>
              </w:rPr>
              <w:t>hiervan</w:t>
            </w:r>
            <w:r w:rsidRPr="001B4911">
              <w:rPr>
                <w:color w:val="595959" w:themeColor="text1" w:themeTint="A6"/>
                <w:szCs w:val="18"/>
              </w:rPr>
              <w:t xml:space="preserve"> op de uitgaven neer op een verhoging van de vastleggingskredieten met 52,6 miljoen EUR. Er worden geen extra betalingskredieten gevraagd.</w:t>
            </w:r>
          </w:p>
        </w:tc>
      </w:tr>
    </w:tbl>
    <w:p w:rsidRPr="00A9227F" w:rsidR="002A4BD8" w:rsidP="002A4BD8" w:rsidRDefault="002A4BD8">
      <w:pPr>
        <w:rPr>
          <w:szCs w:val="18"/>
        </w:rPr>
      </w:pPr>
    </w:p>
    <w:p w:rsidRPr="00A9227F" w:rsidR="002A4BD8" w:rsidP="002A4BD8" w:rsidRDefault="002A4BD8">
      <w:pPr>
        <w:rPr>
          <w:szCs w:val="18"/>
        </w:rPr>
      </w:pPr>
    </w:p>
    <w:sectPr w:rsidRPr="00A9227F" w:rsidR="002A4BD8" w:rsidSect="00BF62AD">
      <w:headerReference w:type="default" r:id="rId18"/>
      <w:footerReference w:type="default" r:id="rId19"/>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628" w:rsidRDefault="00D47628">
      <w:r>
        <w:separator/>
      </w:r>
    </w:p>
  </w:endnote>
  <w:endnote w:type="continuationSeparator" w:id="0">
    <w:p w:rsidR="00D47628" w:rsidRDefault="00D4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E52B7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E52B75">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E52B75">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E52B75">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628" w:rsidRDefault="00D47628">
      <w:r>
        <w:separator/>
      </w:r>
    </w:p>
  </w:footnote>
  <w:footnote w:type="continuationSeparator" w:id="0">
    <w:p w:rsidR="00D47628" w:rsidRDefault="00D47628">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5D37"/>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4911"/>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0B4"/>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D1B"/>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0B62"/>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0716"/>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D344D"/>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31FF"/>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44F5"/>
    <w:rsid w:val="00C75EFA"/>
    <w:rsid w:val="00C76646"/>
    <w:rsid w:val="00C776F3"/>
    <w:rsid w:val="00C77C19"/>
    <w:rsid w:val="00C81CF5"/>
    <w:rsid w:val="00C920B0"/>
    <w:rsid w:val="00C92D5A"/>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47628"/>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2B75"/>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25B48C"/>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aliases w:val="Char,Voetnoottekst Char Char,ESB-eigenwoningdiscussie,toelichting,Voetnoottekst Char3 Char Char,Voetnoottekst Char1 Char1 Char Char,Voetnoottekst Char2 Char Char Char Char,Voetnoottekst Char Char Char,Char Char2 Ch,Voetnoottekst Char1 Char"/>
    <w:basedOn w:val="Standaard"/>
    <w:link w:val="VoetnoottekstChar"/>
    <w:uiPriority w:val="99"/>
    <w:semiHidden/>
    <w:qFormat/>
    <w:rsid w:val="001F4221"/>
    <w:rPr>
      <w:rFonts w:ascii="Times New Roman" w:eastAsia="Times New Roman" w:hAnsi="Times New Roman"/>
      <w:sz w:val="20"/>
      <w:szCs w:val="20"/>
      <w:lang w:eastAsia="nl-NL"/>
    </w:rPr>
  </w:style>
  <w:style w:type="character" w:customStyle="1" w:styleId="VoetnoottekstChar">
    <w:name w:val="Voetnoottekst Char"/>
    <w:aliases w:val="Char Char,Voetnoottekst Char Char Char1,ESB-eigenwoningdiscussie Char,toelichting Char,Voetnoottekst Char3 Char Char Char,Voetnoottekst Char1 Char1 Char Char Char,Voetnoottekst Char2 Char Char Char Char Char,Char Char2 Ch Char"/>
    <w:basedOn w:val="Standaardalinea-lettertype"/>
    <w:link w:val="Voetnoottekst"/>
    <w:uiPriority w:val="99"/>
    <w:semiHidden/>
    <w:rsid w:val="001F4221"/>
    <w:rPr>
      <w:rFonts w:ascii="Times New Roman" w:eastAsia="Times New Roman" w:hAnsi="Times New Roman"/>
    </w:rPr>
  </w:style>
  <w:style w:type="character" w:styleId="Voetnootmarkering">
    <w:name w:val="footnote reference"/>
    <w:aliases w:val="Footnote symbol,Footnote,E Fußnotenzeichen,Footnote reference number,note TESI,Footnote Reference Superscript,BVI fnr,Odwołanie przypisu,Footnote Reference_LVL6,Footnote Reference_LVL61,Footnote Reference_LVL62,SUPERS,Times 10 Point,FR"/>
    <w:link w:val="FootnotesymbolCarZchn"/>
    <w:uiPriority w:val="99"/>
    <w:qFormat/>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D344D"/>
    <w:pPr>
      <w:spacing w:after="160" w:line="240" w:lineRule="exact"/>
      <w:jc w:val="both"/>
    </w:pPr>
    <w:rPr>
      <w:rFonts w:ascii="Calibri" w:hAnsi="Calibri"/>
      <w:sz w:val="20"/>
      <w:szCs w:val="20"/>
      <w:vertAlign w:val="superscript"/>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3815295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3DC0150&amp;qid=1679301191959" TargetMode="External" Id="rId17" /><Relationship Type="http://schemas.openxmlformats.org/officeDocument/2006/relationships/hyperlink" Target="https://eur-lex.europa.eu/legal-content/NL/TXT/PDF/?uri=CELEX:52023DC0099&amp;qid=1679479440918&amp;from=EN" TargetMode="Externa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yperlink" Target="https://ec.europa.eu/info/law/better-regulation/have-your-say/initiatives/13608-Herstel-en-veerkrachtfaciliteit-2020-2024-tussentijdse-evaluatie_nl" TargetMode="External" Id="rId15"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644</ap:Words>
  <ap:Characters>4317</ap:Characters>
  <ap:DocSecurity>4</ap:DocSecurity>
  <ap:Lines>35</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2023-03-31T14:29:00.0000000Z</dcterms:created>
  <dcterms:modified xsi:type="dcterms:W3CDTF">2023-03-31T14:29:00.0000000Z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149a549a-32c4-4466-b965-0595b4a8b530</vt:lpwstr>
  </property>
</Properties>
</file>