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80570636"/>
        <w:lock w:val="contentLocked"/>
        <w:placeholder>
          <w:docPart w:val="DefaultPlaceholder_1082065158"/>
        </w:placeholder>
        <w:group/>
      </w:sdtPr>
      <w:sdtEndPr/>
      <w:sdtContent>
        <w:p w:rsidR="002C6867" w:rsidP="0017188E" w:rsidRDefault="00FF6790" w14:paraId="7C349623" w14:textId="77777777">
          <w:pPr>
            <w:tabs>
              <w:tab w:val="left" w:pos="3686"/>
            </w:tabs>
          </w:pPr>
          <w:r>
            <w:rPr>
              <w:noProof/>
            </w:rPr>
            <mc:AlternateContent>
              <mc:Choice Requires="wps">
                <w:drawing>
                  <wp:anchor distT="0" distB="0" distL="114300" distR="114300" simplePos="0" relativeHeight="251657728" behindDoc="0" locked="0" layoutInCell="1" allowOverlap="1" wp14:editId="7B92EB84" wp14:anchorId="1E569B5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6B3D2D82"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E569B5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">
                    <v:textbox style="mso-fit-shape-to-text:t">
                      <w:txbxContent>
                        <w:p w:rsidRPr="00A4487D" w:rsidR="00503044" w:rsidP="00A349AF" w:rsidRDefault="00503044" w14:paraId="6B3D2D82"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234C0052" wp14:anchorId="4E6211A7">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W06.22.0188/III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14 december 2022</w:t>
              </w:r>
            </w:sdtContent>
          </w:sdt>
        </w:p>
        <w:p w:rsidR="00503044" w:rsidP="00503044" w:rsidRDefault="00503044" w14:paraId="0870B61A" w14:textId="77777777">
          <w:pPr>
            <w:tabs>
              <w:tab w:val="left" w:pos="3685"/>
            </w:tabs>
          </w:pPr>
        </w:p>
        <w:p w:rsidR="00503044" w:rsidP="00503044" w:rsidRDefault="00503044" w14:paraId="6706C0CF"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031371" w:rsidRDefault="00CC52E1" w14:paraId="091FBC57" w14:textId="77777777">
              <w:r>
                <w:t>Bij Kabinetsmissive van 23 september 2022, no.2022002037, heeft Uwe Majesteit, op voordracht van Staatssecretaris van Financiën - Toeslagen en Douane, bij de Afdeling advisering van de Raad van State ter overweging aanhangig gemaakt het voorstel van wet tot wijziging van de Algemene wet inkomensafhankelijke regelingen en de Algemene douanewet ter opheffing van de geheimhoudingsplicht in verband met het verstrekken van gegevens aan de Inspectie belastingen, toeslagen en douane (Wet opheffing geheimhoudingsplicht ten behoeve van de inspectie Belastingen, Toeslagen en Douane), met memorie van toelichting.</w:t>
              </w:r>
            </w:p>
          </w:sdtContent>
        </w:sdt>
        <w:p w:rsidR="0071031E" w:rsidRDefault="0071031E" w14:paraId="218901BE" w14:textId="77777777"/>
        <w:sdt>
          <w:sdtPr>
            <w:alias w:val="VrijeTekst1"/>
            <w:tag w:val="VrijeTekst1"/>
            <w:id w:val="-437221631"/>
            <w:lock w:val="sdtLocked"/>
          </w:sdtPr>
          <w:sdtEndPr/>
          <w:sdtContent>
            <w:p w:rsidR="00553166" w:rsidP="00FF035E" w:rsidRDefault="00CC52E1" w14:paraId="201488FA" w14:textId="77777777">
              <w:r w:rsidRPr="007755D4">
                <w:t>Het wetsvoorstel heeft tot doel het verstrekken van gegevens en inlichtingen, verkregen door de directoraten-generaal Toeslagen en Douane in de uitvoering van hun taken en waarop een geheimhoudingsplicht</w:t>
              </w:r>
              <w:r>
                <w:t>,</w:t>
              </w:r>
              <w:r w:rsidRPr="007755D4">
                <w:t xml:space="preserve"> onderscheidenlijk beroepsgeheim van toepassing is, aan de</w:t>
              </w:r>
              <w:r>
                <w:t xml:space="preserve"> Inspectie Belastingen, Toeslagen en Douane</w:t>
              </w:r>
              <w:r w:rsidRPr="007755D4">
                <w:t xml:space="preserve"> </w:t>
              </w:r>
              <w:r>
                <w:t>(</w:t>
              </w:r>
              <w:r w:rsidRPr="007755D4">
                <w:t>IBTD</w:t>
              </w:r>
              <w:r>
                <w:t>)</w:t>
              </w:r>
              <w:r w:rsidRPr="007755D4">
                <w:t xml:space="preserve"> mogelijk te maken</w:t>
              </w:r>
              <w:r>
                <w:t>.</w:t>
              </w:r>
            </w:p>
            <w:p w:rsidR="00553166" w:rsidP="00FF035E" w:rsidRDefault="00547AE5" w14:paraId="4ED7A614" w14:textId="77777777"/>
            <w:p w:rsidR="009C168B" w:rsidP="00FF035E" w:rsidRDefault="00CC52E1" w14:paraId="420B1D24" w14:textId="77777777">
              <w:r w:rsidRPr="001744BC">
                <w:t xml:space="preserve">De Afdeling advisering van de Raad van State </w:t>
              </w:r>
              <w:r>
                <w:t xml:space="preserve">maakt opmerkingen over de positionering van de IBTD als dienstonderdeel van het ministerie van Financiën en de Algemene Verordening Gegevensbescherming. Voorts adviseert de Afdeling nader in te gaan op de verhouding tussen de voorgestelde wettelijke bepalingen inzake gegevensverstrekking, tot de regulering van het verwerken en verdere gebruik van gegevens door de IBTD op het niveau van een ministeriële regeling. In verband daarmee </w:t>
              </w:r>
              <w:r w:rsidRPr="00992659">
                <w:t xml:space="preserve">is aanpassing van </w:t>
              </w:r>
              <w:r>
                <w:t xml:space="preserve">de toelichting en zo nodig </w:t>
              </w:r>
              <w:r w:rsidRPr="00992659">
                <w:t xml:space="preserve">het </w:t>
              </w:r>
              <w:r>
                <w:t>wetsvoorstel wenselijk.</w:t>
              </w:r>
            </w:p>
            <w:p w:rsidR="009C168B" w:rsidP="00FF035E" w:rsidRDefault="00547AE5" w14:paraId="3F69B9AE" w14:textId="77777777"/>
            <w:p w:rsidR="007755D4" w:rsidP="00FF035E" w:rsidRDefault="00CC52E1" w14:paraId="56052C9D" w14:textId="77777777">
              <w:r>
                <w:t xml:space="preserve">1. </w:t>
              </w:r>
              <w:r>
                <w:tab/>
              </w:r>
              <w:r w:rsidRPr="00050F82">
                <w:rPr>
                  <w:u w:val="single"/>
                </w:rPr>
                <w:t>Achtergrond</w:t>
              </w:r>
            </w:p>
            <w:p w:rsidR="007755D4" w:rsidP="00FF035E" w:rsidRDefault="00547AE5" w14:paraId="1F8D6C29" w14:textId="77777777"/>
            <w:p w:rsidR="007755D4" w:rsidP="007755D4" w:rsidRDefault="00CC52E1" w14:paraId="0F7B34AB" w14:textId="2CFFF7B5">
              <w:r w:rsidRPr="007755D4">
                <w:t>De IBTD is per 1 januari 2022 opgericht</w:t>
              </w:r>
              <w:r>
                <w:t>.</w:t>
              </w:r>
              <w:r>
                <w:rPr>
                  <w:rStyle w:val="Voetnootmarkering"/>
                </w:rPr>
                <w:footnoteReference w:id="1"/>
              </w:r>
              <w:r w:rsidRPr="007755D4">
                <w:t xml:space="preserve"> De IBTD is gepositioneerd als dienstonderdeel van het ministerie van Financiën.</w:t>
              </w:r>
              <w:r w:rsidRPr="007755D4">
                <w:rPr>
                  <w:vertAlign w:val="superscript"/>
                </w:rPr>
                <w:footnoteReference w:id="2"/>
              </w:r>
              <w:r w:rsidRPr="007755D4">
                <w:t xml:space="preserve"> Aan de IBTD zijn drie taken toebedeeld:</w:t>
              </w:r>
              <w:r w:rsidRPr="007755D4">
                <w:rPr>
                  <w:vertAlign w:val="superscript"/>
                </w:rPr>
                <w:footnoteReference w:id="3"/>
              </w:r>
            </w:p>
            <w:p w:rsidRPr="007755D4" w:rsidR="00CC52E1" w:rsidP="007755D4" w:rsidRDefault="00CC52E1" w14:paraId="72CE9FD6" w14:textId="77777777"/>
            <w:p w:rsidR="007755D4" w:rsidP="00E10810" w:rsidRDefault="00CC52E1" w14:paraId="04A03A73" w14:textId="2568B72B">
              <w:pPr>
                <w:numPr>
                  <w:ilvl w:val="0"/>
                  <w:numId w:val="1"/>
                </w:numPr>
                <w:ind w:left="284" w:hanging="284"/>
              </w:pPr>
              <w:r w:rsidRPr="007755D4">
                <w:t>het ter beoordeling van de inspecteur-generaal signaleren, onderzoeken en agenderen van structurele en incidentele problemen in de kwaliteit van de uitvoering door de directoraten-generaal Belastingdienst, Toeslagen en Douane. De inspectie houdt toezicht vanuit het perspectief van de rechtsstatelijkheid en kijkt daarbij naar het volledige proces van wet- en regelgeving, uitvoering inclusief rechtsbescherming en rechtspraak;</w:t>
              </w:r>
            </w:p>
            <w:p w:rsidRPr="007755D4" w:rsidR="00CC52E1" w:rsidP="00CC52E1" w:rsidRDefault="00CC52E1" w14:paraId="3D47B035" w14:textId="77777777">
              <w:pPr>
                <w:ind w:left="284"/>
              </w:pPr>
            </w:p>
            <w:p w:rsidRPr="007755D4" w:rsidR="007755D4" w:rsidP="00E10810" w:rsidRDefault="00CC52E1" w14:paraId="11EEF558" w14:textId="77777777">
              <w:pPr>
                <w:numPr>
                  <w:ilvl w:val="0"/>
                  <w:numId w:val="1"/>
                </w:numPr>
                <w:ind w:left="284" w:hanging="284"/>
              </w:pPr>
              <w:r w:rsidRPr="007755D4">
                <w:lastRenderedPageBreak/>
                <w:t>het toezicht houden op de directoraten-generaal Belastingdienst, Toeslagen en Douane, zowel op de taakuitvoering door die directoraten-generaal, als op de aansturing en de samenwerkingsrelaties in het kader van de uitvoering, en</w:t>
              </w:r>
            </w:p>
            <w:p w:rsidR="00CC52E1" w:rsidP="00CC52E1" w:rsidRDefault="00CC52E1" w14:paraId="6FD5DFD4" w14:textId="77777777">
              <w:pPr>
                <w:ind w:left="284"/>
              </w:pPr>
            </w:p>
            <w:p w:rsidRPr="007755D4" w:rsidR="007755D4" w:rsidP="00E10810" w:rsidRDefault="00CC52E1" w14:paraId="1746E0DA" w14:textId="16344F60">
              <w:pPr>
                <w:numPr>
                  <w:ilvl w:val="0"/>
                  <w:numId w:val="1"/>
                </w:numPr>
                <w:ind w:left="284" w:hanging="284"/>
              </w:pPr>
              <w:r w:rsidRPr="007755D4">
                <w:t>het delen van bevindingen en adviezen met de bewindspersonen over onderwerpen die hen aangaan, voor zover het het werkterrein van de IBTD betreft.</w:t>
              </w:r>
            </w:p>
            <w:p w:rsidRPr="007755D4" w:rsidR="007755D4" w:rsidP="007755D4" w:rsidRDefault="00547AE5" w14:paraId="152CC14C" w14:textId="77777777"/>
            <w:p w:rsidR="007755D4" w:rsidP="007755D4" w:rsidRDefault="00CC52E1" w14:paraId="710039A1" w14:textId="77777777">
              <w:r w:rsidRPr="007755D4">
                <w:t>De medewerkers van het ministerie van Financiën zijn verplicht om de door de IBTD verlangde medewerking te verlenen en om alle informatie te verstrekken die naar het oordeel van de IBTD noodzakelijk is voor de uitvoering van de aan haar opgedragen taken.</w:t>
              </w:r>
              <w:r w:rsidRPr="007755D4">
                <w:rPr>
                  <w:vertAlign w:val="superscript"/>
                </w:rPr>
                <w:footnoteReference w:id="4"/>
              </w:r>
              <w:r w:rsidRPr="007755D4">
                <w:t xml:space="preserve"> De te verstrekken informatie wordt ontdaan van gegevens waarop </w:t>
              </w:r>
              <w:r w:rsidRPr="00553166">
                <w:t xml:space="preserve">geheimhoudingsplicht </w:t>
              </w:r>
              <w:r w:rsidRPr="007755D4">
                <w:t>of beroepsgeheim van toepassing is.</w:t>
              </w:r>
              <w:r w:rsidRPr="007755D4">
                <w:rPr>
                  <w:vertAlign w:val="superscript"/>
                </w:rPr>
                <w:footnoteReference w:id="5"/>
              </w:r>
              <w:r w:rsidRPr="007755D4">
                <w:t xml:space="preserve"> </w:t>
              </w:r>
            </w:p>
            <w:p w:rsidR="007755D4" w:rsidP="007755D4" w:rsidRDefault="00547AE5" w14:paraId="30AFB818" w14:textId="77777777"/>
            <w:p w:rsidR="008C30C9" w:rsidP="008C30C9" w:rsidRDefault="00CC52E1" w14:paraId="60364C0E" w14:textId="77777777">
              <w:r>
                <w:t>D</w:t>
              </w:r>
              <w:r w:rsidRPr="00E36626">
                <w:t xml:space="preserve">e </w:t>
              </w:r>
              <w:r w:rsidRPr="00433990">
                <w:t xml:space="preserve">bevindingen en adviezen van de </w:t>
              </w:r>
              <w:r>
                <w:t xml:space="preserve">IBTD </w:t>
              </w:r>
              <w:r w:rsidRPr="00433990">
                <w:t xml:space="preserve">worden gedeeld met de betrokken bewindspersonen. </w:t>
              </w:r>
              <w:r>
                <w:t>De inspecteur-generaal (IG) van de IBTD kan</w:t>
              </w:r>
              <w:r w:rsidRPr="00433990">
                <w:t xml:space="preserve"> </w:t>
              </w:r>
              <w:r>
                <w:t xml:space="preserve">ook </w:t>
              </w:r>
              <w:r w:rsidRPr="00433990">
                <w:t>op verzoek van een of beide Kamers der Staten-Generaal aan een of beide Kamers der Staten-Generaal feitelijke informatie verstrekken en haar oordelen op basis van door haar afgerond en openbaar gemaakt onderzoek bespreken</w:t>
              </w:r>
              <w:r>
                <w:t>.</w:t>
              </w:r>
              <w:r>
                <w:rPr>
                  <w:rStyle w:val="Voetnootmarkering"/>
                </w:rPr>
                <w:footnoteReference w:id="6"/>
              </w:r>
            </w:p>
            <w:p w:rsidR="008C30C9" w:rsidP="007755D4" w:rsidRDefault="00547AE5" w14:paraId="1E109F09" w14:textId="77777777"/>
            <w:p w:rsidRPr="00FF334B" w:rsidR="007755D4" w:rsidP="007755D4" w:rsidRDefault="00CC52E1" w14:paraId="7EB1EFF6" w14:textId="77777777">
              <w:pPr>
                <w:rPr>
                  <w:u w:val="single"/>
                </w:rPr>
              </w:pPr>
              <w:r>
                <w:t xml:space="preserve">2. </w:t>
              </w:r>
              <w:r>
                <w:tab/>
              </w:r>
              <w:r w:rsidRPr="00CB1450">
                <w:rPr>
                  <w:u w:val="single"/>
                </w:rPr>
                <w:t>Pass</w:t>
              </w:r>
              <w:r w:rsidRPr="008C3CFB">
                <w:rPr>
                  <w:u w:val="single"/>
                </w:rPr>
                <w:t>ende</w:t>
              </w:r>
              <w:r w:rsidRPr="009C1ED5">
                <w:rPr>
                  <w:u w:val="single"/>
                </w:rPr>
                <w:t xml:space="preserve"> regeling voor gegevensverwerking</w:t>
              </w:r>
            </w:p>
            <w:p w:rsidRPr="000B767F" w:rsidR="00827A58" w:rsidP="000B767F" w:rsidRDefault="00547AE5" w14:paraId="0B4FAC74" w14:textId="77777777"/>
            <w:p w:rsidR="00553166" w:rsidP="00553166" w:rsidRDefault="00CC52E1" w14:paraId="0A9789D4" w14:textId="77777777">
              <w:r>
                <w:t>Er is</w:t>
              </w:r>
              <w:r w:rsidRPr="00553166">
                <w:t xml:space="preserve"> een geheimhoudingsplicht van toepassing</w:t>
              </w:r>
              <w:r>
                <w:t xml:space="preserve"> o</w:t>
              </w:r>
              <w:r w:rsidRPr="00553166">
                <w:t>p informatie die bij de uitvoering van de belastingwet</w:t>
              </w:r>
              <w:r>
                <w:t>, toeslagen- en douanewetgeving</w:t>
              </w:r>
              <w:r w:rsidRPr="00553166">
                <w:t xml:space="preserve"> is verkregen</w:t>
              </w:r>
              <w:r>
                <w:t>.</w:t>
              </w:r>
              <w:r>
                <w:rPr>
                  <w:rStyle w:val="Voetnootmarkering"/>
                </w:rPr>
                <w:footnoteReference w:id="7"/>
              </w:r>
              <w:r w:rsidRPr="00553166">
                <w:t xml:space="preserve"> </w:t>
              </w:r>
              <w:r>
                <w:t>Volgens de toelichting is er voor de belastinggegevens geen noodzaak om een voorziening te treffen. Door gebruikmaking van de ontheffingsmogelijkheid in de wet</w:t>
              </w:r>
              <w:r>
                <w:rPr>
                  <w:rStyle w:val="Voetnootmarkering"/>
                </w:rPr>
                <w:footnoteReference w:id="8"/>
              </w:r>
              <w:r>
                <w:t xml:space="preserve"> kunnen gegevens worden verstrekt aan de IBTD. Omdat dergelijke mogelijkheden volgens de toelichting voor toeslagen- en douanegegevens niet beschikbaar zijn, worden in onderhavig voorstel voorzieningen getroffen om ook op die terreinen de gegevensverstrekking aan de IBTD mogelijk te maken.</w:t>
              </w:r>
              <w:r>
                <w:rPr>
                  <w:rStyle w:val="Voetnootmarkering"/>
                </w:rPr>
                <w:footnoteReference w:id="9"/>
              </w:r>
            </w:p>
            <w:p w:rsidR="00266D3F" w:rsidP="00553166" w:rsidRDefault="00547AE5" w14:paraId="728F3984" w14:textId="77777777"/>
            <w:p w:rsidRPr="00553166" w:rsidR="00266D3F" w:rsidP="00553166" w:rsidRDefault="00CC52E1" w14:paraId="7B9E834C" w14:textId="77777777">
              <w:r w:rsidRPr="00266D3F">
                <w:t xml:space="preserve">Het </w:t>
              </w:r>
              <w:r>
                <w:t>wets</w:t>
              </w:r>
              <w:r w:rsidRPr="00266D3F">
                <w:t xml:space="preserve">voorstel beoogt aan te sluiten bij de bestaande wetgeving; daaruit wordt blijkens de toelichting afgeleid dat een wettelijke grondslag nodig is om voor toeslagen- en douanegegevens de bestaande geheimhoudingsplicht te doorbreken. In het algemeen is een wettelijke grondslag voor de verstrekking van </w:t>
              </w:r>
              <w:r w:rsidRPr="00266D3F">
                <w:lastRenderedPageBreak/>
                <w:t>het ene (dienst)onderdeel van het ministerie, zoals in dit geval van de directoraten-generaal Douane resp. Toeslagen, aan een ander dienstonderdeel, in casu de IBTD</w:t>
              </w:r>
              <w:r>
                <w:rPr>
                  <w:rStyle w:val="Voetnootmarkering"/>
                </w:rPr>
                <w:footnoteReference w:id="10"/>
              </w:r>
              <w:r w:rsidRPr="00266D3F">
                <w:t>, van het ministerie niet noodzakelijk</w:t>
              </w:r>
              <w:r>
                <w:t>.</w:t>
              </w:r>
            </w:p>
            <w:p w:rsidR="007755D4" w:rsidP="007755D4" w:rsidRDefault="00547AE5" w14:paraId="0B1FEEAD" w14:textId="77777777"/>
            <w:p w:rsidRPr="00CB1450" w:rsidR="007755D4" w:rsidP="007755D4" w:rsidRDefault="00CC52E1" w14:paraId="63142442" w14:textId="77777777">
              <w:pPr>
                <w:rPr>
                  <w:rFonts w:ascii="Times New Roman" w:hAnsi="Times New Roman"/>
                  <w:sz w:val="24"/>
                </w:rPr>
              </w:pPr>
              <w:r>
                <w:t>Er zijn niettemin redenen voor een wettelijke grondslag voor onderlinge gegevensuitwisseling wanneer het gaat om fiscale gegevens, concurrentiegevoelige gegevens of persoonsgegevens. Ook voor verdere verwerking van dit type gegevens, en in het bijzonder voor persoonsgegevens, binnen een organisatie (zoals een ministerie) geldt dat deze niet zomaar gebruikt mogen worden voor een ander doel of taak dan waarvoor zij oorspronkelijk zijn verzameld (doelbinding).</w:t>
              </w:r>
              <w:r>
                <w:rPr>
                  <w:rStyle w:val="Voetnootmarkering"/>
                </w:rPr>
                <w:footnoteReference w:id="11"/>
              </w:r>
              <w:r>
                <w:t xml:space="preserve"> Voor een dergelijk gebruik is, zoals gezegd, een wettelijke grondslag noodzakelijk. Die noodzaak kan te meer gelden als gegevens aan derden, zoals aan beide Kamers, worden verstrekt.</w:t>
              </w:r>
              <w:r>
                <w:rPr>
                  <w:rStyle w:val="Voetnootmarkering"/>
                </w:rPr>
                <w:footnoteReference w:id="12"/>
              </w:r>
            </w:p>
            <w:p w:rsidR="00E36626" w:rsidP="007755D4" w:rsidRDefault="00547AE5" w14:paraId="16BFE7C6" w14:textId="77777777"/>
            <w:p w:rsidR="0099665D" w:rsidP="007755D4" w:rsidRDefault="00CC52E1" w14:paraId="5B2B4AB4" w14:textId="77777777">
              <w:r>
                <w:rPr>
                  <w:szCs w:val="22"/>
                </w:rPr>
                <w:t xml:space="preserve">De Afdeling adviseert de motivering van het voorstel in de toelichting in lijn met het voorgaande aan te vullen. </w:t>
              </w:r>
            </w:p>
            <w:p w:rsidR="0099665D" w:rsidP="007755D4" w:rsidRDefault="00547AE5" w14:paraId="26DDC8F0" w14:textId="77777777"/>
            <w:p w:rsidR="00E36626" w:rsidP="007755D4" w:rsidRDefault="00CC52E1" w14:paraId="25726818" w14:textId="77777777">
              <w:pPr>
                <w:rPr>
                  <w:u w:val="single"/>
                </w:rPr>
              </w:pPr>
              <w:r>
                <w:t>3</w:t>
              </w:r>
              <w:r w:rsidRPr="007B3F7A">
                <w:t xml:space="preserve">. </w:t>
              </w:r>
              <w:r>
                <w:tab/>
              </w:r>
              <w:r>
                <w:rPr>
                  <w:u w:val="single"/>
                </w:rPr>
                <w:t>Gebruik ministeriële regeling</w:t>
              </w:r>
            </w:p>
            <w:p w:rsidR="00AE5048" w:rsidP="007755D4" w:rsidRDefault="00547AE5" w14:paraId="31103072" w14:textId="77777777">
              <w:pPr>
                <w:rPr>
                  <w:u w:val="single"/>
                </w:rPr>
              </w:pPr>
            </w:p>
            <w:p w:rsidR="00C91207" w:rsidP="007755D4" w:rsidRDefault="00CC52E1" w14:paraId="551F4314" w14:textId="77777777">
              <w:r>
                <w:t xml:space="preserve">In het wetsvoorstel wordt voor de verstrekking van een bepaalde categorie persoonsgegevens een wettelijke grondslag geregeld. Voor alle overige gegevensverwerkingen worden echter regels gesteld in de ministeriële regeling waarmee de IBTD is opgericht. Dit roept de vraag op naar de verhouding tussen de voorgestelde wettelijke bepalingen inzake gegevensverstrekking enerzijds en de regulering van het verwerken en verdere gebruik van gegevens door de IBTD op het niveau van een ministeriële regeling anderzijds. </w:t>
              </w:r>
            </w:p>
            <w:p w:rsidR="00C91207" w:rsidP="007755D4" w:rsidRDefault="00547AE5" w14:paraId="2B5D42EA" w14:textId="77777777"/>
            <w:p w:rsidR="00CC52E1" w:rsidP="007755D4" w:rsidRDefault="00CC52E1" w14:paraId="154A3702" w14:textId="77777777">
              <w:r>
                <w:t>De Afdeling adviseert in de toelichting op het voorgaande in te gaan.</w:t>
              </w:r>
            </w:p>
            <w:p w:rsidR="00CC52E1" w:rsidRDefault="00CC52E1" w14:paraId="6806E78D" w14:textId="77777777">
              <w:r>
                <w:br w:type="page"/>
              </w:r>
            </w:p>
            <w:p w:rsidRPr="000B767F" w:rsidR="008624D2" w:rsidP="007755D4" w:rsidRDefault="00547AE5" w14:paraId="33DCCD05" w14:textId="5B2CFD86">
              <w:pPr>
                <w:rPr>
                  <w:u w:val="single"/>
                </w:rPr>
              </w:pPr>
            </w:p>
          </w:sdtContent>
        </w:sdt>
        <w:p w:rsidR="003A1FC7" w:rsidRDefault="003A1FC7" w14:paraId="38B213A1" w14:textId="77777777"/>
        <w:sdt>
          <w:sdtPr>
            <w:alias w:val="Dictum"/>
            <w:tag w:val="Dictum"/>
            <w:id w:val="1621489950"/>
            <w:lock w:val="sdtContentLocked"/>
            <w:placeholder>
              <w:docPart w:val="DefaultPlaceholder_1082065158"/>
            </w:placeholder>
            <w:text w:multiLine="1"/>
          </w:sdtPr>
          <w:sdtEndPr/>
          <w:sdtContent>
            <w:p w:rsidR="00031371" w:rsidRDefault="00CC52E1" w14:paraId="22A7E706"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031371" w:rsidSect="00503044">
      <w:headerReference w:type="even" r:id="rId9"/>
      <w:headerReference w:type="default" r:id="rId10"/>
      <w:footerReference w:type="even" r:id="rId11"/>
      <w:footerReference w:type="default" r:id="rId12"/>
      <w:headerReference w:type="first" r:id="rId13"/>
      <w:footerReference w:type="first" r:id="rId14"/>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0CCB5" w14:textId="77777777" w:rsidR="005360E0" w:rsidRDefault="00CC52E1" w:rsidP="005B3E03">
      <w:r>
        <w:separator/>
      </w:r>
    </w:p>
    <w:p w14:paraId="54D9FBAB" w14:textId="77777777" w:rsidR="005360E0" w:rsidRDefault="00547AE5"/>
  </w:endnote>
  <w:endnote w:type="continuationSeparator" w:id="0">
    <w:p w14:paraId="003D9B0D" w14:textId="77777777" w:rsidR="005360E0" w:rsidRDefault="00CC52E1" w:rsidP="005B3E03">
      <w:r>
        <w:continuationSeparator/>
      </w:r>
    </w:p>
    <w:p w14:paraId="56720169" w14:textId="77777777" w:rsidR="005360E0" w:rsidRDefault="00547A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963A1" w14:textId="77777777" w:rsidR="00547AE5" w:rsidRDefault="00547A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45067" w14:textId="77777777" w:rsidR="00547AE5" w:rsidRDefault="00547A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D8E91"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7B6DB74B" wp14:editId="3B1DBFD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D7DF26"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6DB74B"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" stroked="f">
              <v:textbox>
                <w:txbxContent>
                  <w:p w14:paraId="15D7DF26"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51CA9" w14:textId="77777777" w:rsidR="005360E0" w:rsidRDefault="00CC52E1" w:rsidP="005B3E03">
      <w:r>
        <w:separator/>
      </w:r>
    </w:p>
    <w:p w14:paraId="00195531" w14:textId="77777777" w:rsidR="005360E0" w:rsidRDefault="00547AE5"/>
  </w:footnote>
  <w:footnote w:type="continuationSeparator" w:id="0">
    <w:p w14:paraId="1D8692E4" w14:textId="77777777" w:rsidR="005360E0" w:rsidRDefault="00CC52E1" w:rsidP="005B3E03">
      <w:r>
        <w:continuationSeparator/>
      </w:r>
    </w:p>
    <w:p w14:paraId="4EBDFC76" w14:textId="77777777" w:rsidR="005360E0" w:rsidRDefault="00547AE5"/>
  </w:footnote>
  <w:footnote w:id="1">
    <w:p w14:paraId="7F56842E" w14:textId="77777777" w:rsidR="00EC2E2B" w:rsidRDefault="00CC52E1">
      <w:pPr>
        <w:pStyle w:val="Voetnoottekst"/>
      </w:pPr>
      <w:r>
        <w:rPr>
          <w:rStyle w:val="Voetnootmarkering"/>
        </w:rPr>
        <w:footnoteRef/>
      </w:r>
      <w:r>
        <w:t xml:space="preserve"> </w:t>
      </w:r>
      <w:r>
        <w:tab/>
      </w:r>
      <w:r w:rsidRPr="00EC2E2B">
        <w:t>Regeling van de Minister van Financiën van 29 november 2021 (2021-234229), houdende wijziging van het Organisatiebesluit Ministerie van Financiën 2020 wegens de oprichting van de inspectie op de domeinen belastingen, toeslagen en douane. Stcrt. 2021, 48628</w:t>
      </w:r>
    </w:p>
  </w:footnote>
  <w:footnote w:id="2">
    <w:p w14:paraId="3519E56D" w14:textId="77777777" w:rsidR="007755D4" w:rsidRDefault="00CC52E1" w:rsidP="007755D4">
      <w:pPr>
        <w:pStyle w:val="Voetnoottekst"/>
        <w:ind w:left="284" w:hanging="284"/>
      </w:pPr>
      <w:r>
        <w:rPr>
          <w:rStyle w:val="Voetnootmarkering"/>
        </w:rPr>
        <w:footnoteRef/>
      </w:r>
      <w:r>
        <w:t xml:space="preserve"> </w:t>
      </w:r>
      <w:r>
        <w:tab/>
        <w:t xml:space="preserve">Artikel 10, onderdeel h, van het Organisatiebesluit Ministerie van Financiën 2020. </w:t>
      </w:r>
    </w:p>
  </w:footnote>
  <w:footnote w:id="3">
    <w:p w14:paraId="3D83653C" w14:textId="77777777" w:rsidR="007755D4" w:rsidRDefault="00CC52E1" w:rsidP="007755D4">
      <w:pPr>
        <w:pStyle w:val="Voetnoottekst"/>
        <w:ind w:left="284" w:hanging="284"/>
      </w:pPr>
      <w:r>
        <w:rPr>
          <w:rStyle w:val="Voetnootmarkering"/>
        </w:rPr>
        <w:footnoteRef/>
      </w:r>
      <w:r>
        <w:t xml:space="preserve"> </w:t>
      </w:r>
      <w:r>
        <w:tab/>
      </w:r>
      <w:r w:rsidRPr="00C707D6">
        <w:t xml:space="preserve">Artikel </w:t>
      </w:r>
      <w:r>
        <w:t>41b</w:t>
      </w:r>
      <w:r w:rsidRPr="00C707D6">
        <w:t xml:space="preserve"> van het Organisatiebesluit Ministerie van Financiën 2020. </w:t>
      </w:r>
    </w:p>
  </w:footnote>
  <w:footnote w:id="4">
    <w:p w14:paraId="74CF7214" w14:textId="77777777" w:rsidR="007755D4" w:rsidRDefault="00CC52E1" w:rsidP="007755D4">
      <w:pPr>
        <w:pStyle w:val="Voetnoottekst"/>
        <w:ind w:left="284" w:hanging="284"/>
      </w:pPr>
      <w:r>
        <w:rPr>
          <w:rStyle w:val="Voetnootmarkering"/>
        </w:rPr>
        <w:footnoteRef/>
      </w:r>
      <w:r>
        <w:t xml:space="preserve"> </w:t>
      </w:r>
      <w:r>
        <w:tab/>
        <w:t xml:space="preserve">Artikel 8, eerste lid, van de </w:t>
      </w:r>
      <w:r w:rsidRPr="00B30BFC">
        <w:t>Regeling taakuitoefening en bevoegdheden IBTD</w:t>
      </w:r>
      <w:r>
        <w:t>.</w:t>
      </w:r>
    </w:p>
  </w:footnote>
  <w:footnote w:id="5">
    <w:p w14:paraId="55586DD0" w14:textId="77777777" w:rsidR="007755D4" w:rsidRDefault="00CC52E1" w:rsidP="007755D4">
      <w:pPr>
        <w:pStyle w:val="Voetnoottekst"/>
        <w:ind w:left="284" w:hanging="284"/>
      </w:pPr>
      <w:r>
        <w:rPr>
          <w:rStyle w:val="Voetnootmarkering"/>
        </w:rPr>
        <w:footnoteRef/>
      </w:r>
      <w:r>
        <w:t xml:space="preserve"> </w:t>
      </w:r>
      <w:r>
        <w:tab/>
        <w:t xml:space="preserve">Artikel 8, tweede lid, van de </w:t>
      </w:r>
      <w:r w:rsidRPr="00B30BFC">
        <w:t>Regeling taakuitoefening en bevoegdheden IBTD</w:t>
      </w:r>
      <w:r>
        <w:t>.</w:t>
      </w:r>
    </w:p>
  </w:footnote>
  <w:footnote w:id="6">
    <w:p w14:paraId="3C79AAD7" w14:textId="77777777" w:rsidR="00CB1450" w:rsidRDefault="00CC52E1">
      <w:pPr>
        <w:pStyle w:val="Voetnoottekst"/>
      </w:pPr>
      <w:r>
        <w:rPr>
          <w:rStyle w:val="Voetnootmarkering"/>
        </w:rPr>
        <w:footnoteRef/>
      </w:r>
      <w:r>
        <w:t xml:space="preserve"> </w:t>
      </w:r>
      <w:r>
        <w:tab/>
        <w:t xml:space="preserve">Artikel 8, tweede lid, van de </w:t>
      </w:r>
      <w:r w:rsidRPr="00B30BFC">
        <w:t>Regeling taakuitoefening en bevoegdheden IBTD</w:t>
      </w:r>
      <w:r>
        <w:t>.</w:t>
      </w:r>
    </w:p>
  </w:footnote>
  <w:footnote w:id="7">
    <w:p w14:paraId="229BD1A0" w14:textId="77777777" w:rsidR="00611913" w:rsidRDefault="00CC52E1">
      <w:pPr>
        <w:pStyle w:val="Voetnoottekst"/>
      </w:pPr>
      <w:r>
        <w:rPr>
          <w:rStyle w:val="Voetnootmarkering"/>
        </w:rPr>
        <w:footnoteRef/>
      </w:r>
      <w:r>
        <w:t xml:space="preserve"> </w:t>
      </w:r>
      <w:r>
        <w:tab/>
      </w:r>
      <w:r w:rsidRPr="00611913">
        <w:t>Artikel 67 van de Algemene wet inzake rijksbelastingen</w:t>
      </w:r>
      <w:r>
        <w:t xml:space="preserve"> (Awr), artikel 2;5 van de Algemene wet bestuursrecht en a</w:t>
      </w:r>
      <w:r w:rsidRPr="00611913">
        <w:t>rtikel 12 van de Verordening (EU) nr. 952/2013 van het Europees Parlement en van de Raad van 9 oktober 2013 tot vaststelling van het douanewetboek van de Unie (PbEU 2013, L 269).</w:t>
      </w:r>
    </w:p>
  </w:footnote>
  <w:footnote w:id="8">
    <w:p w14:paraId="4EC5A098" w14:textId="77777777" w:rsidR="00992659" w:rsidRDefault="00CC52E1">
      <w:pPr>
        <w:pStyle w:val="Voetnoottekst"/>
      </w:pPr>
      <w:r>
        <w:rPr>
          <w:rStyle w:val="Voetnootmarkering"/>
        </w:rPr>
        <w:footnoteRef/>
      </w:r>
      <w:r>
        <w:t xml:space="preserve"> </w:t>
      </w:r>
      <w:r>
        <w:tab/>
        <w:t>A</w:t>
      </w:r>
      <w:r w:rsidRPr="00992659">
        <w:t>rtikel 67, derde lid, Awr</w:t>
      </w:r>
      <w:r>
        <w:t>.</w:t>
      </w:r>
    </w:p>
  </w:footnote>
  <w:footnote w:id="9">
    <w:p w14:paraId="0EAECD46" w14:textId="77777777" w:rsidR="009C0F01" w:rsidRDefault="00CC52E1" w:rsidP="009C0F01">
      <w:pPr>
        <w:pStyle w:val="Voetnoottekst"/>
      </w:pPr>
      <w:r>
        <w:rPr>
          <w:rStyle w:val="Voetnootmarkering"/>
        </w:rPr>
        <w:footnoteRef/>
      </w:r>
      <w:r>
        <w:t xml:space="preserve"> </w:t>
      </w:r>
      <w:r>
        <w:tab/>
        <w:t xml:space="preserve">Daarbij merkt de Afdeling nog op dat een gevolg van het voorstel is dat met het voorstel de doorbreking van de geheimhoudingsplicht voor douane en toeslagen op het niveau van de wet geschiedt, terwijl daarvoor bij belastingen een ontheffing van de minister nodig is. Niet duidelijk is door welke gronden dit verschil wordt gerechtvaardigd. </w:t>
      </w:r>
    </w:p>
  </w:footnote>
  <w:footnote w:id="10">
    <w:p w14:paraId="6305B90A" w14:textId="7AF8AC91" w:rsidR="00266D3F" w:rsidRDefault="00CC52E1">
      <w:pPr>
        <w:pStyle w:val="Voetnoottekst"/>
      </w:pPr>
      <w:r>
        <w:rPr>
          <w:rStyle w:val="Voetnootmarkering"/>
        </w:rPr>
        <w:footnoteRef/>
      </w:r>
      <w:r>
        <w:t xml:space="preserve"> </w:t>
      </w:r>
      <w:r>
        <w:tab/>
        <w:t xml:space="preserve">Door de interne verzelfstandiging binnen het ministerie door middel van de oprichting van de IBTD verandert er in staatsrechtelijk zin immers niets; de minister blijft verantwoordelijk voor dit dienstonderdeel van zijn ministerie. Dat in dit geval de IBTD in het bijzonder is gericht op onafhankelijke oordeelsvorming doet daar evenmin aan af. </w:t>
      </w:r>
      <w:r w:rsidRPr="00881F67">
        <w:t>Zie in dit verband ook het advies van de Afdeling over het wetsvoorstel Wet Adviescollege ICT-toetsing (Kamerstukken II 2021/22, 36191, nr. 4</w:t>
      </w:r>
      <w:r>
        <w:t>.</w:t>
      </w:r>
    </w:p>
  </w:footnote>
  <w:footnote w:id="11">
    <w:p w14:paraId="6D98A0D4" w14:textId="77777777" w:rsidR="00DF2679" w:rsidRDefault="00CC52E1">
      <w:pPr>
        <w:pStyle w:val="Voetnoottekst"/>
      </w:pPr>
      <w:r>
        <w:rPr>
          <w:rStyle w:val="Voetnootmarkering"/>
        </w:rPr>
        <w:footnoteRef/>
      </w:r>
      <w:r>
        <w:t xml:space="preserve"> </w:t>
      </w:r>
      <w:r>
        <w:tab/>
        <w:t>Artikel 5, eerste lid, onder b jo. artikel 6, vierde lid, AVG.</w:t>
      </w:r>
    </w:p>
  </w:footnote>
  <w:footnote w:id="12">
    <w:p w14:paraId="135EC9F2" w14:textId="77777777" w:rsidR="00AA035B" w:rsidRDefault="00CC52E1">
      <w:pPr>
        <w:pStyle w:val="Voetnoottekst"/>
      </w:pPr>
      <w:r>
        <w:rPr>
          <w:rStyle w:val="Voetnootmarkering"/>
        </w:rPr>
        <w:footnoteRef/>
      </w:r>
      <w:r>
        <w:t xml:space="preserve"> </w:t>
      </w:r>
      <w:r>
        <w:tab/>
        <w:t xml:space="preserve">Zo kan de IG als leidinggevende van de IBTD ook </w:t>
      </w:r>
      <w:r w:rsidRPr="00433990">
        <w:t xml:space="preserve">op verzoek van een of beide Kamers der Staten-Generaal aan </w:t>
      </w:r>
      <w:r>
        <w:t>éé</w:t>
      </w:r>
      <w:r w:rsidRPr="00433990">
        <w:t xml:space="preserve">n of beide Kamers feitelijke informatie verstrekken en </w:t>
      </w:r>
      <w:r>
        <w:t>zijn</w:t>
      </w:r>
      <w:r w:rsidRPr="00433990">
        <w:t xml:space="preserve"> oordelen op basis van </w:t>
      </w:r>
      <w:r>
        <w:t xml:space="preserve">afgerond </w:t>
      </w:r>
      <w:r w:rsidRPr="00433990">
        <w:t>onderzoek bespreken</w:t>
      </w:r>
      <w:r w:rsidRPr="00E36626">
        <w:t>.</w:t>
      </w:r>
      <w:r>
        <w:t xml:space="preserve"> Zie </w:t>
      </w:r>
      <w:r>
        <w:rPr>
          <w:szCs w:val="18"/>
        </w:rPr>
        <w:t>Memorie van Toelichting, paragraaf 2. Zie voorts a</w:t>
      </w:r>
      <w:r w:rsidRPr="00A127EF">
        <w:rPr>
          <w:szCs w:val="18"/>
        </w:rPr>
        <w:t>rtikel 41c Organisatiebesluit Ministerie van Financiën 2020 juncto artikel 10 van de Regeling</w:t>
      </w:r>
      <w:r>
        <w:rPr>
          <w:szCs w:val="18"/>
        </w:rPr>
        <w:t xml:space="preserve"> </w:t>
      </w:r>
      <w:r w:rsidRPr="00A127EF">
        <w:rPr>
          <w:szCs w:val="18"/>
        </w:rPr>
        <w:t>taakuitoefening en bevoegdheden IBTD.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785E6" w14:textId="77777777" w:rsidR="00547AE5" w:rsidRDefault="00547A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7337A"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A29BF" w14:textId="77777777" w:rsidR="00547AE5" w:rsidRDefault="00547AE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5087"/>
    <w:multiLevelType w:val="hybridMultilevel"/>
    <w:tmpl w:val="CE0ADC1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9E5FEB"/>
    <w:multiLevelType w:val="hybridMultilevel"/>
    <w:tmpl w:val="A8EAA92A"/>
    <w:lvl w:ilvl="0" w:tplc="2D8EFA38">
      <w:start w:val="1"/>
      <w:numFmt w:val="lowerLetter"/>
      <w:lvlText w:val="%1."/>
      <w:lvlJc w:val="left"/>
      <w:pPr>
        <w:ind w:left="360" w:hanging="360"/>
      </w:pPr>
      <w:rPr>
        <w:rFonts w:hint="default"/>
        <w:i w:val="0"/>
        <w:i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061782024">
    <w:abstractNumId w:val="0"/>
  </w:num>
  <w:num w:numId="2" w16cid:durableId="1837719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31371"/>
    <w:rsid w:val="00156F0B"/>
    <w:rsid w:val="0017188E"/>
    <w:rsid w:val="002656A3"/>
    <w:rsid w:val="0027703A"/>
    <w:rsid w:val="002A16F1"/>
    <w:rsid w:val="002C6867"/>
    <w:rsid w:val="002D0875"/>
    <w:rsid w:val="00303CA7"/>
    <w:rsid w:val="00322CB5"/>
    <w:rsid w:val="003A1FC7"/>
    <w:rsid w:val="004421C1"/>
    <w:rsid w:val="004C120D"/>
    <w:rsid w:val="00503044"/>
    <w:rsid w:val="00547AE5"/>
    <w:rsid w:val="006D3E6B"/>
    <w:rsid w:val="0071031E"/>
    <w:rsid w:val="00724C4B"/>
    <w:rsid w:val="00743D19"/>
    <w:rsid w:val="00831756"/>
    <w:rsid w:val="009E72D2"/>
    <w:rsid w:val="00A349AF"/>
    <w:rsid w:val="00AA44F3"/>
    <w:rsid w:val="00B03C96"/>
    <w:rsid w:val="00B44919"/>
    <w:rsid w:val="00C02F92"/>
    <w:rsid w:val="00C5066A"/>
    <w:rsid w:val="00C50D4F"/>
    <w:rsid w:val="00C94D31"/>
    <w:rsid w:val="00CC52E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B31ECAD"/>
  <w15:docId w15:val="{910A25BF-4E28-4C1D-B24E-8D83D1EF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semiHidden/>
    <w:unhideWhenUsed/>
    <w:qFormat/>
    <w:rsid w:val="009C239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7755D4"/>
    <w:rPr>
      <w:vertAlign w:val="superscript"/>
    </w:rPr>
  </w:style>
  <w:style w:type="character" w:styleId="Verwijzingopmerking">
    <w:name w:val="annotation reference"/>
    <w:basedOn w:val="Standaardalinea-lettertype"/>
    <w:uiPriority w:val="99"/>
    <w:semiHidden/>
    <w:unhideWhenUsed/>
    <w:rsid w:val="007755D4"/>
    <w:rPr>
      <w:sz w:val="16"/>
      <w:szCs w:val="16"/>
    </w:rPr>
  </w:style>
  <w:style w:type="paragraph" w:styleId="Tekstopmerking">
    <w:name w:val="annotation text"/>
    <w:basedOn w:val="Standaard"/>
    <w:link w:val="TekstopmerkingChar"/>
    <w:uiPriority w:val="99"/>
    <w:semiHidden/>
    <w:unhideWhenUsed/>
    <w:rsid w:val="007755D4"/>
    <w:rPr>
      <w:sz w:val="20"/>
      <w:szCs w:val="20"/>
    </w:rPr>
  </w:style>
  <w:style w:type="character" w:customStyle="1" w:styleId="TekstopmerkingChar">
    <w:name w:val="Tekst opmerking Char"/>
    <w:basedOn w:val="Standaardalinea-lettertype"/>
    <w:link w:val="Tekstopmerking"/>
    <w:uiPriority w:val="99"/>
    <w:semiHidden/>
    <w:rsid w:val="007755D4"/>
    <w:rPr>
      <w:rFonts w:ascii="Univers" w:hAnsi="Univers"/>
    </w:rPr>
  </w:style>
  <w:style w:type="paragraph" w:styleId="Onderwerpvanopmerking">
    <w:name w:val="annotation subject"/>
    <w:basedOn w:val="Tekstopmerking"/>
    <w:next w:val="Tekstopmerking"/>
    <w:link w:val="OnderwerpvanopmerkingChar"/>
    <w:semiHidden/>
    <w:unhideWhenUsed/>
    <w:rsid w:val="00D5628F"/>
    <w:rPr>
      <w:b/>
      <w:bCs/>
    </w:rPr>
  </w:style>
  <w:style w:type="character" w:customStyle="1" w:styleId="OnderwerpvanopmerkingChar">
    <w:name w:val="Onderwerp van opmerking Char"/>
    <w:basedOn w:val="TekstopmerkingChar"/>
    <w:link w:val="Onderwerpvanopmerking"/>
    <w:semiHidden/>
    <w:rsid w:val="00D5628F"/>
    <w:rPr>
      <w:rFonts w:ascii="Univers" w:hAnsi="Univers"/>
      <w:b/>
      <w:bCs/>
    </w:rPr>
  </w:style>
  <w:style w:type="character" w:customStyle="1" w:styleId="LogoKoninginnepapier">
    <w:name w:val="Logo Koninginnepapier"/>
    <w:rsid w:val="00636D17"/>
    <w:rPr>
      <w:rFonts w:ascii="Bembo" w:hAnsi="Bembo"/>
      <w:spacing w:val="0"/>
      <w:sz w:val="32"/>
      <w:szCs w:val="32"/>
    </w:rPr>
  </w:style>
  <w:style w:type="character" w:styleId="Hyperlink">
    <w:name w:val="Hyperlink"/>
    <w:basedOn w:val="Standaardalinea-lettertype"/>
    <w:uiPriority w:val="99"/>
    <w:unhideWhenUsed/>
    <w:rsid w:val="00FD0265"/>
    <w:rPr>
      <w:color w:val="0000FF" w:themeColor="hyperlink"/>
      <w:u w:val="single"/>
    </w:rPr>
  </w:style>
  <w:style w:type="character" w:customStyle="1" w:styleId="Kop2Char">
    <w:name w:val="Kop 2 Char"/>
    <w:basedOn w:val="Standaardalinea-lettertype"/>
    <w:link w:val="Kop2"/>
    <w:semiHidden/>
    <w:rsid w:val="009C239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858</ap:Words>
  <ap:Characters>5236</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2023-03-20T14:14:00.0000000Z</dcterms:created>
  <dcterms:modified xsi:type="dcterms:W3CDTF">2023-03-20T14:14:00.0000000Z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e3eac-4767-4d29-949e-d809b1160d11_Enabled">
    <vt:lpwstr>true</vt:lpwstr>
  </property>
  <property fmtid="{D5CDD505-2E9C-101B-9397-08002B2CF9AE}" pid="3" name="MSIP_Label_112e3eac-4767-4d29-949e-d809b1160d11_SetDate">
    <vt:lpwstr>2023-03-20T14:13:59Z</vt:lpwstr>
  </property>
  <property fmtid="{D5CDD505-2E9C-101B-9397-08002B2CF9AE}" pid="4" name="MSIP_Label_112e3eac-4767-4d29-949e-d809b1160d11_Method">
    <vt:lpwstr>Standard</vt:lpwstr>
  </property>
  <property fmtid="{D5CDD505-2E9C-101B-9397-08002B2CF9AE}" pid="5" name="MSIP_Label_112e3eac-4767-4d29-949e-d809b1160d11_Name">
    <vt:lpwstr>Rijksoverheid (SGC)</vt:lpwstr>
  </property>
  <property fmtid="{D5CDD505-2E9C-101B-9397-08002B2CF9AE}" pid="6" name="MSIP_Label_112e3eac-4767-4d29-949e-d809b1160d11_SiteId">
    <vt:lpwstr>84712536-f524-40a0-913b-5d25ba502732</vt:lpwstr>
  </property>
  <property fmtid="{D5CDD505-2E9C-101B-9397-08002B2CF9AE}" pid="7" name="MSIP_Label_112e3eac-4767-4d29-949e-d809b1160d11_ActionId">
    <vt:lpwstr>e3132da5-da91-49a4-80a0-2f35ea469705</vt:lpwstr>
  </property>
  <property fmtid="{D5CDD505-2E9C-101B-9397-08002B2CF9AE}" pid="8" name="MSIP_Label_112e3eac-4767-4d29-949e-d809b1160d11_ContentBits">
    <vt:lpwstr>0</vt:lpwstr>
  </property>
</Properties>
</file>