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B61B4" w:rsidR="00CF57CC" w:rsidP="00E234BF" w:rsidRDefault="00A017FD" w14:paraId="642ABFCE" w14:textId="21991D11">
      <w:pPr>
        <w:spacing w:line="360" w:lineRule="auto"/>
        <w:jc w:val="both"/>
        <w:rPr>
          <w:rFonts w:ascii="Verdana" w:hAnsi="Verdana" w:cstheme="minorHAnsi"/>
          <w:b/>
          <w:sz w:val="18"/>
          <w:szCs w:val="18"/>
          <w:lang w:val="nl-NL"/>
        </w:rPr>
      </w:pPr>
      <w:r w:rsidRPr="005725E9">
        <w:rPr>
          <w:rFonts w:ascii="Verdana" w:hAnsi="Verdana" w:cstheme="minorHAnsi"/>
          <w:b/>
          <w:sz w:val="18"/>
          <w:szCs w:val="18"/>
          <w:lang w:val="nl-NL"/>
        </w:rPr>
        <w:t>Goedkeuring van het v</w:t>
      </w:r>
      <w:r w:rsidRPr="005725E9" w:rsidR="00E71746">
        <w:rPr>
          <w:rFonts w:ascii="Verdana" w:hAnsi="Verdana" w:cstheme="minorHAnsi"/>
          <w:b/>
          <w:sz w:val="18"/>
          <w:szCs w:val="18"/>
          <w:lang w:val="nl-NL"/>
        </w:rPr>
        <w:t xml:space="preserve">oornemen tot opzegging voor het Caribisch deel van het Koninkrijk </w:t>
      </w:r>
      <w:r w:rsidRPr="005725E9" w:rsidR="00CF57CC">
        <w:rPr>
          <w:rFonts w:ascii="Verdana" w:hAnsi="Verdana" w:cstheme="minorHAnsi"/>
          <w:b/>
          <w:sz w:val="18"/>
          <w:szCs w:val="18"/>
          <w:lang w:val="nl-NL"/>
        </w:rPr>
        <w:t xml:space="preserve">van de </w:t>
      </w:r>
      <w:r w:rsidRPr="005725E9" w:rsidR="00E71746">
        <w:rPr>
          <w:rFonts w:ascii="Verdana" w:hAnsi="Verdana" w:cstheme="minorHAnsi"/>
          <w:b/>
          <w:sz w:val="18"/>
          <w:szCs w:val="18"/>
          <w:lang w:val="nl-NL"/>
        </w:rPr>
        <w:t xml:space="preserve">op 14 november 1975 te Genève tot stand gekomen </w:t>
      </w:r>
      <w:r w:rsidRPr="005725E9" w:rsidR="00CF57CC">
        <w:rPr>
          <w:rFonts w:ascii="Verdana" w:hAnsi="Verdana" w:cstheme="minorHAnsi"/>
          <w:b/>
          <w:sz w:val="18"/>
          <w:szCs w:val="18"/>
          <w:lang w:val="nl-NL"/>
        </w:rPr>
        <w:t>Douaneovereenkomst inzake het internationale vervoer van goederen onder dekking van carnets TIR (TIR-Overeenkomst)</w:t>
      </w:r>
      <w:r w:rsidR="001B61B4">
        <w:rPr>
          <w:rFonts w:ascii="Verdana" w:hAnsi="Verdana" w:cstheme="minorHAnsi"/>
          <w:b/>
          <w:sz w:val="18"/>
          <w:szCs w:val="18"/>
          <w:lang w:val="nl-NL"/>
        </w:rPr>
        <w:t xml:space="preserve"> </w:t>
      </w:r>
      <w:r w:rsidRPr="001B61B4" w:rsidR="001B61B4">
        <w:rPr>
          <w:rFonts w:ascii="Verdana" w:hAnsi="Verdana" w:cstheme="minorHAnsi"/>
          <w:b/>
          <w:sz w:val="18"/>
          <w:szCs w:val="18"/>
          <w:lang w:val="nl-NL"/>
        </w:rPr>
        <w:t>(</w:t>
      </w:r>
      <w:proofErr w:type="spellStart"/>
      <w:r w:rsidRPr="001B61B4" w:rsidR="001B61B4">
        <w:rPr>
          <w:rFonts w:ascii="Verdana" w:hAnsi="Verdana" w:cstheme="minorHAnsi"/>
          <w:b/>
          <w:sz w:val="18"/>
          <w:szCs w:val="18"/>
          <w:lang w:val="nl-NL"/>
        </w:rPr>
        <w:t>Trb</w:t>
      </w:r>
      <w:proofErr w:type="spellEnd"/>
      <w:r w:rsidRPr="001B61B4" w:rsidR="001B61B4">
        <w:rPr>
          <w:rFonts w:ascii="Verdana" w:hAnsi="Verdana" w:cstheme="minorHAnsi"/>
          <w:b/>
          <w:sz w:val="18"/>
          <w:szCs w:val="18"/>
          <w:lang w:val="nl-NL"/>
        </w:rPr>
        <w:t xml:space="preserve">. 1976, 184 en </w:t>
      </w:r>
      <w:proofErr w:type="spellStart"/>
      <w:r w:rsidRPr="001B61B4" w:rsidR="001B61B4">
        <w:rPr>
          <w:rFonts w:ascii="Verdana" w:hAnsi="Verdana" w:cstheme="minorHAnsi"/>
          <w:b/>
          <w:sz w:val="18"/>
          <w:szCs w:val="18"/>
          <w:lang w:val="nl-NL"/>
        </w:rPr>
        <w:t>Trb</w:t>
      </w:r>
      <w:proofErr w:type="spellEnd"/>
      <w:r w:rsidRPr="001B61B4" w:rsidR="001B61B4">
        <w:rPr>
          <w:rFonts w:ascii="Verdana" w:hAnsi="Verdana" w:cstheme="minorHAnsi"/>
          <w:b/>
          <w:sz w:val="18"/>
          <w:szCs w:val="18"/>
          <w:lang w:val="nl-NL"/>
        </w:rPr>
        <w:t>. 1977, 91)</w:t>
      </w:r>
    </w:p>
    <w:p w:rsidRPr="005725E9" w:rsidR="00CF57CC" w:rsidP="00E234BF" w:rsidRDefault="00CF57CC" w14:paraId="570D3719" w14:textId="77777777">
      <w:pPr>
        <w:spacing w:line="360" w:lineRule="auto"/>
        <w:jc w:val="both"/>
        <w:rPr>
          <w:rFonts w:ascii="Verdana" w:hAnsi="Verdana" w:cstheme="minorHAnsi"/>
          <w:b/>
          <w:sz w:val="18"/>
          <w:szCs w:val="18"/>
          <w:lang w:val="nl-NL"/>
        </w:rPr>
      </w:pPr>
    </w:p>
    <w:p w:rsidRPr="005725E9" w:rsidR="00CF57CC" w:rsidP="00E234BF" w:rsidRDefault="00CF57CC" w14:paraId="31079E30" w14:textId="77777777">
      <w:pPr>
        <w:spacing w:line="360" w:lineRule="auto"/>
        <w:jc w:val="both"/>
        <w:rPr>
          <w:rFonts w:ascii="Verdana" w:hAnsi="Verdana" w:cstheme="minorHAnsi"/>
          <w:sz w:val="18"/>
          <w:szCs w:val="18"/>
          <w:lang w:val="nl-NL"/>
        </w:rPr>
      </w:pPr>
    </w:p>
    <w:p w:rsidRPr="005725E9" w:rsidR="00CF57CC" w:rsidP="00E234BF" w:rsidRDefault="00CF57CC" w14:paraId="0C4C64B1" w14:textId="77777777">
      <w:pPr>
        <w:spacing w:line="360" w:lineRule="auto"/>
        <w:jc w:val="both"/>
        <w:rPr>
          <w:rFonts w:ascii="Verdana" w:hAnsi="Verdana" w:cstheme="minorHAnsi"/>
          <w:sz w:val="18"/>
          <w:szCs w:val="18"/>
          <w:lang w:val="nl-NL"/>
        </w:rPr>
      </w:pPr>
    </w:p>
    <w:p w:rsidRPr="005725E9" w:rsidR="00CF57CC" w:rsidP="00E234BF" w:rsidRDefault="00CF57CC" w14:paraId="69BF9830" w14:textId="77777777">
      <w:pPr>
        <w:spacing w:line="360" w:lineRule="auto"/>
        <w:jc w:val="both"/>
        <w:rPr>
          <w:rFonts w:ascii="Verdana" w:hAnsi="Verdana" w:cstheme="minorHAnsi"/>
          <w:b/>
          <w:sz w:val="18"/>
          <w:szCs w:val="18"/>
          <w:lang w:val="nl-NL"/>
        </w:rPr>
      </w:pPr>
      <w:r w:rsidRPr="005725E9">
        <w:rPr>
          <w:rFonts w:ascii="Verdana" w:hAnsi="Verdana" w:cstheme="minorHAnsi"/>
          <w:b/>
          <w:sz w:val="18"/>
          <w:szCs w:val="18"/>
          <w:lang w:val="nl-NL"/>
        </w:rPr>
        <w:t>TOELICHTENDE NOTA</w:t>
      </w:r>
    </w:p>
    <w:p w:rsidRPr="005725E9" w:rsidR="00CF57CC" w:rsidP="00E234BF" w:rsidRDefault="00CF57CC" w14:paraId="763E6AFC" w14:textId="77777777">
      <w:pPr>
        <w:spacing w:line="360" w:lineRule="auto"/>
        <w:jc w:val="both"/>
        <w:rPr>
          <w:rFonts w:ascii="Verdana" w:hAnsi="Verdana" w:cstheme="minorHAnsi"/>
          <w:sz w:val="18"/>
          <w:szCs w:val="18"/>
          <w:lang w:val="nl-NL"/>
        </w:rPr>
      </w:pPr>
    </w:p>
    <w:p w:rsidRPr="005725E9" w:rsidR="00CF57CC" w:rsidP="00E234BF" w:rsidRDefault="00CF57CC" w14:paraId="539B47EC" w14:textId="77777777">
      <w:pPr>
        <w:spacing w:line="360" w:lineRule="auto"/>
        <w:jc w:val="both"/>
        <w:rPr>
          <w:rFonts w:ascii="Verdana" w:hAnsi="Verdana" w:cstheme="minorHAnsi"/>
          <w:sz w:val="18"/>
          <w:szCs w:val="18"/>
          <w:lang w:val="nl-NL"/>
        </w:rPr>
      </w:pPr>
    </w:p>
    <w:p w:rsidRPr="005725E9" w:rsidR="00CF57CC" w:rsidP="00E234BF" w:rsidRDefault="00CF57CC" w14:paraId="072304AD" w14:textId="77777777">
      <w:pPr>
        <w:spacing w:line="360" w:lineRule="auto"/>
        <w:jc w:val="both"/>
        <w:rPr>
          <w:rFonts w:ascii="Verdana" w:hAnsi="Verdana" w:cstheme="minorHAnsi"/>
          <w:b/>
          <w:sz w:val="18"/>
          <w:szCs w:val="18"/>
          <w:lang w:val="nl-NL"/>
        </w:rPr>
      </w:pPr>
      <w:r w:rsidRPr="005725E9">
        <w:rPr>
          <w:rFonts w:ascii="Verdana" w:hAnsi="Verdana" w:cs="Arial"/>
          <w:b/>
          <w:bCs/>
          <w:iCs/>
          <w:sz w:val="18"/>
          <w:szCs w:val="18"/>
          <w:lang w:val="nl-NL"/>
        </w:rPr>
        <w:t xml:space="preserve">I. </w:t>
      </w:r>
      <w:r w:rsidRPr="005725E9">
        <w:rPr>
          <w:rFonts w:ascii="Verdana" w:hAnsi="Verdana" w:cstheme="minorHAnsi"/>
          <w:b/>
          <w:sz w:val="18"/>
          <w:szCs w:val="18"/>
          <w:lang w:val="nl-NL"/>
        </w:rPr>
        <w:t>Inleiding</w:t>
      </w:r>
    </w:p>
    <w:p w:rsidRPr="005725E9" w:rsidR="005B36A9" w:rsidP="00E234BF" w:rsidRDefault="00CF57CC" w14:paraId="304CDD35" w14:textId="280892E4">
      <w:pPr>
        <w:spacing w:line="360" w:lineRule="auto"/>
        <w:jc w:val="both"/>
        <w:rPr>
          <w:rFonts w:ascii="Verdana" w:hAnsi="Verdana" w:cstheme="minorHAnsi"/>
          <w:sz w:val="18"/>
          <w:szCs w:val="18"/>
          <w:lang w:val="nl-NL"/>
        </w:rPr>
      </w:pPr>
      <w:r w:rsidRPr="005725E9">
        <w:rPr>
          <w:rFonts w:ascii="Verdana" w:hAnsi="Verdana" w:cstheme="minorHAnsi"/>
          <w:sz w:val="18"/>
          <w:szCs w:val="18"/>
          <w:lang w:val="nl-NL"/>
        </w:rPr>
        <w:t xml:space="preserve">De Douaneovereenkomst inzake het internationale vervoer van goederen onder dekking van carnets </w:t>
      </w:r>
      <w:proofErr w:type="spellStart"/>
      <w:r w:rsidRPr="005725E9">
        <w:rPr>
          <w:rFonts w:ascii="Verdana" w:hAnsi="Verdana" w:cstheme="minorHAnsi"/>
          <w:i/>
          <w:sz w:val="18"/>
          <w:szCs w:val="18"/>
          <w:lang w:val="nl-NL"/>
        </w:rPr>
        <w:t>Transports</w:t>
      </w:r>
      <w:proofErr w:type="spellEnd"/>
      <w:r w:rsidRPr="005725E9">
        <w:rPr>
          <w:rFonts w:ascii="Verdana" w:hAnsi="Verdana" w:cstheme="minorHAnsi"/>
          <w:i/>
          <w:sz w:val="18"/>
          <w:szCs w:val="18"/>
          <w:lang w:val="nl-NL"/>
        </w:rPr>
        <w:t xml:space="preserve"> </w:t>
      </w:r>
      <w:proofErr w:type="spellStart"/>
      <w:r w:rsidRPr="005725E9">
        <w:rPr>
          <w:rFonts w:ascii="Verdana" w:hAnsi="Verdana" w:cstheme="minorHAnsi"/>
          <w:i/>
          <w:sz w:val="18"/>
          <w:szCs w:val="18"/>
          <w:lang w:val="nl-NL"/>
        </w:rPr>
        <w:t>Internationaux</w:t>
      </w:r>
      <w:proofErr w:type="spellEnd"/>
      <w:r w:rsidRPr="005725E9">
        <w:rPr>
          <w:rFonts w:ascii="Verdana" w:hAnsi="Verdana" w:cstheme="minorHAnsi"/>
          <w:i/>
          <w:sz w:val="18"/>
          <w:szCs w:val="18"/>
          <w:lang w:val="nl-NL"/>
        </w:rPr>
        <w:t xml:space="preserve"> Routiers</w:t>
      </w:r>
      <w:r w:rsidRPr="005725E9">
        <w:rPr>
          <w:rFonts w:ascii="Verdana" w:hAnsi="Verdana" w:cstheme="minorHAnsi"/>
          <w:sz w:val="18"/>
          <w:szCs w:val="18"/>
          <w:lang w:val="nl-NL"/>
        </w:rPr>
        <w:t xml:space="preserve"> ofwel TIR (TIR-Overeenkomst) (</w:t>
      </w:r>
      <w:r w:rsidRPr="005725E9">
        <w:rPr>
          <w:rFonts w:ascii="Verdana" w:hAnsi="Verdana" w:cstheme="minorHAnsi"/>
          <w:i/>
          <w:sz w:val="18"/>
          <w:szCs w:val="18"/>
          <w:lang w:val="nl-NL"/>
        </w:rPr>
        <w:t>Trb</w:t>
      </w:r>
      <w:r w:rsidRPr="005725E9">
        <w:rPr>
          <w:rFonts w:ascii="Verdana" w:hAnsi="Verdana" w:cstheme="minorHAnsi"/>
          <w:sz w:val="18"/>
          <w:szCs w:val="18"/>
          <w:lang w:val="nl-NL"/>
        </w:rPr>
        <w:t xml:space="preserve">. 1976, 184, vertaling in </w:t>
      </w:r>
      <w:r w:rsidRPr="005725E9">
        <w:rPr>
          <w:rFonts w:ascii="Verdana" w:hAnsi="Verdana" w:cstheme="minorHAnsi"/>
          <w:i/>
          <w:sz w:val="18"/>
          <w:szCs w:val="18"/>
          <w:lang w:val="nl-NL"/>
        </w:rPr>
        <w:t>Trb.</w:t>
      </w:r>
      <w:r w:rsidRPr="005725E9">
        <w:rPr>
          <w:rFonts w:ascii="Verdana" w:hAnsi="Verdana" w:cstheme="minorHAnsi"/>
          <w:sz w:val="18"/>
          <w:szCs w:val="18"/>
          <w:lang w:val="nl-NL"/>
        </w:rPr>
        <w:t xml:space="preserve"> 1977, 91), is op 14 november 1975 te Genève tot stand gekomen. Het is een multilateraal verdrag dat tot stand is gebracht onder toezicht van de Economische Commissie voor Europa van de Verenigde Naties (VN-ECE) en thans van kracht is voor 77 overeenkomstsluitende partijen, waaronder het Koninkrijk der Nederlanden en de Europese Unie.</w:t>
      </w:r>
      <w:r w:rsidRPr="005725E9" w:rsidR="005B36A9">
        <w:rPr>
          <w:rFonts w:ascii="Verdana" w:hAnsi="Verdana" w:cstheme="minorHAnsi"/>
          <w:sz w:val="18"/>
          <w:szCs w:val="18"/>
          <w:lang w:val="nl-NL"/>
        </w:rPr>
        <w:t xml:space="preserve"> </w:t>
      </w:r>
    </w:p>
    <w:p w:rsidRPr="005725E9" w:rsidR="00AE1EB4" w:rsidP="00E234BF" w:rsidRDefault="0012750D" w14:paraId="29911CCD" w14:textId="55D67EC3">
      <w:pPr>
        <w:spacing w:line="360" w:lineRule="auto"/>
        <w:jc w:val="both"/>
        <w:rPr>
          <w:rFonts w:ascii="Verdana" w:hAnsi="Verdana" w:cstheme="minorHAnsi"/>
          <w:sz w:val="18"/>
          <w:szCs w:val="18"/>
          <w:lang w:val="nl-NL"/>
        </w:rPr>
      </w:pPr>
      <w:r w:rsidRPr="005725E9">
        <w:rPr>
          <w:rFonts w:ascii="Verdana" w:hAnsi="Verdana" w:cstheme="minorHAnsi"/>
          <w:sz w:val="18"/>
          <w:szCs w:val="18"/>
          <w:lang w:val="nl-NL"/>
        </w:rPr>
        <w:t>Het doel van de TIR-Overeenkomst is het vervoer over de weg tussen de aangesloten overeenkomstsluitende partijen te vergemakkelijken</w:t>
      </w:r>
      <w:r w:rsidRPr="005725E9" w:rsidR="00AE1EB4">
        <w:rPr>
          <w:rFonts w:ascii="Verdana" w:hAnsi="Verdana" w:cstheme="minorHAnsi"/>
          <w:sz w:val="18"/>
          <w:szCs w:val="18"/>
          <w:lang w:val="nl-NL"/>
        </w:rPr>
        <w:t xml:space="preserve">. Dit wordt mogelijk gemaakt door het </w:t>
      </w:r>
      <w:r w:rsidRPr="005725E9" w:rsidR="00684489">
        <w:rPr>
          <w:rFonts w:ascii="Verdana" w:hAnsi="Verdana" w:cstheme="minorHAnsi"/>
          <w:sz w:val="18"/>
          <w:szCs w:val="18"/>
          <w:lang w:val="nl-NL"/>
        </w:rPr>
        <w:t xml:space="preserve">zogeheten “Carnet TIR”. </w:t>
      </w:r>
      <w:r w:rsidRPr="005725E9" w:rsidR="00AE1EB4">
        <w:rPr>
          <w:rFonts w:ascii="Verdana" w:hAnsi="Verdana" w:cstheme="minorHAnsi"/>
          <w:sz w:val="18"/>
          <w:szCs w:val="18"/>
          <w:lang w:val="nl-NL"/>
        </w:rPr>
        <w:t>Het Carnet TIR</w:t>
      </w:r>
      <w:r w:rsidRPr="005725E9" w:rsidR="00E93B3B">
        <w:rPr>
          <w:rFonts w:ascii="Verdana" w:hAnsi="Verdana" w:cstheme="minorHAnsi"/>
          <w:sz w:val="18"/>
          <w:szCs w:val="18"/>
          <w:lang w:val="nl-NL"/>
        </w:rPr>
        <w:t>, ofwel het aangiftebewijsstuk,</w:t>
      </w:r>
      <w:r w:rsidRPr="005725E9" w:rsidR="00AE1EB4">
        <w:rPr>
          <w:rFonts w:ascii="Verdana" w:hAnsi="Verdana" w:cstheme="minorHAnsi"/>
          <w:sz w:val="18"/>
          <w:szCs w:val="18"/>
          <w:lang w:val="nl-NL"/>
        </w:rPr>
        <w:t xml:space="preserve"> maakt het mogelijk om goederen over de grenzen van aangesloten staten te vervoeren, zonder ze te hoeven lossen aan de </w:t>
      </w:r>
      <w:r w:rsidRPr="005725E9" w:rsidR="00E93B3B">
        <w:rPr>
          <w:rFonts w:ascii="Verdana" w:hAnsi="Verdana" w:cstheme="minorHAnsi"/>
          <w:sz w:val="18"/>
          <w:szCs w:val="18"/>
          <w:lang w:val="nl-NL"/>
        </w:rPr>
        <w:t xml:space="preserve">tussenliggende </w:t>
      </w:r>
      <w:r w:rsidRPr="005725E9" w:rsidR="00AE1EB4">
        <w:rPr>
          <w:rFonts w:ascii="Verdana" w:hAnsi="Verdana" w:cstheme="minorHAnsi"/>
          <w:sz w:val="18"/>
          <w:szCs w:val="18"/>
          <w:lang w:val="nl-NL"/>
        </w:rPr>
        <w:t>gren</w:t>
      </w:r>
      <w:r w:rsidRPr="005725E9" w:rsidR="00E93B3B">
        <w:rPr>
          <w:rFonts w:ascii="Verdana" w:hAnsi="Verdana" w:cstheme="minorHAnsi"/>
          <w:sz w:val="18"/>
          <w:szCs w:val="18"/>
          <w:lang w:val="nl-NL"/>
        </w:rPr>
        <w:t>zen</w:t>
      </w:r>
      <w:r w:rsidRPr="005725E9" w:rsidR="00AE1EB4">
        <w:rPr>
          <w:rFonts w:ascii="Verdana" w:hAnsi="Verdana" w:cstheme="minorHAnsi"/>
          <w:sz w:val="18"/>
          <w:szCs w:val="18"/>
          <w:lang w:val="nl-NL"/>
        </w:rPr>
        <w:t xml:space="preserve"> en zonder dat de vervoerder telkens opnieuw zekerheid hoeft te stellen. Het zwaartepunt van de controle ligt dus bij de aanvang en het einde van het vervoer</w:t>
      </w:r>
      <w:r w:rsidRPr="005725E9" w:rsidR="00E93B3B">
        <w:rPr>
          <w:rFonts w:ascii="Verdana" w:hAnsi="Verdana" w:cstheme="minorHAnsi"/>
          <w:sz w:val="18"/>
          <w:szCs w:val="18"/>
          <w:lang w:val="nl-NL"/>
        </w:rPr>
        <w:t>.</w:t>
      </w:r>
      <w:r w:rsidRPr="005725E9" w:rsidR="00AE1EB4">
        <w:rPr>
          <w:rStyle w:val="Voetnootmarkering"/>
          <w:rFonts w:ascii="Verdana" w:hAnsi="Verdana" w:cstheme="minorHAnsi"/>
          <w:sz w:val="18"/>
          <w:szCs w:val="18"/>
          <w:lang w:val="nl-NL"/>
        </w:rPr>
        <w:footnoteReference w:id="1"/>
      </w:r>
      <w:r w:rsidRPr="005725E9" w:rsidR="00AE1EB4">
        <w:rPr>
          <w:rFonts w:ascii="Verdana" w:hAnsi="Verdana" w:cstheme="minorHAnsi"/>
          <w:sz w:val="18"/>
          <w:szCs w:val="18"/>
          <w:lang w:val="nl-NL"/>
        </w:rPr>
        <w:t xml:space="preserve"> Tevens worden de goederen bij grensoverschrijdingen niet onderworpen aan betaling van rechten of heffingen in verband met in- of uitvoer.</w:t>
      </w:r>
    </w:p>
    <w:p w:rsidRPr="007B252B" w:rsidR="00947E6B" w:rsidP="00947E6B" w:rsidRDefault="00947E6B" w14:paraId="3C385AC1" w14:textId="75BA1B4E">
      <w:pPr>
        <w:spacing w:line="360" w:lineRule="auto"/>
        <w:jc w:val="both"/>
        <w:rPr>
          <w:rFonts w:ascii="Verdana" w:hAnsi="Verdana" w:cstheme="minorHAnsi"/>
          <w:sz w:val="18"/>
          <w:szCs w:val="18"/>
          <w:lang w:val="nl-NL"/>
        </w:rPr>
      </w:pPr>
      <w:r w:rsidRPr="007B252B">
        <w:rPr>
          <w:rFonts w:ascii="Verdana" w:hAnsi="Verdana" w:cstheme="minorHAnsi"/>
          <w:sz w:val="18"/>
          <w:szCs w:val="18"/>
          <w:lang w:val="nl-NL"/>
        </w:rPr>
        <w:t>De Europese Unie is, naast de EU-lidstaten, zelfstandig overeenkomstsluitende partij bij de TIR-Overeenkomst</w:t>
      </w:r>
      <w:r>
        <w:rPr>
          <w:rFonts w:ascii="Verdana" w:hAnsi="Verdana" w:cstheme="minorHAnsi"/>
          <w:sz w:val="18"/>
          <w:szCs w:val="18"/>
          <w:lang w:val="nl-NL"/>
        </w:rPr>
        <w:t>. De TIR-Overeenkomst voorziet expliciet in deze mogelijkheid</w:t>
      </w:r>
      <w:r w:rsidRPr="007B252B">
        <w:rPr>
          <w:rFonts w:ascii="Verdana" w:hAnsi="Verdana" w:cstheme="minorHAnsi"/>
          <w:sz w:val="18"/>
          <w:szCs w:val="18"/>
          <w:lang w:val="nl-NL"/>
        </w:rPr>
        <w:t>.</w:t>
      </w:r>
      <w:r>
        <w:rPr>
          <w:rStyle w:val="Voetnootmarkering"/>
          <w:rFonts w:ascii="Verdana" w:hAnsi="Verdana" w:cstheme="minorHAnsi"/>
          <w:sz w:val="18"/>
          <w:szCs w:val="18"/>
          <w:lang w:val="nl-NL"/>
        </w:rPr>
        <w:footnoteReference w:id="2"/>
      </w:r>
      <w:r w:rsidRPr="007B252B">
        <w:rPr>
          <w:rFonts w:ascii="Verdana" w:hAnsi="Verdana" w:cstheme="minorHAnsi"/>
          <w:sz w:val="18"/>
          <w:szCs w:val="18"/>
          <w:lang w:val="nl-NL"/>
        </w:rPr>
        <w:t xml:space="preserve"> Aangezien de TIR-Overeenkomst een gebied bestrijkt waarop de EU exclusief bevoegd is, </w:t>
      </w:r>
      <w:r>
        <w:rPr>
          <w:rFonts w:ascii="Verdana" w:hAnsi="Verdana" w:cstheme="minorHAnsi"/>
          <w:sz w:val="18"/>
          <w:szCs w:val="18"/>
          <w:lang w:val="nl-NL"/>
        </w:rPr>
        <w:t>is Nederland (het Europese deel) als EU-lidstaat via de band van de EU aan deze Overeenkomst gebonden.</w:t>
      </w:r>
    </w:p>
    <w:p w:rsidR="006D106E" w:rsidRDefault="002E7129" w14:paraId="48428CD6" w14:textId="536312A5">
      <w:pPr>
        <w:spacing w:line="360" w:lineRule="auto"/>
        <w:jc w:val="both"/>
        <w:rPr>
          <w:rFonts w:ascii="Verdana" w:hAnsi="Verdana" w:cstheme="minorHAnsi"/>
          <w:sz w:val="18"/>
          <w:szCs w:val="18"/>
          <w:lang w:val="nl-NL"/>
        </w:rPr>
      </w:pPr>
      <w:r>
        <w:rPr>
          <w:rFonts w:ascii="Verdana" w:hAnsi="Verdana" w:cstheme="minorHAnsi"/>
          <w:sz w:val="18"/>
          <w:szCs w:val="18"/>
          <w:lang w:val="nl-NL"/>
        </w:rPr>
        <w:t xml:space="preserve">Voorafgaand aan de parlementaire goedkeuring van </w:t>
      </w:r>
      <w:r w:rsidRPr="005725E9" w:rsidR="006D106E">
        <w:rPr>
          <w:rFonts w:ascii="Verdana" w:hAnsi="Verdana" w:cstheme="minorHAnsi"/>
          <w:sz w:val="18"/>
          <w:szCs w:val="18"/>
          <w:lang w:val="nl-NL"/>
        </w:rPr>
        <w:t xml:space="preserve">de TIR-Overeenkomst in 1978 </w:t>
      </w:r>
      <w:r>
        <w:rPr>
          <w:rFonts w:ascii="Verdana" w:hAnsi="Verdana" w:cstheme="minorHAnsi"/>
          <w:sz w:val="18"/>
          <w:szCs w:val="18"/>
          <w:lang w:val="nl-NL"/>
        </w:rPr>
        <w:t xml:space="preserve">hebben </w:t>
      </w:r>
      <w:r w:rsidRPr="005725E9" w:rsidR="006D106E">
        <w:rPr>
          <w:rFonts w:ascii="Verdana" w:hAnsi="Verdana" w:cstheme="minorHAnsi"/>
          <w:sz w:val="18"/>
          <w:szCs w:val="18"/>
          <w:lang w:val="nl-NL"/>
        </w:rPr>
        <w:t xml:space="preserve">de toenmalige Nederlandse Antillen </w:t>
      </w:r>
      <w:r>
        <w:rPr>
          <w:rFonts w:ascii="Verdana" w:hAnsi="Verdana" w:cstheme="minorHAnsi"/>
          <w:sz w:val="18"/>
          <w:szCs w:val="18"/>
          <w:lang w:val="nl-NL"/>
        </w:rPr>
        <w:t xml:space="preserve">aangegeven </w:t>
      </w:r>
      <w:r w:rsidRPr="005725E9" w:rsidR="006D106E">
        <w:rPr>
          <w:rFonts w:ascii="Verdana" w:hAnsi="Verdana" w:cstheme="minorHAnsi"/>
          <w:sz w:val="18"/>
          <w:szCs w:val="18"/>
          <w:lang w:val="nl-NL"/>
        </w:rPr>
        <w:t xml:space="preserve">medegelding </w:t>
      </w:r>
      <w:r>
        <w:rPr>
          <w:rFonts w:ascii="Verdana" w:hAnsi="Verdana" w:cstheme="minorHAnsi"/>
          <w:sz w:val="18"/>
          <w:szCs w:val="18"/>
          <w:lang w:val="nl-NL"/>
        </w:rPr>
        <w:t xml:space="preserve">te </w:t>
      </w:r>
      <w:r w:rsidRPr="005725E9" w:rsidR="006D106E">
        <w:rPr>
          <w:rFonts w:ascii="Verdana" w:hAnsi="Verdana" w:cstheme="minorHAnsi"/>
          <w:sz w:val="18"/>
          <w:szCs w:val="18"/>
          <w:lang w:val="nl-NL"/>
        </w:rPr>
        <w:t>wens</w:t>
      </w:r>
      <w:r>
        <w:rPr>
          <w:rFonts w:ascii="Verdana" w:hAnsi="Verdana" w:cstheme="minorHAnsi"/>
          <w:sz w:val="18"/>
          <w:szCs w:val="18"/>
          <w:lang w:val="nl-NL"/>
        </w:rPr>
        <w:t>en</w:t>
      </w:r>
      <w:r w:rsidRPr="005725E9" w:rsidR="006D106E">
        <w:rPr>
          <w:rFonts w:ascii="Verdana" w:hAnsi="Verdana" w:cstheme="minorHAnsi"/>
          <w:sz w:val="18"/>
          <w:szCs w:val="18"/>
          <w:lang w:val="nl-NL"/>
        </w:rPr>
        <w:t>.</w:t>
      </w:r>
      <w:r w:rsidRPr="005725E9" w:rsidR="006D106E">
        <w:rPr>
          <w:rStyle w:val="Voetnootmarkering"/>
          <w:rFonts w:ascii="Verdana" w:hAnsi="Verdana" w:cstheme="minorHAnsi"/>
          <w:sz w:val="18"/>
          <w:szCs w:val="18"/>
          <w:lang w:val="nl-NL"/>
        </w:rPr>
        <w:footnoteReference w:id="3"/>
      </w:r>
      <w:r w:rsidRPr="005725E9" w:rsidR="006D106E">
        <w:rPr>
          <w:rFonts w:ascii="Verdana" w:hAnsi="Verdana" w:cstheme="minorHAnsi"/>
          <w:sz w:val="18"/>
          <w:szCs w:val="18"/>
          <w:lang w:val="nl-NL"/>
        </w:rPr>
        <w:t xml:space="preserve"> De Overeenkomst is </w:t>
      </w:r>
      <w:r w:rsidR="009A7C88">
        <w:rPr>
          <w:rFonts w:ascii="Verdana" w:hAnsi="Verdana" w:cstheme="minorHAnsi"/>
          <w:sz w:val="18"/>
          <w:szCs w:val="18"/>
          <w:lang w:val="nl-NL"/>
        </w:rPr>
        <w:t>daarop</w:t>
      </w:r>
      <w:r w:rsidRPr="005725E9" w:rsidR="006D106E">
        <w:rPr>
          <w:rFonts w:ascii="Verdana" w:hAnsi="Verdana" w:cstheme="minorHAnsi"/>
          <w:sz w:val="18"/>
          <w:szCs w:val="18"/>
          <w:lang w:val="nl-NL"/>
        </w:rPr>
        <w:t xml:space="preserve"> </w:t>
      </w:r>
      <w:r w:rsidR="0092108A">
        <w:rPr>
          <w:rFonts w:ascii="Verdana" w:hAnsi="Verdana" w:cstheme="minorHAnsi"/>
          <w:sz w:val="18"/>
          <w:szCs w:val="18"/>
          <w:lang w:val="nl-NL"/>
        </w:rPr>
        <w:lastRenderedPageBreak/>
        <w:t xml:space="preserve">niet alleen voor Nederland maar </w:t>
      </w:r>
      <w:r w:rsidRPr="005725E9" w:rsidR="006D106E">
        <w:rPr>
          <w:rFonts w:ascii="Verdana" w:hAnsi="Verdana" w:cstheme="minorHAnsi"/>
          <w:sz w:val="18"/>
          <w:szCs w:val="18"/>
          <w:lang w:val="nl-NL"/>
        </w:rPr>
        <w:t>voor het gehele Koninkrijk goedgekeurd en o</w:t>
      </w:r>
      <w:r w:rsidRPr="005725E9" w:rsidR="005B36A9">
        <w:rPr>
          <w:rFonts w:ascii="Verdana" w:hAnsi="Verdana" w:cstheme="minorHAnsi"/>
          <w:sz w:val="18"/>
          <w:szCs w:val="18"/>
          <w:lang w:val="nl-NL"/>
        </w:rPr>
        <w:t xml:space="preserve">p 20 </w:t>
      </w:r>
      <w:r w:rsidRPr="005725E9" w:rsidR="0009550C">
        <w:rPr>
          <w:rFonts w:ascii="Verdana" w:hAnsi="Verdana" w:cstheme="minorHAnsi"/>
          <w:sz w:val="18"/>
          <w:szCs w:val="18"/>
          <w:lang w:val="nl-NL"/>
        </w:rPr>
        <w:t xml:space="preserve">juni </w:t>
      </w:r>
      <w:r w:rsidRPr="005725E9" w:rsidR="005B36A9">
        <w:rPr>
          <w:rFonts w:ascii="Verdana" w:hAnsi="Verdana" w:cstheme="minorHAnsi"/>
          <w:sz w:val="18"/>
          <w:szCs w:val="18"/>
          <w:lang w:val="nl-NL"/>
        </w:rPr>
        <w:t>198</w:t>
      </w:r>
      <w:r w:rsidRPr="005725E9" w:rsidR="0009550C">
        <w:rPr>
          <w:rFonts w:ascii="Verdana" w:hAnsi="Verdana" w:cstheme="minorHAnsi"/>
          <w:sz w:val="18"/>
          <w:szCs w:val="18"/>
          <w:lang w:val="nl-NL"/>
        </w:rPr>
        <w:t>3</w:t>
      </w:r>
      <w:r w:rsidRPr="005725E9" w:rsidR="005B36A9">
        <w:rPr>
          <w:rFonts w:ascii="Verdana" w:hAnsi="Verdana" w:cstheme="minorHAnsi"/>
          <w:sz w:val="18"/>
          <w:szCs w:val="18"/>
          <w:lang w:val="nl-NL"/>
        </w:rPr>
        <w:t xml:space="preserve"> is de TIR-Overeenkomst </w:t>
      </w:r>
      <w:r w:rsidRPr="005725E9" w:rsidR="006D106E">
        <w:rPr>
          <w:rFonts w:ascii="Verdana" w:hAnsi="Verdana" w:cstheme="minorHAnsi"/>
          <w:sz w:val="18"/>
          <w:szCs w:val="18"/>
          <w:lang w:val="nl-NL"/>
        </w:rPr>
        <w:t xml:space="preserve">voor het gehele Koninkrijk </w:t>
      </w:r>
      <w:r w:rsidRPr="005725E9" w:rsidR="005B36A9">
        <w:rPr>
          <w:rFonts w:ascii="Verdana" w:hAnsi="Verdana" w:cstheme="minorHAnsi"/>
          <w:sz w:val="18"/>
          <w:szCs w:val="18"/>
          <w:lang w:val="nl-NL"/>
        </w:rPr>
        <w:t xml:space="preserve">in werking getreden. </w:t>
      </w:r>
      <w:r w:rsidRPr="005725E9" w:rsidR="006D106E">
        <w:rPr>
          <w:rFonts w:ascii="Verdana" w:hAnsi="Verdana" w:cstheme="minorHAnsi"/>
          <w:sz w:val="18"/>
          <w:szCs w:val="18"/>
          <w:lang w:val="nl-NL"/>
        </w:rPr>
        <w:t>Met de staatkundige hervormingen binnen het Koninkrijk per 10</w:t>
      </w:r>
      <w:r w:rsidR="006400FA">
        <w:rPr>
          <w:rFonts w:ascii="Verdana" w:hAnsi="Verdana" w:cstheme="minorHAnsi"/>
          <w:sz w:val="18"/>
          <w:szCs w:val="18"/>
          <w:lang w:val="nl-NL"/>
        </w:rPr>
        <w:t xml:space="preserve"> oktober </w:t>
      </w:r>
      <w:r w:rsidRPr="005725E9" w:rsidR="006D106E">
        <w:rPr>
          <w:rFonts w:ascii="Verdana" w:hAnsi="Verdana" w:cstheme="minorHAnsi"/>
          <w:sz w:val="18"/>
          <w:szCs w:val="18"/>
          <w:lang w:val="nl-NL"/>
        </w:rPr>
        <w:t xml:space="preserve">2010 is aan het van kracht zijn van de Overeenkomst voor </w:t>
      </w:r>
      <w:r w:rsidRPr="005725E9" w:rsidR="006D106E">
        <w:rPr>
          <w:rFonts w:ascii="Verdana" w:hAnsi="Verdana"/>
          <w:sz w:val="18"/>
          <w:szCs w:val="18"/>
          <w:lang w:val="nl-NL"/>
        </w:rPr>
        <w:t>het gehele Koninkrijk</w:t>
      </w:r>
      <w:r w:rsidRPr="005725E9" w:rsidR="006D106E">
        <w:rPr>
          <w:rFonts w:ascii="Verdana" w:hAnsi="Verdana" w:cstheme="minorHAnsi"/>
          <w:sz w:val="18"/>
          <w:szCs w:val="18"/>
          <w:lang w:val="nl-NL"/>
        </w:rPr>
        <w:t xml:space="preserve"> niets veranderd.</w:t>
      </w:r>
      <w:r w:rsidRPr="005725E9" w:rsidR="006D106E">
        <w:rPr>
          <w:rStyle w:val="Voetnootmarkering"/>
          <w:rFonts w:ascii="Verdana" w:hAnsi="Verdana" w:cstheme="minorHAnsi"/>
          <w:sz w:val="18"/>
          <w:szCs w:val="18"/>
          <w:lang w:val="nl-NL"/>
        </w:rPr>
        <w:footnoteReference w:id="4"/>
      </w:r>
    </w:p>
    <w:p w:rsidR="0044754A" w:rsidP="00E234BF" w:rsidRDefault="0044754A" w14:paraId="5DF8366C" w14:textId="77777777">
      <w:pPr>
        <w:spacing w:line="360" w:lineRule="auto"/>
        <w:jc w:val="both"/>
        <w:rPr>
          <w:rFonts w:ascii="Verdana" w:hAnsi="Verdana" w:cstheme="minorHAnsi"/>
          <w:b/>
          <w:sz w:val="18"/>
          <w:szCs w:val="18"/>
          <w:lang w:val="nl-NL"/>
        </w:rPr>
      </w:pPr>
    </w:p>
    <w:p w:rsidRPr="005725E9" w:rsidR="0044754A" w:rsidP="00E234BF" w:rsidRDefault="0044754A" w14:paraId="21B531D3" w14:textId="3F453B14">
      <w:pPr>
        <w:spacing w:line="360" w:lineRule="auto"/>
        <w:jc w:val="both"/>
        <w:rPr>
          <w:rFonts w:ascii="Verdana" w:hAnsi="Verdana" w:cstheme="minorHAnsi"/>
          <w:b/>
          <w:sz w:val="18"/>
          <w:szCs w:val="18"/>
          <w:lang w:val="nl-NL"/>
        </w:rPr>
      </w:pPr>
      <w:r w:rsidRPr="005725E9">
        <w:rPr>
          <w:rFonts w:ascii="Verdana" w:hAnsi="Verdana" w:cstheme="minorHAnsi"/>
          <w:b/>
          <w:sz w:val="18"/>
          <w:szCs w:val="18"/>
          <w:lang w:val="nl-NL"/>
        </w:rPr>
        <w:t>II. Toelichting bij opzegging voor het Caribisch deel van het Koninkrijk</w:t>
      </w:r>
    </w:p>
    <w:p w:rsidRPr="005725E9" w:rsidR="005B36A9" w:rsidP="00E234BF" w:rsidRDefault="005B36A9" w14:paraId="67DF541D" w14:textId="598F272A">
      <w:pPr>
        <w:spacing w:line="360" w:lineRule="auto"/>
        <w:jc w:val="both"/>
        <w:rPr>
          <w:rFonts w:ascii="Verdana" w:hAnsi="Verdana" w:cstheme="minorHAnsi"/>
          <w:sz w:val="18"/>
          <w:szCs w:val="18"/>
          <w:lang w:val="nl-NL"/>
        </w:rPr>
      </w:pPr>
      <w:r w:rsidRPr="005725E9">
        <w:rPr>
          <w:rFonts w:ascii="Verdana" w:hAnsi="Verdana" w:cstheme="minorHAnsi"/>
          <w:sz w:val="18"/>
          <w:szCs w:val="18"/>
          <w:lang w:val="nl-NL"/>
        </w:rPr>
        <w:t xml:space="preserve">Sinds de totstandkoming in 1975 </w:t>
      </w:r>
      <w:r w:rsidRPr="005725E9" w:rsidR="00AA620D">
        <w:rPr>
          <w:rFonts w:ascii="Verdana" w:hAnsi="Verdana" w:cstheme="minorHAnsi"/>
          <w:sz w:val="18"/>
          <w:szCs w:val="18"/>
          <w:lang w:val="nl-NL"/>
        </w:rPr>
        <w:t>is</w:t>
      </w:r>
      <w:r w:rsidRPr="005725E9">
        <w:rPr>
          <w:rFonts w:ascii="Verdana" w:hAnsi="Verdana" w:cstheme="minorHAnsi"/>
          <w:sz w:val="18"/>
          <w:szCs w:val="18"/>
          <w:lang w:val="nl-NL"/>
        </w:rPr>
        <w:t xml:space="preserve"> de TIR-Overeenkomst meerdere keren gewijzigd</w:t>
      </w:r>
      <w:r w:rsidR="00D645B2">
        <w:rPr>
          <w:rFonts w:ascii="Verdana" w:hAnsi="Verdana" w:cstheme="minorHAnsi"/>
          <w:sz w:val="18"/>
          <w:szCs w:val="18"/>
          <w:lang w:val="nl-NL"/>
        </w:rPr>
        <w:t>, waaronder in 2017 en twee keer in 2020</w:t>
      </w:r>
      <w:r w:rsidRPr="005725E9">
        <w:rPr>
          <w:rFonts w:ascii="Verdana" w:hAnsi="Verdana" w:cstheme="minorHAnsi"/>
          <w:sz w:val="18"/>
          <w:szCs w:val="18"/>
          <w:lang w:val="nl-NL"/>
        </w:rPr>
        <w:t>.</w:t>
      </w:r>
      <w:r w:rsidR="00D645B2">
        <w:rPr>
          <w:rStyle w:val="Voetnootmarkering"/>
          <w:rFonts w:ascii="Verdana" w:hAnsi="Verdana" w:cstheme="minorHAnsi"/>
          <w:sz w:val="18"/>
          <w:szCs w:val="18"/>
          <w:lang w:val="nl-NL"/>
        </w:rPr>
        <w:footnoteReference w:id="5"/>
      </w:r>
      <w:r w:rsidRPr="005725E9" w:rsidR="00F533DC">
        <w:rPr>
          <w:rFonts w:ascii="Verdana" w:hAnsi="Verdana" w:cstheme="minorHAnsi"/>
          <w:sz w:val="18"/>
          <w:szCs w:val="18"/>
          <w:lang w:val="nl-NL"/>
        </w:rPr>
        <w:t xml:space="preserve"> </w:t>
      </w:r>
      <w:r w:rsidR="006400FA">
        <w:rPr>
          <w:rFonts w:ascii="Verdana" w:hAnsi="Verdana" w:cstheme="minorHAnsi"/>
          <w:sz w:val="18"/>
          <w:szCs w:val="18"/>
          <w:lang w:val="nl-NL"/>
        </w:rPr>
        <w:t>Z</w:t>
      </w:r>
      <w:r w:rsidRPr="005725E9" w:rsidR="006400FA">
        <w:rPr>
          <w:rFonts w:ascii="Verdana" w:hAnsi="Verdana" w:cstheme="minorHAnsi"/>
          <w:sz w:val="18"/>
          <w:szCs w:val="18"/>
          <w:lang w:val="nl-NL"/>
        </w:rPr>
        <w:t xml:space="preserve">ulke verdragswijzigingen </w:t>
      </w:r>
      <w:r w:rsidR="006400FA">
        <w:rPr>
          <w:rFonts w:ascii="Verdana" w:hAnsi="Verdana" w:cstheme="minorHAnsi"/>
          <w:sz w:val="18"/>
          <w:szCs w:val="18"/>
          <w:lang w:val="nl-NL"/>
        </w:rPr>
        <w:t xml:space="preserve">treden </w:t>
      </w:r>
      <w:r w:rsidRPr="005725E9" w:rsidR="006400FA">
        <w:rPr>
          <w:rFonts w:ascii="Verdana" w:hAnsi="Verdana" w:cstheme="minorHAnsi"/>
          <w:sz w:val="18"/>
          <w:szCs w:val="18"/>
          <w:lang w:val="nl-NL"/>
        </w:rPr>
        <w:t>voor alle overeenkomstsluitende partijen in werking</w:t>
      </w:r>
      <w:r w:rsidR="006400FA">
        <w:rPr>
          <w:rFonts w:ascii="Verdana" w:hAnsi="Verdana" w:cstheme="minorHAnsi"/>
          <w:sz w:val="18"/>
          <w:szCs w:val="18"/>
          <w:lang w:val="nl-NL"/>
        </w:rPr>
        <w:t>, tenzij een staat die</w:t>
      </w:r>
      <w:r w:rsidRPr="005725E9" w:rsidR="006400FA">
        <w:rPr>
          <w:rFonts w:ascii="Verdana" w:hAnsi="Verdana" w:cstheme="minorHAnsi"/>
          <w:sz w:val="18"/>
          <w:szCs w:val="18"/>
          <w:lang w:val="nl-NL"/>
        </w:rPr>
        <w:t xml:space="preserve"> overeenkomstsluitende partij</w:t>
      </w:r>
      <w:r w:rsidR="006400FA">
        <w:rPr>
          <w:rFonts w:ascii="Verdana" w:hAnsi="Verdana" w:cstheme="minorHAnsi"/>
          <w:sz w:val="18"/>
          <w:szCs w:val="18"/>
          <w:lang w:val="nl-NL"/>
        </w:rPr>
        <w:t xml:space="preserve"> is </w:t>
      </w:r>
      <w:r w:rsidR="00C21798">
        <w:rPr>
          <w:rFonts w:ascii="Verdana" w:hAnsi="Verdana" w:cstheme="minorHAnsi"/>
          <w:sz w:val="18"/>
          <w:szCs w:val="18"/>
          <w:lang w:val="nl-NL"/>
        </w:rPr>
        <w:t xml:space="preserve">tijdig </w:t>
      </w:r>
      <w:r w:rsidR="006400FA">
        <w:rPr>
          <w:rFonts w:ascii="Verdana" w:hAnsi="Verdana" w:cstheme="minorHAnsi"/>
          <w:sz w:val="18"/>
          <w:szCs w:val="18"/>
          <w:lang w:val="nl-NL"/>
        </w:rPr>
        <w:t xml:space="preserve">bezwaar maakt. Derhalve dienen dergelijke besluiten in </w:t>
      </w:r>
      <w:r w:rsidR="00507467">
        <w:rPr>
          <w:rFonts w:ascii="Verdana" w:hAnsi="Verdana" w:cstheme="minorHAnsi"/>
          <w:sz w:val="18"/>
          <w:szCs w:val="18"/>
          <w:lang w:val="nl-NL"/>
        </w:rPr>
        <w:t xml:space="preserve">het Koninkrijk </w:t>
      </w:r>
      <w:r w:rsidR="006400FA">
        <w:rPr>
          <w:rFonts w:ascii="Verdana" w:hAnsi="Verdana" w:cstheme="minorHAnsi"/>
          <w:sz w:val="18"/>
          <w:szCs w:val="18"/>
          <w:lang w:val="nl-NL"/>
        </w:rPr>
        <w:t>parlementair te worden goedgekeurd, alvorens zij kunnen worden aanvaard zonder gebruik te maken van de mogelijkheid van bezwaar.</w:t>
      </w:r>
      <w:r w:rsidRPr="005725E9" w:rsidR="00415414">
        <w:rPr>
          <w:rStyle w:val="Voetnootmarkering"/>
          <w:rFonts w:ascii="Verdana" w:hAnsi="Verdana" w:cstheme="minorHAnsi"/>
          <w:sz w:val="18"/>
          <w:szCs w:val="18"/>
          <w:lang w:val="nl-NL"/>
        </w:rPr>
        <w:footnoteReference w:id="6"/>
      </w:r>
      <w:r w:rsidRPr="005725E9" w:rsidR="00F533DC">
        <w:rPr>
          <w:rFonts w:ascii="Verdana" w:hAnsi="Verdana" w:cstheme="minorHAnsi"/>
          <w:sz w:val="18"/>
          <w:szCs w:val="18"/>
          <w:lang w:val="nl-NL"/>
        </w:rPr>
        <w:t xml:space="preserve"> Omdat de Overeenkomst voor EU-lidstaten echter behoort tot de exclusieve bevoegdheid van de EU, hoeven de wijzigingen van de Overeenkomst voor het Europese deel van Nederland, als EU-lidstaat, niet parlementair te worden goedgekeurd</w:t>
      </w:r>
      <w:r w:rsidR="00947E6B">
        <w:rPr>
          <w:rFonts w:ascii="Verdana" w:hAnsi="Verdana" w:cstheme="minorHAnsi"/>
          <w:sz w:val="18"/>
          <w:szCs w:val="18"/>
          <w:lang w:val="nl-NL"/>
        </w:rPr>
        <w:t>; v</w:t>
      </w:r>
      <w:r w:rsidRPr="007B252B" w:rsidR="0092108A">
        <w:rPr>
          <w:rFonts w:ascii="Verdana" w:hAnsi="Verdana" w:cstheme="minorHAnsi"/>
          <w:sz w:val="18"/>
          <w:szCs w:val="18"/>
          <w:lang w:val="nl-NL"/>
        </w:rPr>
        <w:t xml:space="preserve">oorgestelde wijzigingen van de TIR-Overeenkomst </w:t>
      </w:r>
      <w:r w:rsidR="0092108A">
        <w:rPr>
          <w:rFonts w:ascii="Verdana" w:hAnsi="Verdana" w:cstheme="minorHAnsi"/>
          <w:sz w:val="18"/>
          <w:szCs w:val="18"/>
          <w:lang w:val="nl-NL"/>
        </w:rPr>
        <w:t xml:space="preserve">worden </w:t>
      </w:r>
      <w:r w:rsidRPr="007B252B" w:rsidR="0092108A">
        <w:rPr>
          <w:rFonts w:ascii="Verdana" w:hAnsi="Verdana" w:cstheme="minorHAnsi"/>
          <w:sz w:val="18"/>
          <w:szCs w:val="18"/>
          <w:lang w:val="nl-NL"/>
        </w:rPr>
        <w:t xml:space="preserve">in EU-verband besproken en </w:t>
      </w:r>
      <w:r w:rsidR="0092108A">
        <w:rPr>
          <w:rFonts w:ascii="Verdana" w:hAnsi="Verdana" w:cstheme="minorHAnsi"/>
          <w:sz w:val="18"/>
          <w:szCs w:val="18"/>
          <w:lang w:val="nl-NL"/>
        </w:rPr>
        <w:t xml:space="preserve">door de EU-lidstaten </w:t>
      </w:r>
      <w:r w:rsidRPr="007B252B" w:rsidR="0092108A">
        <w:rPr>
          <w:rFonts w:ascii="Verdana" w:hAnsi="Verdana" w:cstheme="minorHAnsi"/>
          <w:sz w:val="18"/>
          <w:szCs w:val="18"/>
          <w:lang w:val="nl-NL"/>
        </w:rPr>
        <w:t xml:space="preserve">wordt </w:t>
      </w:r>
      <w:r w:rsidR="0092108A">
        <w:rPr>
          <w:rFonts w:ascii="Verdana" w:hAnsi="Verdana" w:cstheme="minorHAnsi"/>
          <w:sz w:val="18"/>
          <w:szCs w:val="18"/>
          <w:lang w:val="nl-NL"/>
        </w:rPr>
        <w:t xml:space="preserve">met betrekking tot de wijziging in kwestie </w:t>
      </w:r>
      <w:r w:rsidRPr="007B252B" w:rsidR="0092108A">
        <w:rPr>
          <w:rFonts w:ascii="Verdana" w:hAnsi="Verdana" w:cstheme="minorHAnsi"/>
          <w:sz w:val="18"/>
          <w:szCs w:val="18"/>
          <w:lang w:val="nl-NL"/>
        </w:rPr>
        <w:t>een gemeenschappelijk standpunt bepaald.</w:t>
      </w:r>
      <w:r w:rsidR="0092108A">
        <w:rPr>
          <w:rFonts w:ascii="Verdana" w:hAnsi="Verdana" w:cstheme="minorHAnsi"/>
          <w:sz w:val="18"/>
          <w:szCs w:val="18"/>
          <w:lang w:val="nl-NL"/>
        </w:rPr>
        <w:t xml:space="preserve"> </w:t>
      </w:r>
      <w:r w:rsidRPr="005725E9" w:rsidR="00F533DC">
        <w:rPr>
          <w:rFonts w:ascii="Verdana" w:hAnsi="Verdana" w:cstheme="minorHAnsi"/>
          <w:sz w:val="18"/>
          <w:szCs w:val="18"/>
          <w:lang w:val="nl-NL"/>
        </w:rPr>
        <w:t xml:space="preserve">Dit </w:t>
      </w:r>
      <w:r w:rsidR="00874D7C">
        <w:rPr>
          <w:rFonts w:ascii="Verdana" w:hAnsi="Verdana" w:cstheme="minorHAnsi"/>
          <w:sz w:val="18"/>
          <w:szCs w:val="18"/>
          <w:lang w:val="nl-NL"/>
        </w:rPr>
        <w:t>betekent</w:t>
      </w:r>
      <w:r w:rsidRPr="005725E9" w:rsidR="00F533DC">
        <w:rPr>
          <w:rFonts w:ascii="Verdana" w:hAnsi="Verdana" w:cstheme="minorHAnsi"/>
          <w:sz w:val="18"/>
          <w:szCs w:val="18"/>
          <w:lang w:val="nl-NL"/>
        </w:rPr>
        <w:t xml:space="preserve"> dat wijzigingen van de TIR-Overeenkomst voor wat het Koninkrijk betreft </w:t>
      </w:r>
      <w:r w:rsidRPr="005725E9">
        <w:rPr>
          <w:rFonts w:ascii="Verdana" w:hAnsi="Verdana" w:cstheme="minorHAnsi"/>
          <w:sz w:val="18"/>
          <w:szCs w:val="18"/>
          <w:lang w:val="nl-NL"/>
        </w:rPr>
        <w:t xml:space="preserve">alleen voor de Caribische delen van het Koninkrijk parlementair </w:t>
      </w:r>
      <w:r w:rsidR="009E62F1">
        <w:rPr>
          <w:rFonts w:ascii="Verdana" w:hAnsi="Verdana" w:cstheme="minorHAnsi"/>
          <w:sz w:val="18"/>
          <w:szCs w:val="18"/>
          <w:lang w:val="nl-NL"/>
        </w:rPr>
        <w:t>dienen</w:t>
      </w:r>
      <w:r w:rsidR="008975BA">
        <w:rPr>
          <w:rFonts w:ascii="Verdana" w:hAnsi="Verdana" w:cstheme="minorHAnsi"/>
          <w:sz w:val="18"/>
          <w:szCs w:val="18"/>
          <w:lang w:val="nl-NL"/>
        </w:rPr>
        <w:t xml:space="preserve"> te </w:t>
      </w:r>
      <w:r w:rsidRPr="005725E9">
        <w:rPr>
          <w:rFonts w:ascii="Verdana" w:hAnsi="Verdana" w:cstheme="minorHAnsi"/>
          <w:sz w:val="18"/>
          <w:szCs w:val="18"/>
          <w:lang w:val="nl-NL"/>
        </w:rPr>
        <w:t xml:space="preserve">worden goedgekeurd. </w:t>
      </w:r>
    </w:p>
    <w:p w:rsidRPr="00C47C18" w:rsidR="005B36A9" w:rsidP="00E234BF" w:rsidRDefault="00B74CE4" w14:paraId="7DAACCED" w14:textId="6ADA2C7E">
      <w:pPr>
        <w:spacing w:line="360" w:lineRule="auto"/>
        <w:jc w:val="both"/>
        <w:rPr>
          <w:rFonts w:ascii="Verdana" w:hAnsi="Verdana" w:cstheme="minorHAnsi"/>
          <w:sz w:val="18"/>
          <w:szCs w:val="18"/>
          <w:lang w:val="nl-NL"/>
        </w:rPr>
      </w:pPr>
      <w:r w:rsidRPr="005725E9">
        <w:rPr>
          <w:rFonts w:ascii="Verdana" w:hAnsi="Verdana" w:cstheme="minorHAnsi"/>
          <w:sz w:val="18"/>
          <w:szCs w:val="18"/>
          <w:lang w:val="nl-NL"/>
        </w:rPr>
        <w:t>R</w:t>
      </w:r>
      <w:r w:rsidRPr="005725E9" w:rsidR="005B36A9">
        <w:rPr>
          <w:rFonts w:ascii="Verdana" w:hAnsi="Verdana" w:cstheme="minorHAnsi"/>
          <w:sz w:val="18"/>
          <w:szCs w:val="18"/>
          <w:lang w:val="nl-NL"/>
        </w:rPr>
        <w:t>ecent</w:t>
      </w:r>
      <w:r w:rsidRPr="005725E9" w:rsidR="00BF49D3">
        <w:rPr>
          <w:rFonts w:ascii="Verdana" w:hAnsi="Verdana" w:cstheme="minorHAnsi"/>
          <w:sz w:val="18"/>
          <w:szCs w:val="18"/>
          <w:lang w:val="nl-NL"/>
        </w:rPr>
        <w:t xml:space="preserve"> </w:t>
      </w:r>
      <w:r w:rsidRPr="005725E9" w:rsidR="0009550C">
        <w:rPr>
          <w:rFonts w:ascii="Verdana" w:hAnsi="Verdana" w:cstheme="minorHAnsi"/>
          <w:sz w:val="18"/>
          <w:szCs w:val="18"/>
          <w:lang w:val="nl-NL"/>
        </w:rPr>
        <w:t>heeft de regering</w:t>
      </w:r>
      <w:r w:rsidRPr="005725E9" w:rsidR="00BF49D3">
        <w:rPr>
          <w:rFonts w:ascii="Verdana" w:hAnsi="Verdana" w:cstheme="minorHAnsi"/>
          <w:sz w:val="18"/>
          <w:szCs w:val="18"/>
          <w:lang w:val="nl-NL"/>
        </w:rPr>
        <w:t xml:space="preserve"> </w:t>
      </w:r>
      <w:r w:rsidRPr="005725E9" w:rsidR="0071765C">
        <w:rPr>
          <w:rFonts w:ascii="Verdana" w:hAnsi="Verdana" w:cstheme="minorHAnsi"/>
          <w:sz w:val="18"/>
          <w:szCs w:val="18"/>
          <w:lang w:val="nl-NL"/>
        </w:rPr>
        <w:t xml:space="preserve">echter geconstateerd </w:t>
      </w:r>
      <w:r w:rsidRPr="005725E9" w:rsidR="00BF49D3">
        <w:rPr>
          <w:rFonts w:ascii="Verdana" w:hAnsi="Verdana" w:cstheme="minorHAnsi"/>
          <w:sz w:val="18"/>
          <w:szCs w:val="18"/>
          <w:lang w:val="nl-NL"/>
        </w:rPr>
        <w:t>dat de TIR-</w:t>
      </w:r>
      <w:r w:rsidRPr="005725E9" w:rsidR="005B36A9">
        <w:rPr>
          <w:rFonts w:ascii="Verdana" w:hAnsi="Verdana" w:cstheme="minorHAnsi"/>
          <w:sz w:val="18"/>
          <w:szCs w:val="18"/>
          <w:lang w:val="nl-NL"/>
        </w:rPr>
        <w:t xml:space="preserve">Overeenkomst in het </w:t>
      </w:r>
      <w:r w:rsidRPr="005725E9" w:rsidR="0071765C">
        <w:rPr>
          <w:rFonts w:ascii="Verdana" w:hAnsi="Verdana" w:cstheme="minorHAnsi"/>
          <w:sz w:val="18"/>
          <w:szCs w:val="18"/>
          <w:lang w:val="nl-NL"/>
        </w:rPr>
        <w:t xml:space="preserve">hele </w:t>
      </w:r>
      <w:r w:rsidRPr="005725E9" w:rsidR="005B36A9">
        <w:rPr>
          <w:rFonts w:ascii="Verdana" w:hAnsi="Verdana" w:cstheme="minorHAnsi"/>
          <w:sz w:val="18"/>
          <w:szCs w:val="18"/>
          <w:lang w:val="nl-NL"/>
        </w:rPr>
        <w:t>Caribische deel van het Koninkrijk</w:t>
      </w:r>
      <w:r w:rsidR="00D75647">
        <w:rPr>
          <w:rFonts w:ascii="Verdana" w:hAnsi="Verdana" w:cstheme="minorHAnsi"/>
          <w:sz w:val="18"/>
          <w:szCs w:val="18"/>
          <w:lang w:val="nl-NL"/>
        </w:rPr>
        <w:t xml:space="preserve"> –</w:t>
      </w:r>
      <w:r w:rsidRPr="005725E9" w:rsidR="00BF49D3">
        <w:rPr>
          <w:rFonts w:ascii="Verdana" w:hAnsi="Verdana"/>
          <w:sz w:val="18"/>
          <w:szCs w:val="18"/>
          <w:lang w:val="nl-NL"/>
        </w:rPr>
        <w:t xml:space="preserve"> </w:t>
      </w:r>
      <w:r w:rsidRPr="005725E9" w:rsidR="0071765C">
        <w:rPr>
          <w:rFonts w:ascii="Verdana" w:hAnsi="Verdana"/>
          <w:sz w:val="18"/>
          <w:szCs w:val="18"/>
          <w:lang w:val="nl-NL"/>
        </w:rPr>
        <w:t xml:space="preserve">dat wil zeggen zowel in </w:t>
      </w:r>
      <w:r w:rsidRPr="005725E9" w:rsidR="00BF49D3">
        <w:rPr>
          <w:rFonts w:ascii="Verdana" w:hAnsi="Verdana" w:cstheme="minorHAnsi"/>
          <w:sz w:val="18"/>
          <w:szCs w:val="18"/>
          <w:lang w:val="nl-NL"/>
        </w:rPr>
        <w:t>Caribisch Nederland</w:t>
      </w:r>
      <w:r w:rsidRPr="005725E9" w:rsidR="008A1A7B">
        <w:rPr>
          <w:rFonts w:ascii="Verdana" w:hAnsi="Verdana" w:cstheme="minorHAnsi"/>
          <w:sz w:val="18"/>
          <w:szCs w:val="18"/>
          <w:lang w:val="nl-NL"/>
        </w:rPr>
        <w:t xml:space="preserve"> (Bonaire, Sint Eustatius en Saba</w:t>
      </w:r>
      <w:r w:rsidRPr="005725E9" w:rsidR="00BF49D3">
        <w:rPr>
          <w:rFonts w:ascii="Verdana" w:hAnsi="Verdana" w:cstheme="minorHAnsi"/>
          <w:sz w:val="18"/>
          <w:szCs w:val="18"/>
          <w:lang w:val="nl-NL"/>
        </w:rPr>
        <w:t xml:space="preserve">) </w:t>
      </w:r>
      <w:r w:rsidRPr="005725E9" w:rsidR="0071765C">
        <w:rPr>
          <w:rFonts w:ascii="Verdana" w:hAnsi="Verdana" w:cstheme="minorHAnsi"/>
          <w:sz w:val="18"/>
          <w:szCs w:val="18"/>
          <w:lang w:val="nl-NL"/>
        </w:rPr>
        <w:t xml:space="preserve">als in </w:t>
      </w:r>
      <w:r w:rsidRPr="005725E9" w:rsidR="008A1A7B">
        <w:rPr>
          <w:rFonts w:ascii="Verdana" w:hAnsi="Verdana" w:cstheme="minorHAnsi"/>
          <w:sz w:val="18"/>
          <w:szCs w:val="18"/>
          <w:lang w:val="nl-NL"/>
        </w:rPr>
        <w:t>de Caribische landen van het Koninkrijk (</w:t>
      </w:r>
      <w:r w:rsidRPr="005725E9" w:rsidR="00684489">
        <w:rPr>
          <w:rFonts w:ascii="Verdana" w:hAnsi="Verdana" w:cstheme="minorHAnsi"/>
          <w:sz w:val="18"/>
          <w:szCs w:val="18"/>
          <w:lang w:val="nl-NL"/>
        </w:rPr>
        <w:t>Aruba</w:t>
      </w:r>
      <w:r w:rsidR="000D4A54">
        <w:rPr>
          <w:rFonts w:ascii="Verdana" w:hAnsi="Verdana" w:cstheme="minorHAnsi"/>
          <w:sz w:val="18"/>
          <w:szCs w:val="18"/>
          <w:lang w:val="nl-NL"/>
        </w:rPr>
        <w:t>,</w:t>
      </w:r>
      <w:r w:rsidRPr="000D4A54" w:rsidR="000D4A54">
        <w:rPr>
          <w:rFonts w:ascii="Verdana" w:hAnsi="Verdana" w:cstheme="minorHAnsi"/>
          <w:sz w:val="18"/>
          <w:szCs w:val="18"/>
          <w:lang w:val="nl-NL"/>
        </w:rPr>
        <w:t xml:space="preserve"> </w:t>
      </w:r>
      <w:r w:rsidRPr="005725E9" w:rsidR="000D4A54">
        <w:rPr>
          <w:rFonts w:ascii="Verdana" w:hAnsi="Verdana" w:cstheme="minorHAnsi"/>
          <w:sz w:val="18"/>
          <w:szCs w:val="18"/>
          <w:lang w:val="nl-NL"/>
        </w:rPr>
        <w:t>Curaçao</w:t>
      </w:r>
      <w:r w:rsidR="000D4A54">
        <w:rPr>
          <w:rFonts w:ascii="Verdana" w:hAnsi="Verdana" w:cstheme="minorHAnsi"/>
          <w:sz w:val="18"/>
          <w:szCs w:val="18"/>
          <w:lang w:val="nl-NL"/>
        </w:rPr>
        <w:t xml:space="preserve"> </w:t>
      </w:r>
      <w:r w:rsidRPr="005725E9" w:rsidR="008A1A7B">
        <w:rPr>
          <w:rFonts w:ascii="Verdana" w:hAnsi="Verdana" w:cstheme="minorHAnsi"/>
          <w:sz w:val="18"/>
          <w:szCs w:val="18"/>
          <w:lang w:val="nl-NL"/>
        </w:rPr>
        <w:t>en</w:t>
      </w:r>
      <w:r w:rsidRPr="005725E9" w:rsidR="00684489">
        <w:rPr>
          <w:rFonts w:ascii="Verdana" w:hAnsi="Verdana" w:cstheme="minorHAnsi"/>
          <w:sz w:val="18"/>
          <w:szCs w:val="18"/>
          <w:lang w:val="nl-NL"/>
        </w:rPr>
        <w:t xml:space="preserve"> S</w:t>
      </w:r>
      <w:r w:rsidR="000D4A54">
        <w:rPr>
          <w:rFonts w:ascii="Verdana" w:hAnsi="Verdana" w:cstheme="minorHAnsi"/>
          <w:sz w:val="18"/>
          <w:szCs w:val="18"/>
          <w:lang w:val="nl-NL"/>
        </w:rPr>
        <w:t>in</w:t>
      </w:r>
      <w:r w:rsidRPr="005725E9" w:rsidR="00684489">
        <w:rPr>
          <w:rFonts w:ascii="Verdana" w:hAnsi="Verdana" w:cstheme="minorHAnsi"/>
          <w:sz w:val="18"/>
          <w:szCs w:val="18"/>
          <w:lang w:val="nl-NL"/>
        </w:rPr>
        <w:t>t Maarten)</w:t>
      </w:r>
      <w:r w:rsidR="00D75647">
        <w:rPr>
          <w:rFonts w:ascii="Verdana" w:hAnsi="Verdana" w:cstheme="minorHAnsi"/>
          <w:sz w:val="18"/>
          <w:szCs w:val="18"/>
          <w:lang w:val="nl-NL"/>
        </w:rPr>
        <w:t xml:space="preserve"> – </w:t>
      </w:r>
      <w:r w:rsidRPr="005725E9" w:rsidR="00E36AB3">
        <w:rPr>
          <w:rFonts w:ascii="Verdana" w:hAnsi="Verdana" w:cstheme="minorHAnsi"/>
          <w:sz w:val="18"/>
          <w:szCs w:val="18"/>
          <w:lang w:val="nl-NL"/>
        </w:rPr>
        <w:t>in het geheel</w:t>
      </w:r>
      <w:r w:rsidRPr="005725E9" w:rsidR="005B36A9">
        <w:rPr>
          <w:rFonts w:ascii="Verdana" w:hAnsi="Verdana" w:cstheme="minorHAnsi"/>
          <w:sz w:val="18"/>
          <w:szCs w:val="18"/>
          <w:lang w:val="nl-NL"/>
        </w:rPr>
        <w:t xml:space="preserve"> niet wordt toegepast en sinds haar inwerkingtreding ook nooit </w:t>
      </w:r>
      <w:r w:rsidRPr="005725E9" w:rsidR="00684489">
        <w:rPr>
          <w:rFonts w:ascii="Verdana" w:hAnsi="Verdana" w:cstheme="minorHAnsi"/>
          <w:sz w:val="18"/>
          <w:szCs w:val="18"/>
          <w:lang w:val="nl-NL"/>
        </w:rPr>
        <w:t xml:space="preserve">is </w:t>
      </w:r>
      <w:r w:rsidRPr="005725E9" w:rsidR="005B36A9">
        <w:rPr>
          <w:rFonts w:ascii="Verdana" w:hAnsi="Verdana" w:cstheme="minorHAnsi"/>
          <w:sz w:val="18"/>
          <w:szCs w:val="18"/>
          <w:lang w:val="nl-NL"/>
        </w:rPr>
        <w:t xml:space="preserve">toegepast. </w:t>
      </w:r>
      <w:r w:rsidR="00CE3188">
        <w:rPr>
          <w:rFonts w:ascii="Verdana" w:hAnsi="Verdana" w:cstheme="minorHAnsi"/>
          <w:sz w:val="18"/>
          <w:szCs w:val="18"/>
          <w:lang w:val="nl-NL"/>
        </w:rPr>
        <w:t>De reden daarvoor is dat het</w:t>
      </w:r>
      <w:r w:rsidRPr="005725E9" w:rsidR="00CE3188">
        <w:rPr>
          <w:rFonts w:ascii="Verdana" w:hAnsi="Verdana" w:cstheme="minorHAnsi"/>
          <w:sz w:val="18"/>
          <w:szCs w:val="18"/>
          <w:lang w:val="nl-NL"/>
        </w:rPr>
        <w:t xml:space="preserve"> </w:t>
      </w:r>
      <w:r w:rsidRPr="005725E9" w:rsidR="006C62C3">
        <w:rPr>
          <w:rFonts w:ascii="Verdana" w:hAnsi="Verdana" w:cstheme="minorHAnsi"/>
          <w:sz w:val="18"/>
          <w:szCs w:val="18"/>
          <w:lang w:val="nl-NL"/>
        </w:rPr>
        <w:t>gebruik</w:t>
      </w:r>
      <w:r w:rsidR="00CE3188">
        <w:rPr>
          <w:rFonts w:ascii="Verdana" w:hAnsi="Verdana" w:cstheme="minorHAnsi"/>
          <w:sz w:val="18"/>
          <w:szCs w:val="18"/>
          <w:lang w:val="nl-NL"/>
        </w:rPr>
        <w:t>maken</w:t>
      </w:r>
      <w:r w:rsidRPr="005725E9" w:rsidR="006C62C3">
        <w:rPr>
          <w:rFonts w:ascii="Verdana" w:hAnsi="Verdana" w:cstheme="minorHAnsi"/>
          <w:sz w:val="18"/>
          <w:szCs w:val="18"/>
          <w:lang w:val="nl-NL"/>
        </w:rPr>
        <w:t xml:space="preserve"> van de TIR-</w:t>
      </w:r>
      <w:r w:rsidR="008C55D3">
        <w:rPr>
          <w:rFonts w:ascii="Verdana" w:hAnsi="Verdana" w:cstheme="minorHAnsi"/>
          <w:sz w:val="18"/>
          <w:szCs w:val="18"/>
          <w:lang w:val="nl-NL"/>
        </w:rPr>
        <w:t>procedure</w:t>
      </w:r>
      <w:r w:rsidRPr="005725E9" w:rsidR="006C62C3">
        <w:rPr>
          <w:rFonts w:ascii="Verdana" w:hAnsi="Verdana" w:cstheme="minorHAnsi"/>
          <w:sz w:val="18"/>
          <w:szCs w:val="18"/>
          <w:lang w:val="nl-NL"/>
        </w:rPr>
        <w:t xml:space="preserve"> op de</w:t>
      </w:r>
      <w:r w:rsidR="007A62B6">
        <w:rPr>
          <w:rFonts w:ascii="Verdana" w:hAnsi="Verdana" w:cstheme="minorHAnsi"/>
          <w:sz w:val="18"/>
          <w:szCs w:val="18"/>
          <w:lang w:val="nl-NL"/>
        </w:rPr>
        <w:t xml:space="preserve"> Caribische</w:t>
      </w:r>
      <w:r w:rsidRPr="005725E9" w:rsidR="006C62C3">
        <w:rPr>
          <w:rFonts w:ascii="Verdana" w:hAnsi="Verdana" w:cstheme="minorHAnsi"/>
          <w:sz w:val="18"/>
          <w:szCs w:val="18"/>
          <w:lang w:val="nl-NL"/>
        </w:rPr>
        <w:t xml:space="preserve"> eilanden van het Koninkrijk </w:t>
      </w:r>
      <w:r w:rsidR="00CE3188">
        <w:rPr>
          <w:rFonts w:ascii="Verdana" w:hAnsi="Verdana" w:cstheme="minorHAnsi"/>
          <w:sz w:val="18"/>
          <w:szCs w:val="18"/>
          <w:lang w:val="nl-NL"/>
        </w:rPr>
        <w:t xml:space="preserve">meer administratieve lasten zou opleveren dan het niet gebruikmaken van de TIR-procedure. Dat komt doordat </w:t>
      </w:r>
      <w:r w:rsidRPr="005725E9" w:rsidR="006C62C3">
        <w:rPr>
          <w:rFonts w:ascii="Verdana" w:hAnsi="Verdana" w:cstheme="minorHAnsi"/>
          <w:sz w:val="18"/>
          <w:szCs w:val="18"/>
          <w:lang w:val="nl-NL"/>
        </w:rPr>
        <w:t>de TIR-procedure geschorst moet worden bij vervoer over zee</w:t>
      </w:r>
      <w:r w:rsidR="00CE3188">
        <w:rPr>
          <w:rFonts w:ascii="Verdana" w:hAnsi="Verdana" w:cstheme="minorHAnsi"/>
          <w:sz w:val="18"/>
          <w:szCs w:val="18"/>
          <w:lang w:val="nl-NL"/>
        </w:rPr>
        <w:t xml:space="preserve"> en weer </w:t>
      </w:r>
      <w:r w:rsidRPr="005725E9" w:rsidR="006C62C3">
        <w:rPr>
          <w:rFonts w:ascii="Verdana" w:hAnsi="Verdana" w:cstheme="minorHAnsi"/>
          <w:sz w:val="18"/>
          <w:szCs w:val="18"/>
          <w:lang w:val="nl-NL"/>
        </w:rPr>
        <w:t>moet worden hervat</w:t>
      </w:r>
      <w:r w:rsidR="00A744E9">
        <w:rPr>
          <w:rFonts w:ascii="Verdana" w:hAnsi="Verdana" w:cstheme="minorHAnsi"/>
          <w:sz w:val="18"/>
          <w:szCs w:val="18"/>
          <w:lang w:val="nl-NL"/>
        </w:rPr>
        <w:t xml:space="preserve"> </w:t>
      </w:r>
      <w:r w:rsidRPr="005725E9" w:rsidR="006C62C3">
        <w:rPr>
          <w:rFonts w:ascii="Verdana" w:hAnsi="Verdana" w:cstheme="minorHAnsi"/>
          <w:sz w:val="18"/>
          <w:szCs w:val="18"/>
          <w:lang w:val="nl-NL"/>
        </w:rPr>
        <w:t xml:space="preserve">bij aankomst op </w:t>
      </w:r>
      <w:r w:rsidR="00CE3188">
        <w:rPr>
          <w:rFonts w:ascii="Verdana" w:hAnsi="Verdana" w:cstheme="minorHAnsi"/>
          <w:sz w:val="18"/>
          <w:szCs w:val="18"/>
          <w:lang w:val="nl-NL"/>
        </w:rPr>
        <w:t>een eiland voor het resterende vervoer over de weg</w:t>
      </w:r>
      <w:r w:rsidRPr="00017D21" w:rsidR="00C47C18">
        <w:rPr>
          <w:rFonts w:ascii="Verdana" w:hAnsi="Verdana" w:cstheme="minorHAnsi"/>
          <w:sz w:val="18"/>
          <w:szCs w:val="18"/>
          <w:lang w:val="nl-NL"/>
        </w:rPr>
        <w:t xml:space="preserve">. </w:t>
      </w:r>
      <w:r w:rsidR="00CE3188">
        <w:rPr>
          <w:rFonts w:ascii="Verdana" w:hAnsi="Verdana" w:cstheme="minorHAnsi"/>
          <w:sz w:val="18"/>
          <w:szCs w:val="18"/>
          <w:lang w:val="nl-NL"/>
        </w:rPr>
        <w:t xml:space="preserve">In de praktijk betekent dit </w:t>
      </w:r>
      <w:r w:rsidRPr="00017D21" w:rsidR="00E5116B">
        <w:rPr>
          <w:rFonts w:ascii="Verdana" w:hAnsi="Verdana" w:cstheme="minorHAnsi"/>
          <w:sz w:val="18"/>
          <w:szCs w:val="18"/>
          <w:lang w:val="nl-NL"/>
        </w:rPr>
        <w:t xml:space="preserve">dat </w:t>
      </w:r>
      <w:r w:rsidRPr="00AD15B0" w:rsidR="00E5116B">
        <w:rPr>
          <w:rFonts w:ascii="Verdana" w:hAnsi="Verdana"/>
          <w:sz w:val="18"/>
          <w:szCs w:val="18"/>
          <w:lang w:val="nl-NL"/>
        </w:rPr>
        <w:t xml:space="preserve">bij aankomst </w:t>
      </w:r>
      <w:r w:rsidR="007A62B6">
        <w:rPr>
          <w:rFonts w:ascii="Verdana" w:hAnsi="Verdana"/>
          <w:sz w:val="18"/>
          <w:szCs w:val="18"/>
          <w:lang w:val="nl-NL"/>
        </w:rPr>
        <w:t xml:space="preserve">van goederen over zee </w:t>
      </w:r>
      <w:r w:rsidRPr="00AD15B0" w:rsidR="00E5116B">
        <w:rPr>
          <w:rFonts w:ascii="Verdana" w:hAnsi="Verdana"/>
          <w:sz w:val="18"/>
          <w:szCs w:val="18"/>
          <w:lang w:val="nl-NL"/>
        </w:rPr>
        <w:t xml:space="preserve">op </w:t>
      </w:r>
      <w:r w:rsidR="00CE3188">
        <w:rPr>
          <w:rFonts w:ascii="Verdana" w:hAnsi="Verdana"/>
          <w:sz w:val="18"/>
          <w:szCs w:val="18"/>
          <w:lang w:val="nl-NL"/>
        </w:rPr>
        <w:t>een</w:t>
      </w:r>
      <w:r w:rsidRPr="00AD15B0" w:rsidR="00E5116B">
        <w:rPr>
          <w:rFonts w:ascii="Verdana" w:hAnsi="Verdana"/>
          <w:sz w:val="18"/>
          <w:szCs w:val="18"/>
          <w:lang w:val="nl-NL"/>
        </w:rPr>
        <w:t xml:space="preserve"> </w:t>
      </w:r>
      <w:r w:rsidR="007A62B6">
        <w:rPr>
          <w:rFonts w:ascii="Verdana" w:hAnsi="Verdana"/>
          <w:sz w:val="18"/>
          <w:szCs w:val="18"/>
          <w:lang w:val="nl-NL"/>
        </w:rPr>
        <w:t xml:space="preserve">Caribisch </w:t>
      </w:r>
      <w:r w:rsidRPr="00AD15B0" w:rsidR="00E5116B">
        <w:rPr>
          <w:rFonts w:ascii="Verdana" w:hAnsi="Verdana"/>
          <w:sz w:val="18"/>
          <w:szCs w:val="18"/>
          <w:lang w:val="nl-NL"/>
        </w:rPr>
        <w:t xml:space="preserve">eiland </w:t>
      </w:r>
      <w:r w:rsidR="007A62B6">
        <w:rPr>
          <w:rFonts w:ascii="Verdana" w:hAnsi="Verdana"/>
          <w:sz w:val="18"/>
          <w:szCs w:val="18"/>
          <w:lang w:val="nl-NL"/>
        </w:rPr>
        <w:t xml:space="preserve">van het Koninkrijk </w:t>
      </w:r>
      <w:r w:rsidRPr="00AD15B0" w:rsidR="00E5116B">
        <w:rPr>
          <w:rFonts w:ascii="Verdana" w:hAnsi="Verdana"/>
          <w:sz w:val="18"/>
          <w:szCs w:val="18"/>
          <w:lang w:val="nl-NL"/>
        </w:rPr>
        <w:t xml:space="preserve">het Carnet TIR voor vervoer </w:t>
      </w:r>
      <w:r w:rsidRPr="00340BB5" w:rsidR="007A62B6">
        <w:rPr>
          <w:rFonts w:ascii="Verdana" w:hAnsi="Verdana"/>
          <w:sz w:val="18"/>
          <w:szCs w:val="18"/>
          <w:lang w:val="nl-NL"/>
        </w:rPr>
        <w:t xml:space="preserve">over de weg </w:t>
      </w:r>
      <w:r w:rsidRPr="00AD15B0" w:rsidR="00E5116B">
        <w:rPr>
          <w:rFonts w:ascii="Verdana" w:hAnsi="Verdana"/>
          <w:sz w:val="18"/>
          <w:szCs w:val="18"/>
          <w:lang w:val="nl-NL"/>
        </w:rPr>
        <w:t>op</w:t>
      </w:r>
      <w:r w:rsidR="00560D14">
        <w:rPr>
          <w:rFonts w:ascii="Verdana" w:hAnsi="Verdana"/>
          <w:sz w:val="18"/>
          <w:szCs w:val="18"/>
          <w:lang w:val="nl-NL"/>
        </w:rPr>
        <w:t xml:space="preserve"> </w:t>
      </w:r>
      <w:r w:rsidRPr="00AD15B0" w:rsidR="00E5116B">
        <w:rPr>
          <w:rFonts w:ascii="Verdana" w:hAnsi="Verdana"/>
          <w:sz w:val="18"/>
          <w:szCs w:val="18"/>
          <w:lang w:val="nl-NL"/>
        </w:rPr>
        <w:t xml:space="preserve">dat eiland geldig </w:t>
      </w:r>
      <w:r w:rsidRPr="00AD15B0" w:rsidR="00C47C18">
        <w:rPr>
          <w:rFonts w:ascii="Verdana" w:hAnsi="Verdana"/>
          <w:sz w:val="18"/>
          <w:szCs w:val="18"/>
          <w:lang w:val="nl-NL"/>
        </w:rPr>
        <w:t>moet worden</w:t>
      </w:r>
      <w:r w:rsidRPr="00AD15B0" w:rsidR="00E5116B">
        <w:rPr>
          <w:rFonts w:ascii="Verdana" w:hAnsi="Verdana"/>
          <w:sz w:val="18"/>
          <w:szCs w:val="18"/>
          <w:lang w:val="nl-NL"/>
        </w:rPr>
        <w:t xml:space="preserve"> gemaakt, vervolgens korte tijd later bij aankomst</w:t>
      </w:r>
      <w:r w:rsidRPr="00AD15B0" w:rsidR="00A744E9">
        <w:rPr>
          <w:rFonts w:ascii="Verdana" w:hAnsi="Verdana"/>
          <w:sz w:val="18"/>
          <w:szCs w:val="18"/>
          <w:lang w:val="nl-NL"/>
        </w:rPr>
        <w:t xml:space="preserve"> </w:t>
      </w:r>
      <w:r w:rsidRPr="00AD15B0" w:rsidR="00E5116B">
        <w:rPr>
          <w:rFonts w:ascii="Verdana" w:hAnsi="Verdana"/>
          <w:sz w:val="18"/>
          <w:szCs w:val="18"/>
          <w:lang w:val="nl-NL"/>
        </w:rPr>
        <w:t xml:space="preserve">op </w:t>
      </w:r>
      <w:r w:rsidR="008C55D3">
        <w:rPr>
          <w:rFonts w:ascii="Verdana" w:hAnsi="Verdana"/>
          <w:sz w:val="18"/>
          <w:szCs w:val="18"/>
          <w:lang w:val="nl-NL"/>
        </w:rPr>
        <w:t xml:space="preserve">de </w:t>
      </w:r>
      <w:r w:rsidR="007A62B6">
        <w:rPr>
          <w:rFonts w:ascii="Verdana" w:hAnsi="Verdana"/>
          <w:sz w:val="18"/>
          <w:szCs w:val="18"/>
          <w:lang w:val="nl-NL"/>
        </w:rPr>
        <w:t xml:space="preserve">plaats van </w:t>
      </w:r>
      <w:r w:rsidRPr="00AD15B0" w:rsidR="00E5116B">
        <w:rPr>
          <w:rFonts w:ascii="Verdana" w:hAnsi="Verdana"/>
          <w:sz w:val="18"/>
          <w:szCs w:val="18"/>
          <w:lang w:val="nl-NL"/>
        </w:rPr>
        <w:t xml:space="preserve">bestemming de formaliteiten voor </w:t>
      </w:r>
      <w:r w:rsidR="00CE3188">
        <w:rPr>
          <w:rFonts w:ascii="Verdana" w:hAnsi="Verdana"/>
          <w:sz w:val="18"/>
          <w:szCs w:val="18"/>
          <w:lang w:val="nl-NL"/>
        </w:rPr>
        <w:t xml:space="preserve">het </w:t>
      </w:r>
      <w:r w:rsidRPr="00AD15B0" w:rsidR="00E5116B">
        <w:rPr>
          <w:rFonts w:ascii="Verdana" w:hAnsi="Verdana"/>
          <w:sz w:val="18"/>
          <w:szCs w:val="18"/>
          <w:lang w:val="nl-NL"/>
        </w:rPr>
        <w:t>beëindigen van het TIR</w:t>
      </w:r>
      <w:r w:rsidR="008C55D3">
        <w:rPr>
          <w:rFonts w:ascii="Verdana" w:hAnsi="Verdana"/>
          <w:sz w:val="18"/>
          <w:szCs w:val="18"/>
          <w:lang w:val="nl-NL"/>
        </w:rPr>
        <w:t>-</w:t>
      </w:r>
      <w:r w:rsidRPr="00AD15B0" w:rsidR="00E5116B">
        <w:rPr>
          <w:rFonts w:ascii="Verdana" w:hAnsi="Verdana"/>
          <w:sz w:val="18"/>
          <w:szCs w:val="18"/>
          <w:lang w:val="nl-NL"/>
        </w:rPr>
        <w:t xml:space="preserve">vervoer vervuld </w:t>
      </w:r>
      <w:r w:rsidRPr="00AD15B0" w:rsidR="009D2CF1">
        <w:rPr>
          <w:rFonts w:ascii="Verdana" w:hAnsi="Verdana"/>
          <w:sz w:val="18"/>
          <w:szCs w:val="18"/>
          <w:lang w:val="nl-NL"/>
        </w:rPr>
        <w:t xml:space="preserve">zouden moeten </w:t>
      </w:r>
      <w:r w:rsidRPr="00AD15B0" w:rsidR="00E5116B">
        <w:rPr>
          <w:rFonts w:ascii="Verdana" w:hAnsi="Verdana"/>
          <w:sz w:val="18"/>
          <w:szCs w:val="18"/>
          <w:lang w:val="nl-NL"/>
        </w:rPr>
        <w:t xml:space="preserve">worden en </w:t>
      </w:r>
      <w:r w:rsidR="007A62B6">
        <w:rPr>
          <w:rFonts w:ascii="Verdana" w:hAnsi="Verdana"/>
          <w:sz w:val="18"/>
          <w:szCs w:val="18"/>
          <w:lang w:val="nl-NL"/>
        </w:rPr>
        <w:t>tot slot</w:t>
      </w:r>
      <w:r w:rsidRPr="00AD15B0" w:rsidR="00E5116B">
        <w:rPr>
          <w:rFonts w:ascii="Verdana" w:hAnsi="Verdana"/>
          <w:sz w:val="18"/>
          <w:szCs w:val="18"/>
          <w:lang w:val="nl-NL"/>
        </w:rPr>
        <w:t xml:space="preserve"> de formaliteiten voor het in het vrije verkeer brengen vervuld</w:t>
      </w:r>
      <w:r w:rsidRPr="00AD15B0" w:rsidR="009D2CF1">
        <w:rPr>
          <w:rFonts w:ascii="Verdana" w:hAnsi="Verdana"/>
          <w:sz w:val="18"/>
          <w:szCs w:val="18"/>
          <w:lang w:val="nl-NL"/>
        </w:rPr>
        <w:t xml:space="preserve"> moeten</w:t>
      </w:r>
      <w:r w:rsidRPr="00AD15B0" w:rsidR="00E5116B">
        <w:rPr>
          <w:rFonts w:ascii="Verdana" w:hAnsi="Verdana"/>
          <w:sz w:val="18"/>
          <w:szCs w:val="18"/>
          <w:lang w:val="nl-NL"/>
        </w:rPr>
        <w:t xml:space="preserve"> worden</w:t>
      </w:r>
      <w:r w:rsidR="008C55D3">
        <w:rPr>
          <w:rFonts w:ascii="Verdana" w:hAnsi="Verdana"/>
          <w:sz w:val="18"/>
          <w:szCs w:val="18"/>
          <w:lang w:val="nl-NL"/>
        </w:rPr>
        <w:t>.</w:t>
      </w:r>
      <w:r w:rsidRPr="00AD15B0" w:rsidR="009D2CF1">
        <w:rPr>
          <w:rStyle w:val="Voetnootmarkering"/>
          <w:rFonts w:ascii="Verdana" w:hAnsi="Verdana"/>
          <w:sz w:val="18"/>
          <w:szCs w:val="18"/>
          <w:lang w:val="nl-NL"/>
        </w:rPr>
        <w:footnoteReference w:id="7"/>
      </w:r>
      <w:r w:rsidRPr="00AD15B0" w:rsidR="00C47C18">
        <w:rPr>
          <w:rFonts w:ascii="Verdana" w:hAnsi="Verdana"/>
          <w:sz w:val="18"/>
          <w:szCs w:val="18"/>
          <w:lang w:val="nl-NL"/>
        </w:rPr>
        <w:t xml:space="preserve"> </w:t>
      </w:r>
      <w:r w:rsidR="007A62B6">
        <w:rPr>
          <w:rFonts w:ascii="Verdana" w:hAnsi="Verdana"/>
          <w:sz w:val="18"/>
          <w:szCs w:val="18"/>
          <w:lang w:val="nl-NL"/>
        </w:rPr>
        <w:t>A</w:t>
      </w:r>
      <w:r w:rsidRPr="00AD15B0" w:rsidR="003B6EFC">
        <w:rPr>
          <w:rFonts w:ascii="Verdana" w:hAnsi="Verdana"/>
          <w:sz w:val="18"/>
          <w:szCs w:val="18"/>
          <w:lang w:val="nl-NL"/>
        </w:rPr>
        <w:t>ls</w:t>
      </w:r>
      <w:r w:rsidRPr="00AD15B0" w:rsidR="00E5116B">
        <w:rPr>
          <w:rFonts w:ascii="Verdana" w:hAnsi="Verdana"/>
          <w:sz w:val="18"/>
          <w:szCs w:val="18"/>
          <w:lang w:val="nl-NL"/>
        </w:rPr>
        <w:t xml:space="preserve"> geen gebruik wordt gemaakt van </w:t>
      </w:r>
      <w:r w:rsidR="007A62B6">
        <w:rPr>
          <w:rFonts w:ascii="Verdana" w:hAnsi="Verdana"/>
          <w:sz w:val="18"/>
          <w:szCs w:val="18"/>
          <w:lang w:val="nl-NL"/>
        </w:rPr>
        <w:t xml:space="preserve">de </w:t>
      </w:r>
      <w:r w:rsidRPr="00AD15B0" w:rsidR="00E5116B">
        <w:rPr>
          <w:rFonts w:ascii="Verdana" w:hAnsi="Verdana"/>
          <w:sz w:val="18"/>
          <w:szCs w:val="18"/>
          <w:lang w:val="nl-NL"/>
        </w:rPr>
        <w:t>TIR</w:t>
      </w:r>
      <w:r w:rsidR="007A62B6">
        <w:rPr>
          <w:rFonts w:ascii="Verdana" w:hAnsi="Verdana"/>
          <w:sz w:val="18"/>
          <w:szCs w:val="18"/>
          <w:lang w:val="nl-NL"/>
        </w:rPr>
        <w:t>-procedure</w:t>
      </w:r>
      <w:r w:rsidRPr="00AD15B0" w:rsidR="00C47C18">
        <w:rPr>
          <w:rFonts w:ascii="Verdana" w:hAnsi="Verdana"/>
          <w:sz w:val="18"/>
          <w:szCs w:val="18"/>
          <w:lang w:val="nl-NL"/>
        </w:rPr>
        <w:t>,</w:t>
      </w:r>
      <w:r w:rsidRPr="00AD15B0" w:rsidR="00E5116B">
        <w:rPr>
          <w:rFonts w:ascii="Verdana" w:hAnsi="Verdana"/>
          <w:sz w:val="18"/>
          <w:szCs w:val="18"/>
          <w:lang w:val="nl-NL"/>
        </w:rPr>
        <w:t xml:space="preserve"> </w:t>
      </w:r>
      <w:r w:rsidR="007A62B6">
        <w:rPr>
          <w:rFonts w:ascii="Verdana" w:hAnsi="Verdana"/>
          <w:sz w:val="18"/>
          <w:szCs w:val="18"/>
          <w:lang w:val="nl-NL"/>
        </w:rPr>
        <w:t xml:space="preserve">kunnen </w:t>
      </w:r>
      <w:r w:rsidRPr="00AD15B0" w:rsidR="00E5116B">
        <w:rPr>
          <w:rFonts w:ascii="Verdana" w:hAnsi="Verdana"/>
          <w:sz w:val="18"/>
          <w:szCs w:val="18"/>
          <w:lang w:val="nl-NL"/>
        </w:rPr>
        <w:t xml:space="preserve">de goederen direct bij aankomst op </w:t>
      </w:r>
      <w:r w:rsidR="007A62B6">
        <w:rPr>
          <w:rFonts w:ascii="Verdana" w:hAnsi="Verdana"/>
          <w:sz w:val="18"/>
          <w:szCs w:val="18"/>
          <w:lang w:val="nl-NL"/>
        </w:rPr>
        <w:t xml:space="preserve">een </w:t>
      </w:r>
      <w:r w:rsidRPr="00AD15B0" w:rsidR="00E5116B">
        <w:rPr>
          <w:rFonts w:ascii="Verdana" w:hAnsi="Verdana"/>
          <w:sz w:val="18"/>
          <w:szCs w:val="18"/>
          <w:lang w:val="nl-NL"/>
        </w:rPr>
        <w:t xml:space="preserve">eiland voor het vrije verkeer </w:t>
      </w:r>
      <w:r w:rsidRPr="00AD15B0" w:rsidR="00C47C18">
        <w:rPr>
          <w:rFonts w:ascii="Verdana" w:hAnsi="Verdana"/>
          <w:sz w:val="18"/>
          <w:szCs w:val="18"/>
          <w:lang w:val="nl-NL"/>
        </w:rPr>
        <w:t xml:space="preserve">worden </w:t>
      </w:r>
      <w:r w:rsidRPr="00AD15B0" w:rsidR="00E5116B">
        <w:rPr>
          <w:rFonts w:ascii="Verdana" w:hAnsi="Verdana"/>
          <w:sz w:val="18"/>
          <w:szCs w:val="18"/>
          <w:lang w:val="nl-NL"/>
        </w:rPr>
        <w:t xml:space="preserve">aangegeven. Aldus zijn </w:t>
      </w:r>
      <w:r w:rsidRPr="00AD15B0" w:rsidR="00E5116B">
        <w:rPr>
          <w:rFonts w:ascii="Verdana" w:hAnsi="Verdana"/>
          <w:sz w:val="18"/>
          <w:szCs w:val="18"/>
          <w:lang w:val="nl-NL"/>
        </w:rPr>
        <w:lastRenderedPageBreak/>
        <w:t xml:space="preserve">de </w:t>
      </w:r>
      <w:r w:rsidR="007A62B6">
        <w:rPr>
          <w:rFonts w:ascii="Verdana" w:hAnsi="Verdana"/>
          <w:sz w:val="18"/>
          <w:szCs w:val="18"/>
          <w:lang w:val="nl-NL"/>
        </w:rPr>
        <w:t>a</w:t>
      </w:r>
      <w:r w:rsidRPr="00AD15B0" w:rsidR="00E5116B">
        <w:rPr>
          <w:rFonts w:ascii="Verdana" w:hAnsi="Verdana"/>
          <w:sz w:val="18"/>
          <w:szCs w:val="18"/>
          <w:lang w:val="nl-NL"/>
        </w:rPr>
        <w:t xml:space="preserve">dministratieve </w:t>
      </w:r>
      <w:r w:rsidR="007A62B6">
        <w:rPr>
          <w:rFonts w:ascii="Verdana" w:hAnsi="Verdana"/>
          <w:sz w:val="18"/>
          <w:szCs w:val="18"/>
          <w:lang w:val="nl-NL"/>
        </w:rPr>
        <w:t>l</w:t>
      </w:r>
      <w:r w:rsidRPr="00AD15B0" w:rsidR="00E5116B">
        <w:rPr>
          <w:rFonts w:ascii="Verdana" w:hAnsi="Verdana"/>
          <w:sz w:val="18"/>
          <w:szCs w:val="18"/>
          <w:lang w:val="nl-NL"/>
        </w:rPr>
        <w:t xml:space="preserve">asten beduidend lager als </w:t>
      </w:r>
      <w:r w:rsidRPr="00AD15B0" w:rsidR="00666080">
        <w:rPr>
          <w:rFonts w:ascii="Verdana" w:hAnsi="Verdana"/>
          <w:sz w:val="18"/>
          <w:szCs w:val="18"/>
          <w:lang w:val="nl-NL"/>
        </w:rPr>
        <w:t xml:space="preserve">op de </w:t>
      </w:r>
      <w:r w:rsidR="007A62B6">
        <w:rPr>
          <w:rFonts w:ascii="Verdana" w:hAnsi="Verdana"/>
          <w:sz w:val="18"/>
          <w:szCs w:val="18"/>
          <w:lang w:val="nl-NL"/>
        </w:rPr>
        <w:t xml:space="preserve">Caribische </w:t>
      </w:r>
      <w:r w:rsidRPr="00AD15B0" w:rsidR="00666080">
        <w:rPr>
          <w:rFonts w:ascii="Verdana" w:hAnsi="Verdana"/>
          <w:sz w:val="18"/>
          <w:szCs w:val="18"/>
          <w:lang w:val="nl-NL"/>
        </w:rPr>
        <w:t>eilanden</w:t>
      </w:r>
      <w:r w:rsidR="007A62B6">
        <w:rPr>
          <w:rFonts w:ascii="Verdana" w:hAnsi="Verdana"/>
          <w:sz w:val="18"/>
          <w:szCs w:val="18"/>
          <w:lang w:val="nl-NL"/>
        </w:rPr>
        <w:t xml:space="preserve"> van het Koninkrijk</w:t>
      </w:r>
      <w:r w:rsidRPr="00AD15B0" w:rsidR="00666080">
        <w:rPr>
          <w:rFonts w:ascii="Verdana" w:hAnsi="Verdana"/>
          <w:sz w:val="18"/>
          <w:szCs w:val="18"/>
          <w:lang w:val="nl-NL"/>
        </w:rPr>
        <w:t xml:space="preserve"> </w:t>
      </w:r>
      <w:r w:rsidRPr="00AD15B0" w:rsidR="007A62B6">
        <w:rPr>
          <w:rFonts w:ascii="Verdana" w:hAnsi="Verdana"/>
          <w:sz w:val="18"/>
          <w:szCs w:val="18"/>
          <w:lang w:val="nl-NL"/>
        </w:rPr>
        <w:t>geen gebruik</w:t>
      </w:r>
      <w:r w:rsidR="0083012E">
        <w:rPr>
          <w:rFonts w:ascii="Verdana" w:hAnsi="Verdana"/>
          <w:sz w:val="18"/>
          <w:szCs w:val="18"/>
          <w:lang w:val="nl-NL"/>
        </w:rPr>
        <w:t xml:space="preserve"> </w:t>
      </w:r>
      <w:r w:rsidRPr="00AD15B0" w:rsidR="00E5116B">
        <w:rPr>
          <w:rFonts w:ascii="Verdana" w:hAnsi="Verdana"/>
          <w:sz w:val="18"/>
          <w:szCs w:val="18"/>
          <w:lang w:val="nl-NL"/>
        </w:rPr>
        <w:t>wordt</w:t>
      </w:r>
      <w:r w:rsidR="007A62B6">
        <w:rPr>
          <w:rFonts w:ascii="Verdana" w:hAnsi="Verdana"/>
          <w:sz w:val="18"/>
          <w:szCs w:val="18"/>
          <w:lang w:val="nl-NL"/>
        </w:rPr>
        <w:t xml:space="preserve"> </w:t>
      </w:r>
      <w:r w:rsidRPr="00F647CB" w:rsidR="0083012E">
        <w:rPr>
          <w:rFonts w:ascii="Verdana" w:hAnsi="Verdana"/>
          <w:sz w:val="18"/>
          <w:szCs w:val="18"/>
          <w:lang w:val="nl-NL"/>
        </w:rPr>
        <w:t>gemaakt</w:t>
      </w:r>
      <w:r w:rsidR="0083012E">
        <w:rPr>
          <w:rFonts w:ascii="Verdana" w:hAnsi="Verdana"/>
          <w:i/>
          <w:iCs/>
          <w:sz w:val="18"/>
          <w:szCs w:val="18"/>
          <w:lang w:val="nl-NL"/>
        </w:rPr>
        <w:t xml:space="preserve"> </w:t>
      </w:r>
      <w:r w:rsidR="007A62B6">
        <w:rPr>
          <w:rFonts w:ascii="Verdana" w:hAnsi="Verdana"/>
          <w:sz w:val="18"/>
          <w:szCs w:val="18"/>
          <w:lang w:val="nl-NL"/>
        </w:rPr>
        <w:t>van de TIR-regeling</w:t>
      </w:r>
      <w:r w:rsidRPr="00017D21" w:rsidR="006C62C3">
        <w:rPr>
          <w:rFonts w:ascii="Verdana" w:hAnsi="Verdana" w:cstheme="minorHAnsi"/>
          <w:sz w:val="18"/>
          <w:szCs w:val="18"/>
          <w:lang w:val="nl-NL"/>
        </w:rPr>
        <w:t xml:space="preserve">. </w:t>
      </w:r>
    </w:p>
    <w:p w:rsidR="005B36A9" w:rsidP="00E234BF" w:rsidRDefault="005B36A9" w14:paraId="1C848B9F" w14:textId="5D756E49">
      <w:pPr>
        <w:spacing w:line="360" w:lineRule="auto"/>
        <w:jc w:val="both"/>
        <w:rPr>
          <w:rFonts w:ascii="Verdana" w:hAnsi="Verdana" w:cstheme="minorHAnsi"/>
          <w:sz w:val="18"/>
          <w:szCs w:val="18"/>
          <w:lang w:val="nl-NL"/>
        </w:rPr>
      </w:pPr>
      <w:r w:rsidRPr="005725E9">
        <w:rPr>
          <w:rFonts w:ascii="Verdana" w:hAnsi="Verdana" w:cstheme="minorHAnsi"/>
          <w:sz w:val="18"/>
          <w:szCs w:val="18"/>
          <w:lang w:val="nl-NL"/>
        </w:rPr>
        <w:t>Daarnaast</w:t>
      </w:r>
      <w:r w:rsidR="00D645B2">
        <w:rPr>
          <w:rFonts w:ascii="Verdana" w:hAnsi="Verdana" w:cstheme="minorHAnsi"/>
          <w:sz w:val="18"/>
          <w:szCs w:val="18"/>
          <w:lang w:val="nl-NL"/>
        </w:rPr>
        <w:t xml:space="preserve"> is het zo dat de TIR-Overeenkomst op het gehele westelijk halfrond niet wordt toegepast. </w:t>
      </w:r>
      <w:r w:rsidRPr="005725E9" w:rsidR="006C62C3">
        <w:rPr>
          <w:rFonts w:ascii="Verdana" w:hAnsi="Verdana" w:cstheme="minorHAnsi"/>
          <w:sz w:val="18"/>
          <w:szCs w:val="18"/>
          <w:lang w:val="nl-NL"/>
        </w:rPr>
        <w:t>Weliswaar zijn in de regio gelegen staten als Argentinië, Canada</w:t>
      </w:r>
      <w:r w:rsidR="000C2930">
        <w:rPr>
          <w:rFonts w:ascii="Verdana" w:hAnsi="Verdana" w:cstheme="minorHAnsi"/>
          <w:sz w:val="18"/>
          <w:szCs w:val="18"/>
          <w:lang w:val="nl-NL"/>
        </w:rPr>
        <w:t xml:space="preserve"> en</w:t>
      </w:r>
      <w:r w:rsidRPr="005725E9" w:rsidR="006C62C3">
        <w:rPr>
          <w:rFonts w:ascii="Verdana" w:hAnsi="Verdana" w:cstheme="minorHAnsi"/>
          <w:sz w:val="18"/>
          <w:szCs w:val="18"/>
          <w:lang w:val="nl-NL"/>
        </w:rPr>
        <w:t xml:space="preserve"> Uruguay net als het Koninkrijk partij bij de Overeenkomst, maar ook deze staten passen de Overeenkomst niet toe en zullen dat naar verwachting ook niet gaan doen. Zo is er bijvoorbeeld geen actieve garantstellende organisatie aangewezen in die staten die zorgt voor uitgifte van Carnets TIR, waardoor vervoer onder de TIR-</w:t>
      </w:r>
      <w:r w:rsidR="003B6EFC">
        <w:rPr>
          <w:rFonts w:ascii="Verdana" w:hAnsi="Verdana" w:cstheme="minorHAnsi"/>
          <w:sz w:val="18"/>
          <w:szCs w:val="18"/>
          <w:lang w:val="nl-NL"/>
        </w:rPr>
        <w:t>Overeenkomst</w:t>
      </w:r>
      <w:r w:rsidRPr="005725E9" w:rsidR="006C62C3">
        <w:rPr>
          <w:rFonts w:ascii="Verdana" w:hAnsi="Verdana" w:cstheme="minorHAnsi"/>
          <w:sz w:val="18"/>
          <w:szCs w:val="18"/>
          <w:lang w:val="nl-NL"/>
        </w:rPr>
        <w:t xml:space="preserve"> </w:t>
      </w:r>
      <w:r w:rsidR="002F4844">
        <w:rPr>
          <w:rFonts w:ascii="Verdana" w:hAnsi="Verdana" w:cstheme="minorHAnsi"/>
          <w:sz w:val="18"/>
          <w:szCs w:val="18"/>
          <w:lang w:val="nl-NL"/>
        </w:rPr>
        <w:t>in de praktijk</w:t>
      </w:r>
      <w:r w:rsidRPr="005725E9" w:rsidR="006C62C3">
        <w:rPr>
          <w:rFonts w:ascii="Verdana" w:hAnsi="Verdana" w:cstheme="minorHAnsi"/>
          <w:sz w:val="18"/>
          <w:szCs w:val="18"/>
          <w:lang w:val="nl-NL"/>
        </w:rPr>
        <w:t xml:space="preserve"> niet kan worden toegepast.</w:t>
      </w:r>
      <w:r w:rsidR="006C62C3">
        <w:rPr>
          <w:rStyle w:val="Voetnootmarkering"/>
          <w:rFonts w:ascii="Verdana" w:hAnsi="Verdana" w:cstheme="minorHAnsi"/>
          <w:sz w:val="18"/>
          <w:szCs w:val="18"/>
          <w:lang w:val="nl-NL"/>
        </w:rPr>
        <w:footnoteReference w:id="8"/>
      </w:r>
    </w:p>
    <w:p w:rsidRPr="005725E9" w:rsidR="00BD122B" w:rsidP="007A62B6" w:rsidRDefault="007A62B6" w14:paraId="43E33564" w14:textId="7F42AF0A">
      <w:pPr>
        <w:spacing w:line="360" w:lineRule="auto"/>
        <w:jc w:val="both"/>
        <w:rPr>
          <w:rFonts w:ascii="Verdana" w:hAnsi="Verdana" w:cstheme="minorHAnsi"/>
          <w:sz w:val="18"/>
          <w:szCs w:val="18"/>
          <w:lang w:val="nl-NL"/>
        </w:rPr>
      </w:pPr>
      <w:r>
        <w:rPr>
          <w:rFonts w:ascii="Verdana" w:hAnsi="Verdana" w:cstheme="minorHAnsi"/>
          <w:sz w:val="18"/>
          <w:szCs w:val="18"/>
          <w:lang w:val="nl-NL"/>
        </w:rPr>
        <w:t xml:space="preserve">Nu is vastgesteld </w:t>
      </w:r>
      <w:r w:rsidR="00A744E9">
        <w:rPr>
          <w:rFonts w:ascii="Verdana" w:hAnsi="Verdana" w:cstheme="minorHAnsi"/>
          <w:sz w:val="18"/>
          <w:szCs w:val="18"/>
          <w:lang w:val="nl-NL"/>
        </w:rPr>
        <w:t xml:space="preserve">dat de TIR-Overeenkomst </w:t>
      </w:r>
      <w:r>
        <w:rPr>
          <w:rFonts w:ascii="Verdana" w:hAnsi="Verdana" w:cstheme="minorHAnsi"/>
          <w:sz w:val="18"/>
          <w:szCs w:val="18"/>
          <w:lang w:val="nl-NL"/>
        </w:rPr>
        <w:t>in</w:t>
      </w:r>
      <w:r w:rsidR="008975BA">
        <w:rPr>
          <w:rFonts w:ascii="Verdana" w:hAnsi="Verdana" w:cstheme="minorHAnsi"/>
          <w:sz w:val="18"/>
          <w:szCs w:val="18"/>
          <w:lang w:val="nl-NL"/>
        </w:rPr>
        <w:t xml:space="preserve"> het Caribische deel van het Koninkrijk nooit is toegepast, niet toegepast wordt en ook in de toekomst nooit zal worden toegepast aangezien het meer </w:t>
      </w:r>
      <w:r w:rsidR="00507467">
        <w:rPr>
          <w:rFonts w:ascii="Verdana" w:hAnsi="Verdana" w:cstheme="minorHAnsi"/>
          <w:sz w:val="18"/>
          <w:szCs w:val="18"/>
          <w:lang w:val="nl-NL"/>
        </w:rPr>
        <w:t>a</w:t>
      </w:r>
      <w:r w:rsidR="008975BA">
        <w:rPr>
          <w:rFonts w:ascii="Verdana" w:hAnsi="Verdana" w:cstheme="minorHAnsi"/>
          <w:sz w:val="18"/>
          <w:szCs w:val="18"/>
          <w:lang w:val="nl-NL"/>
        </w:rPr>
        <w:t xml:space="preserve">dministratieve </w:t>
      </w:r>
      <w:r w:rsidR="00507467">
        <w:rPr>
          <w:rFonts w:ascii="Verdana" w:hAnsi="Verdana" w:cstheme="minorHAnsi"/>
          <w:sz w:val="18"/>
          <w:szCs w:val="18"/>
          <w:lang w:val="nl-NL"/>
        </w:rPr>
        <w:t>l</w:t>
      </w:r>
      <w:r w:rsidR="008975BA">
        <w:rPr>
          <w:rFonts w:ascii="Verdana" w:hAnsi="Verdana" w:cstheme="minorHAnsi"/>
          <w:sz w:val="18"/>
          <w:szCs w:val="18"/>
          <w:lang w:val="nl-NL"/>
        </w:rPr>
        <w:t xml:space="preserve">asten </w:t>
      </w:r>
      <w:r>
        <w:rPr>
          <w:rFonts w:ascii="Verdana" w:hAnsi="Verdana" w:cstheme="minorHAnsi"/>
          <w:sz w:val="18"/>
          <w:szCs w:val="18"/>
          <w:lang w:val="nl-NL"/>
        </w:rPr>
        <w:t>oplevert</w:t>
      </w:r>
      <w:r w:rsidR="008975BA">
        <w:rPr>
          <w:rFonts w:ascii="Verdana" w:hAnsi="Verdana" w:cstheme="minorHAnsi"/>
          <w:sz w:val="18"/>
          <w:szCs w:val="18"/>
          <w:lang w:val="nl-NL"/>
        </w:rPr>
        <w:t xml:space="preserve"> dan wanneer er géén gebruik van de TIR-Overeenkomst wordt</w:t>
      </w:r>
      <w:r w:rsidR="00666080">
        <w:rPr>
          <w:rFonts w:ascii="Verdana" w:hAnsi="Verdana" w:cstheme="minorHAnsi"/>
          <w:sz w:val="18"/>
          <w:szCs w:val="18"/>
          <w:lang w:val="nl-NL"/>
        </w:rPr>
        <w:t xml:space="preserve"> g</w:t>
      </w:r>
      <w:r w:rsidR="008975BA">
        <w:rPr>
          <w:rFonts w:ascii="Verdana" w:hAnsi="Verdana" w:cstheme="minorHAnsi"/>
          <w:sz w:val="18"/>
          <w:szCs w:val="18"/>
          <w:lang w:val="nl-NL"/>
        </w:rPr>
        <w:t>emaakt</w:t>
      </w:r>
      <w:r w:rsidR="000B0845">
        <w:rPr>
          <w:rFonts w:ascii="Verdana" w:hAnsi="Verdana" w:cstheme="minorHAnsi"/>
          <w:sz w:val="18"/>
          <w:szCs w:val="18"/>
          <w:lang w:val="nl-NL"/>
        </w:rPr>
        <w:t>,</w:t>
      </w:r>
      <w:r w:rsidR="008975BA">
        <w:rPr>
          <w:rFonts w:ascii="Verdana" w:hAnsi="Verdana" w:cstheme="minorHAnsi"/>
          <w:sz w:val="18"/>
          <w:szCs w:val="18"/>
          <w:lang w:val="nl-NL"/>
        </w:rPr>
        <w:t xml:space="preserve"> </w:t>
      </w:r>
      <w:r w:rsidR="00BD122B">
        <w:rPr>
          <w:rFonts w:ascii="Verdana" w:hAnsi="Verdana" w:cstheme="minorHAnsi"/>
          <w:sz w:val="18"/>
          <w:szCs w:val="18"/>
          <w:lang w:val="nl-NL"/>
        </w:rPr>
        <w:t>heeft de regering</w:t>
      </w:r>
      <w:r w:rsidR="001644DC">
        <w:rPr>
          <w:rFonts w:ascii="Verdana" w:hAnsi="Verdana" w:cstheme="minorHAnsi"/>
          <w:sz w:val="18"/>
          <w:szCs w:val="18"/>
          <w:lang w:val="nl-NL"/>
        </w:rPr>
        <w:t>, na overleg met de Caribische landen</w:t>
      </w:r>
      <w:r w:rsidR="001F5B79">
        <w:rPr>
          <w:rFonts w:ascii="Verdana" w:hAnsi="Verdana" w:cstheme="minorHAnsi"/>
          <w:sz w:val="18"/>
          <w:szCs w:val="18"/>
          <w:lang w:val="nl-NL"/>
        </w:rPr>
        <w:t xml:space="preserve"> en de autoriteiten van Caribisch Nederland</w:t>
      </w:r>
      <w:r w:rsidR="001644DC">
        <w:rPr>
          <w:rFonts w:ascii="Verdana" w:hAnsi="Verdana" w:cstheme="minorHAnsi"/>
          <w:sz w:val="18"/>
          <w:szCs w:val="18"/>
          <w:lang w:val="nl-NL"/>
        </w:rPr>
        <w:t>,</w:t>
      </w:r>
      <w:r w:rsidR="00BD122B">
        <w:rPr>
          <w:rFonts w:ascii="Verdana" w:hAnsi="Verdana" w:cstheme="minorHAnsi"/>
          <w:sz w:val="18"/>
          <w:szCs w:val="18"/>
          <w:lang w:val="nl-NL"/>
        </w:rPr>
        <w:t xml:space="preserve"> </w:t>
      </w:r>
      <w:r w:rsidR="00432A3A">
        <w:rPr>
          <w:rFonts w:ascii="Verdana" w:hAnsi="Verdana" w:cstheme="minorHAnsi"/>
          <w:sz w:val="18"/>
          <w:szCs w:val="18"/>
          <w:lang w:val="nl-NL"/>
        </w:rPr>
        <w:t>besloten</w:t>
      </w:r>
      <w:r w:rsidR="00BD122B">
        <w:rPr>
          <w:rFonts w:ascii="Verdana" w:hAnsi="Verdana" w:cstheme="minorHAnsi"/>
          <w:sz w:val="18"/>
          <w:szCs w:val="18"/>
          <w:lang w:val="nl-NL"/>
        </w:rPr>
        <w:t xml:space="preserve"> om de</w:t>
      </w:r>
      <w:r w:rsidRPr="005725E9" w:rsidR="000F339D">
        <w:rPr>
          <w:rFonts w:ascii="Verdana" w:hAnsi="Verdana" w:cstheme="minorHAnsi"/>
          <w:sz w:val="18"/>
          <w:szCs w:val="18"/>
          <w:lang w:val="nl-NL"/>
        </w:rPr>
        <w:t xml:space="preserve"> TIR-Overeenkomst </w:t>
      </w:r>
      <w:r w:rsidR="00BD122B">
        <w:rPr>
          <w:rFonts w:ascii="Verdana" w:hAnsi="Verdana" w:cstheme="minorHAnsi"/>
          <w:sz w:val="18"/>
          <w:szCs w:val="18"/>
          <w:lang w:val="nl-NL"/>
        </w:rPr>
        <w:t xml:space="preserve">voor </w:t>
      </w:r>
      <w:r w:rsidRPr="005725E9" w:rsidR="007210ED">
        <w:rPr>
          <w:rFonts w:ascii="Verdana" w:hAnsi="Verdana" w:cstheme="minorHAnsi"/>
          <w:sz w:val="18"/>
          <w:szCs w:val="18"/>
          <w:lang w:val="nl-NL"/>
        </w:rPr>
        <w:t>het Caribische deel van het Koninkrijk</w:t>
      </w:r>
      <w:r w:rsidR="00BD122B">
        <w:rPr>
          <w:rFonts w:ascii="Verdana" w:hAnsi="Verdana" w:cstheme="minorHAnsi"/>
          <w:sz w:val="18"/>
          <w:szCs w:val="18"/>
          <w:lang w:val="nl-NL"/>
        </w:rPr>
        <w:t xml:space="preserve"> op te zeggen</w:t>
      </w:r>
      <w:r w:rsidRPr="005725E9" w:rsidR="000F339D">
        <w:rPr>
          <w:rFonts w:ascii="Verdana" w:hAnsi="Verdana" w:cstheme="minorHAnsi"/>
          <w:sz w:val="18"/>
          <w:szCs w:val="18"/>
          <w:lang w:val="nl-NL"/>
        </w:rPr>
        <w:t>.</w:t>
      </w:r>
      <w:r w:rsidR="00BD122B">
        <w:rPr>
          <w:rFonts w:ascii="Verdana" w:hAnsi="Verdana" w:cstheme="minorHAnsi"/>
          <w:sz w:val="18"/>
          <w:szCs w:val="18"/>
          <w:lang w:val="nl-NL"/>
        </w:rPr>
        <w:t xml:space="preserve"> </w:t>
      </w:r>
      <w:r w:rsidR="006400FA">
        <w:rPr>
          <w:rFonts w:ascii="Verdana" w:hAnsi="Verdana" w:cstheme="minorHAnsi"/>
          <w:sz w:val="18"/>
          <w:szCs w:val="18"/>
          <w:lang w:val="nl-NL"/>
        </w:rPr>
        <w:t>Daarmee worden de facto onnodige parlementaire goedkeuringsprocedures voor de toekomst voorkomen.</w:t>
      </w:r>
    </w:p>
    <w:p w:rsidRPr="005725E9" w:rsidR="00CF57CC" w:rsidP="00E234BF" w:rsidRDefault="00CF57CC" w14:paraId="24A1AF34" w14:textId="77777777">
      <w:pPr>
        <w:spacing w:line="360" w:lineRule="auto"/>
        <w:jc w:val="both"/>
        <w:rPr>
          <w:rFonts w:ascii="Verdana" w:hAnsi="Verdana" w:cstheme="minorHAnsi"/>
          <w:sz w:val="18"/>
          <w:szCs w:val="18"/>
          <w:lang w:val="nl-NL"/>
        </w:rPr>
      </w:pPr>
    </w:p>
    <w:p w:rsidRPr="005725E9" w:rsidR="00CF57CC" w:rsidP="00E234BF" w:rsidRDefault="00BD122B" w14:paraId="69CB1D21" w14:textId="460A4D3B">
      <w:pPr>
        <w:spacing w:line="360" w:lineRule="auto"/>
        <w:jc w:val="both"/>
        <w:rPr>
          <w:rFonts w:ascii="Verdana" w:hAnsi="Verdana" w:cstheme="minorHAnsi"/>
          <w:b/>
          <w:sz w:val="18"/>
          <w:szCs w:val="18"/>
          <w:lang w:val="nl-NL"/>
        </w:rPr>
      </w:pPr>
      <w:r>
        <w:rPr>
          <w:rFonts w:ascii="Verdana" w:hAnsi="Verdana" w:cstheme="minorHAnsi"/>
          <w:b/>
          <w:sz w:val="18"/>
          <w:szCs w:val="18"/>
          <w:lang w:val="nl-NL"/>
        </w:rPr>
        <w:t>II</w:t>
      </w:r>
      <w:r w:rsidRPr="005725E9" w:rsidR="00CF57CC">
        <w:rPr>
          <w:rFonts w:ascii="Verdana" w:hAnsi="Verdana" w:cstheme="minorHAnsi"/>
          <w:b/>
          <w:sz w:val="18"/>
          <w:szCs w:val="18"/>
          <w:lang w:val="nl-NL"/>
        </w:rPr>
        <w:t>I. Koninkrijkspositie</w:t>
      </w:r>
    </w:p>
    <w:p w:rsidRPr="005725E9" w:rsidR="00CF57CC" w:rsidP="00E234BF" w:rsidRDefault="00E66099" w14:paraId="3E688683" w14:textId="7E46AA7D">
      <w:pPr>
        <w:spacing w:line="360" w:lineRule="auto"/>
        <w:jc w:val="both"/>
        <w:rPr>
          <w:rFonts w:ascii="Verdana" w:hAnsi="Verdana" w:cstheme="minorHAnsi"/>
          <w:sz w:val="18"/>
          <w:szCs w:val="18"/>
          <w:lang w:val="nl-NL"/>
        </w:rPr>
      </w:pPr>
      <w:r w:rsidRPr="005725E9">
        <w:rPr>
          <w:rFonts w:ascii="Verdana" w:hAnsi="Verdana" w:cstheme="minorHAnsi"/>
          <w:sz w:val="18"/>
          <w:szCs w:val="18"/>
          <w:lang w:val="nl-NL"/>
        </w:rPr>
        <w:t xml:space="preserve">Zoals vermeld in de inleiding geldt de Overeenkomst voor het gehele Koninkrijk. De regeringen van Aruba, Curaçao en Sint Maarten achten het wenselijk dat de </w:t>
      </w:r>
      <w:r w:rsidR="005C2E05">
        <w:rPr>
          <w:rFonts w:ascii="Verdana" w:hAnsi="Verdana" w:cstheme="minorHAnsi"/>
          <w:sz w:val="18"/>
          <w:szCs w:val="18"/>
          <w:lang w:val="nl-NL"/>
        </w:rPr>
        <w:t>Overeenkomst</w:t>
      </w:r>
      <w:r w:rsidRPr="005725E9">
        <w:rPr>
          <w:rFonts w:ascii="Verdana" w:hAnsi="Verdana" w:cstheme="minorHAnsi"/>
          <w:sz w:val="18"/>
          <w:szCs w:val="18"/>
          <w:lang w:val="nl-NL"/>
        </w:rPr>
        <w:t xml:space="preserve"> voor hun land zal worden </w:t>
      </w:r>
      <w:r w:rsidR="005C2E05">
        <w:rPr>
          <w:rFonts w:ascii="Verdana" w:hAnsi="Verdana" w:cstheme="minorHAnsi"/>
          <w:sz w:val="18"/>
          <w:szCs w:val="18"/>
          <w:lang w:val="nl-NL"/>
        </w:rPr>
        <w:t>opgezegd</w:t>
      </w:r>
      <w:r w:rsidRPr="005725E9">
        <w:rPr>
          <w:rFonts w:ascii="Verdana" w:hAnsi="Verdana" w:cstheme="minorHAnsi"/>
          <w:sz w:val="18"/>
          <w:szCs w:val="18"/>
          <w:lang w:val="nl-NL"/>
        </w:rPr>
        <w:t xml:space="preserve">. </w:t>
      </w:r>
      <w:r w:rsidRPr="000E4215" w:rsidR="000E4215">
        <w:rPr>
          <w:rFonts w:ascii="Verdana" w:hAnsi="Verdana" w:cstheme="minorHAnsi"/>
          <w:sz w:val="18"/>
          <w:szCs w:val="18"/>
          <w:lang w:val="nl-NL"/>
        </w:rPr>
        <w:t>De Overeenkomst zal tevens voor Caribisch Nederland worden opgezegd.</w:t>
      </w:r>
      <w:r w:rsidRPr="0025065A" w:rsidR="0025065A">
        <w:rPr>
          <w:rFonts w:ascii="Verdana" w:hAnsi="Verdana" w:cstheme="minorHAnsi"/>
          <w:i/>
          <w:iCs/>
          <w:sz w:val="18"/>
          <w:szCs w:val="18"/>
          <w:lang w:val="nl-NL"/>
        </w:rPr>
        <w:t xml:space="preserve"> </w:t>
      </w:r>
      <w:r w:rsidR="00432A3A">
        <w:rPr>
          <w:rFonts w:ascii="Verdana" w:hAnsi="Verdana" w:cstheme="minorHAnsi"/>
          <w:sz w:val="18"/>
          <w:szCs w:val="18"/>
          <w:lang w:val="nl-NL"/>
        </w:rPr>
        <w:t>Na het opzeggen van de Overeenkomst voor het Caribisch deel van het Koninkrijk, zal de Overeenkomst, voor wat betreft het Koninkrijk, alleen nog gelden voor het Europese deel van Nederland.</w:t>
      </w:r>
    </w:p>
    <w:p w:rsidRPr="005725E9" w:rsidR="00CF57CC" w:rsidP="00E234BF" w:rsidRDefault="00CF57CC" w14:paraId="01B71958" w14:textId="77777777">
      <w:pPr>
        <w:spacing w:line="360" w:lineRule="auto"/>
        <w:jc w:val="both"/>
        <w:rPr>
          <w:rFonts w:ascii="Verdana" w:hAnsi="Verdana" w:cstheme="minorHAnsi"/>
          <w:sz w:val="18"/>
          <w:szCs w:val="18"/>
          <w:lang w:val="nl-NL"/>
        </w:rPr>
      </w:pPr>
    </w:p>
    <w:p w:rsidRPr="005725E9" w:rsidR="00CF57CC" w:rsidP="00E234BF" w:rsidRDefault="00CF57CC" w14:paraId="6853F2BF" w14:textId="77777777">
      <w:pPr>
        <w:spacing w:line="360" w:lineRule="auto"/>
        <w:jc w:val="both"/>
        <w:rPr>
          <w:rFonts w:ascii="Verdana" w:hAnsi="Verdana" w:cstheme="minorHAnsi"/>
          <w:sz w:val="18"/>
          <w:szCs w:val="18"/>
          <w:lang w:val="nl-NL"/>
        </w:rPr>
      </w:pPr>
      <w:r w:rsidRPr="005725E9">
        <w:rPr>
          <w:rFonts w:ascii="Verdana" w:hAnsi="Verdana" w:cstheme="minorHAnsi"/>
          <w:sz w:val="18"/>
          <w:szCs w:val="18"/>
          <w:lang w:val="nl-NL"/>
        </w:rPr>
        <w:t>De Staatssecretaris van Financiën,</w:t>
      </w:r>
    </w:p>
    <w:p w:rsidRPr="005725E9" w:rsidR="00CF57CC" w:rsidP="00E234BF" w:rsidRDefault="00CF57CC" w14:paraId="779488EA" w14:textId="77777777">
      <w:pPr>
        <w:spacing w:line="360" w:lineRule="auto"/>
        <w:jc w:val="both"/>
        <w:rPr>
          <w:rFonts w:ascii="Verdana" w:hAnsi="Verdana" w:cstheme="minorHAnsi"/>
          <w:sz w:val="18"/>
          <w:szCs w:val="18"/>
          <w:lang w:val="nl-NL"/>
        </w:rPr>
      </w:pPr>
    </w:p>
    <w:p w:rsidRPr="005725E9" w:rsidR="00CF57CC" w:rsidP="00E234BF" w:rsidRDefault="00CF57CC" w14:paraId="18556FB2" w14:textId="77777777">
      <w:pPr>
        <w:spacing w:line="360" w:lineRule="auto"/>
        <w:jc w:val="both"/>
        <w:rPr>
          <w:rFonts w:ascii="Verdana" w:hAnsi="Verdana" w:cstheme="minorHAnsi"/>
          <w:sz w:val="18"/>
          <w:szCs w:val="18"/>
          <w:lang w:val="nl-NL"/>
        </w:rPr>
      </w:pPr>
    </w:p>
    <w:p w:rsidRPr="005725E9" w:rsidR="00CF57CC" w:rsidP="00E234BF" w:rsidRDefault="00CF57CC" w14:paraId="6330FFE7" w14:textId="77777777">
      <w:pPr>
        <w:spacing w:line="360" w:lineRule="auto"/>
        <w:jc w:val="both"/>
        <w:rPr>
          <w:rFonts w:ascii="Verdana" w:hAnsi="Verdana" w:cstheme="minorHAnsi"/>
          <w:sz w:val="18"/>
          <w:szCs w:val="18"/>
          <w:lang w:val="nl-NL"/>
        </w:rPr>
      </w:pPr>
    </w:p>
    <w:p w:rsidRPr="005725E9" w:rsidR="00CF57CC" w:rsidP="00E234BF" w:rsidRDefault="00CF57CC" w14:paraId="5779A2E1" w14:textId="14CEEADD">
      <w:pPr>
        <w:spacing w:line="360" w:lineRule="auto"/>
        <w:jc w:val="both"/>
        <w:rPr>
          <w:rFonts w:ascii="Verdana" w:hAnsi="Verdana" w:cstheme="minorHAnsi"/>
          <w:sz w:val="18"/>
          <w:szCs w:val="18"/>
          <w:lang w:val="nl-NL"/>
        </w:rPr>
      </w:pPr>
      <w:r w:rsidRPr="005725E9">
        <w:rPr>
          <w:rFonts w:ascii="Verdana" w:hAnsi="Verdana" w:cstheme="minorHAnsi"/>
          <w:sz w:val="18"/>
          <w:szCs w:val="18"/>
          <w:lang w:val="nl-NL"/>
        </w:rPr>
        <w:t>De Minister van Buitenlandse Zaken,</w:t>
      </w:r>
    </w:p>
    <w:p w:rsidRPr="005725E9" w:rsidR="00B06701" w:rsidP="00E234BF" w:rsidRDefault="00B06701" w14:paraId="342E1766" w14:textId="77777777">
      <w:pPr>
        <w:jc w:val="both"/>
        <w:rPr>
          <w:rFonts w:ascii="Verdana" w:hAnsi="Verdana"/>
          <w:sz w:val="18"/>
          <w:szCs w:val="18"/>
          <w:lang w:val="nl-NL"/>
        </w:rPr>
      </w:pPr>
    </w:p>
    <w:sectPr w:rsidRPr="005725E9" w:rsidR="00B06701"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18CA9" w14:textId="77777777" w:rsidR="00E45AD9" w:rsidRDefault="00E45AD9" w:rsidP="00DB6B56">
      <w:pPr>
        <w:spacing w:after="0" w:line="240" w:lineRule="auto"/>
      </w:pPr>
      <w:r>
        <w:separator/>
      </w:r>
    </w:p>
  </w:endnote>
  <w:endnote w:type="continuationSeparator" w:id="0">
    <w:p w14:paraId="059259F6" w14:textId="77777777" w:rsidR="00E45AD9" w:rsidRDefault="00E45AD9" w:rsidP="00DB6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7570F" w14:textId="77777777" w:rsidR="00E45AD9" w:rsidRDefault="00E45AD9" w:rsidP="00DB6B56">
      <w:pPr>
        <w:spacing w:after="0" w:line="240" w:lineRule="auto"/>
      </w:pPr>
      <w:r>
        <w:separator/>
      </w:r>
    </w:p>
  </w:footnote>
  <w:footnote w:type="continuationSeparator" w:id="0">
    <w:p w14:paraId="1A8B2047" w14:textId="77777777" w:rsidR="00E45AD9" w:rsidRDefault="00E45AD9" w:rsidP="00DB6B56">
      <w:pPr>
        <w:spacing w:after="0" w:line="240" w:lineRule="auto"/>
      </w:pPr>
      <w:r>
        <w:continuationSeparator/>
      </w:r>
    </w:p>
  </w:footnote>
  <w:footnote w:id="1">
    <w:p w14:paraId="14E711C7" w14:textId="144A9E9D" w:rsidR="00AE1EB4" w:rsidRPr="00D645B2" w:rsidRDefault="00AE1EB4" w:rsidP="00AE1EB4">
      <w:pPr>
        <w:pStyle w:val="Voetnoottekst"/>
        <w:rPr>
          <w:sz w:val="16"/>
          <w:szCs w:val="16"/>
        </w:rPr>
      </w:pPr>
      <w:r w:rsidRPr="00D645B2">
        <w:rPr>
          <w:rStyle w:val="Voetnootmarkering"/>
          <w:sz w:val="16"/>
          <w:szCs w:val="16"/>
        </w:rPr>
        <w:footnoteRef/>
      </w:r>
      <w:r w:rsidRPr="00D645B2">
        <w:rPr>
          <w:sz w:val="16"/>
          <w:szCs w:val="16"/>
        </w:rPr>
        <w:t xml:space="preserve"> </w:t>
      </w:r>
      <w:r w:rsidRPr="00D645B2">
        <w:rPr>
          <w:rFonts w:cstheme="minorHAnsi"/>
          <w:sz w:val="16"/>
          <w:szCs w:val="16"/>
        </w:rPr>
        <w:t>De goederen worden bij vertrek geladen in een degelijk afgesloten ruimte, die op grond van bijlagen 2 en 7 van de TIR-Overeenkomst aan strenge eisen dient te voldoen. Vervolgens vind</w:t>
      </w:r>
      <w:r w:rsidR="00D75647" w:rsidRPr="00D645B2">
        <w:rPr>
          <w:rFonts w:cstheme="minorHAnsi"/>
          <w:sz w:val="16"/>
          <w:szCs w:val="16"/>
        </w:rPr>
        <w:t>en</w:t>
      </w:r>
      <w:r w:rsidRPr="00D645B2">
        <w:rPr>
          <w:rFonts w:cstheme="minorHAnsi"/>
          <w:sz w:val="16"/>
          <w:szCs w:val="16"/>
        </w:rPr>
        <w:t xml:space="preserve"> er bij grensoverschrijdingen tussen aangesloten staten in principe geen controles op goederen meer plaats. De grensformaliteiten zijn beperkt tot het geldig maken van nieuwe bladen van het </w:t>
      </w:r>
      <w:r w:rsidR="006D106E" w:rsidRPr="00D645B2">
        <w:rPr>
          <w:rFonts w:cstheme="minorHAnsi"/>
          <w:sz w:val="16"/>
          <w:szCs w:val="16"/>
        </w:rPr>
        <w:t>C</w:t>
      </w:r>
      <w:r w:rsidRPr="00D645B2">
        <w:rPr>
          <w:rFonts w:cstheme="minorHAnsi"/>
          <w:sz w:val="16"/>
          <w:szCs w:val="16"/>
        </w:rPr>
        <w:t>arnet</w:t>
      </w:r>
      <w:r w:rsidR="00874D7C" w:rsidRPr="00D645B2">
        <w:rPr>
          <w:rFonts w:cstheme="minorHAnsi"/>
          <w:sz w:val="16"/>
          <w:szCs w:val="16"/>
        </w:rPr>
        <w:t xml:space="preserve"> </w:t>
      </w:r>
      <w:r w:rsidR="006D106E" w:rsidRPr="00D645B2">
        <w:rPr>
          <w:rFonts w:cstheme="minorHAnsi"/>
          <w:sz w:val="16"/>
          <w:szCs w:val="16"/>
        </w:rPr>
        <w:t>TIR</w:t>
      </w:r>
      <w:r w:rsidRPr="00D645B2">
        <w:rPr>
          <w:rFonts w:cstheme="minorHAnsi"/>
          <w:sz w:val="16"/>
          <w:szCs w:val="16"/>
        </w:rPr>
        <w:t>.</w:t>
      </w:r>
    </w:p>
  </w:footnote>
  <w:footnote w:id="2">
    <w:p w14:paraId="58FE6179" w14:textId="77777777" w:rsidR="00947E6B" w:rsidRPr="003C46B6" w:rsidRDefault="00947E6B" w:rsidP="00947E6B">
      <w:pPr>
        <w:pStyle w:val="Voetnoottekst"/>
        <w:rPr>
          <w:sz w:val="16"/>
          <w:szCs w:val="16"/>
        </w:rPr>
      </w:pPr>
      <w:r w:rsidRPr="003C46B6">
        <w:rPr>
          <w:rStyle w:val="Voetnootmarkering"/>
          <w:sz w:val="16"/>
          <w:szCs w:val="16"/>
        </w:rPr>
        <w:footnoteRef/>
      </w:r>
      <w:r w:rsidRPr="003C46B6">
        <w:rPr>
          <w:sz w:val="16"/>
          <w:szCs w:val="16"/>
        </w:rPr>
        <w:t xml:space="preserve"> Artikel 52, derde lid van de TIR-Overeenkomst bepaalt dat douane-unies </w:t>
      </w:r>
      <w:r>
        <w:rPr>
          <w:sz w:val="16"/>
          <w:szCs w:val="16"/>
        </w:rPr>
        <w:t>en</w:t>
      </w:r>
      <w:r w:rsidRPr="003C46B6">
        <w:rPr>
          <w:sz w:val="16"/>
          <w:szCs w:val="16"/>
        </w:rPr>
        <w:t xml:space="preserve"> economische unies eveneens partij </w:t>
      </w:r>
      <w:r>
        <w:rPr>
          <w:sz w:val="16"/>
          <w:szCs w:val="16"/>
        </w:rPr>
        <w:t xml:space="preserve">kunnen </w:t>
      </w:r>
      <w:r w:rsidRPr="003C46B6">
        <w:rPr>
          <w:sz w:val="16"/>
          <w:szCs w:val="16"/>
        </w:rPr>
        <w:t xml:space="preserve">worden bij de TIR-Overeenkomst tegelijk met al hun lidstaten of te allen tijde nadat al hun lidstaten </w:t>
      </w:r>
      <w:r>
        <w:rPr>
          <w:sz w:val="16"/>
          <w:szCs w:val="16"/>
        </w:rPr>
        <w:t>p</w:t>
      </w:r>
      <w:r w:rsidRPr="003C46B6">
        <w:rPr>
          <w:sz w:val="16"/>
          <w:szCs w:val="16"/>
        </w:rPr>
        <w:t>artij zijn geworden bij deze Overeenkomst. Deze unies hebben evenwel geen stemrecht.</w:t>
      </w:r>
    </w:p>
  </w:footnote>
  <w:footnote w:id="3">
    <w:p w14:paraId="2C96471F" w14:textId="6C71BB78" w:rsidR="006D106E" w:rsidRPr="00D645B2" w:rsidRDefault="006D106E" w:rsidP="006D106E">
      <w:pPr>
        <w:pStyle w:val="Voetnoottekst"/>
        <w:rPr>
          <w:sz w:val="16"/>
          <w:szCs w:val="16"/>
        </w:rPr>
      </w:pPr>
      <w:r w:rsidRPr="00D645B2">
        <w:rPr>
          <w:rStyle w:val="Voetnootmarkering"/>
          <w:sz w:val="16"/>
          <w:szCs w:val="16"/>
        </w:rPr>
        <w:footnoteRef/>
      </w:r>
      <w:r w:rsidRPr="00D645B2">
        <w:rPr>
          <w:sz w:val="16"/>
          <w:szCs w:val="16"/>
        </w:rPr>
        <w:t xml:space="preserve"> </w:t>
      </w:r>
      <w:r w:rsidR="00AA6950" w:rsidRPr="00D645B2">
        <w:rPr>
          <w:sz w:val="16"/>
          <w:szCs w:val="16"/>
        </w:rPr>
        <w:t xml:space="preserve">Kamerstukken </w:t>
      </w:r>
      <w:r w:rsidR="00874D7C" w:rsidRPr="00D645B2">
        <w:rPr>
          <w:sz w:val="16"/>
          <w:szCs w:val="16"/>
        </w:rPr>
        <w:t xml:space="preserve">II </w:t>
      </w:r>
      <w:r w:rsidR="00AA6950" w:rsidRPr="00D645B2">
        <w:rPr>
          <w:sz w:val="16"/>
          <w:szCs w:val="16"/>
        </w:rPr>
        <w:t>1977</w:t>
      </w:r>
      <w:r w:rsidR="00874D7C" w:rsidRPr="00D645B2">
        <w:rPr>
          <w:sz w:val="16"/>
          <w:szCs w:val="16"/>
        </w:rPr>
        <w:t>/</w:t>
      </w:r>
      <w:r w:rsidR="00AA6950" w:rsidRPr="00D645B2">
        <w:rPr>
          <w:sz w:val="16"/>
          <w:szCs w:val="16"/>
        </w:rPr>
        <w:t xml:space="preserve">78, </w:t>
      </w:r>
      <w:r w:rsidRPr="00D645B2">
        <w:rPr>
          <w:sz w:val="16"/>
          <w:szCs w:val="16"/>
        </w:rPr>
        <w:t>15 124 (R 1103)</w:t>
      </w:r>
      <w:r w:rsidR="00AA6950" w:rsidRPr="00D645B2">
        <w:rPr>
          <w:sz w:val="16"/>
          <w:szCs w:val="16"/>
        </w:rPr>
        <w:t xml:space="preserve">, </w:t>
      </w:r>
      <w:r w:rsidR="00874D7C" w:rsidRPr="00D645B2">
        <w:rPr>
          <w:sz w:val="16"/>
          <w:szCs w:val="16"/>
        </w:rPr>
        <w:t>n</w:t>
      </w:r>
      <w:r w:rsidRPr="00D645B2">
        <w:rPr>
          <w:sz w:val="16"/>
          <w:szCs w:val="16"/>
        </w:rPr>
        <w:t>r. 1</w:t>
      </w:r>
      <w:r w:rsidR="00874D7C" w:rsidRPr="00D645B2">
        <w:rPr>
          <w:sz w:val="16"/>
          <w:szCs w:val="16"/>
        </w:rPr>
        <w:t>.</w:t>
      </w:r>
      <w:r w:rsidRPr="00D645B2">
        <w:rPr>
          <w:sz w:val="16"/>
          <w:szCs w:val="16"/>
        </w:rPr>
        <w:t xml:space="preserve"> </w:t>
      </w:r>
    </w:p>
  </w:footnote>
  <w:footnote w:id="4">
    <w:p w14:paraId="78B2DC9F" w14:textId="77777777" w:rsidR="006D106E" w:rsidRPr="00D645B2" w:rsidRDefault="006D106E" w:rsidP="006D106E">
      <w:pPr>
        <w:pStyle w:val="Voetnoottekst"/>
        <w:rPr>
          <w:sz w:val="16"/>
          <w:szCs w:val="16"/>
        </w:rPr>
      </w:pPr>
      <w:r w:rsidRPr="00D645B2">
        <w:rPr>
          <w:rStyle w:val="Voetnootmarkering"/>
          <w:sz w:val="16"/>
          <w:szCs w:val="16"/>
        </w:rPr>
        <w:footnoteRef/>
      </w:r>
      <w:r w:rsidRPr="00D645B2">
        <w:rPr>
          <w:sz w:val="16"/>
          <w:szCs w:val="16"/>
        </w:rPr>
        <w:t xml:space="preserve"> https://verdragenbank.overheid.nl/nl/Verdrag/Details/002114#Koninkrijk</w:t>
      </w:r>
    </w:p>
  </w:footnote>
  <w:footnote w:id="5">
    <w:p w14:paraId="78ECA3FE" w14:textId="14B95041" w:rsidR="00D645B2" w:rsidRPr="00E234BF" w:rsidRDefault="00D645B2">
      <w:pPr>
        <w:pStyle w:val="Voetnoottekst"/>
        <w:rPr>
          <w:sz w:val="16"/>
          <w:szCs w:val="16"/>
        </w:rPr>
      </w:pPr>
      <w:r w:rsidRPr="00E234BF">
        <w:rPr>
          <w:rStyle w:val="Voetnootmarkering"/>
          <w:sz w:val="16"/>
          <w:szCs w:val="16"/>
        </w:rPr>
        <w:footnoteRef/>
      </w:r>
      <w:r w:rsidRPr="00E234BF">
        <w:rPr>
          <w:sz w:val="16"/>
          <w:szCs w:val="16"/>
        </w:rPr>
        <w:t xml:space="preserve"> Zie Kamerstukdossiers </w:t>
      </w:r>
      <w:r w:rsidRPr="0035776F">
        <w:rPr>
          <w:sz w:val="16"/>
          <w:szCs w:val="16"/>
        </w:rPr>
        <w:t>35023 (R2107)</w:t>
      </w:r>
      <w:r w:rsidRPr="00E234BF">
        <w:rPr>
          <w:sz w:val="16"/>
          <w:szCs w:val="16"/>
        </w:rPr>
        <w:t>, 35846 (R2155) en</w:t>
      </w:r>
      <w:r>
        <w:rPr>
          <w:sz w:val="16"/>
          <w:szCs w:val="16"/>
        </w:rPr>
        <w:t xml:space="preserve"> </w:t>
      </w:r>
      <w:r w:rsidRPr="0035776F">
        <w:rPr>
          <w:sz w:val="16"/>
          <w:szCs w:val="16"/>
        </w:rPr>
        <w:t>36039 (R2163)</w:t>
      </w:r>
      <w:r w:rsidRPr="00E234BF">
        <w:rPr>
          <w:sz w:val="16"/>
          <w:szCs w:val="16"/>
        </w:rPr>
        <w:t>.</w:t>
      </w:r>
    </w:p>
  </w:footnote>
  <w:footnote w:id="6">
    <w:p w14:paraId="0B165CCE" w14:textId="7C44EDC7" w:rsidR="00415414" w:rsidRPr="00D645B2" w:rsidRDefault="00415414">
      <w:pPr>
        <w:pStyle w:val="Voetnoottekst"/>
        <w:rPr>
          <w:sz w:val="16"/>
          <w:szCs w:val="16"/>
        </w:rPr>
      </w:pPr>
      <w:r w:rsidRPr="00D645B2">
        <w:rPr>
          <w:rStyle w:val="Voetnootmarkering"/>
          <w:sz w:val="16"/>
          <w:szCs w:val="16"/>
        </w:rPr>
        <w:footnoteRef/>
      </w:r>
      <w:r w:rsidRPr="00D645B2">
        <w:rPr>
          <w:sz w:val="16"/>
          <w:szCs w:val="16"/>
        </w:rPr>
        <w:t xml:space="preserve"> </w:t>
      </w:r>
      <w:r w:rsidR="00EC7135">
        <w:rPr>
          <w:sz w:val="16"/>
          <w:szCs w:val="16"/>
        </w:rPr>
        <w:t>De TIR-Overeenkomst</w:t>
      </w:r>
      <w:r w:rsidRPr="00D645B2">
        <w:rPr>
          <w:sz w:val="16"/>
          <w:szCs w:val="16"/>
        </w:rPr>
        <w:t xml:space="preserve"> kent een bezwaarprocedure. Wanneer een overeenkomstsluitende partij binnen de gestelde bezwaartermijn bezwaar maakt tegen een voorgestelde verdragswijziging, treedt de verdragswijziging niet in werking.</w:t>
      </w:r>
      <w:r w:rsidR="00EC7135">
        <w:rPr>
          <w:sz w:val="16"/>
          <w:szCs w:val="16"/>
        </w:rPr>
        <w:t xml:space="preserve"> Zie artikel 59 van de TIR-overeenkomst.</w:t>
      </w:r>
    </w:p>
  </w:footnote>
  <w:footnote w:id="7">
    <w:p w14:paraId="2829F027" w14:textId="46C1FEA2" w:rsidR="009D2CF1" w:rsidRPr="00AD15B0" w:rsidRDefault="009D2CF1">
      <w:pPr>
        <w:pStyle w:val="Voetnoottekst"/>
        <w:rPr>
          <w:sz w:val="16"/>
          <w:szCs w:val="16"/>
        </w:rPr>
      </w:pPr>
      <w:r w:rsidRPr="00682C55">
        <w:rPr>
          <w:rStyle w:val="Voetnootmarkering"/>
          <w:sz w:val="16"/>
          <w:szCs w:val="16"/>
        </w:rPr>
        <w:footnoteRef/>
      </w:r>
      <w:r w:rsidRPr="00682C55">
        <w:rPr>
          <w:sz w:val="16"/>
          <w:szCs w:val="16"/>
        </w:rPr>
        <w:t xml:space="preserve"> Deze douaneprocedure waarbij goederen onder zogeheten douanetoezicht worden vervoerd heet de regeling douanevervoer.</w:t>
      </w:r>
      <w:r w:rsidR="007F1D26" w:rsidRPr="00682C55">
        <w:rPr>
          <w:sz w:val="16"/>
          <w:szCs w:val="16"/>
        </w:rPr>
        <w:t xml:space="preserve"> TIR valt ook onder de regeling douanevervoer; met één aangifte kunnen goederen worden vervoerd tussen de Europese Unie en derde landen als deze derde landen zijn aangesloten bij de regeling douanevervoer. Zie </w:t>
      </w:r>
      <w:r w:rsidR="007F1D26" w:rsidRPr="00AD15B0">
        <w:rPr>
          <w:sz w:val="16"/>
          <w:szCs w:val="16"/>
        </w:rPr>
        <w:t>TAXUD/A1/TRA/005/2020-NL.</w:t>
      </w:r>
      <w:r w:rsidR="007F1D26" w:rsidRPr="00682C55">
        <w:rPr>
          <w:sz w:val="16"/>
          <w:szCs w:val="16"/>
        </w:rPr>
        <w:t xml:space="preserve"> Deze regeling wordt niet toegepast </w:t>
      </w:r>
      <w:r w:rsidR="00FF6BCB">
        <w:rPr>
          <w:sz w:val="16"/>
          <w:szCs w:val="16"/>
        </w:rPr>
        <w:t xml:space="preserve">in het Caribische deel </w:t>
      </w:r>
      <w:r w:rsidR="009C5717">
        <w:rPr>
          <w:sz w:val="16"/>
          <w:szCs w:val="16"/>
        </w:rPr>
        <w:t>van</w:t>
      </w:r>
      <w:r w:rsidR="00FF6BCB">
        <w:rPr>
          <w:sz w:val="16"/>
          <w:szCs w:val="16"/>
        </w:rPr>
        <w:t xml:space="preserve"> het Koninkrijk</w:t>
      </w:r>
      <w:r w:rsidR="007F1D26" w:rsidRPr="00682C55">
        <w:rPr>
          <w:sz w:val="16"/>
          <w:szCs w:val="16"/>
        </w:rPr>
        <w:t>.</w:t>
      </w:r>
    </w:p>
  </w:footnote>
  <w:footnote w:id="8">
    <w:p w14:paraId="3CFD8270" w14:textId="77777777" w:rsidR="006C62C3" w:rsidRPr="00D645B2" w:rsidRDefault="006C62C3" w:rsidP="006C62C3">
      <w:pPr>
        <w:pStyle w:val="Voetnoottekst"/>
        <w:rPr>
          <w:sz w:val="16"/>
          <w:szCs w:val="16"/>
        </w:rPr>
      </w:pPr>
      <w:r w:rsidRPr="00D645B2">
        <w:rPr>
          <w:rStyle w:val="Voetnootmarkering"/>
          <w:sz w:val="16"/>
          <w:szCs w:val="16"/>
        </w:rPr>
        <w:footnoteRef/>
      </w:r>
      <w:r w:rsidRPr="00D645B2">
        <w:rPr>
          <w:sz w:val="16"/>
          <w:szCs w:val="16"/>
        </w:rPr>
        <w:t xml:space="preserve"> Carnets TIR worden uitgegeven onder de verantwoordelijkheid van de organisaties die zich garant hebben gesteld voor het correct gebruik van de TIR-regeling. In Nederland (het Europese deel) zijn dit samen Transport en Logistiek Nederland (TLN) en de Nationale en Internationale Wegvervoer Organisatie (NIWO). In Nederland (het Europese deel) wordt de TIR-Overeenkomst toegepast bij het douanevervoer dat begint of eindigt buiten de EU.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3C7FB7"/>
    <w:multiLevelType w:val="hybridMultilevel"/>
    <w:tmpl w:val="893092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B56"/>
    <w:rsid w:val="00017D21"/>
    <w:rsid w:val="00057E25"/>
    <w:rsid w:val="0009550C"/>
    <w:rsid w:val="000B0845"/>
    <w:rsid w:val="000C2930"/>
    <w:rsid w:val="000D066D"/>
    <w:rsid w:val="000D4A54"/>
    <w:rsid w:val="000E4215"/>
    <w:rsid w:val="000F339D"/>
    <w:rsid w:val="00113A12"/>
    <w:rsid w:val="0012750D"/>
    <w:rsid w:val="001644DC"/>
    <w:rsid w:val="00177F26"/>
    <w:rsid w:val="001B61B4"/>
    <w:rsid w:val="001B66DD"/>
    <w:rsid w:val="001D4C06"/>
    <w:rsid w:val="001E6A24"/>
    <w:rsid w:val="001F5B79"/>
    <w:rsid w:val="00210F94"/>
    <w:rsid w:val="0025065A"/>
    <w:rsid w:val="0027468B"/>
    <w:rsid w:val="00280A03"/>
    <w:rsid w:val="002E7129"/>
    <w:rsid w:val="002F4844"/>
    <w:rsid w:val="003027D0"/>
    <w:rsid w:val="00307C3C"/>
    <w:rsid w:val="003208CC"/>
    <w:rsid w:val="00322ADB"/>
    <w:rsid w:val="003B6EFC"/>
    <w:rsid w:val="003E68C0"/>
    <w:rsid w:val="00415414"/>
    <w:rsid w:val="004233D2"/>
    <w:rsid w:val="00432A3A"/>
    <w:rsid w:val="0044754A"/>
    <w:rsid w:val="00474C05"/>
    <w:rsid w:val="00493BDC"/>
    <w:rsid w:val="004A1DDA"/>
    <w:rsid w:val="00501D24"/>
    <w:rsid w:val="00507467"/>
    <w:rsid w:val="00510FD4"/>
    <w:rsid w:val="00540AF4"/>
    <w:rsid w:val="00560D14"/>
    <w:rsid w:val="005725E9"/>
    <w:rsid w:val="00594B24"/>
    <w:rsid w:val="005A0E90"/>
    <w:rsid w:val="005B36A9"/>
    <w:rsid w:val="005C2E05"/>
    <w:rsid w:val="005E0B5F"/>
    <w:rsid w:val="00636A07"/>
    <w:rsid w:val="006400FA"/>
    <w:rsid w:val="00654E92"/>
    <w:rsid w:val="00666080"/>
    <w:rsid w:val="00682C55"/>
    <w:rsid w:val="00684489"/>
    <w:rsid w:val="0069781D"/>
    <w:rsid w:val="006C62C3"/>
    <w:rsid w:val="006D106E"/>
    <w:rsid w:val="006D173F"/>
    <w:rsid w:val="00714786"/>
    <w:rsid w:val="0071765C"/>
    <w:rsid w:val="007210ED"/>
    <w:rsid w:val="007A62B6"/>
    <w:rsid w:val="007B252B"/>
    <w:rsid w:val="007E793E"/>
    <w:rsid w:val="007F1D26"/>
    <w:rsid w:val="008126A9"/>
    <w:rsid w:val="00815531"/>
    <w:rsid w:val="0082772A"/>
    <w:rsid w:val="0083012E"/>
    <w:rsid w:val="008525CD"/>
    <w:rsid w:val="00874D7C"/>
    <w:rsid w:val="008975BA"/>
    <w:rsid w:val="008A1A7B"/>
    <w:rsid w:val="008C55D3"/>
    <w:rsid w:val="008C5C54"/>
    <w:rsid w:val="008C7488"/>
    <w:rsid w:val="0092108A"/>
    <w:rsid w:val="00921282"/>
    <w:rsid w:val="00947E6B"/>
    <w:rsid w:val="009915E2"/>
    <w:rsid w:val="0099507D"/>
    <w:rsid w:val="009A09C6"/>
    <w:rsid w:val="009A7C88"/>
    <w:rsid w:val="009A7F5E"/>
    <w:rsid w:val="009B6EA2"/>
    <w:rsid w:val="009C5717"/>
    <w:rsid w:val="009D2CF1"/>
    <w:rsid w:val="009E62F1"/>
    <w:rsid w:val="00A017FD"/>
    <w:rsid w:val="00A50593"/>
    <w:rsid w:val="00A744E9"/>
    <w:rsid w:val="00A751EE"/>
    <w:rsid w:val="00A815BF"/>
    <w:rsid w:val="00AA620D"/>
    <w:rsid w:val="00AA6950"/>
    <w:rsid w:val="00AA6BA3"/>
    <w:rsid w:val="00AD15B0"/>
    <w:rsid w:val="00AE1EB4"/>
    <w:rsid w:val="00B027A8"/>
    <w:rsid w:val="00B05CD4"/>
    <w:rsid w:val="00B06701"/>
    <w:rsid w:val="00B41A0D"/>
    <w:rsid w:val="00B74CE4"/>
    <w:rsid w:val="00B77F8B"/>
    <w:rsid w:val="00BC714F"/>
    <w:rsid w:val="00BD122B"/>
    <w:rsid w:val="00BF49D3"/>
    <w:rsid w:val="00C21798"/>
    <w:rsid w:val="00C47C18"/>
    <w:rsid w:val="00C53A28"/>
    <w:rsid w:val="00CC59CD"/>
    <w:rsid w:val="00CD30D7"/>
    <w:rsid w:val="00CE3188"/>
    <w:rsid w:val="00CE6733"/>
    <w:rsid w:val="00CF311B"/>
    <w:rsid w:val="00CF57CC"/>
    <w:rsid w:val="00CF5D6C"/>
    <w:rsid w:val="00D3138C"/>
    <w:rsid w:val="00D31EF1"/>
    <w:rsid w:val="00D57166"/>
    <w:rsid w:val="00D61186"/>
    <w:rsid w:val="00D63EF2"/>
    <w:rsid w:val="00D645B2"/>
    <w:rsid w:val="00D75647"/>
    <w:rsid w:val="00D87465"/>
    <w:rsid w:val="00DA7202"/>
    <w:rsid w:val="00DB6B56"/>
    <w:rsid w:val="00DD08B1"/>
    <w:rsid w:val="00DE0DC2"/>
    <w:rsid w:val="00E001D6"/>
    <w:rsid w:val="00E144C0"/>
    <w:rsid w:val="00E234BF"/>
    <w:rsid w:val="00E24B75"/>
    <w:rsid w:val="00E36AB3"/>
    <w:rsid w:val="00E45AD9"/>
    <w:rsid w:val="00E5116B"/>
    <w:rsid w:val="00E66099"/>
    <w:rsid w:val="00E66878"/>
    <w:rsid w:val="00E71746"/>
    <w:rsid w:val="00E92B87"/>
    <w:rsid w:val="00E93B3B"/>
    <w:rsid w:val="00EB5F77"/>
    <w:rsid w:val="00EC7135"/>
    <w:rsid w:val="00ED169E"/>
    <w:rsid w:val="00F029CD"/>
    <w:rsid w:val="00F176EA"/>
    <w:rsid w:val="00F533DC"/>
    <w:rsid w:val="00F62C28"/>
    <w:rsid w:val="00F800F8"/>
    <w:rsid w:val="00F82D0D"/>
    <w:rsid w:val="00FC0081"/>
    <w:rsid w:val="00FF6BCB"/>
    <w:rsid w:val="00FF7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5146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6B56"/>
    <w:rPr>
      <w:rFonts w:asciiTheme="minorHAnsi" w:hAnsiTheme="minorHAns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DB6B56"/>
    <w:rPr>
      <w:sz w:val="16"/>
      <w:szCs w:val="16"/>
    </w:rPr>
  </w:style>
  <w:style w:type="paragraph" w:styleId="Tekstopmerking">
    <w:name w:val="annotation text"/>
    <w:basedOn w:val="Standaard"/>
    <w:link w:val="TekstopmerkingChar"/>
    <w:uiPriority w:val="99"/>
    <w:semiHidden/>
    <w:unhideWhenUsed/>
    <w:rsid w:val="00DB6B5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B6B56"/>
    <w:rPr>
      <w:rFonts w:asciiTheme="minorHAnsi" w:hAnsiTheme="minorHAnsi"/>
      <w:sz w:val="20"/>
      <w:szCs w:val="20"/>
    </w:rPr>
  </w:style>
  <w:style w:type="character" w:styleId="Hyperlink">
    <w:name w:val="Hyperlink"/>
    <w:basedOn w:val="Standaardalinea-lettertype"/>
    <w:uiPriority w:val="99"/>
    <w:unhideWhenUsed/>
    <w:rsid w:val="00DB6B56"/>
    <w:rPr>
      <w:color w:val="0563C1" w:themeColor="hyperlink"/>
      <w:u w:val="single"/>
    </w:rPr>
  </w:style>
  <w:style w:type="paragraph" w:styleId="Voetnoottekst">
    <w:name w:val="footnote text"/>
    <w:basedOn w:val="Standaard"/>
    <w:link w:val="VoetnoottekstChar"/>
    <w:uiPriority w:val="99"/>
    <w:semiHidden/>
    <w:unhideWhenUsed/>
    <w:rsid w:val="00CF57CC"/>
    <w:pPr>
      <w:spacing w:after="0" w:line="240" w:lineRule="auto"/>
    </w:pPr>
    <w:rPr>
      <w:rFonts w:ascii="Verdana" w:eastAsia="Times New Roman" w:hAnsi="Verdana" w:cs="Times New Roman"/>
      <w:sz w:val="20"/>
      <w:szCs w:val="20"/>
      <w:lang w:val="nl-NL" w:eastAsia="nl-NL"/>
    </w:rPr>
  </w:style>
  <w:style w:type="character" w:customStyle="1" w:styleId="VoetnoottekstChar">
    <w:name w:val="Voetnoottekst Char"/>
    <w:basedOn w:val="Standaardalinea-lettertype"/>
    <w:link w:val="Voetnoottekst"/>
    <w:uiPriority w:val="99"/>
    <w:semiHidden/>
    <w:rsid w:val="00CF57CC"/>
    <w:rPr>
      <w:rFonts w:eastAsia="Times New Roman" w:cs="Times New Roman"/>
      <w:sz w:val="20"/>
      <w:szCs w:val="20"/>
      <w:lang w:val="nl-NL" w:eastAsia="nl-NL"/>
    </w:rPr>
  </w:style>
  <w:style w:type="paragraph" w:customStyle="1" w:styleId="Default">
    <w:name w:val="Default"/>
    <w:rsid w:val="00CF57CC"/>
    <w:pPr>
      <w:autoSpaceDE w:val="0"/>
      <w:autoSpaceDN w:val="0"/>
      <w:adjustRightInd w:val="0"/>
      <w:spacing w:after="0" w:line="240" w:lineRule="auto"/>
    </w:pPr>
    <w:rPr>
      <w:rFonts w:ascii="Times New Roman" w:hAnsi="Times New Roman" w:cs="Times New Roman"/>
      <w:color w:val="000000"/>
      <w:sz w:val="24"/>
      <w:szCs w:val="24"/>
      <w:lang w:val="nl-NL"/>
    </w:rPr>
  </w:style>
  <w:style w:type="character" w:styleId="Voetnootmarkering">
    <w:name w:val="footnote reference"/>
    <w:basedOn w:val="Standaardalinea-lettertype"/>
    <w:uiPriority w:val="99"/>
    <w:semiHidden/>
    <w:unhideWhenUsed/>
    <w:rsid w:val="00CF57CC"/>
    <w:rPr>
      <w:vertAlign w:val="superscript"/>
    </w:rPr>
  </w:style>
  <w:style w:type="character" w:styleId="Onopgelostemelding">
    <w:name w:val="Unresolved Mention"/>
    <w:basedOn w:val="Standaardalinea-lettertype"/>
    <w:uiPriority w:val="99"/>
    <w:semiHidden/>
    <w:unhideWhenUsed/>
    <w:rsid w:val="005B36A9"/>
    <w:rPr>
      <w:color w:val="605E5C"/>
      <w:shd w:val="clear" w:color="auto" w:fill="E1DFDD"/>
    </w:rPr>
  </w:style>
  <w:style w:type="character" w:styleId="GevolgdeHyperlink">
    <w:name w:val="FollowedHyperlink"/>
    <w:basedOn w:val="Standaardalinea-lettertype"/>
    <w:uiPriority w:val="99"/>
    <w:semiHidden/>
    <w:unhideWhenUsed/>
    <w:rsid w:val="005B36A9"/>
    <w:rPr>
      <w:color w:val="954F72"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0F339D"/>
    <w:rPr>
      <w:b/>
      <w:bCs/>
    </w:rPr>
  </w:style>
  <w:style w:type="character" w:customStyle="1" w:styleId="OnderwerpvanopmerkingChar">
    <w:name w:val="Onderwerp van opmerking Char"/>
    <w:basedOn w:val="TekstopmerkingChar"/>
    <w:link w:val="Onderwerpvanopmerking"/>
    <w:uiPriority w:val="99"/>
    <w:semiHidden/>
    <w:rsid w:val="000F339D"/>
    <w:rPr>
      <w:rFonts w:asciiTheme="minorHAnsi" w:hAnsiTheme="minorHAnsi"/>
      <w:b/>
      <w:bCs/>
      <w:sz w:val="20"/>
      <w:szCs w:val="20"/>
    </w:rPr>
  </w:style>
  <w:style w:type="paragraph" w:styleId="Revisie">
    <w:name w:val="Revision"/>
    <w:hidden/>
    <w:uiPriority w:val="99"/>
    <w:semiHidden/>
    <w:rsid w:val="00415414"/>
    <w:pPr>
      <w:spacing w:after="0" w:line="240" w:lineRule="auto"/>
    </w:pPr>
    <w:rPr>
      <w:rFonts w:asciiTheme="minorHAnsi" w:hAnsiTheme="minorHAnsi"/>
      <w:sz w:val="22"/>
    </w:rPr>
  </w:style>
  <w:style w:type="paragraph" w:styleId="Eindnoottekst">
    <w:name w:val="endnote text"/>
    <w:basedOn w:val="Standaard"/>
    <w:link w:val="EindnoottekstChar"/>
    <w:uiPriority w:val="99"/>
    <w:semiHidden/>
    <w:unhideWhenUsed/>
    <w:rsid w:val="001B66DD"/>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1B66DD"/>
    <w:rPr>
      <w:rFonts w:asciiTheme="minorHAnsi" w:hAnsiTheme="minorHAnsi"/>
      <w:sz w:val="20"/>
      <w:szCs w:val="20"/>
    </w:rPr>
  </w:style>
  <w:style w:type="character" w:styleId="Eindnootmarkering">
    <w:name w:val="endnote reference"/>
    <w:basedOn w:val="Standaardalinea-lettertype"/>
    <w:uiPriority w:val="99"/>
    <w:semiHidden/>
    <w:unhideWhenUsed/>
    <w:rsid w:val="001B66DD"/>
    <w:rPr>
      <w:vertAlign w:val="superscript"/>
    </w:rPr>
  </w:style>
  <w:style w:type="paragraph" w:styleId="Koptekst">
    <w:name w:val="header"/>
    <w:basedOn w:val="Standaard"/>
    <w:link w:val="KoptekstChar"/>
    <w:uiPriority w:val="99"/>
    <w:unhideWhenUsed/>
    <w:rsid w:val="008126A9"/>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8126A9"/>
    <w:rPr>
      <w:rFonts w:asciiTheme="minorHAnsi" w:hAnsiTheme="minorHAnsi"/>
      <w:sz w:val="22"/>
    </w:rPr>
  </w:style>
  <w:style w:type="paragraph" w:styleId="Voettekst">
    <w:name w:val="footer"/>
    <w:basedOn w:val="Standaard"/>
    <w:link w:val="VoettekstChar"/>
    <w:uiPriority w:val="99"/>
    <w:unhideWhenUsed/>
    <w:rsid w:val="008126A9"/>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8126A9"/>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373887">
      <w:bodyDiv w:val="1"/>
      <w:marLeft w:val="0"/>
      <w:marRight w:val="0"/>
      <w:marTop w:val="0"/>
      <w:marBottom w:val="0"/>
      <w:divBdr>
        <w:top w:val="none" w:sz="0" w:space="0" w:color="auto"/>
        <w:left w:val="none" w:sz="0" w:space="0" w:color="auto"/>
        <w:bottom w:val="none" w:sz="0" w:space="0" w:color="auto"/>
        <w:right w:val="none" w:sz="0" w:space="0" w:color="auto"/>
      </w:divBdr>
    </w:div>
    <w:div w:id="330648497">
      <w:bodyDiv w:val="1"/>
      <w:marLeft w:val="0"/>
      <w:marRight w:val="0"/>
      <w:marTop w:val="0"/>
      <w:marBottom w:val="0"/>
      <w:divBdr>
        <w:top w:val="none" w:sz="0" w:space="0" w:color="auto"/>
        <w:left w:val="none" w:sz="0" w:space="0" w:color="auto"/>
        <w:bottom w:val="none" w:sz="0" w:space="0" w:color="auto"/>
        <w:right w:val="none" w:sz="0" w:space="0" w:color="auto"/>
      </w:divBdr>
    </w:div>
    <w:div w:id="40423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1033</ap:Words>
  <ap:Characters>5687</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2023-02-16T11:01:00.0000000Z</dcterms:created>
  <dcterms:modified xsi:type="dcterms:W3CDTF">2023-02-16T11:01:00.0000000Z</dcterms:modified>
  <version/>
  <category/>
</coreProperties>
</file>