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Aan het Presidium</w:t>
      </w: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r>
        <w:rPr>
          <w:rFonts w:ascii="Verdana" w:hAnsi="Verdana" w:eastAsia="DejaVu Sans" w:cs="Lohit Hindi"/>
          <w:color w:val="000000"/>
          <w:sz w:val="20"/>
          <w:szCs w:val="20"/>
          <w:lang w:eastAsia="nl-NL"/>
        </w:rPr>
        <w:t>Den Haag, 8</w:t>
      </w:r>
      <w:r w:rsidRPr="00972005">
        <w:rPr>
          <w:rFonts w:ascii="Verdana" w:hAnsi="Verdana" w:eastAsia="DejaVu Sans" w:cs="Lohit Hindi"/>
          <w:color w:val="000000"/>
          <w:sz w:val="20"/>
          <w:szCs w:val="20"/>
          <w:lang w:eastAsia="nl-NL"/>
        </w:rPr>
        <w:t xml:space="preserve"> maart 2023</w:t>
      </w: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tabs>
          <w:tab w:val="left" w:pos="2625"/>
        </w:tabs>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Geachte leden van het Presidium,</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In deze brief adviseert de commissie voor de Rijksuitgaven u over de opzet van </w:t>
      </w:r>
      <w:proofErr w:type="spellStart"/>
      <w:r w:rsidRPr="00972005">
        <w:rPr>
          <w:rFonts w:ascii="Verdana" w:hAnsi="Verdana" w:eastAsia="DejaVu Sans" w:cs="Lohit Hindi"/>
          <w:color w:val="000000"/>
          <w:sz w:val="20"/>
          <w:szCs w:val="20"/>
          <w:lang w:eastAsia="nl-NL"/>
        </w:rPr>
        <w:t>Verantwoordingsdag</w:t>
      </w:r>
      <w:proofErr w:type="spellEnd"/>
      <w:r w:rsidRPr="00972005">
        <w:rPr>
          <w:rFonts w:ascii="Verdana" w:hAnsi="Verdana" w:eastAsia="DejaVu Sans" w:cs="Lohit Hindi"/>
          <w:color w:val="000000"/>
          <w:sz w:val="20"/>
          <w:szCs w:val="20"/>
          <w:lang w:eastAsia="nl-NL"/>
        </w:rPr>
        <w:t xml:space="preserve"> 2023 en de behandeling van de jaarverantwoording van het Rijk over 2022. Dit is een belangrijk onderwerp in het licht van de controlerende taak van de Kamer en de uitoefening van haar budgetrecht.  </w:t>
      </w:r>
    </w:p>
    <w:p w:rsidRPr="00972005" w:rsidR="00972005" w:rsidP="00972005" w:rsidRDefault="00972005">
      <w:pPr>
        <w:tabs>
          <w:tab w:val="left" w:pos="4695"/>
        </w:tabs>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ab/>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De commissie voor de Rijksuitgaven wil de Kamer en de vaste commissies in deze taak ondersteunen. Daarom bevat deze brief een aantal voorstellen voor de voorbereiding van het Verantwoordingsdebat en voor de behandeling van de jaarverslagen in de commissies, dit laatste bij voorkeur door gebruik te maken van rapporteurs door iedere commissie, indachtig de aanbeveling van de werkgroep Versterking functies Tweede Kamer.</w:t>
      </w:r>
      <w:r w:rsidRPr="00972005">
        <w:rPr>
          <w:rFonts w:ascii="Verdana" w:hAnsi="Verdana" w:eastAsia="DejaVu Sans" w:cs="Lohit Hindi"/>
          <w:color w:val="000000"/>
          <w:sz w:val="20"/>
          <w:szCs w:val="20"/>
          <w:vertAlign w:val="superscript"/>
          <w:lang w:eastAsia="nl-NL"/>
        </w:rPr>
        <w:footnoteReference w:id="1"/>
      </w:r>
      <w:r w:rsidRPr="00972005">
        <w:rPr>
          <w:rFonts w:ascii="Verdana" w:hAnsi="Verdana" w:eastAsia="DejaVu Sans" w:cs="Lohit Hindi"/>
          <w:color w:val="000000"/>
          <w:sz w:val="20"/>
          <w:szCs w:val="20"/>
          <w:lang w:eastAsia="nl-NL"/>
        </w:rPr>
        <w:t xml:space="preserve"> Conform het gewijzigde Reglement van Orde dienen commissievoorzitters er voorts op toe te zien dat de behandelwijze van de verantwoordingsstukken, met inbegrip van de benoeming van rapporteurs, wordt vastgelegd in de kennisagenda van de commissie.</w:t>
      </w:r>
      <w:r w:rsidRPr="00972005">
        <w:rPr>
          <w:rFonts w:ascii="Verdana" w:hAnsi="Verdana" w:eastAsia="DejaVu Sans" w:cs="Lohit Hindi"/>
          <w:color w:val="000000"/>
          <w:sz w:val="20"/>
          <w:szCs w:val="20"/>
          <w:vertAlign w:val="superscript"/>
          <w:lang w:eastAsia="nl-NL"/>
        </w:rPr>
        <w:footnoteReference w:id="2"/>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highlight w:val="yellow"/>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i/>
          <w:color w:val="000000"/>
          <w:sz w:val="20"/>
          <w:szCs w:val="20"/>
          <w:lang w:eastAsia="nl-NL"/>
        </w:rPr>
      </w:pPr>
      <w:r w:rsidRPr="00972005">
        <w:rPr>
          <w:rFonts w:ascii="Verdana" w:hAnsi="Verdana" w:eastAsia="DejaVu Sans" w:cs="Lohit Hindi"/>
          <w:i/>
          <w:color w:val="000000"/>
          <w:sz w:val="20"/>
          <w:szCs w:val="20"/>
          <w:lang w:eastAsia="nl-NL"/>
        </w:rPr>
        <w:t>Verantwoordingsdebat 2023</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Dit jaar vindt </w:t>
      </w:r>
      <w:proofErr w:type="spellStart"/>
      <w:r w:rsidRPr="00972005">
        <w:rPr>
          <w:rFonts w:ascii="Verdana" w:hAnsi="Verdana" w:eastAsia="DejaVu Sans" w:cs="Lohit Hindi"/>
          <w:color w:val="000000"/>
          <w:sz w:val="20"/>
          <w:szCs w:val="20"/>
          <w:lang w:eastAsia="nl-NL"/>
        </w:rPr>
        <w:t>Verantwoordingsdag</w:t>
      </w:r>
      <w:proofErr w:type="spellEnd"/>
      <w:r w:rsidRPr="00972005">
        <w:rPr>
          <w:rFonts w:ascii="Verdana" w:hAnsi="Verdana" w:eastAsia="DejaVu Sans" w:cs="Lohit Hindi"/>
          <w:color w:val="000000"/>
          <w:sz w:val="20"/>
          <w:szCs w:val="20"/>
          <w:lang w:eastAsia="nl-NL"/>
        </w:rPr>
        <w:t xml:space="preserve"> plaats op woensdag 17 mei</w:t>
      </w:r>
      <w:r>
        <w:rPr>
          <w:rFonts w:ascii="Verdana" w:hAnsi="Verdana" w:eastAsia="DejaVu Sans" w:cs="Lohit Hindi"/>
          <w:color w:val="000000"/>
          <w:sz w:val="20"/>
          <w:szCs w:val="20"/>
          <w:lang w:eastAsia="nl-NL"/>
        </w:rPr>
        <w:t xml:space="preserve"> 2023</w:t>
      </w:r>
      <w:r w:rsidRPr="00972005">
        <w:rPr>
          <w:rFonts w:ascii="Verdana" w:hAnsi="Verdana" w:eastAsia="DejaVu Sans" w:cs="Lohit Hindi"/>
          <w:color w:val="000000"/>
          <w:sz w:val="20"/>
          <w:szCs w:val="20"/>
          <w:lang w:eastAsia="nl-NL"/>
        </w:rPr>
        <w:t xml:space="preserve">. Het daaropvolgende Verantwoordingsdebat is, als tegenhanger van de Algemene Politieke- en Algemene Financiële Beschouwingen, hét debat waarin de Tweede Kamer het kabinet ter verantwoording kan roepen over de resultaten van het in de Miljoenennota aangekondigde beleid. </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highlight w:val="yellow"/>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De commissie voor de Rijksuitgaven adviseert om het Verantwoordingsdebat met de minister-president, de minister van Financiën en de staatssecretaris Koninkrijksrelaties</w:t>
      </w:r>
      <w:r w:rsidRPr="00762409" w:rsidR="00762409">
        <w:rPr>
          <w:rFonts w:ascii="Verdana" w:hAnsi="Verdana" w:eastAsia="DejaVu Sans" w:cs="Lohit Hindi"/>
          <w:color w:val="000000"/>
          <w:sz w:val="20"/>
          <w:szCs w:val="20"/>
          <w:lang w:eastAsia="nl-NL"/>
        </w:rPr>
        <w:t xml:space="preserve"> </w:t>
      </w:r>
      <w:r w:rsidRPr="00972005">
        <w:rPr>
          <w:rFonts w:ascii="Verdana" w:hAnsi="Verdana" w:eastAsia="DejaVu Sans" w:cs="Lohit Hindi"/>
          <w:color w:val="000000"/>
          <w:sz w:val="20"/>
          <w:szCs w:val="20"/>
          <w:lang w:eastAsia="nl-NL"/>
        </w:rPr>
        <w:t>en Digitalisering dit jaar te laten plaatsvinden op woensdag 31 mei 2023. Op de agenda van dit debat over de beleidsresultaten van het jaar 20</w:t>
      </w:r>
      <w:r w:rsidR="00762409">
        <w:rPr>
          <w:rFonts w:ascii="Verdana" w:hAnsi="Verdana" w:eastAsia="DejaVu Sans" w:cs="Lohit Hindi"/>
          <w:color w:val="000000"/>
          <w:sz w:val="20"/>
          <w:szCs w:val="20"/>
          <w:lang w:eastAsia="nl-NL"/>
        </w:rPr>
        <w:t>2</w:t>
      </w:r>
      <w:r w:rsidRPr="00972005">
        <w:rPr>
          <w:rFonts w:ascii="Verdana" w:hAnsi="Verdana" w:eastAsia="DejaVu Sans" w:cs="Lohit Hindi"/>
          <w:color w:val="000000"/>
          <w:sz w:val="20"/>
          <w:szCs w:val="20"/>
          <w:lang w:eastAsia="nl-NL"/>
        </w:rPr>
        <w:t xml:space="preserve">2 staan het Financieel Jaarverslag van het Rijk van de minister van Financiën, het Verantwoordingsonderzoek van de Algemene Rekenkamer en de Monitor Brede Welvaart en de </w:t>
      </w:r>
      <w:proofErr w:type="spellStart"/>
      <w:r w:rsidRPr="00972005">
        <w:rPr>
          <w:rFonts w:ascii="Verdana" w:hAnsi="Verdana" w:eastAsia="DejaVu Sans" w:cs="Lohit Hindi"/>
          <w:color w:val="000000"/>
          <w:sz w:val="20"/>
          <w:szCs w:val="20"/>
          <w:lang w:eastAsia="nl-NL"/>
        </w:rPr>
        <w:t>SDG’s</w:t>
      </w:r>
      <w:proofErr w:type="spellEnd"/>
      <w:r w:rsidRPr="00972005">
        <w:rPr>
          <w:rFonts w:ascii="Verdana" w:hAnsi="Verdana" w:eastAsia="DejaVu Sans" w:cs="Lohit Hindi"/>
          <w:color w:val="000000"/>
          <w:sz w:val="20"/>
          <w:szCs w:val="20"/>
          <w:lang w:eastAsia="nl-NL"/>
        </w:rPr>
        <w:t xml:space="preserve"> van de minister van Economische Zaken en Klimaat. In het debat zullen dit jaar twee thema’s een belangrijke rol spelen:</w:t>
      </w:r>
    </w:p>
    <w:p w:rsidRPr="00972005" w:rsidR="00972005" w:rsidP="00972005" w:rsidRDefault="00972005">
      <w:pPr>
        <w:numPr>
          <w:ilvl w:val="0"/>
          <w:numId w:val="3"/>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Voor de zesde keer zal het CBS dit jaar de Monitor Brede Welvaart opstellen, die op </w:t>
      </w:r>
      <w:proofErr w:type="spellStart"/>
      <w:r w:rsidRPr="00972005">
        <w:rPr>
          <w:rFonts w:ascii="Verdana" w:hAnsi="Verdana" w:eastAsia="DejaVu Sans" w:cs="Lohit Hindi"/>
          <w:color w:val="000000"/>
          <w:sz w:val="20"/>
          <w:szCs w:val="20"/>
          <w:lang w:eastAsia="nl-NL"/>
        </w:rPr>
        <w:t>Verantwoordingsdag</w:t>
      </w:r>
      <w:proofErr w:type="spellEnd"/>
      <w:r w:rsidRPr="00972005">
        <w:rPr>
          <w:rFonts w:ascii="Verdana" w:hAnsi="Verdana" w:eastAsia="DejaVu Sans" w:cs="Lohit Hindi"/>
          <w:color w:val="000000"/>
          <w:sz w:val="20"/>
          <w:szCs w:val="20"/>
          <w:lang w:eastAsia="nl-NL"/>
        </w:rPr>
        <w:t xml:space="preserve"> 2023 zal worden gepubliceerd. De Kamer kan deze betrekken bij het Verantwoordingsdebat en commissies bij hun behandeling van de jaarverslagen. </w:t>
      </w:r>
    </w:p>
    <w:p w:rsidRPr="00972005" w:rsidR="00972005" w:rsidP="00972005" w:rsidRDefault="00972005">
      <w:pPr>
        <w:numPr>
          <w:ilvl w:val="0"/>
          <w:numId w:val="3"/>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lastRenderedPageBreak/>
        <w:t>De Kamer heeft al uitgesproken dat het thema “Terugkeer naar een regulier en voorspelbaar begrotingsproces“ het zogenaamde focusonderwerp voor de verantwoording over 2022 zal zijn.</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i/>
          <w:color w:val="000000"/>
          <w:sz w:val="20"/>
          <w:szCs w:val="20"/>
          <w:lang w:eastAsia="nl-NL"/>
        </w:rPr>
      </w:pPr>
      <w:r w:rsidRPr="00972005">
        <w:rPr>
          <w:rFonts w:ascii="Verdana" w:hAnsi="Verdana" w:eastAsia="DejaVu Sans" w:cs="Lohit Hindi"/>
          <w:i/>
          <w:color w:val="000000"/>
          <w:sz w:val="20"/>
          <w:szCs w:val="20"/>
          <w:lang w:eastAsia="nl-NL"/>
        </w:rPr>
        <w:t>Behandeling van de jaarverslagen in de commissies</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De commissie voor de Rijksuitgaven doet de vaste commissies, voortbordurend op de opmerkingen van de werkgroep Versterking functies Tweede Kamer, de volgende aanbevelingen voor de behandeling van de jaarverslagen:</w:t>
      </w:r>
    </w:p>
    <w:p w:rsidRPr="00972005" w:rsidR="00972005" w:rsidP="00972005" w:rsidRDefault="00972005">
      <w:pPr>
        <w:numPr>
          <w:ilvl w:val="0"/>
          <w:numId w:val="2"/>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Behandeling van de jaarverslagen en de bijbehorende rapporten van de Algemene Rekenkamer zoveel mogelijk in aparte </w:t>
      </w:r>
      <w:proofErr w:type="spellStart"/>
      <w:r w:rsidRPr="00972005">
        <w:rPr>
          <w:rFonts w:ascii="Verdana" w:hAnsi="Verdana" w:eastAsia="DejaVu Sans" w:cs="Lohit Hindi"/>
          <w:color w:val="000000"/>
          <w:sz w:val="20"/>
          <w:szCs w:val="20"/>
          <w:lang w:eastAsia="nl-NL"/>
        </w:rPr>
        <w:t>wetgevingsoverleggen</w:t>
      </w:r>
      <w:proofErr w:type="spellEnd"/>
      <w:r w:rsidRPr="00972005">
        <w:rPr>
          <w:rFonts w:ascii="Verdana" w:hAnsi="Verdana" w:eastAsia="DejaVu Sans" w:cs="Lohit Hindi"/>
          <w:color w:val="000000"/>
          <w:sz w:val="20"/>
          <w:szCs w:val="20"/>
          <w:lang w:eastAsia="nl-NL"/>
        </w:rPr>
        <w:t xml:space="preserve"> (</w:t>
      </w:r>
      <w:proofErr w:type="spellStart"/>
      <w:r w:rsidRPr="00972005">
        <w:rPr>
          <w:rFonts w:ascii="Verdana" w:hAnsi="Verdana" w:eastAsia="DejaVu Sans" w:cs="Lohit Hindi"/>
          <w:color w:val="000000"/>
          <w:sz w:val="20"/>
          <w:szCs w:val="20"/>
          <w:lang w:eastAsia="nl-NL"/>
        </w:rPr>
        <w:t>WGO’s</w:t>
      </w:r>
      <w:proofErr w:type="spellEnd"/>
      <w:r w:rsidRPr="00972005">
        <w:rPr>
          <w:rFonts w:ascii="Verdana" w:hAnsi="Verdana" w:eastAsia="DejaVu Sans" w:cs="Lohit Hindi"/>
          <w:color w:val="000000"/>
          <w:sz w:val="20"/>
          <w:szCs w:val="20"/>
          <w:lang w:eastAsia="nl-NL"/>
        </w:rPr>
        <w:t xml:space="preserve">), en daarbij expliciet aandacht te besteden aan het financieel beheer en de dechargeverlening; </w:t>
      </w:r>
    </w:p>
    <w:p w:rsidRPr="00972005" w:rsidR="00972005" w:rsidP="00972005" w:rsidRDefault="00972005">
      <w:pPr>
        <w:numPr>
          <w:ilvl w:val="0"/>
          <w:numId w:val="2"/>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Aanwijzen van rapporteurs die namens de commissie de kwaliteit van de verantwoordingsstukken onderzoeken. Voor de uitvoering van hun taak kunnen rapporteurs een beroep doen op de commissiestaf. Commissies kunnen hierbij overwegen om het </w:t>
      </w:r>
      <w:proofErr w:type="spellStart"/>
      <w:r w:rsidRPr="00972005">
        <w:rPr>
          <w:rFonts w:ascii="Verdana" w:hAnsi="Verdana" w:eastAsia="DejaVu Sans" w:cs="Lohit Hindi"/>
          <w:color w:val="000000"/>
          <w:sz w:val="20"/>
          <w:szCs w:val="20"/>
          <w:lang w:eastAsia="nl-NL"/>
        </w:rPr>
        <w:t>rapporteurschap</w:t>
      </w:r>
      <w:proofErr w:type="spellEnd"/>
      <w:r w:rsidRPr="00972005">
        <w:rPr>
          <w:rFonts w:ascii="Verdana" w:hAnsi="Verdana" w:eastAsia="DejaVu Sans" w:cs="Lohit Hindi"/>
          <w:color w:val="000000"/>
          <w:sz w:val="20"/>
          <w:szCs w:val="20"/>
          <w:lang w:eastAsia="nl-NL"/>
        </w:rPr>
        <w:t xml:space="preserve"> voor de jaarverslagen, al dan niet i.c.m. de ontwerpbegrotingen in het najaar, meerjarig vast te leggen;</w:t>
      </w:r>
    </w:p>
    <w:p w:rsidRPr="00972005" w:rsidR="00972005" w:rsidP="00972005" w:rsidRDefault="00972005">
      <w:pPr>
        <w:numPr>
          <w:ilvl w:val="0"/>
          <w:numId w:val="2"/>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Gebruik maken van het aanbod van de Algemene Rekenkamer om een technische briefing te verzorgen over hun rapport(en). Hierbij attenderen wij de commissies op de afspraak met de Rekenkamer dat ten minste vijf leden (inclusief voorzitter) zich voor een briefing aanmelden;</w:t>
      </w:r>
    </w:p>
    <w:p w:rsidRPr="00972005" w:rsidR="00972005" w:rsidP="00972005" w:rsidRDefault="00972005">
      <w:pPr>
        <w:numPr>
          <w:ilvl w:val="0"/>
          <w:numId w:val="2"/>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Zoals gebruikelijk zal de commissie voor de Rijksuitgaven de Kamer voor de stemming over de slotwetten per brief informeren over de uitkomsten van de behandeling van de jaarverslagen en de slotwetten. In deze brief zal de commissie de Kamer adviseren over de dechargeverlening.</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i/>
          <w:color w:val="000000"/>
          <w:sz w:val="20"/>
          <w:szCs w:val="20"/>
          <w:lang w:eastAsia="nl-NL"/>
        </w:rPr>
        <w:t>Inbrengtermijnen</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Om te bevorderen dat de behandeling van de jaarverantwoording over 2022 en de suppletoire begrotingen over 2022 vóór het zomerreces is afgerond, adviseert de commissie voor de Rijksuitgaven het Presidium het volgende behandelschema:</w:t>
      </w:r>
    </w:p>
    <w:p w:rsidRPr="00972005" w:rsidR="00972005" w:rsidP="00972005" w:rsidRDefault="00972005">
      <w:pPr>
        <w:numPr>
          <w:ilvl w:val="0"/>
          <w:numId w:val="1"/>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 xml:space="preserve">Inbrengtermijn voor de verslagen over de slotwetten 2022 en voor de feitelijke vragen over de jaarverslagen van de ministers en de rapporten van de Algemene Rekenkamer: </w:t>
      </w:r>
      <w:r w:rsidR="00762409">
        <w:rPr>
          <w:rFonts w:ascii="Verdana" w:hAnsi="Verdana" w:eastAsia="DejaVu Sans" w:cs="Lohit Hindi"/>
          <w:color w:val="000000"/>
          <w:sz w:val="20"/>
          <w:szCs w:val="20"/>
          <w:lang w:eastAsia="nl-NL"/>
        </w:rPr>
        <w:t>maandag 22</w:t>
      </w:r>
      <w:r w:rsidRPr="00972005">
        <w:rPr>
          <w:rFonts w:ascii="Verdana" w:hAnsi="Verdana" w:eastAsia="DejaVu Sans" w:cs="Lohit Hindi"/>
          <w:color w:val="000000"/>
          <w:sz w:val="20"/>
          <w:szCs w:val="20"/>
          <w:lang w:eastAsia="nl-NL"/>
        </w:rPr>
        <w:t xml:space="preserve"> mei 2022, 14.00 uur;</w:t>
      </w:r>
    </w:p>
    <w:p w:rsidRPr="00972005" w:rsidR="00972005" w:rsidP="00972005" w:rsidRDefault="00972005">
      <w:pPr>
        <w:numPr>
          <w:ilvl w:val="0"/>
          <w:numId w:val="1"/>
        </w:num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Aan het kabinet en de Algemene Rekenkamer kan dan worden verzocht de antwoorden uiterlijk dinsdag 6 juni 2023 bij de Kamer in te dienen;</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highlight w:val="yellow"/>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De voorzitter van de commissie,</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J.C. Sneller</w:t>
      </w: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p>
    <w:p w:rsidRPr="00972005" w:rsidR="00972005" w:rsidP="00972005"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De griffier van de commissie,</w:t>
      </w:r>
    </w:p>
    <w:p w:rsidRPr="00762409" w:rsidR="00A410CA" w:rsidP="00762409" w:rsidRDefault="00972005">
      <w:pPr>
        <w:autoSpaceDN w:val="0"/>
        <w:spacing w:after="0" w:line="283" w:lineRule="exact"/>
        <w:contextualSpacing/>
        <w:textAlignment w:val="baseline"/>
        <w:rPr>
          <w:rFonts w:ascii="Verdana" w:hAnsi="Verdana" w:eastAsia="DejaVu Sans" w:cs="Lohit Hindi"/>
          <w:color w:val="000000"/>
          <w:sz w:val="20"/>
          <w:szCs w:val="20"/>
          <w:lang w:eastAsia="nl-NL"/>
        </w:rPr>
      </w:pPr>
      <w:r w:rsidRPr="00972005">
        <w:rPr>
          <w:rFonts w:ascii="Verdana" w:hAnsi="Verdana" w:eastAsia="DejaVu Sans" w:cs="Lohit Hindi"/>
          <w:color w:val="000000"/>
          <w:sz w:val="20"/>
          <w:szCs w:val="20"/>
          <w:lang w:eastAsia="nl-NL"/>
        </w:rPr>
        <w:t>W.A. Lips</w:t>
      </w:r>
      <w:bookmarkStart w:name="_GoBack" w:id="0"/>
      <w:bookmarkEnd w:id="0"/>
    </w:p>
    <w:sectPr w:rsidRPr="00762409" w:rsidR="00A410C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05" w:rsidRDefault="00972005" w:rsidP="00972005">
      <w:pPr>
        <w:spacing w:after="0" w:line="240" w:lineRule="auto"/>
      </w:pPr>
      <w:r>
        <w:separator/>
      </w:r>
    </w:p>
  </w:endnote>
  <w:endnote w:type="continuationSeparator" w:id="0">
    <w:p w:rsidR="00972005" w:rsidRDefault="00972005" w:rsidP="0097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05" w:rsidRDefault="00972005" w:rsidP="00972005">
      <w:pPr>
        <w:spacing w:after="0" w:line="240" w:lineRule="auto"/>
      </w:pPr>
      <w:r>
        <w:separator/>
      </w:r>
    </w:p>
  </w:footnote>
  <w:footnote w:type="continuationSeparator" w:id="0">
    <w:p w:rsidR="00972005" w:rsidRDefault="00972005" w:rsidP="00972005">
      <w:pPr>
        <w:spacing w:after="0" w:line="240" w:lineRule="auto"/>
      </w:pPr>
      <w:r>
        <w:continuationSeparator/>
      </w:r>
    </w:p>
  </w:footnote>
  <w:footnote w:id="1">
    <w:p w:rsidR="00972005" w:rsidRDefault="00972005" w:rsidP="00972005">
      <w:pPr>
        <w:pStyle w:val="Voetnoottekst"/>
      </w:pPr>
      <w:r>
        <w:rPr>
          <w:rStyle w:val="Voetnootmarkering"/>
        </w:rPr>
        <w:footnoteRef/>
      </w:r>
      <w:r>
        <w:t xml:space="preserve"> Rapport “</w:t>
      </w:r>
      <w:hyperlink r:id="rId1" w:history="1">
        <w:r w:rsidRPr="00E52896">
          <w:rPr>
            <w:rStyle w:val="Hyperlink"/>
          </w:rPr>
          <w:t>Versterking functies Tweede Kamer. Meer dan de som der delen</w:t>
        </w:r>
      </w:hyperlink>
      <w:r>
        <w:t>”, bijlage bij Kamerstuk 35992, nr. 1</w:t>
      </w:r>
    </w:p>
  </w:footnote>
  <w:footnote w:id="2">
    <w:p w:rsidR="00972005" w:rsidRDefault="00972005" w:rsidP="00972005">
      <w:pPr>
        <w:pStyle w:val="Voetnoottekst"/>
      </w:pPr>
      <w:r>
        <w:rPr>
          <w:rStyle w:val="Voetnootmarkering"/>
        </w:rPr>
        <w:footnoteRef/>
      </w:r>
      <w:r>
        <w:t xml:space="preserve"> </w:t>
      </w:r>
      <w:hyperlink r:id="rId2" w:history="1">
        <w:r w:rsidRPr="00E52896">
          <w:rPr>
            <w:rStyle w:val="Hyperlink"/>
          </w:rPr>
          <w:t>Artikel 7.13</w:t>
        </w:r>
      </w:hyperlink>
      <w:r>
        <w:t>, tweede lid, Reglement van Orde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D31"/>
    <w:multiLevelType w:val="hybridMultilevel"/>
    <w:tmpl w:val="2E060C5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 w15:restartNumberingAfterBreak="0">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753978"/>
    <w:multiLevelType w:val="hybridMultilevel"/>
    <w:tmpl w:val="C374E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05"/>
    <w:rsid w:val="0036005F"/>
    <w:rsid w:val="00762409"/>
    <w:rsid w:val="00972005"/>
    <w:rsid w:val="00C24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BD02"/>
  <w15:chartTrackingRefBased/>
  <w15:docId w15:val="{C60548B1-B561-40C0-8856-11FEF92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720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2005"/>
    <w:rPr>
      <w:sz w:val="20"/>
      <w:szCs w:val="20"/>
    </w:rPr>
  </w:style>
  <w:style w:type="character" w:styleId="Hyperlink">
    <w:name w:val="Hyperlink"/>
    <w:basedOn w:val="Standaardalinea-lettertype"/>
    <w:uiPriority w:val="99"/>
    <w:unhideWhenUsed/>
    <w:rsid w:val="00972005"/>
    <w:rPr>
      <w:color w:val="0563C1" w:themeColor="hyperlink"/>
      <w:u w:val="single"/>
    </w:rPr>
  </w:style>
  <w:style w:type="character" w:styleId="Voetnootmarkering">
    <w:name w:val="footnote reference"/>
    <w:basedOn w:val="Standaardalinea-lettertype"/>
    <w:uiPriority w:val="99"/>
    <w:unhideWhenUsed/>
    <w:rsid w:val="00972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jci1.3:c:BWBR0044975&amp;hoofdstuk=7&amp;paragraaf=7.2&amp;sub-paragraaf=7.2.2&amp;artikel=7.13&amp;z=2021-03-31&amp;g=2021-03-31" TargetMode="External"/><Relationship Id="rId1" Type="http://schemas.openxmlformats.org/officeDocument/2006/relationships/hyperlink" Target="https://www.tweedekamer.nl/kamerstukken/detail?id=2021D50091&amp;did=2021D5009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698</ap:Words>
  <ap:Characters>3841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2023-03-08T12:23:00.0000000Z</dcterms:created>
  <dcterms:modified xsi:type="dcterms:W3CDTF">2023-03-08T12:44:00.0000000Z</dcterms:modified>
  <version/>
  <category/>
</coreProperties>
</file>