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B76C7" w:rsidR="00A828E3" w:rsidRDefault="00E02D08">
      <w:pPr>
        <w:pStyle w:val="PlatteTekst"/>
        <w:rPr>
          <w:szCs w:val="18"/>
        </w:rPr>
        <w:sectPr w:rsidRPr="00BB76C7"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BB76C7">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193021">
                            <w:pPr>
                              <w:pStyle w:val="Huisstijl-Agendatitel"/>
                              <w:ind w:left="0" w:firstLine="0"/>
                              <w:jc w:val="right"/>
                            </w:pPr>
                            <w:r>
                              <w:t>17</w:t>
                            </w:r>
                            <w:bookmarkStart w:name="_GoBack" w:id="0"/>
                            <w:bookmarkEnd w:id="0"/>
                            <w:r w:rsidR="0018257B">
                              <w:t xml:space="preserve"> februari</w:t>
                            </w:r>
                            <w:r w:rsidR="00E95AAA">
                              <w:t xml:space="preserve">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736908">
                        <w:t>FIN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193021">
                      <w:pPr>
                        <w:pStyle w:val="Huisstijl-Agendatitel"/>
                        <w:ind w:left="0" w:firstLine="0"/>
                        <w:jc w:val="right"/>
                      </w:pPr>
                      <w:r>
                        <w:t>17</w:t>
                      </w:r>
                      <w:bookmarkStart w:name="_GoBack" w:id="1"/>
                      <w:bookmarkEnd w:id="1"/>
                      <w:r w:rsidR="0018257B">
                        <w:t xml:space="preserve"> februari</w:t>
                      </w:r>
                      <w:r w:rsidR="00E95AAA">
                        <w:t xml:space="preserve"> 2023</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Pr="00BB76C7"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BB76C7" w:rsidR="00E02D08" w:rsidP="00C727FA" w:rsidRDefault="00E02D08">
      <w:pPr>
        <w:rPr>
          <w:b/>
          <w:szCs w:val="18"/>
        </w:rPr>
      </w:pPr>
      <w:r w:rsidRPr="00BB76C7">
        <w:rPr>
          <w:b/>
          <w:szCs w:val="18"/>
        </w:rPr>
        <w:t xml:space="preserve">Lijst van nieuwe EU-voorstellen </w:t>
      </w:r>
    </w:p>
    <w:p w:rsidRPr="00BB76C7" w:rsidR="00E02D08" w:rsidP="00C727FA" w:rsidRDefault="00E02D08">
      <w:pPr>
        <w:rPr>
          <w:b/>
          <w:szCs w:val="18"/>
        </w:rPr>
      </w:pPr>
    </w:p>
    <w:p w:rsidRPr="00BB76C7" w:rsidR="005115F8" w:rsidP="005115F8" w:rsidRDefault="005115F8">
      <w:pPr>
        <w:pStyle w:val="Normaalweb"/>
        <w:rPr>
          <w:rFonts w:ascii="Verdana" w:hAnsi="Verdana"/>
          <w:sz w:val="18"/>
          <w:szCs w:val="18"/>
        </w:rPr>
      </w:pPr>
      <w:r w:rsidRPr="00BB76C7">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BB76C7" w:rsidR="00A9227F">
        <w:rPr>
          <w:rStyle w:val="Voetnootmarkering"/>
          <w:rFonts w:ascii="Verdana" w:hAnsi="Verdana"/>
          <w:sz w:val="18"/>
          <w:szCs w:val="18"/>
        </w:rPr>
        <w:footnoteReference w:id="1"/>
      </w:r>
      <w:r w:rsidRPr="00BB76C7">
        <w:rPr>
          <w:rFonts w:ascii="Verdana" w:hAnsi="Verdana"/>
          <w:sz w:val="18"/>
          <w:szCs w:val="18"/>
        </w:rPr>
        <w:t xml:space="preserve">: </w:t>
      </w:r>
    </w:p>
    <w:p w:rsidRPr="00BB76C7" w:rsidR="00820149" w:rsidP="00C727FA" w:rsidRDefault="00820149">
      <w:pPr>
        <w:rPr>
          <w:szCs w:val="18"/>
        </w:rPr>
      </w:pPr>
    </w:p>
    <w:p w:rsidRPr="00BB76C7" w:rsidR="00820149" w:rsidP="00820149" w:rsidRDefault="00D27FE7">
      <w:pPr>
        <w:pStyle w:val="Lijstalinea"/>
        <w:numPr>
          <w:ilvl w:val="0"/>
          <w:numId w:val="2"/>
        </w:numPr>
        <w:rPr>
          <w:b/>
          <w:szCs w:val="18"/>
        </w:rPr>
      </w:pPr>
      <w:r w:rsidRPr="00BB76C7">
        <w:rPr>
          <w:b/>
          <w:szCs w:val="18"/>
        </w:rPr>
        <w:t>Nieuw voorgestelde EU-w</w:t>
      </w:r>
      <w:r w:rsidRPr="00BB76C7" w:rsidR="00820149">
        <w:rPr>
          <w:b/>
          <w:szCs w:val="18"/>
        </w:rPr>
        <w:t>etgeving</w:t>
      </w:r>
      <w:r w:rsidRPr="00BB76C7" w:rsidR="00E02D08">
        <w:rPr>
          <w:rStyle w:val="Voetnootmarkering"/>
          <w:b/>
          <w:szCs w:val="18"/>
        </w:rPr>
        <w:br/>
      </w:r>
      <w:r w:rsidRPr="00BB76C7" w:rsidR="00E02D08">
        <w:rPr>
          <w:szCs w:val="18"/>
        </w:rPr>
        <w:t>(Verordeningen, richtlijnen en wetgevende besluiten)</w:t>
      </w:r>
    </w:p>
    <w:p w:rsidRPr="00BB76C7" w:rsidR="00970CA0" w:rsidP="00C727FA" w:rsidRDefault="00970CA0">
      <w:pPr>
        <w:rPr>
          <w:szCs w:val="18"/>
        </w:rPr>
      </w:pPr>
    </w:p>
    <w:p w:rsidRPr="00BB76C7" w:rsidR="006E5214" w:rsidP="002A4BD8" w:rsidRDefault="006E5214">
      <w:pPr>
        <w:rPr>
          <w:szCs w:val="18"/>
        </w:rPr>
      </w:pPr>
    </w:p>
    <w:p w:rsidRPr="00BB76C7" w:rsidR="00820149" w:rsidP="00820149" w:rsidRDefault="00D27FE7">
      <w:pPr>
        <w:pStyle w:val="Lijstalinea"/>
        <w:numPr>
          <w:ilvl w:val="0"/>
          <w:numId w:val="2"/>
        </w:numPr>
        <w:rPr>
          <w:b/>
          <w:szCs w:val="18"/>
        </w:rPr>
      </w:pPr>
      <w:r w:rsidRPr="00BB76C7">
        <w:rPr>
          <w:b/>
          <w:szCs w:val="18"/>
        </w:rPr>
        <w:t>Nieuwe</w:t>
      </w:r>
      <w:r w:rsidRPr="00BB76C7" w:rsidR="008C43A5">
        <w:rPr>
          <w:b/>
          <w:szCs w:val="18"/>
        </w:rPr>
        <w:t xml:space="preserve"> EU-</w:t>
      </w:r>
      <w:r w:rsidRPr="00BB76C7" w:rsidR="006E2C94">
        <w:rPr>
          <w:b/>
          <w:szCs w:val="18"/>
        </w:rPr>
        <w:t>documenten</w:t>
      </w:r>
      <w:r w:rsidRPr="00BB76C7">
        <w:rPr>
          <w:b/>
          <w:szCs w:val="18"/>
        </w:rPr>
        <w:t xml:space="preserve"> van niet-wetgevende aard </w:t>
      </w:r>
      <w:r w:rsidRPr="00BB76C7" w:rsidR="00E02D08">
        <w:rPr>
          <w:b/>
          <w:szCs w:val="18"/>
        </w:rPr>
        <w:br/>
      </w:r>
      <w:r w:rsidRPr="00BB76C7" w:rsidR="00E02D08">
        <w:rPr>
          <w:szCs w:val="18"/>
        </w:rPr>
        <w:t>(M</w:t>
      </w:r>
      <w:r w:rsidRPr="00BB76C7" w:rsidR="00820149">
        <w:rPr>
          <w:szCs w:val="18"/>
        </w:rPr>
        <w:t>edede</w:t>
      </w:r>
      <w:r w:rsidRPr="00BB76C7">
        <w:rPr>
          <w:szCs w:val="18"/>
        </w:rPr>
        <w:t>lingen, aanbevelingen, actieplannen, consultaties, etc.</w:t>
      </w:r>
      <w:r w:rsidRPr="00BB76C7" w:rsidR="00E02D08">
        <w:rPr>
          <w:szCs w:val="18"/>
        </w:rPr>
        <w:t>)</w:t>
      </w:r>
    </w:p>
    <w:p w:rsidRPr="00BB76C7" w:rsidR="00820149" w:rsidP="00970CA0" w:rsidRDefault="00820149">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193021" w:rsidR="00D75535"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B76C7" w:rsidR="00D75535" w:rsidP="002A4BD8" w:rsidRDefault="00D75535">
            <w:pPr>
              <w:pStyle w:val="Lijstalinea"/>
              <w:numPr>
                <w:ilvl w:val="0"/>
                <w:numId w:val="10"/>
              </w:numPr>
              <w:spacing w:after="240"/>
              <w:ind w:left="312"/>
              <w:rPr>
                <w:color w:val="595959" w:themeColor="text1" w:themeTint="A6"/>
                <w:szCs w:val="18"/>
              </w:rPr>
            </w:pPr>
          </w:p>
        </w:tc>
        <w:tc>
          <w:tcPr>
            <w:tcW w:w="1035" w:type="dxa"/>
          </w:tcPr>
          <w:p w:rsidRPr="00BB76C7" w:rsidR="00D75535" w:rsidP="002A4BD8" w:rsidRDefault="00D75535">
            <w:pPr>
              <w:spacing w:after="240"/>
              <w:rPr>
                <w:color w:val="595959" w:themeColor="text1" w:themeTint="A6"/>
                <w:szCs w:val="18"/>
              </w:rPr>
            </w:pPr>
            <w:r w:rsidRPr="00BB76C7">
              <w:rPr>
                <w:color w:val="595959" w:themeColor="text1" w:themeTint="A6"/>
                <w:szCs w:val="18"/>
              </w:rPr>
              <w:t>Titel</w:t>
            </w:r>
          </w:p>
        </w:tc>
        <w:tc>
          <w:tcPr>
            <w:tcW w:w="6529" w:type="dxa"/>
          </w:tcPr>
          <w:p w:rsidRPr="00193021" w:rsidR="00D75535" w:rsidP="00CE5B08" w:rsidRDefault="004D00E8">
            <w:pPr>
              <w:spacing w:after="240"/>
              <w:rPr>
                <w:b/>
                <w:color w:val="595959" w:themeColor="text1" w:themeTint="A6"/>
                <w:szCs w:val="18"/>
                <w:lang w:val="en-GB"/>
              </w:rPr>
            </w:pPr>
            <w:r w:rsidRPr="00193021">
              <w:rPr>
                <w:szCs w:val="18"/>
                <w:lang w:val="en-GB"/>
              </w:rPr>
              <w:t xml:space="preserve">Proposal for a DECISION OF THE EUROPEAN PARLIAMENT AND OF THE COUNCIL on providing macro-financial assistance to the Republic of North Macedonia </w:t>
            </w:r>
            <w:hyperlink w:history="1" r:id="rId15">
              <w:r w:rsidRPr="00193021">
                <w:rPr>
                  <w:rStyle w:val="Hyperlink"/>
                  <w:szCs w:val="18"/>
                  <w:lang w:val="en-GB"/>
                </w:rPr>
                <w:t>COM(2023)74</w:t>
              </w:r>
            </w:hyperlink>
          </w:p>
        </w:tc>
      </w:tr>
      <w:tr w:rsidRPr="00BB76C7"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193021" w:rsidR="00D75535" w:rsidP="002A4BD8" w:rsidRDefault="00D75535">
            <w:pPr>
              <w:spacing w:after="240"/>
              <w:rPr>
                <w:szCs w:val="18"/>
                <w:lang w:val="en-GB"/>
              </w:rPr>
            </w:pPr>
          </w:p>
        </w:tc>
        <w:tc>
          <w:tcPr>
            <w:tcW w:w="1035" w:type="dxa"/>
          </w:tcPr>
          <w:p w:rsidRPr="00BB76C7" w:rsidR="00D75535" w:rsidP="002A4BD8" w:rsidRDefault="00D75535">
            <w:pPr>
              <w:spacing w:after="240"/>
              <w:rPr>
                <w:szCs w:val="18"/>
              </w:rPr>
            </w:pPr>
            <w:r w:rsidRPr="00BB76C7">
              <w:rPr>
                <w:szCs w:val="18"/>
              </w:rPr>
              <w:t>Voorstel</w:t>
            </w:r>
          </w:p>
        </w:tc>
        <w:tc>
          <w:tcPr>
            <w:tcW w:w="6529" w:type="dxa"/>
          </w:tcPr>
          <w:p w:rsidRPr="00BB76C7" w:rsidR="00D75535" w:rsidP="002A4BD8" w:rsidRDefault="00BB76C7">
            <w:pPr>
              <w:spacing w:after="240"/>
              <w:rPr>
                <w:szCs w:val="18"/>
              </w:rPr>
            </w:pPr>
            <w:r w:rsidRPr="00BB76C7">
              <w:rPr>
                <w:szCs w:val="18"/>
              </w:rPr>
              <w:t>Voor kennisgeving aannemen.</w:t>
            </w:r>
          </w:p>
        </w:tc>
      </w:tr>
      <w:tr w:rsidRPr="00BB76C7" w:rsidR="00D75535" w:rsidTr="00DF5A2E">
        <w:tc>
          <w:tcPr>
            <w:tcW w:w="421" w:type="dxa"/>
            <w:vMerge/>
            <w:tcBorders>
              <w:top w:val="nil"/>
              <w:bottom w:val="single" w:color="D9D9D9" w:themeColor="background1" w:themeShade="D9" w:sz="4" w:space="0"/>
            </w:tcBorders>
            <w:shd w:val="clear" w:color="auto" w:fill="F2F2F2" w:themeFill="background1" w:themeFillShade="F2"/>
          </w:tcPr>
          <w:p w:rsidRPr="00BB76C7" w:rsidR="00D75535" w:rsidP="002A4BD8" w:rsidRDefault="00D75535">
            <w:pPr>
              <w:spacing w:after="240"/>
              <w:rPr>
                <w:color w:val="595959" w:themeColor="text1" w:themeTint="A6"/>
                <w:szCs w:val="18"/>
              </w:rPr>
            </w:pPr>
          </w:p>
        </w:tc>
        <w:tc>
          <w:tcPr>
            <w:tcW w:w="1035" w:type="dxa"/>
          </w:tcPr>
          <w:p w:rsidRPr="00BB76C7" w:rsidR="00D75535" w:rsidP="002A4BD8" w:rsidRDefault="00D75535">
            <w:pPr>
              <w:spacing w:after="240"/>
              <w:rPr>
                <w:color w:val="595959" w:themeColor="text1" w:themeTint="A6"/>
                <w:szCs w:val="18"/>
              </w:rPr>
            </w:pPr>
            <w:r w:rsidRPr="00BB76C7">
              <w:rPr>
                <w:color w:val="595959" w:themeColor="text1" w:themeTint="A6"/>
                <w:szCs w:val="18"/>
              </w:rPr>
              <w:t>Noot</w:t>
            </w:r>
          </w:p>
        </w:tc>
        <w:tc>
          <w:tcPr>
            <w:tcW w:w="6529" w:type="dxa"/>
          </w:tcPr>
          <w:p w:rsidRPr="00BB76C7" w:rsidR="00D75535" w:rsidP="00BB76C7" w:rsidRDefault="00BB76C7">
            <w:pPr>
              <w:spacing w:after="240"/>
              <w:rPr>
                <w:color w:val="595959" w:themeColor="text1" w:themeTint="A6"/>
                <w:szCs w:val="18"/>
              </w:rPr>
            </w:pPr>
            <w:r w:rsidRPr="00BB76C7">
              <w:rPr>
                <w:color w:val="595959" w:themeColor="text1" w:themeTint="A6"/>
                <w:szCs w:val="18"/>
              </w:rPr>
              <w:t xml:space="preserve">Tegen de achtergrond van krappere wereldwijde financiële condities en hogere energieprijzen heeft de regering van Noord-Macedonië een hernieuwd verzoek om </w:t>
            </w:r>
            <w:proofErr w:type="spellStart"/>
            <w:r w:rsidRPr="00BB76C7">
              <w:rPr>
                <w:color w:val="595959" w:themeColor="text1" w:themeTint="A6"/>
                <w:szCs w:val="18"/>
              </w:rPr>
              <w:t>macrofinanciële</w:t>
            </w:r>
            <w:proofErr w:type="spellEnd"/>
            <w:r w:rsidRPr="00BB76C7">
              <w:rPr>
                <w:color w:val="595959" w:themeColor="text1" w:themeTint="A6"/>
                <w:szCs w:val="18"/>
              </w:rPr>
              <w:t xml:space="preserve"> bijstand (MFA) ingediend. De Commissie had het oorspronkelijke verzoek om MFB opgeschort omdat de economie nog relatief veerkrachtig was en omdat er enkele andere opties waren om in 2022 aan de externe financieringsbehoeften te voldoen. Gezien de grote onzekerheden met betrekking tot de beschikbaarheid en kosten van financiering op de kapitaalmarkt dient de Commissie nu een voorstel in bij het Europees Parlement en de Raad om een MFB-lening van maximaal tot 100 miljoen euro te verstrekken aan Noord-Macedonië. </w:t>
            </w:r>
          </w:p>
        </w:tc>
      </w:tr>
    </w:tbl>
    <w:p w:rsidRPr="00BB76C7"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193021"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BB76C7"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BB76C7" w:rsidR="002A4BD8" w:rsidP="003A21AA" w:rsidRDefault="002A4BD8">
            <w:pPr>
              <w:spacing w:after="240"/>
              <w:rPr>
                <w:color w:val="595959" w:themeColor="text1" w:themeTint="A6"/>
                <w:szCs w:val="18"/>
              </w:rPr>
            </w:pPr>
            <w:r w:rsidRPr="00BB76C7">
              <w:rPr>
                <w:color w:val="595959" w:themeColor="text1" w:themeTint="A6"/>
                <w:szCs w:val="18"/>
              </w:rPr>
              <w:t>Titel</w:t>
            </w:r>
          </w:p>
        </w:tc>
        <w:tc>
          <w:tcPr>
            <w:tcW w:w="6529" w:type="dxa"/>
          </w:tcPr>
          <w:tbl>
            <w:tblPr>
              <w:tblW w:w="0" w:type="auto"/>
              <w:tblLayout w:type="fixed"/>
              <w:tblCellMar>
                <w:left w:w="0" w:type="dxa"/>
                <w:right w:w="0" w:type="dxa"/>
              </w:tblCellMar>
              <w:tblLook w:val="04A0" w:firstRow="1" w:lastRow="0" w:firstColumn="1" w:lastColumn="0" w:noHBand="0" w:noVBand="1"/>
            </w:tblPr>
            <w:tblGrid>
              <w:gridCol w:w="6378"/>
            </w:tblGrid>
            <w:tr w:rsidRPr="00193021" w:rsidR="004D00E8" w:rsidTr="004D00E8">
              <w:tc>
                <w:tcPr>
                  <w:tcW w:w="6378" w:type="dxa"/>
                  <w:tcBorders>
                    <w:top w:val="single" w:color="D9D9D9" w:sz="8" w:space="0"/>
                    <w:left w:val="nil"/>
                    <w:bottom w:val="nil"/>
                    <w:right w:val="single" w:color="D9D9D9" w:sz="8" w:space="0"/>
                  </w:tcBorders>
                  <w:tcMar>
                    <w:top w:w="0" w:type="dxa"/>
                    <w:left w:w="108" w:type="dxa"/>
                    <w:bottom w:w="0" w:type="dxa"/>
                    <w:right w:w="108" w:type="dxa"/>
                  </w:tcMar>
                  <w:hideMark/>
                </w:tcPr>
                <w:p w:rsidRPr="00193021" w:rsidR="004D00E8" w:rsidP="004D00E8" w:rsidRDefault="004D00E8">
                  <w:pPr>
                    <w:shd w:val="clear" w:color="auto" w:fill="FFFFFF"/>
                    <w:spacing w:after="75"/>
                    <w:rPr>
                      <w:szCs w:val="18"/>
                      <w:lang w:val="en-GB" w:eastAsia="nl-NL"/>
                    </w:rPr>
                  </w:pPr>
                  <w:r w:rsidRPr="00193021">
                    <w:rPr>
                      <w:szCs w:val="18"/>
                      <w:lang w:val="en-GB"/>
                    </w:rPr>
                    <w:t xml:space="preserve">REPORT FROM THE COMMISSION TO THE EUROPEAN PARLIAMENT AND THE COUNCIL on the implementation of the public sector loan facility under the Just Transition Mechanism in 2022, as referred in Article 16 of Regulation (EU) 2021/1229 </w:t>
                  </w:r>
                  <w:hyperlink w:history="1" r:id="rId16">
                    <w:r w:rsidRPr="00193021">
                      <w:rPr>
                        <w:rStyle w:val="Hyperlink"/>
                        <w:szCs w:val="18"/>
                        <w:lang w:val="en-GB"/>
                      </w:rPr>
                      <w:t>COM(2023)60</w:t>
                    </w:r>
                  </w:hyperlink>
                </w:p>
              </w:tc>
            </w:tr>
            <w:tr w:rsidRPr="00193021" w:rsidR="004D00E8" w:rsidTr="004D00E8">
              <w:tc>
                <w:tcPr>
                  <w:tcW w:w="6378" w:type="dxa"/>
                  <w:tcBorders>
                    <w:top w:val="nil"/>
                    <w:left w:val="nil"/>
                    <w:bottom w:val="nil"/>
                    <w:right w:val="single" w:color="D9D9D9" w:sz="8" w:space="0"/>
                  </w:tcBorders>
                  <w:tcMar>
                    <w:top w:w="0" w:type="dxa"/>
                    <w:left w:w="108" w:type="dxa"/>
                    <w:bottom w:w="0" w:type="dxa"/>
                    <w:right w:w="108" w:type="dxa"/>
                  </w:tcMar>
                  <w:hideMark/>
                </w:tcPr>
                <w:p w:rsidRPr="00193021" w:rsidR="004D00E8" w:rsidP="004D00E8" w:rsidRDefault="004D00E8">
                  <w:pPr>
                    <w:spacing w:after="240"/>
                    <w:rPr>
                      <w:b/>
                      <w:bCs/>
                      <w:szCs w:val="18"/>
                      <w:lang w:val="en-GB"/>
                    </w:rPr>
                  </w:pPr>
                </w:p>
              </w:tc>
            </w:tr>
          </w:tbl>
          <w:p w:rsidRPr="00193021" w:rsidR="002A4BD8" w:rsidP="003A21AA" w:rsidRDefault="002A4BD8">
            <w:pPr>
              <w:spacing w:after="240"/>
              <w:rPr>
                <w:b/>
                <w:color w:val="595959" w:themeColor="text1" w:themeTint="A6"/>
                <w:szCs w:val="18"/>
                <w:lang w:val="en-GB"/>
              </w:rPr>
            </w:pPr>
          </w:p>
        </w:tc>
      </w:tr>
      <w:tr w:rsidRPr="00BB76C7"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193021" w:rsidR="002A4BD8" w:rsidP="003A21AA" w:rsidRDefault="002A4BD8">
            <w:pPr>
              <w:spacing w:after="240"/>
              <w:rPr>
                <w:szCs w:val="18"/>
                <w:lang w:val="en-GB"/>
              </w:rPr>
            </w:pPr>
          </w:p>
        </w:tc>
        <w:tc>
          <w:tcPr>
            <w:tcW w:w="1035" w:type="dxa"/>
          </w:tcPr>
          <w:p w:rsidRPr="00BB76C7" w:rsidR="002A4BD8" w:rsidP="003A21AA" w:rsidRDefault="002A4BD8">
            <w:pPr>
              <w:spacing w:after="240"/>
              <w:rPr>
                <w:szCs w:val="18"/>
              </w:rPr>
            </w:pPr>
            <w:r w:rsidRPr="00BB76C7">
              <w:rPr>
                <w:szCs w:val="18"/>
              </w:rPr>
              <w:t>Voorstel</w:t>
            </w:r>
          </w:p>
        </w:tc>
        <w:tc>
          <w:tcPr>
            <w:tcW w:w="6529" w:type="dxa"/>
          </w:tcPr>
          <w:p w:rsidRPr="00BB76C7" w:rsidR="002A4BD8" w:rsidP="003A21AA" w:rsidRDefault="00BB76C7">
            <w:pPr>
              <w:spacing w:after="240"/>
              <w:rPr>
                <w:szCs w:val="18"/>
              </w:rPr>
            </w:pPr>
            <w:r w:rsidRPr="00BB76C7">
              <w:rPr>
                <w:szCs w:val="18"/>
              </w:rPr>
              <w:t>Voor kennisgeving aannemen.</w:t>
            </w:r>
          </w:p>
        </w:tc>
      </w:tr>
      <w:tr w:rsidRPr="00BB76C7"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BB76C7" w:rsidR="002A4BD8" w:rsidP="003A21AA" w:rsidRDefault="002A4BD8">
            <w:pPr>
              <w:spacing w:after="240"/>
              <w:rPr>
                <w:color w:val="595959" w:themeColor="text1" w:themeTint="A6"/>
                <w:szCs w:val="18"/>
              </w:rPr>
            </w:pPr>
          </w:p>
        </w:tc>
        <w:tc>
          <w:tcPr>
            <w:tcW w:w="1035" w:type="dxa"/>
          </w:tcPr>
          <w:p w:rsidRPr="00BB76C7" w:rsidR="002A4BD8" w:rsidP="003A21AA" w:rsidRDefault="002A4BD8">
            <w:pPr>
              <w:spacing w:after="240"/>
              <w:rPr>
                <w:color w:val="595959" w:themeColor="text1" w:themeTint="A6"/>
                <w:szCs w:val="18"/>
              </w:rPr>
            </w:pPr>
            <w:r w:rsidRPr="00BB76C7">
              <w:rPr>
                <w:color w:val="595959" w:themeColor="text1" w:themeTint="A6"/>
                <w:szCs w:val="18"/>
              </w:rPr>
              <w:t>Noot</w:t>
            </w:r>
          </w:p>
        </w:tc>
        <w:tc>
          <w:tcPr>
            <w:tcW w:w="6529" w:type="dxa"/>
          </w:tcPr>
          <w:p w:rsidRPr="00BB76C7" w:rsidR="00BB76C7" w:rsidP="00BB76C7" w:rsidRDefault="00BB76C7">
            <w:pPr>
              <w:spacing w:after="240"/>
              <w:rPr>
                <w:color w:val="595959" w:themeColor="text1" w:themeTint="A6"/>
                <w:szCs w:val="18"/>
              </w:rPr>
            </w:pPr>
            <w:r w:rsidRPr="00BB76C7">
              <w:rPr>
                <w:color w:val="595959" w:themeColor="text1" w:themeTint="A6"/>
                <w:szCs w:val="18"/>
              </w:rPr>
              <w:t xml:space="preserve">Dit betreft een verslag over de implementatie van de leenfaciliteit voor de publieke sector, een van de drie pijlers van het Just </w:t>
            </w:r>
            <w:proofErr w:type="spellStart"/>
            <w:r w:rsidRPr="00BB76C7">
              <w:rPr>
                <w:color w:val="595959" w:themeColor="text1" w:themeTint="A6"/>
                <w:szCs w:val="18"/>
              </w:rPr>
              <w:t>Transition</w:t>
            </w:r>
            <w:proofErr w:type="spellEnd"/>
            <w:r w:rsidRPr="00BB76C7">
              <w:rPr>
                <w:color w:val="595959" w:themeColor="text1" w:themeTint="A6"/>
                <w:szCs w:val="18"/>
              </w:rPr>
              <w:t xml:space="preserve"> </w:t>
            </w:r>
            <w:proofErr w:type="spellStart"/>
            <w:r w:rsidRPr="00BB76C7">
              <w:rPr>
                <w:color w:val="595959" w:themeColor="text1" w:themeTint="A6"/>
                <w:szCs w:val="18"/>
              </w:rPr>
              <w:t>Mechanism</w:t>
            </w:r>
            <w:proofErr w:type="spellEnd"/>
            <w:r w:rsidRPr="00BB76C7">
              <w:rPr>
                <w:color w:val="595959" w:themeColor="text1" w:themeTint="A6"/>
                <w:szCs w:val="18"/>
              </w:rPr>
              <w:t xml:space="preserve">. Het voornaamste doel van het mechanisme is steun verlenen aan de meest getroffen regio’s en personen en hen te helpen bij het verlichten van de </w:t>
            </w:r>
            <w:proofErr w:type="spellStart"/>
            <w:proofErr w:type="gramStart"/>
            <w:r w:rsidRPr="00BB76C7">
              <w:rPr>
                <w:color w:val="595959" w:themeColor="text1" w:themeTint="A6"/>
                <w:szCs w:val="18"/>
              </w:rPr>
              <w:t>sociaal-economische</w:t>
            </w:r>
            <w:proofErr w:type="spellEnd"/>
            <w:proofErr w:type="gramEnd"/>
            <w:r w:rsidRPr="00BB76C7">
              <w:rPr>
                <w:color w:val="595959" w:themeColor="text1" w:themeTint="A6"/>
                <w:szCs w:val="18"/>
              </w:rPr>
              <w:t xml:space="preserve"> kosten van de klimaattransitie. In het verslag wordt geconcludeerd dat er nog maar net een begin is gemaakt met de uitvoering van de faciliteit en </w:t>
            </w:r>
            <w:r>
              <w:rPr>
                <w:color w:val="595959" w:themeColor="text1" w:themeTint="A6"/>
                <w:szCs w:val="18"/>
              </w:rPr>
              <w:lastRenderedPageBreak/>
              <w:t xml:space="preserve">daarom is </w:t>
            </w:r>
            <w:r w:rsidRPr="00BB76C7">
              <w:rPr>
                <w:color w:val="595959" w:themeColor="text1" w:themeTint="A6"/>
                <w:szCs w:val="18"/>
              </w:rPr>
              <w:t xml:space="preserve">dit eerste verslag </w:t>
            </w:r>
            <w:r>
              <w:rPr>
                <w:color w:val="595959" w:themeColor="text1" w:themeTint="A6"/>
                <w:szCs w:val="18"/>
              </w:rPr>
              <w:t>slechts t</w:t>
            </w:r>
            <w:r w:rsidRPr="00BB76C7">
              <w:rPr>
                <w:color w:val="595959" w:themeColor="text1" w:themeTint="A6"/>
                <w:szCs w:val="18"/>
              </w:rPr>
              <w:t>oegespitst op het beschrijven van de belangrijkste voorbereidende stappen die tot op heden ondernomen zijn.</w:t>
            </w:r>
          </w:p>
          <w:p w:rsidRPr="00BB76C7" w:rsidR="002A4BD8" w:rsidP="00E47C07" w:rsidRDefault="002A4BD8">
            <w:pPr>
              <w:spacing w:after="240"/>
              <w:rPr>
                <w:color w:val="595959" w:themeColor="text1" w:themeTint="A6"/>
                <w:szCs w:val="18"/>
              </w:rPr>
            </w:pPr>
          </w:p>
        </w:tc>
      </w:tr>
    </w:tbl>
    <w:p w:rsidRPr="00BB76C7" w:rsidR="002A4BD8" w:rsidP="002A4BD8" w:rsidRDefault="002A4BD8">
      <w:pPr>
        <w:rPr>
          <w:szCs w:val="18"/>
        </w:rPr>
      </w:pPr>
    </w:p>
    <w:p w:rsidRPr="00BB76C7" w:rsidR="002A4BD8" w:rsidP="002A4BD8" w:rsidRDefault="002A4BD8">
      <w:pPr>
        <w:rPr>
          <w:szCs w:val="18"/>
        </w:rPr>
      </w:pPr>
    </w:p>
    <w:p w:rsidRPr="00BB76C7" w:rsidR="00DF5A2E" w:rsidP="002A4BD8" w:rsidRDefault="00DF5A2E">
      <w:pPr>
        <w:rPr>
          <w:szCs w:val="18"/>
        </w:rPr>
      </w:pPr>
    </w:p>
    <w:p w:rsidRPr="00BB76C7" w:rsidR="00DF5A2E" w:rsidP="002A4BD8" w:rsidRDefault="00DF5A2E">
      <w:pPr>
        <w:rPr>
          <w:szCs w:val="18"/>
        </w:rPr>
      </w:pPr>
    </w:p>
    <w:p w:rsidRPr="00BB76C7" w:rsidR="006E5214" w:rsidP="002A4BD8" w:rsidRDefault="006E5214">
      <w:pPr>
        <w:rPr>
          <w:szCs w:val="18"/>
        </w:rPr>
      </w:pPr>
    </w:p>
    <w:p w:rsidRPr="00BB76C7" w:rsidR="006E5214" w:rsidP="002A4BD8" w:rsidRDefault="006E5214">
      <w:pPr>
        <w:rPr>
          <w:szCs w:val="18"/>
        </w:rPr>
      </w:pPr>
    </w:p>
    <w:sectPr w:rsidRPr="00BB76C7" w:rsidR="006E5214"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6708" w:rsidRDefault="00946708">
      <w:r>
        <w:separator/>
      </w:r>
    </w:p>
  </w:endnote>
  <w:endnote w:type="continuationSeparator" w:id="0">
    <w:p w:rsidR="00946708" w:rsidRDefault="0094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193021">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193021">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193021">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193021">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6708" w:rsidRDefault="00946708">
      <w:r>
        <w:separator/>
      </w:r>
    </w:p>
  </w:footnote>
  <w:footnote w:type="continuationSeparator" w:id="0">
    <w:p w:rsidR="00946708" w:rsidRDefault="00946708">
      <w:r>
        <w:continuationSeparator/>
      </w:r>
    </w:p>
  </w:footnote>
  <w:footnote w:id="1">
    <w:p w:rsidR="00A9227F" w:rsidRDefault="00A9227F" w:rsidP="00A922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44C7"/>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257B"/>
    <w:rsid w:val="00182BD5"/>
    <w:rsid w:val="00187402"/>
    <w:rsid w:val="0018775E"/>
    <w:rsid w:val="00192F0E"/>
    <w:rsid w:val="00193021"/>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363A"/>
    <w:rsid w:val="002F45EE"/>
    <w:rsid w:val="003023F3"/>
    <w:rsid w:val="0030416C"/>
    <w:rsid w:val="003066D7"/>
    <w:rsid w:val="0031228D"/>
    <w:rsid w:val="00313734"/>
    <w:rsid w:val="003154A8"/>
    <w:rsid w:val="0031630D"/>
    <w:rsid w:val="003214FD"/>
    <w:rsid w:val="00322A38"/>
    <w:rsid w:val="00324A4E"/>
    <w:rsid w:val="0032616D"/>
    <w:rsid w:val="0032695B"/>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434E2"/>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D00E8"/>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708"/>
    <w:rsid w:val="00946E0E"/>
    <w:rsid w:val="009531A4"/>
    <w:rsid w:val="00956342"/>
    <w:rsid w:val="009575DB"/>
    <w:rsid w:val="00962A95"/>
    <w:rsid w:val="009647CC"/>
    <w:rsid w:val="00970CA0"/>
    <w:rsid w:val="0097614E"/>
    <w:rsid w:val="00981B9B"/>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78F9"/>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03CD"/>
    <w:rsid w:val="00A9227F"/>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B76C7"/>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25736"/>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35D0"/>
    <w:rsid w:val="00CE5B08"/>
    <w:rsid w:val="00CE6987"/>
    <w:rsid w:val="00CF0772"/>
    <w:rsid w:val="00CF7ECD"/>
    <w:rsid w:val="00D03DA0"/>
    <w:rsid w:val="00D04E0E"/>
    <w:rsid w:val="00D05232"/>
    <w:rsid w:val="00D06AD2"/>
    <w:rsid w:val="00D06BD8"/>
    <w:rsid w:val="00D11FD5"/>
    <w:rsid w:val="00D14580"/>
    <w:rsid w:val="00D14A89"/>
    <w:rsid w:val="00D152E7"/>
    <w:rsid w:val="00D201CB"/>
    <w:rsid w:val="00D201E3"/>
    <w:rsid w:val="00D206E8"/>
    <w:rsid w:val="00D212CA"/>
    <w:rsid w:val="00D233A8"/>
    <w:rsid w:val="00D26280"/>
    <w:rsid w:val="00D27FE7"/>
    <w:rsid w:val="00D303E7"/>
    <w:rsid w:val="00D3073E"/>
    <w:rsid w:val="00D30C85"/>
    <w:rsid w:val="00D36A44"/>
    <w:rsid w:val="00D37010"/>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47C07"/>
    <w:rsid w:val="00E53C1E"/>
    <w:rsid w:val="00E63829"/>
    <w:rsid w:val="00E6432B"/>
    <w:rsid w:val="00E666D4"/>
    <w:rsid w:val="00E67989"/>
    <w:rsid w:val="00E80096"/>
    <w:rsid w:val="00E80FBD"/>
    <w:rsid w:val="00E82B47"/>
    <w:rsid w:val="00E84D83"/>
    <w:rsid w:val="00E86E93"/>
    <w:rsid w:val="00E95AAA"/>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92D1D07"/>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Standaard1">
    <w:name w:val="Standaard1"/>
    <w:basedOn w:val="Standaard"/>
    <w:rsid w:val="00BB76C7"/>
    <w:pPr>
      <w:spacing w:before="100" w:beforeAutospacing="1" w:after="100" w:afterAutospacing="1"/>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57690987">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3661800">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568751">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15196696">
      <w:bodyDiv w:val="1"/>
      <w:marLeft w:val="0"/>
      <w:marRight w:val="0"/>
      <w:marTop w:val="0"/>
      <w:marBottom w:val="0"/>
      <w:divBdr>
        <w:top w:val="none" w:sz="0" w:space="0" w:color="auto"/>
        <w:left w:val="none" w:sz="0" w:space="0" w:color="auto"/>
        <w:bottom w:val="none" w:sz="0" w:space="0" w:color="auto"/>
        <w:right w:val="none" w:sz="0" w:space="0" w:color="auto"/>
      </w:divBdr>
    </w:div>
    <w:div w:id="1264338918">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20806895">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61310722">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2.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hyperlink" Target="https://eur-lex.europa.eu/legal-content/EN/TXT/?uri=COM%3A2023%3A60%3AFIN&amp;qid=1675773868502" TargetMode="Externa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eur-lex.europa.eu/legal-content/EN/TXT/?uri=CELEX%3A52023PC0074&amp;qid=1675771829497"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335</ap:Words>
  <ap:Characters>2228</ap:Characters>
  <ap:DocSecurity>4</ap:DocSecurity>
  <ap:Lines>18</ap:Lines>
  <ap:Paragraphs>5</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2558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2023-02-17T15:55:00.0000000Z</dcterms:created>
  <dcterms:modified xsi:type="dcterms:W3CDTF">2023-02-17T15:55:00.0000000Z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0x0101003EBEF98046509448AC7610C7D5538E30</vt:lpwstr>
  </property>
  <property fmtid="{D5CDD505-2E9C-101B-9397-08002B2CF9AE}" pid="3" name="_dlc_DocIdItemGuid">
    <vt:lpwstr>62124839-51f5-4381-9e34-02e5e40c7464</vt:lpwstr>
  </property>
</Properties>
</file>