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65E1" w:rsidR="00E557CA" w:rsidRDefault="008846F3" w14:paraId="5E904D9F" w14:textId="73581387">
      <w:pPr>
        <w:pStyle w:val="Standaardregelafstandtenminste"/>
        <w:rPr>
          <w:b/>
          <w:bCs/>
        </w:rPr>
      </w:pPr>
      <w:r w:rsidRPr="006B65E1">
        <w:rPr>
          <w:b/>
          <w:bCs/>
        </w:rPr>
        <w:t xml:space="preserve">Reactie aanbevelingen wetenschapstoets wetsvoorstel </w:t>
      </w:r>
      <w:r w:rsidRPr="006B65E1" w:rsidR="007D7471">
        <w:rPr>
          <w:b/>
          <w:bCs/>
        </w:rPr>
        <w:t>p</w:t>
      </w:r>
      <w:r w:rsidRPr="006B65E1">
        <w:rPr>
          <w:b/>
          <w:bCs/>
        </w:rPr>
        <w:t>lan van aanpak witwassen</w:t>
      </w:r>
    </w:p>
    <w:p w:rsidR="008846F3" w:rsidP="008846F3" w:rsidRDefault="008846F3" w14:paraId="5883248D" w14:textId="3A1E253E"/>
    <w:tbl>
      <w:tblPr>
        <w:tblStyle w:val="Tabelraster"/>
        <w:tblW w:w="0" w:type="auto"/>
        <w:tblLook w:val="04A0" w:firstRow="1" w:lastRow="0" w:firstColumn="1" w:lastColumn="0" w:noHBand="0" w:noVBand="1"/>
      </w:tblPr>
      <w:tblGrid>
        <w:gridCol w:w="3332"/>
        <w:gridCol w:w="5729"/>
      </w:tblGrid>
      <w:tr w:rsidR="008846F3" w:rsidTr="00396C85" w14:paraId="64A7701D" w14:textId="77777777">
        <w:tc>
          <w:tcPr>
            <w:tcW w:w="3369" w:type="dxa"/>
            <w:shd w:val="clear" w:color="auto" w:fill="D0CECE" w:themeFill="background2" w:themeFillShade="E6"/>
          </w:tcPr>
          <w:p w:rsidR="008846F3" w:rsidP="008846F3" w:rsidRDefault="008846F3" w14:paraId="189E26E6" w14:textId="77777777">
            <w:pPr>
              <w:rPr>
                <w:b/>
                <w:bCs/>
              </w:rPr>
            </w:pPr>
            <w:r w:rsidRPr="008846F3">
              <w:rPr>
                <w:b/>
                <w:bCs/>
              </w:rPr>
              <w:t>Aanbeveling</w:t>
            </w:r>
          </w:p>
          <w:p w:rsidRPr="008846F3" w:rsidR="00396C85" w:rsidP="008846F3" w:rsidRDefault="00396C85" w14:paraId="7E226A00" w14:textId="31800DCC">
            <w:pPr>
              <w:rPr>
                <w:b/>
                <w:bCs/>
              </w:rPr>
            </w:pPr>
          </w:p>
        </w:tc>
        <w:tc>
          <w:tcPr>
            <w:tcW w:w="5842" w:type="dxa"/>
            <w:shd w:val="clear" w:color="auto" w:fill="D0CECE" w:themeFill="background2" w:themeFillShade="E6"/>
          </w:tcPr>
          <w:p w:rsidRPr="008846F3" w:rsidR="008846F3" w:rsidP="008846F3" w:rsidRDefault="008846F3" w14:paraId="09498607" w14:textId="520A5B03">
            <w:pPr>
              <w:rPr>
                <w:b/>
                <w:bCs/>
              </w:rPr>
            </w:pPr>
            <w:r w:rsidRPr="008846F3">
              <w:rPr>
                <w:b/>
                <w:bCs/>
              </w:rPr>
              <w:t>Reactie</w:t>
            </w:r>
          </w:p>
        </w:tc>
      </w:tr>
      <w:tr w:rsidR="008846F3" w:rsidTr="008846F3" w14:paraId="61DE0F60" w14:textId="77777777">
        <w:tc>
          <w:tcPr>
            <w:tcW w:w="3369" w:type="dxa"/>
          </w:tcPr>
          <w:p w:rsidR="008846F3" w:rsidP="008846F3" w:rsidRDefault="008846F3" w14:paraId="321FD453" w14:textId="0A2148FA">
            <w:r>
              <w:t xml:space="preserve">1. Expliciteer de maatschappelijke opgave en maak de doelen meetbaar. </w:t>
            </w:r>
          </w:p>
          <w:p w:rsidR="008846F3" w:rsidP="008846F3" w:rsidRDefault="008846F3" w14:paraId="068503DF" w14:textId="17444BE2"/>
        </w:tc>
        <w:tc>
          <w:tcPr>
            <w:tcW w:w="5842" w:type="dxa"/>
          </w:tcPr>
          <w:p w:rsidRPr="00C105CF" w:rsidR="00C105CF" w:rsidP="00A757D5" w:rsidRDefault="009E2447" w14:paraId="2D07C4FB" w14:textId="2B4A2514">
            <w:pPr>
              <w:autoSpaceDN/>
              <w:spacing w:after="160" w:line="256" w:lineRule="auto"/>
              <w:textAlignment w:val="auto"/>
              <w:rPr>
                <w:color w:val="auto"/>
                <w:szCs w:val="22"/>
              </w:rPr>
            </w:pPr>
            <w:r>
              <w:t>W</w:t>
            </w:r>
            <w:r w:rsidR="00580DA9">
              <w:t>e</w:t>
            </w:r>
            <w:r>
              <w:t xml:space="preserve"> onderschrijven deze aanbevelin</w:t>
            </w:r>
            <w:r w:rsidR="00410C5F">
              <w:t>g</w:t>
            </w:r>
            <w:r w:rsidR="00580DA9">
              <w:t xml:space="preserve"> en zullen deze meenemen in de vormgeving van de verschillende evaluaties naar aanleiding van dit wetsvoorstel. </w:t>
            </w:r>
            <w:r w:rsidR="00C105CF">
              <w:t xml:space="preserve">De aanpak van witwassen </w:t>
            </w:r>
            <w:r w:rsidR="00A757D5">
              <w:t xml:space="preserve">en terrorismefinanciering </w:t>
            </w:r>
            <w:r w:rsidR="00C105CF">
              <w:t>is een onmisbare schakel in en een essentieel aanknopingspunt voor het voorkomen en bestrijden van criminaliteit. Criminelen mogen niet profiteren van hun activiteiten. Om dit te bereiken dient het financieel-economische stelsel beschermd te worden tegen witwassen</w:t>
            </w:r>
            <w:r w:rsidR="00A757D5">
              <w:t xml:space="preserve"> en terrorismefinanciering</w:t>
            </w:r>
            <w:r w:rsidR="00C105CF">
              <w:t>. Dit om</w:t>
            </w:r>
            <w:r w:rsidR="00A757D5">
              <w:t xml:space="preserve"> misbruik van</w:t>
            </w:r>
            <w:r w:rsidR="00C105CF">
              <w:t xml:space="preserve"> het systeem </w:t>
            </w:r>
            <w:r w:rsidR="00A757D5">
              <w:t>voor criminele doeleinden te voorkomen</w:t>
            </w:r>
            <w:r w:rsidR="00580DA9">
              <w:t xml:space="preserve">. </w:t>
            </w:r>
            <w:r w:rsidR="007E04D8">
              <w:t>Daartoe is het</w:t>
            </w:r>
            <w:r w:rsidR="00C105CF">
              <w:t xml:space="preserve"> van groot belang dat witwassen </w:t>
            </w:r>
            <w:r w:rsidR="00A757D5">
              <w:t xml:space="preserve">en terrorismefinanciering </w:t>
            </w:r>
            <w:r w:rsidR="00C105CF">
              <w:t>op een gezamenlijke en effectieve wijze wordt tegen</w:t>
            </w:r>
            <w:r w:rsidR="005D5916">
              <w:t>ge</w:t>
            </w:r>
            <w:r w:rsidR="00C105CF">
              <w:t>gaan</w:t>
            </w:r>
            <w:r w:rsidR="00580DA9">
              <w:t>.</w:t>
            </w:r>
            <w:r w:rsidR="007E04D8">
              <w:t xml:space="preserve"> Een</w:t>
            </w:r>
            <w:r w:rsidR="006A50FF">
              <w:t xml:space="preserve"> </w:t>
            </w:r>
            <w:r w:rsidR="00580DA9">
              <w:t>van de</w:t>
            </w:r>
            <w:r w:rsidR="007E04D8">
              <w:t xml:space="preserve"> midde</w:t>
            </w:r>
            <w:r w:rsidR="00580DA9">
              <w:t>len</w:t>
            </w:r>
            <w:r w:rsidR="007E04D8">
              <w:t xml:space="preserve"> hier</w:t>
            </w:r>
            <w:r w:rsidR="00580DA9">
              <w:t>toe</w:t>
            </w:r>
            <w:r w:rsidR="007E04D8">
              <w:t xml:space="preserve"> is het versterken van de poortwachtersfunctie</w:t>
            </w:r>
            <w:r w:rsidR="00A1598F">
              <w:t>. Versterken van de poortwachtersfunctie</w:t>
            </w:r>
            <w:r w:rsidR="007E04D8">
              <w:t xml:space="preserve"> </w:t>
            </w:r>
            <w:r w:rsidR="00A1598F">
              <w:t xml:space="preserve">wordt beoogd </w:t>
            </w:r>
            <w:r w:rsidR="007E04D8">
              <w:t xml:space="preserve">met </w:t>
            </w:r>
            <w:r w:rsidR="005A6111">
              <w:t>de</w:t>
            </w:r>
            <w:r w:rsidR="006A50FF">
              <w:t xml:space="preserve"> </w:t>
            </w:r>
            <w:r w:rsidR="005A6111">
              <w:t>maatregelen</w:t>
            </w:r>
            <w:r w:rsidR="006A50FF">
              <w:t xml:space="preserve"> voor gezamenlijke transactiemonitoring en het uitwisselen </w:t>
            </w:r>
            <w:r w:rsidR="005D5916">
              <w:t xml:space="preserve">van </w:t>
            </w:r>
            <w:r w:rsidR="006A50FF">
              <w:t>informatie bij verhoogde risico’s</w:t>
            </w:r>
            <w:r w:rsidR="007E04D8">
              <w:t>.</w:t>
            </w:r>
            <w:r w:rsidR="006A50FF">
              <w:t xml:space="preserve"> </w:t>
            </w:r>
            <w:r w:rsidR="00580DA9">
              <w:t>Een ander</w:t>
            </w:r>
            <w:r w:rsidR="006A50FF">
              <w:t xml:space="preserve"> middel is </w:t>
            </w:r>
            <w:r w:rsidR="00580DA9">
              <w:t>het verhogen van</w:t>
            </w:r>
            <w:r w:rsidR="006A50FF">
              <w:t xml:space="preserve"> de </w:t>
            </w:r>
            <w:r w:rsidR="00C27CE1">
              <w:t>barrières</w:t>
            </w:r>
            <w:r w:rsidR="006A50FF">
              <w:t xml:space="preserve"> voor criminelen</w:t>
            </w:r>
            <w:r w:rsidR="00580DA9">
              <w:t xml:space="preserve"> om geld wit te wassen. Dit wordt</w:t>
            </w:r>
            <w:r w:rsidR="006A50FF">
              <w:t xml:space="preserve"> beoogd met </w:t>
            </w:r>
            <w:r w:rsidR="005D5916">
              <w:t xml:space="preserve">het </w:t>
            </w:r>
            <w:r w:rsidR="006A50FF">
              <w:t xml:space="preserve">verbod op contante betalingen voor goederen vanaf € 3.000. </w:t>
            </w:r>
            <w:r w:rsidR="007E04D8">
              <w:t xml:space="preserve"> </w:t>
            </w:r>
          </w:p>
          <w:p w:rsidR="008846F3" w:rsidP="007B3E24" w:rsidRDefault="009E2447" w14:paraId="37F234BD" w14:textId="54F08D20">
            <w:pPr>
              <w:autoSpaceDN/>
              <w:spacing w:after="160" w:line="256" w:lineRule="auto"/>
              <w:textAlignment w:val="auto"/>
            </w:pPr>
            <w:r>
              <w:t>In zijn algemeenheid onderschrijven wij de aanbeveling om</w:t>
            </w:r>
            <w:r w:rsidR="005D5916">
              <w:t xml:space="preserve"> de</w:t>
            </w:r>
            <w:r w:rsidR="008B07EE">
              <w:t xml:space="preserve"> maatschappelijke opgave om witwassen te voorkomen en bestrijden te expliciteren en de doelen meetbaar te maken. Daartoe hebben wij in onze beleidsagenda witwassen</w:t>
            </w:r>
            <w:r w:rsidR="008B07EE">
              <w:rPr>
                <w:rStyle w:val="Voetnootmarkering"/>
              </w:rPr>
              <w:footnoteReference w:id="1"/>
            </w:r>
            <w:r w:rsidR="008B07EE">
              <w:t xml:space="preserve"> </w:t>
            </w:r>
            <w:r w:rsidR="00690591">
              <w:t xml:space="preserve">als één van de drie prioriteiten aangemerkt </w:t>
            </w:r>
            <w:r w:rsidR="008B07EE">
              <w:t>‘</w:t>
            </w:r>
            <w:r w:rsidR="00690591">
              <w:t>m</w:t>
            </w:r>
            <w:r w:rsidR="008B07EE">
              <w:t xml:space="preserve">eten om te weten’. Onderdeel van deze prioriteit zijn het vaststellen </w:t>
            </w:r>
            <w:r w:rsidR="005D5916">
              <w:t xml:space="preserve">van </w:t>
            </w:r>
            <w:r w:rsidR="008B07EE">
              <w:t xml:space="preserve">meetbare doelen en </w:t>
            </w:r>
            <w:r w:rsidR="005D5916">
              <w:t xml:space="preserve">het </w:t>
            </w:r>
            <w:r w:rsidR="008B07EE">
              <w:t xml:space="preserve">bijhouden </w:t>
            </w:r>
            <w:r w:rsidR="005D5916">
              <w:t xml:space="preserve">van </w:t>
            </w:r>
            <w:r w:rsidR="008B07EE">
              <w:t xml:space="preserve">statistieken, beter gebruik en verdieping </w:t>
            </w:r>
            <w:r w:rsidR="005D5916">
              <w:t xml:space="preserve">van het </w:t>
            </w:r>
            <w:r w:rsidR="008B07EE">
              <w:t xml:space="preserve">National Risk Assessment en het verbeteren </w:t>
            </w:r>
            <w:r w:rsidR="005D5916">
              <w:t xml:space="preserve">van </w:t>
            </w:r>
            <w:r w:rsidR="008B07EE">
              <w:t xml:space="preserve">inzicht in </w:t>
            </w:r>
            <w:r w:rsidR="005D5916">
              <w:t xml:space="preserve">het </w:t>
            </w:r>
            <w:r w:rsidR="008B07EE">
              <w:t xml:space="preserve">gebruik </w:t>
            </w:r>
            <w:r w:rsidR="005D5916">
              <w:t xml:space="preserve">van </w:t>
            </w:r>
            <w:r w:rsidR="008B07EE">
              <w:t xml:space="preserve">verdachte transacties en </w:t>
            </w:r>
            <w:r w:rsidR="005D5916">
              <w:t xml:space="preserve">de </w:t>
            </w:r>
            <w:r w:rsidR="008B07EE">
              <w:t xml:space="preserve">feedback-loop naar private instellingen. </w:t>
            </w:r>
          </w:p>
        </w:tc>
      </w:tr>
      <w:tr w:rsidR="008846F3" w:rsidTr="008846F3" w14:paraId="246EDB10" w14:textId="77777777">
        <w:tc>
          <w:tcPr>
            <w:tcW w:w="3369" w:type="dxa"/>
          </w:tcPr>
          <w:p w:rsidR="008846F3" w:rsidP="008846F3" w:rsidRDefault="008846F3" w14:paraId="2D121BF8" w14:textId="77777777">
            <w:r>
              <w:t>2. Breid het verbod uit met diensten.</w:t>
            </w:r>
          </w:p>
          <w:p w:rsidR="008846F3" w:rsidP="008846F3" w:rsidRDefault="008846F3" w14:paraId="1F00B21D" w14:textId="6FA521E4"/>
        </w:tc>
        <w:tc>
          <w:tcPr>
            <w:tcW w:w="5842" w:type="dxa"/>
          </w:tcPr>
          <w:p w:rsidR="00194AEE" w:rsidP="008846F3" w:rsidRDefault="00194AEE" w14:paraId="18FEA5BA" w14:textId="39220F69">
            <w:r w:rsidRPr="00194AEE">
              <w:t xml:space="preserve">Bij de </w:t>
            </w:r>
            <w:r w:rsidR="00BD0F51">
              <w:t>vormgeving</w:t>
            </w:r>
            <w:r w:rsidRPr="00194AEE">
              <w:t xml:space="preserve"> van het verbod is gekeken naar effectiviteit, uitvoerbaarheid en naar het belang en de toegankelijkheid van het betalingsverkeer.</w:t>
            </w:r>
            <w:r>
              <w:t xml:space="preserve"> Om die reden is i</w:t>
            </w:r>
            <w:r w:rsidRPr="00194AEE">
              <w:t xml:space="preserve">n de huidige </w:t>
            </w:r>
            <w:r w:rsidR="00BD0F51">
              <w:t>vormgeving</w:t>
            </w:r>
            <w:r w:rsidRPr="00194AEE">
              <w:t xml:space="preserve"> van het verbod ervoor gekozen om diensten buiten de reikwijdte te </w:t>
            </w:r>
            <w:r w:rsidR="00BD0F51">
              <w:t>laten</w:t>
            </w:r>
            <w:r w:rsidRPr="00194AEE">
              <w:t xml:space="preserve">. </w:t>
            </w:r>
            <w:r>
              <w:t>B</w:t>
            </w:r>
            <w:r w:rsidRPr="00194AEE">
              <w:t>eroeps- en bedrijfsmatige handelaren in goederen val</w:t>
            </w:r>
            <w:r>
              <w:t>len</w:t>
            </w:r>
            <w:r w:rsidRPr="00194AEE">
              <w:t xml:space="preserve"> op dit moment al onder de reikwijdte van de </w:t>
            </w:r>
            <w:proofErr w:type="spellStart"/>
            <w:r w:rsidRPr="00194AEE">
              <w:t>Wwft</w:t>
            </w:r>
            <w:proofErr w:type="spellEnd"/>
            <w:r w:rsidRPr="00194AEE">
              <w:t>. Dit is niet het geval voor dienst</w:t>
            </w:r>
            <w:r w:rsidR="00BD0F51">
              <w:t>verleners</w:t>
            </w:r>
            <w:r w:rsidRPr="00194AEE">
              <w:t>.</w:t>
            </w:r>
            <w:r>
              <w:t xml:space="preserve"> Het opnemen van dienst</w:t>
            </w:r>
            <w:r w:rsidR="00BD0F51">
              <w:t>verleners</w:t>
            </w:r>
            <w:r>
              <w:t xml:space="preserve"> zou </w:t>
            </w:r>
            <w:r w:rsidR="00690591">
              <w:t>een</w:t>
            </w:r>
            <w:r w:rsidR="00EC47E1">
              <w:t xml:space="preserve"> forse uitbreiding van het aantal </w:t>
            </w:r>
            <w:proofErr w:type="spellStart"/>
            <w:r w:rsidR="00EC47E1">
              <w:t>Wwft</w:t>
            </w:r>
            <w:proofErr w:type="spellEnd"/>
            <w:r w:rsidR="00EC47E1">
              <w:t>-instellingen inhouden</w:t>
            </w:r>
            <w:r>
              <w:t xml:space="preserve"> en betekenen dat de taakstelling van bestaande toezichthouders moet worden </w:t>
            </w:r>
            <w:r w:rsidR="00690591">
              <w:t xml:space="preserve">uitgebreid, </w:t>
            </w:r>
            <w:r>
              <w:t xml:space="preserve">met de </w:t>
            </w:r>
            <w:r w:rsidR="00690591">
              <w:t>daarmee</w:t>
            </w:r>
            <w:r>
              <w:t xml:space="preserve"> gepaard gaande kosten.</w:t>
            </w:r>
            <w:r w:rsidR="006F05C5">
              <w:t xml:space="preserve"> Om die reden is ervoor gekozen diensten nu niet op te nemen in de reikwijdte </w:t>
            </w:r>
            <w:r w:rsidR="00BD0F51">
              <w:t xml:space="preserve">van het verbod </w:t>
            </w:r>
            <w:r w:rsidR="006F05C5">
              <w:t xml:space="preserve">en na de evaluatie van </w:t>
            </w:r>
            <w:r w:rsidR="00BD0F51">
              <w:t>het verbod</w:t>
            </w:r>
            <w:r w:rsidR="006F05C5">
              <w:t xml:space="preserve"> te bepalen of het opnemen van diensten in de reikwijdte alsnog gewenst is. </w:t>
            </w:r>
          </w:p>
          <w:p w:rsidR="00194AEE" w:rsidP="008846F3" w:rsidRDefault="00690591" w14:paraId="5958DBE2" w14:textId="243C0D90">
            <w:r>
              <w:t xml:space="preserve"> </w:t>
            </w:r>
          </w:p>
          <w:p w:rsidR="008846F3" w:rsidP="008846F3" w:rsidRDefault="00BD0F51" w14:paraId="1CB18ABA" w14:textId="0713F8CA">
            <w:r>
              <w:t xml:space="preserve">Een extra reden om </w:t>
            </w:r>
            <w:r w:rsidR="00F82C1B">
              <w:t xml:space="preserve">diensten </w:t>
            </w:r>
            <w:r>
              <w:t>buiten</w:t>
            </w:r>
            <w:r w:rsidR="00F82C1B">
              <w:t xml:space="preserve"> de reikwijdte </w:t>
            </w:r>
            <w:r>
              <w:t>van het verbod te houden, zijn</w:t>
            </w:r>
            <w:r w:rsidR="00F82C1B">
              <w:t xml:space="preserve"> de onderhandelingen die momenteel </w:t>
            </w:r>
            <w:r>
              <w:t>b</w:t>
            </w:r>
            <w:r w:rsidR="00F82C1B">
              <w:t>in</w:t>
            </w:r>
            <w:r>
              <w:t>nen de</w:t>
            </w:r>
            <w:r w:rsidR="00F82C1B">
              <w:t xml:space="preserve"> Europ</w:t>
            </w:r>
            <w:r>
              <w:t>ese Unie</w:t>
            </w:r>
            <w:r w:rsidR="00F82C1B">
              <w:t xml:space="preserve"> </w:t>
            </w:r>
            <w:r w:rsidR="00690591">
              <w:t xml:space="preserve">plaatsvinden </w:t>
            </w:r>
            <w:r w:rsidR="00F82C1B">
              <w:t>over een Europees verbod op contante betalingen</w:t>
            </w:r>
            <w:r>
              <w:t xml:space="preserve"> </w:t>
            </w:r>
            <w:r w:rsidR="00902916">
              <w:t>vanaf</w:t>
            </w:r>
            <w:r>
              <w:t xml:space="preserve"> €10.000</w:t>
            </w:r>
            <w:r w:rsidR="00857FEC">
              <w:t xml:space="preserve"> (de bepaling </w:t>
            </w:r>
            <w:r w:rsidR="00857FEC">
              <w:lastRenderedPageBreak/>
              <w:t>laat lidstaten de ruimte om nationaal een lagere limiet te hanteren)</w:t>
            </w:r>
            <w:r w:rsidR="00F82C1B">
              <w:t xml:space="preserve">. </w:t>
            </w:r>
            <w:r w:rsidR="00194AEE">
              <w:t xml:space="preserve">Halverwege 2021 </w:t>
            </w:r>
            <w:r w:rsidR="006F05C5">
              <w:t xml:space="preserve">heeft de Europese Commissie </w:t>
            </w:r>
            <w:r>
              <w:t>een</w:t>
            </w:r>
            <w:r w:rsidR="006F05C5">
              <w:t xml:space="preserve"> voorstel gepubliceerd</w:t>
            </w:r>
            <w:r w:rsidR="00902916">
              <w:t>, waar dit verbod een onderdeel van uitmaakt</w:t>
            </w:r>
            <w:r w:rsidR="006F05C5">
              <w:t>.</w:t>
            </w:r>
            <w:r w:rsidR="007B3E24">
              <w:rPr>
                <w:rStyle w:val="Voetnootmarkering"/>
              </w:rPr>
              <w:footnoteReference w:id="2"/>
            </w:r>
            <w:r w:rsidR="006F05C5">
              <w:t xml:space="preserve"> </w:t>
            </w:r>
            <w:r w:rsidR="00857FEC">
              <w:t>Het voorgestelde Europese verbod ziet zowel op handelaren in goederen als op diensten</w:t>
            </w:r>
            <w:r w:rsidR="006F05C5">
              <w:t xml:space="preserve">. </w:t>
            </w:r>
            <w:r w:rsidR="00857FEC">
              <w:t xml:space="preserve">Omdat ‘diensten’ een nieuwe groep is in deze regelgeving, is nog niet helemaal duidelijk hoe deze groep afgebakend dient te worden. </w:t>
            </w:r>
            <w:r w:rsidR="008A7F5C">
              <w:t>Het is daarom niet opportuun om vooruit te lopen op dit Europese verbod door middel van nationale wetgeving</w:t>
            </w:r>
            <w:r w:rsidR="00857FEC">
              <w:t xml:space="preserve">. </w:t>
            </w:r>
          </w:p>
          <w:p w:rsidR="007B3E24" w:rsidP="008846F3" w:rsidRDefault="007B3E24" w14:paraId="78BDCD03" w14:textId="5CF0CB3B"/>
        </w:tc>
      </w:tr>
      <w:tr w:rsidR="008846F3" w:rsidTr="007B3E24" w14:paraId="7279CC51" w14:textId="77777777">
        <w:tc>
          <w:tcPr>
            <w:tcW w:w="3369" w:type="dxa"/>
          </w:tcPr>
          <w:p w:rsidR="008846F3" w:rsidP="008846F3" w:rsidRDefault="008846F3" w14:paraId="149662CA" w14:textId="03AC0C3A">
            <w:r>
              <w:lastRenderedPageBreak/>
              <w:t>3. Overweeg de transactiemonitoring te beleggen bij een entiteit zonder winstdoelstelling.</w:t>
            </w:r>
          </w:p>
          <w:p w:rsidR="008846F3" w:rsidP="008846F3" w:rsidRDefault="008846F3" w14:paraId="4BD6A8BD" w14:textId="2E7333C9"/>
        </w:tc>
        <w:tc>
          <w:tcPr>
            <w:tcW w:w="5842" w:type="dxa"/>
          </w:tcPr>
          <w:p w:rsidR="00817D73" w:rsidP="00817D73" w:rsidRDefault="00817D73" w14:paraId="64218CC8" w14:textId="5B3EDD30">
            <w:pPr>
              <w:autoSpaceDN/>
              <w:spacing w:after="160" w:line="256" w:lineRule="auto"/>
              <w:textAlignment w:val="auto"/>
            </w:pPr>
            <w:r>
              <w:t xml:space="preserve">Deze aanbeveling verhoudt zich lastig tot de poortwachtersfunctie, die centraal staat bij deze maatregel. De poortwachtersfunctie is een internationaal erkende pijler van de aanpak van witwassen. Het is inherent aan de poortwachtersfunctie dat deze is belegd bij instellingen die een winstoogmerk hebben, waaronder banken. Het centrale idee is </w:t>
            </w:r>
            <w:r w:rsidR="00690591">
              <w:t>immers</w:t>
            </w:r>
            <w:r>
              <w:t xml:space="preserve"> dat financiële dienstverleners het dicht</w:t>
            </w:r>
            <w:r w:rsidR="00690591">
              <w:t xml:space="preserve">st </w:t>
            </w:r>
            <w:r>
              <w:t>bij hun cliënten staan, de transacties uitvoeren en daarmee het beste in de positie zijn om te beoordelen of een transactie</w:t>
            </w:r>
            <w:r w:rsidR="005D5916">
              <w:t xml:space="preserve"> voor een specifieke cliënt</w:t>
            </w:r>
            <w:r>
              <w:t xml:space="preserve"> ongebruikelijk is of niet.</w:t>
            </w:r>
          </w:p>
          <w:p w:rsidR="00F5057A" w:rsidP="00817D73" w:rsidRDefault="00817D73" w14:paraId="05142FC8" w14:textId="11733401">
            <w:pPr>
              <w:autoSpaceDN/>
              <w:spacing w:after="160" w:line="256" w:lineRule="auto"/>
              <w:textAlignment w:val="auto"/>
            </w:pPr>
            <w:r>
              <w:t xml:space="preserve">Met het gezamenlijk monitoren van transacties wordt beoogd de poortwachtersfunctie van banken te versterken om de aanpak van witwassen effectiever te maken. Aangezien de poortwachtersfunctie bij entiteiten ligt met een winstoogmerk, lijkt het niet evident om voor dit specifieke deel van de poortwachtersfunctie een winstoogmerk uit te sluiten. </w:t>
            </w:r>
            <w:r w:rsidR="00690591">
              <w:t>O.i.</w:t>
            </w:r>
            <w:r>
              <w:t xml:space="preserve"> zijn waarborgen die zijn </w:t>
            </w:r>
            <w:r w:rsidR="00690591">
              <w:t xml:space="preserve">opgenomen </w:t>
            </w:r>
            <w:r>
              <w:t xml:space="preserve">in het wetsvoorstel op het gebied van privacy, </w:t>
            </w:r>
            <w:proofErr w:type="spellStart"/>
            <w:r>
              <w:t>governance</w:t>
            </w:r>
            <w:proofErr w:type="spellEnd"/>
            <w:r>
              <w:t xml:space="preserve"> en toegang van de toezichthouder effectievere instrumenten om te waarborgen dat de uitvoering van de wettelijke taak niet ten koste gaat van andere belangen.</w:t>
            </w:r>
          </w:p>
        </w:tc>
      </w:tr>
      <w:tr w:rsidR="008846F3" w:rsidTr="008846F3" w14:paraId="15636AB2" w14:textId="77777777">
        <w:tc>
          <w:tcPr>
            <w:tcW w:w="3369" w:type="dxa"/>
          </w:tcPr>
          <w:p w:rsidR="008846F3" w:rsidP="008846F3" w:rsidRDefault="008846F3" w14:paraId="1E0036B9" w14:textId="77777777">
            <w:r>
              <w:t>4. Stimuleer ook internationale samenwerking op dit terrein, om te beginnen in EU-verband.</w:t>
            </w:r>
          </w:p>
          <w:p w:rsidR="008846F3" w:rsidP="008846F3" w:rsidRDefault="008846F3" w14:paraId="45A03643" w14:textId="4A50EF7C"/>
        </w:tc>
        <w:tc>
          <w:tcPr>
            <w:tcW w:w="5842" w:type="dxa"/>
          </w:tcPr>
          <w:p w:rsidR="00C105CF" w:rsidP="00C105CF" w:rsidRDefault="009E2447" w14:paraId="5B9AA170" w14:textId="0E89319A">
            <w:r>
              <w:t>Wij onderschrijven deze aanbeveling</w:t>
            </w:r>
            <w:r w:rsidR="00D75A7C">
              <w:t xml:space="preserve"> van harte</w:t>
            </w:r>
            <w:r>
              <w:t xml:space="preserve">. </w:t>
            </w:r>
            <w:r w:rsidR="00C105CF">
              <w:t xml:space="preserve">Nederland </w:t>
            </w:r>
            <w:r w:rsidR="00817D73">
              <w:t xml:space="preserve">zet </w:t>
            </w:r>
            <w:r w:rsidR="00C105CF">
              <w:t xml:space="preserve">zich in </w:t>
            </w:r>
            <w:r w:rsidR="00817D73">
              <w:t>voor</w:t>
            </w:r>
            <w:r w:rsidR="00C105CF">
              <w:t xml:space="preserve"> internationale samenwerking in de bredere opgave om witwassen en het financieren van terrorisme te voorkomen. </w:t>
            </w:r>
            <w:r w:rsidR="00B70874">
              <w:t>Zo wordt i</w:t>
            </w:r>
            <w:r w:rsidR="00C105CF">
              <w:t>n EU</w:t>
            </w:r>
            <w:r w:rsidR="00B70874">
              <w:t>-</w:t>
            </w:r>
            <w:r w:rsidR="00C105CF">
              <w:t>verband, mede onder aansporing van Nederland, gewerkt aan de oprichting van een Europese anti</w:t>
            </w:r>
            <w:r w:rsidR="00B70874">
              <w:t>-</w:t>
            </w:r>
            <w:r w:rsidR="00C105CF">
              <w:t xml:space="preserve">witwasautoriteit (AMLA). Eén van de doelen van AMLA is om kennis over grensoverschrijdende risico’s beter in kaart te brengen en </w:t>
            </w:r>
            <w:r w:rsidR="00B70874">
              <w:t xml:space="preserve">de </w:t>
            </w:r>
            <w:r w:rsidR="00C105CF">
              <w:t>gezamenlijke aanpak daarvan te coördineren.</w:t>
            </w:r>
            <w:r w:rsidR="008B07EE">
              <w:t xml:space="preserve"> Daarnaast is voorzien dat </w:t>
            </w:r>
            <w:proofErr w:type="gramStart"/>
            <w:r w:rsidR="008B07EE">
              <w:t>AMLA toezicht</w:t>
            </w:r>
            <w:proofErr w:type="gramEnd"/>
            <w:r w:rsidR="008B07EE">
              <w:t xml:space="preserve"> zal houden op de meest risicovolle instellingen in de EU</w:t>
            </w:r>
            <w:r w:rsidR="00B70874">
              <w:t>.</w:t>
            </w:r>
            <w:r w:rsidR="008B07EE">
              <w:t xml:space="preserve"> </w:t>
            </w:r>
            <w:r w:rsidR="00C105CF">
              <w:t xml:space="preserve"> </w:t>
            </w:r>
          </w:p>
          <w:p w:rsidR="00C105CF" w:rsidP="00C105CF" w:rsidRDefault="00C105CF" w14:paraId="1FAE002D" w14:textId="77777777"/>
          <w:p w:rsidR="008846F3" w:rsidP="00C105CF" w:rsidRDefault="00C105CF" w14:paraId="0560D77C" w14:textId="7938265D">
            <w:r>
              <w:t xml:space="preserve">Aangezien zowel </w:t>
            </w:r>
            <w:r w:rsidR="005D5916">
              <w:t xml:space="preserve">de </w:t>
            </w:r>
            <w:proofErr w:type="spellStart"/>
            <w:r>
              <w:t>Wwft</w:t>
            </w:r>
            <w:proofErr w:type="spellEnd"/>
            <w:r>
              <w:t xml:space="preserve"> (voortkomend uit de Europese anti-witwasrichtlijn) en de AVG Europese kaders zijn is het zaak verduidelijking van de verhouding van deze twee kaders ook zo veel mogelijk in EU-verband vast te leggen. Daartoe heeft Nederland, samen </w:t>
            </w:r>
            <w:r w:rsidR="00690591">
              <w:t xml:space="preserve">met </w:t>
            </w:r>
            <w:r>
              <w:t xml:space="preserve">enkele andere lidstaten, tijdens de onderhandelingen voor de nieuwe anti-witwasverordening en richtlijn zich ingezet voor een verduidelijking van het kader voor gegevensverwerking bij het uitvoeren van de poortwachtersfunctie. Hierbij zijn de toegestane vormen van gegevensverwerking en uitwisseling </w:t>
            </w:r>
            <w:r>
              <w:lastRenderedPageBreak/>
              <w:t>tussen poortwachters geëxpliciteerd en zijn de daarbij vereiste waarborgen en voorwaarden opgenomen.</w:t>
            </w:r>
          </w:p>
          <w:p w:rsidR="00EC47E1" w:rsidP="00C105CF" w:rsidRDefault="00EC47E1" w14:paraId="2E4E857A" w14:textId="0437EC5A"/>
        </w:tc>
      </w:tr>
      <w:tr w:rsidR="008846F3" w:rsidTr="008846F3" w14:paraId="55321C7D" w14:textId="77777777">
        <w:tc>
          <w:tcPr>
            <w:tcW w:w="3369" w:type="dxa"/>
          </w:tcPr>
          <w:p w:rsidR="008846F3" w:rsidP="008846F3" w:rsidRDefault="008846F3" w14:paraId="67EB3060" w14:textId="1C0D09C2">
            <w:r>
              <w:lastRenderedPageBreak/>
              <w:t xml:space="preserve">5. Om inzicht te krijgen in </w:t>
            </w:r>
          </w:p>
          <w:p w:rsidR="008846F3" w:rsidP="008846F3" w:rsidRDefault="008846F3" w14:paraId="7D7A9562" w14:textId="77777777">
            <w:proofErr w:type="gramStart"/>
            <w:r>
              <w:t>de</w:t>
            </w:r>
            <w:proofErr w:type="gramEnd"/>
            <w:r>
              <w:t xml:space="preserve"> effectiviteit en efficiëntie van de beleidsinstrumenten moeten concrete indicatoren worden benoemd – zie hieronder sub 8 (evaluatie).</w:t>
            </w:r>
          </w:p>
          <w:p w:rsidR="008846F3" w:rsidP="008846F3" w:rsidRDefault="008846F3" w14:paraId="2200EC2F" w14:textId="4B39A4F8"/>
        </w:tc>
        <w:tc>
          <w:tcPr>
            <w:tcW w:w="5842" w:type="dxa"/>
          </w:tcPr>
          <w:p w:rsidR="00E34B00" w:rsidP="00C105CF" w:rsidRDefault="008B07EE" w14:paraId="2E413F75" w14:textId="1A76109A">
            <w:r>
              <w:t xml:space="preserve">Wij onderschrijven deze aanbeveling. </w:t>
            </w:r>
            <w:r w:rsidR="00C105CF">
              <w:t>In het wetsvoorstel is voorgeschreven da</w:t>
            </w:r>
            <w:r w:rsidR="007E04D8">
              <w:t>t</w:t>
            </w:r>
            <w:r w:rsidR="00C105CF">
              <w:t xml:space="preserve"> vier jaar na inwerkingtreding van de wet</w:t>
            </w:r>
            <w:r w:rsidR="00E34B00">
              <w:t xml:space="preserve"> </w:t>
            </w:r>
            <w:r w:rsidR="00C105CF">
              <w:t xml:space="preserve">een evaluatie </w:t>
            </w:r>
            <w:r w:rsidR="00E34B00">
              <w:t xml:space="preserve">wordt </w:t>
            </w:r>
            <w:r w:rsidR="00C105CF">
              <w:t>uit</w:t>
            </w:r>
            <w:r w:rsidR="00E34B00">
              <w:t>ge</w:t>
            </w:r>
            <w:r w:rsidR="00C105CF">
              <w:t>voer</w:t>
            </w:r>
            <w:r w:rsidR="00E34B00">
              <w:t>d</w:t>
            </w:r>
            <w:r w:rsidR="00C105CF">
              <w:t xml:space="preserve"> naar de effectiviteit van gezamenlijke transactiemonitoring en de naleving van de regels ten aanzien van de gegevensbescherming. De AP, DNB en de FIU-Nederland zullen nauw </w:t>
            </w:r>
            <w:r w:rsidR="00690591">
              <w:t xml:space="preserve">worden </w:t>
            </w:r>
            <w:r w:rsidR="00C105CF">
              <w:t xml:space="preserve">betrokken bij deze evaluatie in een adviserende rol. </w:t>
            </w:r>
            <w:r w:rsidR="00E34B00">
              <w:t xml:space="preserve">Bij het vormgeven van de evaluatie zal deze aanbeveling worden meegenomen. </w:t>
            </w:r>
            <w:r w:rsidR="00C105CF">
              <w:t xml:space="preserve">De evaluatie zal met de Kamer </w:t>
            </w:r>
            <w:r w:rsidR="00690591">
              <w:t xml:space="preserve">worden </w:t>
            </w:r>
            <w:r w:rsidR="00C105CF">
              <w:t>gedeeld.</w:t>
            </w:r>
            <w:r w:rsidR="00690591">
              <w:t xml:space="preserve"> </w:t>
            </w:r>
          </w:p>
          <w:p w:rsidR="008846F3" w:rsidP="00C105CF" w:rsidRDefault="00C105CF" w14:paraId="18717F6C" w14:textId="2E0FC690">
            <w:r>
              <w:t xml:space="preserve"> </w:t>
            </w:r>
          </w:p>
        </w:tc>
      </w:tr>
      <w:tr w:rsidR="008846F3" w:rsidTr="008846F3" w14:paraId="3C3EC5DF" w14:textId="77777777">
        <w:tc>
          <w:tcPr>
            <w:tcW w:w="3369" w:type="dxa"/>
          </w:tcPr>
          <w:p w:rsidR="008846F3" w:rsidP="008846F3" w:rsidRDefault="008846F3" w14:paraId="219A0EAC" w14:textId="2A893470">
            <w:r>
              <w:t xml:space="preserve">6. Stel geen grens voor gezamenlijke (geanonimiseerde) </w:t>
            </w:r>
          </w:p>
          <w:p w:rsidR="008846F3" w:rsidP="008846F3" w:rsidRDefault="008846F3" w14:paraId="2E31ADA2" w14:textId="77777777">
            <w:proofErr w:type="gramStart"/>
            <w:r>
              <w:t>monitoring</w:t>
            </w:r>
            <w:proofErr w:type="gramEnd"/>
            <w:r>
              <w:t xml:space="preserve"> van transacties tussen </w:t>
            </w:r>
          </w:p>
          <w:p w:rsidR="008846F3" w:rsidP="008846F3" w:rsidRDefault="008846F3" w14:paraId="521E6709" w14:textId="77777777">
            <w:proofErr w:type="gramStart"/>
            <w:r>
              <w:t>particulieren</w:t>
            </w:r>
            <w:proofErr w:type="gramEnd"/>
            <w:r>
              <w:t>, en indien nodig, stel deze niet te hoog.</w:t>
            </w:r>
          </w:p>
          <w:p w:rsidR="008846F3" w:rsidP="008846F3" w:rsidRDefault="008846F3" w14:paraId="7E7BC178" w14:textId="0FDDFC22"/>
        </w:tc>
        <w:tc>
          <w:tcPr>
            <w:tcW w:w="5842" w:type="dxa"/>
          </w:tcPr>
          <w:p w:rsidRPr="008B07EE" w:rsidR="008B07EE" w:rsidP="00817D73" w:rsidRDefault="008B07EE" w14:paraId="007429D0" w14:textId="3E679AF1">
            <w:pPr>
              <w:autoSpaceDN/>
              <w:spacing w:after="160" w:line="256" w:lineRule="auto"/>
              <w:textAlignment w:val="auto"/>
              <w:rPr>
                <w:color w:val="auto"/>
                <w:szCs w:val="22"/>
              </w:rPr>
            </w:pPr>
            <w:r>
              <w:t xml:space="preserve">Wij begrijpen deze aanbeveling. Wij erkennen dat het instellen van een grens van €100 voor </w:t>
            </w:r>
            <w:r w:rsidR="00E34B00">
              <w:t xml:space="preserve">transacties tussen </w:t>
            </w:r>
            <w:r>
              <w:t>particuliere</w:t>
            </w:r>
            <w:r w:rsidR="00E34B00">
              <w:t>n</w:t>
            </w:r>
            <w:r>
              <w:t xml:space="preserve"> </w:t>
            </w:r>
            <w:r w:rsidR="008A7F5C">
              <w:t xml:space="preserve">deels </w:t>
            </w:r>
            <w:r>
              <w:t xml:space="preserve">ten koste gaat van de effectiviteit van de gezamenlijke transactiemonitoring. </w:t>
            </w:r>
            <w:r w:rsidR="00690591">
              <w:t xml:space="preserve"> </w:t>
            </w:r>
          </w:p>
          <w:p w:rsidR="008B07EE" w:rsidP="00817D73" w:rsidRDefault="008B07EE" w14:paraId="0374BF3F" w14:textId="66376C14">
            <w:pPr>
              <w:autoSpaceDN/>
              <w:spacing w:after="160" w:line="256" w:lineRule="auto"/>
              <w:textAlignment w:val="auto"/>
            </w:pPr>
            <w:r>
              <w:t xml:space="preserve">Zoals ook de in </w:t>
            </w:r>
            <w:r w:rsidR="00690591">
              <w:t>w</w:t>
            </w:r>
            <w:r>
              <w:t xml:space="preserve">etenschapstoets wordt toegelicht ligt </w:t>
            </w:r>
            <w:r w:rsidR="005D5916">
              <w:t xml:space="preserve">het </w:t>
            </w:r>
            <w:r>
              <w:t xml:space="preserve">voor de hand dat criminelen hun gedrag aanpassen aan deze grens, kan deze grens </w:t>
            </w:r>
            <w:r w:rsidR="00690591">
              <w:t xml:space="preserve">worden </w:t>
            </w:r>
            <w:r>
              <w:t>misbruikt om grote transacties op te knippen in kleine transacties (</w:t>
            </w:r>
            <w:proofErr w:type="spellStart"/>
            <w:r w:rsidRPr="00690591">
              <w:rPr>
                <w:i/>
                <w:iCs/>
              </w:rPr>
              <w:t>smurfing</w:t>
            </w:r>
            <w:proofErr w:type="spellEnd"/>
            <w:r>
              <w:t xml:space="preserve">) en is bekend dat terrorismefinanciering </w:t>
            </w:r>
            <w:proofErr w:type="gramStart"/>
            <w:r>
              <w:t>middels</w:t>
            </w:r>
            <w:proofErr w:type="gramEnd"/>
            <w:r>
              <w:t xml:space="preserve"> kleine transacties kan geschieden. </w:t>
            </w:r>
            <w:r w:rsidR="00690591">
              <w:t xml:space="preserve"> </w:t>
            </w:r>
          </w:p>
          <w:p w:rsidR="008B07EE" w:rsidP="00817D73" w:rsidRDefault="008B07EE" w14:paraId="30D98D95" w14:textId="64823DBA">
            <w:pPr>
              <w:autoSpaceDN/>
              <w:spacing w:after="160" w:line="256" w:lineRule="auto"/>
              <w:textAlignment w:val="auto"/>
            </w:pPr>
            <w:r>
              <w:t xml:space="preserve">In eerdere versies van het wetsvoorstel werd geen grens gehanteerd. Naar aanleiding van kritiek van de Autoriteit Persoonsgegevens en de Raad van State op de ongedifferentieerde verzameling van persoonsgegevens is onderzocht op welke manier de verwerking van persoonsgegevens van particulieren zo veel mogelijk kan worden </w:t>
            </w:r>
            <w:r w:rsidR="00690591">
              <w:t xml:space="preserve">beperkt, om de verwerking meer proportioneel en evenrediger in te richten. Naast het bestrijden van witwassen en tegengaan van terrorismefinanciering vinden wij de bescherming van privacy ook van </w:t>
            </w:r>
            <w:r w:rsidR="006B1D65">
              <w:t xml:space="preserve">groot </w:t>
            </w:r>
            <w:r w:rsidR="00690591">
              <w:t>belang. Daarom hebben we gezocht naar een evenwicht tussen beide belangen</w:t>
            </w:r>
            <w:r w:rsidR="006B1D65">
              <w:t xml:space="preserve">, </w:t>
            </w:r>
            <w:r>
              <w:t xml:space="preserve">zonder al te veel afbreuk te doen aan de effectiviteit van de gezamenlijke transactiemonitoring. </w:t>
            </w:r>
          </w:p>
          <w:p w:rsidR="008846F3" w:rsidP="004D7F8A" w:rsidRDefault="008B07EE" w14:paraId="6CBA2588" w14:textId="0084D7E8">
            <w:pPr>
              <w:autoSpaceDN/>
              <w:spacing w:after="160" w:line="256" w:lineRule="auto"/>
              <w:textAlignment w:val="auto"/>
            </w:pPr>
            <w:r>
              <w:t xml:space="preserve">Daarom is in het kader van de hierboven genoemde afwegingen van evenredigheid en proportionaliteit, ervoor gekozen om transacties tot het bedrag van €100 tussen particulieren buiten de reikwijdte van de grondslag voor het gezamenlijk monitoren van transacties te laten vallen. </w:t>
            </w:r>
          </w:p>
        </w:tc>
      </w:tr>
      <w:tr w:rsidR="008846F3" w:rsidTr="008846F3" w14:paraId="3C1E6011" w14:textId="77777777">
        <w:tc>
          <w:tcPr>
            <w:tcW w:w="3369" w:type="dxa"/>
          </w:tcPr>
          <w:p w:rsidR="008846F3" w:rsidP="008846F3" w:rsidRDefault="008846F3" w14:paraId="2485580D" w14:textId="77777777">
            <w:r>
              <w:t>7. Vraag banken een indicatie te geven van het aantal transacties waarvoor gegevensdeling verplicht wordt, wat een kostenraming mogelijk maakt.</w:t>
            </w:r>
          </w:p>
          <w:p w:rsidR="008846F3" w:rsidP="008846F3" w:rsidRDefault="008846F3" w14:paraId="4F39D267" w14:textId="61D787E5"/>
        </w:tc>
        <w:tc>
          <w:tcPr>
            <w:tcW w:w="5842" w:type="dxa"/>
          </w:tcPr>
          <w:p w:rsidR="007D7471" w:rsidP="008846F3" w:rsidRDefault="007D7471" w14:paraId="64739184" w14:textId="0D2F1431">
            <w:r>
              <w:t xml:space="preserve">We gaan ervan uit dat deze aanbeveling ziet op de navraagplicht uit artikel 3b van het wetsvoorstel plan van aanpak witwassen, aangezien de wetenschappers hier spreken van een </w:t>
            </w:r>
            <w:r w:rsidRPr="00B35DD1">
              <w:rPr>
                <w:u w:val="single"/>
              </w:rPr>
              <w:t>verplichte</w:t>
            </w:r>
            <w:r>
              <w:t xml:space="preserve"> gegevensdeling. Bij het gezamenlijk monitoren van transacties is geen sprake van</w:t>
            </w:r>
            <w:r w:rsidR="006B1D65">
              <w:t xml:space="preserve"> een verplichting</w:t>
            </w:r>
            <w:r>
              <w:t xml:space="preserve">. </w:t>
            </w:r>
            <w:r w:rsidR="00B35DD1">
              <w:t xml:space="preserve">We hebben een aantal kanttekeningen bij deze aanbeveling. Om te beginnen geldt deze bepaling niet alleen voor banken, maar voor alle poortwachters. Daarnaast is van belang dat de navraagplicht niet gekoppeld is aan transacties, maar aan het cliëntenonderzoek van specifieke cliënten. Zoals aangegeven in de memorie van toelichting, is het op voorhand onduidelijk in hoeveel gevallen poortwachters vast zullen stellen dat er sprake is van indicaties van een hoger risico op witwassen bij hun </w:t>
            </w:r>
            <w:r w:rsidR="00B35DD1">
              <w:lastRenderedPageBreak/>
              <w:t xml:space="preserve">cliënten. Dit zal per poortwachter in hoge mate verschillen, met het oog op het soort dienstverlening, de mate waarin deze blootstaan aan witwasrisico’s en de beoordeling van deze risico’s door de poortwachter. Daarom is de kostenraming in de memorie van toelichting beperkt tot een schatting van de totale structurele nalevingskosten per cliëntonderzoek met een hoger risico op witwassen of financieren van terrorisme.     </w:t>
            </w:r>
          </w:p>
          <w:p w:rsidR="007D7471" w:rsidP="008846F3" w:rsidRDefault="007D7471" w14:paraId="7849A3D0" w14:textId="108F4C6C"/>
        </w:tc>
      </w:tr>
      <w:tr w:rsidR="008846F3" w:rsidTr="008846F3" w14:paraId="1C724FE1" w14:textId="77777777">
        <w:tc>
          <w:tcPr>
            <w:tcW w:w="3369" w:type="dxa"/>
          </w:tcPr>
          <w:p w:rsidR="008846F3" w:rsidP="008846F3" w:rsidRDefault="008846F3" w14:paraId="7C9B6308" w14:textId="4D61DDAC">
            <w:r>
              <w:lastRenderedPageBreak/>
              <w:t xml:space="preserve">8. Monitor en evalueer het effect van het beleid op het totale </w:t>
            </w:r>
          </w:p>
          <w:p w:rsidR="008846F3" w:rsidP="008846F3" w:rsidRDefault="008846F3" w14:paraId="70333066" w14:textId="77777777">
            <w:proofErr w:type="gramStart"/>
            <w:r>
              <w:t>aantal</w:t>
            </w:r>
            <w:proofErr w:type="gramEnd"/>
            <w:r>
              <w:t xml:space="preserve"> gemelde ongebruikelijke </w:t>
            </w:r>
          </w:p>
          <w:p w:rsidR="008846F3" w:rsidP="008846F3" w:rsidRDefault="008846F3" w14:paraId="5B59B808" w14:textId="77777777">
            <w:proofErr w:type="gramStart"/>
            <w:r>
              <w:t>transacties</w:t>
            </w:r>
            <w:proofErr w:type="gramEnd"/>
            <w:r>
              <w:t xml:space="preserve"> en het werk van de FIU (kosten versus effectiviteit).</w:t>
            </w:r>
          </w:p>
          <w:p w:rsidR="008846F3" w:rsidP="008846F3" w:rsidRDefault="008846F3" w14:paraId="5A981B35" w14:textId="1AEEEF29"/>
        </w:tc>
        <w:tc>
          <w:tcPr>
            <w:tcW w:w="5842" w:type="dxa"/>
          </w:tcPr>
          <w:p w:rsidR="008846F3" w:rsidP="008846F3" w:rsidRDefault="00CF49A7" w14:paraId="1EB045EF" w14:textId="77777777">
            <w:r w:rsidRPr="00CF49A7">
              <w:t>We onderschrijven deze aanbeveling. Het voorstel bevat een evaluatiebepaling voor het verbod voor handelaren om contante transacties te verrichten vanaf €3.000. Bij deze evaluatie wordt de effectiviteit van de maatregel en de gevolgen in de praktijk bezien. Bij de evaluatie van de maatregel zal ook aandacht worden besteed aan de effectiviteit van de maatregel op het totale aantal gemelde ongebruikelijke transacties en het werk van de FIU-Nederland</w:t>
            </w:r>
            <w:r>
              <w:t xml:space="preserve">. </w:t>
            </w:r>
          </w:p>
          <w:p w:rsidR="00CF49A7" w:rsidP="008846F3" w:rsidRDefault="00CF49A7" w14:paraId="1858A9AF" w14:textId="73910D18"/>
        </w:tc>
      </w:tr>
      <w:tr w:rsidR="008846F3" w:rsidTr="008846F3" w14:paraId="237D9956" w14:textId="77777777">
        <w:tc>
          <w:tcPr>
            <w:tcW w:w="3369" w:type="dxa"/>
          </w:tcPr>
          <w:p w:rsidR="008846F3" w:rsidP="008846F3" w:rsidRDefault="008846F3" w14:paraId="082C21AF" w14:textId="5B14B342">
            <w:r>
              <w:t xml:space="preserve">9. Maak met behulp van </w:t>
            </w:r>
          </w:p>
          <w:p w:rsidR="008846F3" w:rsidP="008846F3" w:rsidRDefault="008846F3" w14:paraId="2D81D481" w14:textId="77777777">
            <w:proofErr w:type="gramStart"/>
            <w:r>
              <w:t>inschattingen</w:t>
            </w:r>
            <w:proofErr w:type="gramEnd"/>
            <w:r>
              <w:t xml:space="preserve"> van TMNL of banken een betere raming van de lasten. </w:t>
            </w:r>
          </w:p>
          <w:p w:rsidR="008846F3" w:rsidP="008846F3" w:rsidRDefault="008846F3" w14:paraId="339919B7" w14:textId="5BB79952"/>
        </w:tc>
        <w:tc>
          <w:tcPr>
            <w:tcW w:w="5842" w:type="dxa"/>
          </w:tcPr>
          <w:p w:rsidR="00907F17" w:rsidP="008846F3" w:rsidRDefault="00907F17" w14:paraId="2255EED5" w14:textId="756B298E">
            <w:r>
              <w:t xml:space="preserve">Financiële gevolgen worden alleen in kaart gebracht bij de introductie van nieuwe verplichtingen. Het wetsvoorstel plan van aanpak witwassen bevat twee verplichtingen: het verbod op contante betalingen boven €3.000 en de navraagplicht uit </w:t>
            </w:r>
            <w:r w:rsidRPr="00907F17">
              <w:t>artikel 3b</w:t>
            </w:r>
            <w:r>
              <w:t xml:space="preserve">. Aangezien de wetenschappers in hun reactie uitsluitend de navraagplicht noemen, gaan we ervan uit dat deze aanbeveling ziet op de navraagplicht. Net als bij aanbeveling 7, willen we hier de kanttekening maken dat de navraagplicht ziet op alle poortwachters, niet alleen banken. </w:t>
            </w:r>
          </w:p>
          <w:p w:rsidR="00907F17" w:rsidP="008846F3" w:rsidRDefault="00907F17" w14:paraId="1415CF70" w14:textId="77777777"/>
          <w:p w:rsidR="008846F3" w:rsidP="008846F3" w:rsidRDefault="00097DCD" w14:paraId="6167C60A" w14:textId="7A5CB12D">
            <w:r>
              <w:t xml:space="preserve">Desgevraagd heeft de Nederlandse Vereniging van Banken (NVB) aangegeven te verwachten dat </w:t>
            </w:r>
            <w:r w:rsidR="00BE257C">
              <w:t xml:space="preserve">onder andere </w:t>
            </w:r>
            <w:r>
              <w:t xml:space="preserve">kosten gemaakt zullen worden voor: het doen van de navraag, het verwerken van de ontvangen informatie en het leveren van de informatie bij navraag. De kosten zullen afhankelijk zijn van de te bepalen werkwijze en inrichting daarvan. De NVB geeft daarnaast ook aan dat deze bepaling ook kostenverlagende effecten met zich mee zal brengen. Door effectief gebruik te maken van de informatie uit de navraag bij het cliëntonderzoek, kan ongewenste </w:t>
            </w:r>
            <w:proofErr w:type="spellStart"/>
            <w:r w:rsidRPr="006B1D65">
              <w:rPr>
                <w:i/>
                <w:iCs/>
              </w:rPr>
              <w:t>onboarding</w:t>
            </w:r>
            <w:proofErr w:type="spellEnd"/>
            <w:r>
              <w:t xml:space="preserve"> van cliënten worden voorkomen. Dit kan een noodzakelijke en kostbare </w:t>
            </w:r>
            <w:proofErr w:type="spellStart"/>
            <w:r w:rsidRPr="006B1D65">
              <w:rPr>
                <w:i/>
                <w:iCs/>
              </w:rPr>
              <w:t>offboarding</w:t>
            </w:r>
            <w:proofErr w:type="spellEnd"/>
            <w:r>
              <w:t xml:space="preserve"> in een later stadium voorkomen.  </w:t>
            </w:r>
          </w:p>
          <w:p w:rsidR="00907F17" w:rsidP="008846F3" w:rsidRDefault="00907F17" w14:paraId="137C52B5" w14:textId="6A9E9930"/>
        </w:tc>
      </w:tr>
      <w:tr w:rsidR="00817D73" w:rsidTr="008846F3" w14:paraId="1B220248" w14:textId="77777777">
        <w:tc>
          <w:tcPr>
            <w:tcW w:w="3369" w:type="dxa"/>
          </w:tcPr>
          <w:p w:rsidR="00817D73" w:rsidP="00817D73" w:rsidRDefault="00817D73" w14:paraId="14382311" w14:textId="6BF878CC">
            <w:r>
              <w:t xml:space="preserve">10. Koppel de identificatiecodes die nu al gebruikt worden voor de feedbackloop tussen meldinstellingen en de </w:t>
            </w:r>
            <w:proofErr w:type="gramStart"/>
            <w:r>
              <w:t>FIU standaard</w:t>
            </w:r>
            <w:proofErr w:type="gramEnd"/>
            <w:r>
              <w:t xml:space="preserve"> aan strafdossiers bij het gebruik van informatie uit witwasmeldingen. Zo kan</w:t>
            </w:r>
          </w:p>
          <w:p w:rsidR="00817D73" w:rsidP="00817D73" w:rsidRDefault="00817D73" w14:paraId="7164578F" w14:textId="77777777">
            <w:proofErr w:type="gramStart"/>
            <w:r>
              <w:t>de</w:t>
            </w:r>
            <w:proofErr w:type="gramEnd"/>
            <w:r>
              <w:t xml:space="preserve"> effectiviteit van het meldsysteem inzichtelijker worden.</w:t>
            </w:r>
          </w:p>
          <w:p w:rsidR="00817D73" w:rsidP="00817D73" w:rsidRDefault="00817D73" w14:paraId="16A22BE8" w14:textId="7DB705BE"/>
        </w:tc>
        <w:tc>
          <w:tcPr>
            <w:tcW w:w="5842" w:type="dxa"/>
          </w:tcPr>
          <w:p w:rsidR="00817D73" w:rsidP="00817D73" w:rsidRDefault="00817D73" w14:paraId="0F0B3012" w14:textId="1B542F85">
            <w:r>
              <w:t>We onderschrijven deze aanbeveling en zullen deze betrekken bij de uitwerking van een van de prioriteiten uit de beleidsagenda aanpak witwassen</w:t>
            </w:r>
            <w:r>
              <w:rPr>
                <w:rStyle w:val="Voetnootmarkering"/>
              </w:rPr>
              <w:footnoteReference w:id="3"/>
            </w:r>
            <w:r>
              <w:t xml:space="preserve"> die hieraan raakt. Op 23 september jl. </w:t>
            </w:r>
            <w:r w:rsidR="006B1D65">
              <w:t>hebben wij</w:t>
            </w:r>
            <w:r>
              <w:t xml:space="preserve"> de</w:t>
            </w:r>
            <w:r w:rsidR="001E6ACA">
              <w:t>ze</w:t>
            </w:r>
            <w:r>
              <w:t xml:space="preserve"> beleidsagenda gedeeld met uw Kamer. Daarin staat dat in meerdere (inter)nationale onderzoeken is geconstateerd dat de aanpak van witwassen in Nederland een positieve ontwikkeling heeft doorgemaakt en de basis goed op orde is. Wel ziet het kabinet op een aantal terreinen mogelijkheden voor verdere verbeteringen. Zo komt het aandachtspunt naar voren om de aanlevering van verdacht verklaarde transacties te verbeteren en </w:t>
            </w:r>
            <w:r w:rsidRPr="0031379D">
              <w:t xml:space="preserve">om structureel meer </w:t>
            </w:r>
            <w:r w:rsidRPr="0031379D">
              <w:lastRenderedPageBreak/>
              <w:t>inzicht te</w:t>
            </w:r>
            <w:r>
              <w:t xml:space="preserve"> krijgen in het gebruik van verdacht verklaarde transacties</w:t>
            </w:r>
            <w:r w:rsidRPr="0031379D">
              <w:t xml:space="preserve"> in de opsporings- en vervolgingsfase</w:t>
            </w:r>
            <w:r>
              <w:t xml:space="preserve">. Als onderdeel van de beleidsagenda aanpak witwassen wordt daarom ingezet op een gerichtere </w:t>
            </w:r>
            <w:proofErr w:type="spellStart"/>
            <w:r>
              <w:t>informatie</w:t>
            </w:r>
            <w:r w:rsidR="006B1D65">
              <w:t>-</w:t>
            </w:r>
            <w:r>
              <w:t>overdracht</w:t>
            </w:r>
            <w:proofErr w:type="spellEnd"/>
            <w:r>
              <w:t xml:space="preserve"> van FIU-Nederland </w:t>
            </w:r>
            <w:r w:rsidRPr="0031379D">
              <w:t xml:space="preserve">en </w:t>
            </w:r>
            <w:r>
              <w:t xml:space="preserve">de </w:t>
            </w:r>
            <w:r w:rsidRPr="0031379D">
              <w:t>verbetering van de registratie</w:t>
            </w:r>
            <w:r>
              <w:t xml:space="preserve"> van het gebruik van verdacht verklaarde transacties</w:t>
            </w:r>
            <w:r w:rsidRPr="0031379D">
              <w:t xml:space="preserve"> door de opsporingsdiensten</w:t>
            </w:r>
            <w:r>
              <w:t>. Hierdoor kan een betere selectie op relevantie en gebruik van verdachte transacties door de (bijzondere) opsporingsdiensten plaatsvinden. Dit moet ook leiden tot het vergroten van de feedbackloop tussen publieke partijen en private instellingen.</w:t>
            </w:r>
          </w:p>
          <w:p w:rsidR="00817D73" w:rsidP="00817D73" w:rsidRDefault="00817D73" w14:paraId="667B16AE" w14:textId="691B4361"/>
        </w:tc>
      </w:tr>
      <w:tr w:rsidR="00817D73" w:rsidTr="00CE02BB" w14:paraId="187E7412" w14:textId="77777777">
        <w:tc>
          <w:tcPr>
            <w:tcW w:w="3369" w:type="dxa"/>
          </w:tcPr>
          <w:p w:rsidR="00817D73" w:rsidP="00817D73" w:rsidRDefault="00817D73" w14:paraId="0812A531" w14:textId="722E0A81">
            <w:r>
              <w:lastRenderedPageBreak/>
              <w:t xml:space="preserve">11. Richt de beloofde </w:t>
            </w:r>
          </w:p>
          <w:p w:rsidR="00817D73" w:rsidP="00817D73" w:rsidRDefault="00817D73" w14:paraId="5C470D8F" w14:textId="77777777">
            <w:proofErr w:type="gramStart"/>
            <w:r>
              <w:t>effectiviteitsevaluatie</w:t>
            </w:r>
            <w:proofErr w:type="gramEnd"/>
            <w:r>
              <w:t xml:space="preserve"> niet alleen op compliance, maar juist op de mate van realisatie van de gestelde doelen.</w:t>
            </w:r>
          </w:p>
          <w:p w:rsidR="00817D73" w:rsidP="00817D73" w:rsidRDefault="00817D73" w14:paraId="2C213EAA" w14:textId="2D0963D1"/>
        </w:tc>
        <w:tc>
          <w:tcPr>
            <w:tcW w:w="5842" w:type="dxa"/>
          </w:tcPr>
          <w:p w:rsidR="00817D73" w:rsidP="00817D73" w:rsidRDefault="00817D73" w14:paraId="3F528848" w14:textId="70EF465E">
            <w:r>
              <w:t xml:space="preserve">We onderschrijven deze aanbeveling. Artikel IV uit het wetsvoorstel plan van aanpak witwassen schrijft voor dat het verbod op contante betalingen boven €3.000 geëvalueerd wordt op doeltreffendheid en de effecten in de praktijk (lid 1). Daarnaast wordt in dit artikel voorgeschreven dat de evaluatie van het gezamenlijk monitoren van transacties dient te zien op de werking van de bepaling in de praktijk (lid 2) en dat hierbij in ieder geval de effectiviteit van het gezamenlijk monitoren van transacties en de bescherming van persoonsgegevens wordt betrokken (lid 3). De evaluaties zullen dus uitdrukkelijk zien op doeltreffendheid en niet uitsluitend op compliance met de geldende regelgeving. </w:t>
            </w:r>
          </w:p>
          <w:p w:rsidR="00817D73" w:rsidP="00817D73" w:rsidRDefault="00817D73" w14:paraId="126DC72B" w14:textId="216BCADF">
            <w:r>
              <w:t xml:space="preserve">  </w:t>
            </w:r>
          </w:p>
        </w:tc>
      </w:tr>
      <w:tr w:rsidR="00817D73" w:rsidTr="00CE02BB" w14:paraId="6BE5F230" w14:textId="77777777">
        <w:tc>
          <w:tcPr>
            <w:tcW w:w="3369" w:type="dxa"/>
          </w:tcPr>
          <w:p w:rsidR="00817D73" w:rsidP="00817D73" w:rsidRDefault="00817D73" w14:paraId="7927CB03" w14:textId="7FD5F325">
            <w:r>
              <w:t xml:space="preserve">12. Meet doeltreffendheid aan de hand van een aantal indicatoren </w:t>
            </w:r>
          </w:p>
          <w:p w:rsidR="00817D73" w:rsidP="00817D73" w:rsidRDefault="00817D73" w14:paraId="06A43152" w14:textId="3A239445">
            <w:proofErr w:type="gramStart"/>
            <w:r>
              <w:t>en</w:t>
            </w:r>
            <w:proofErr w:type="gramEnd"/>
            <w:r>
              <w:t xml:space="preserve"> maak dit onderdeel van toezicht. </w:t>
            </w:r>
          </w:p>
          <w:p w:rsidR="00817D73" w:rsidP="00817D73" w:rsidRDefault="00817D73" w14:paraId="6404DABF" w14:textId="77777777">
            <w:r>
              <w:t xml:space="preserve">Indicatoren: </w:t>
            </w:r>
          </w:p>
          <w:p w:rsidR="00817D73" w:rsidP="00817D73" w:rsidRDefault="00817D73" w14:paraId="682A9035" w14:textId="01FBF7C2">
            <w:r>
              <w:t xml:space="preserve">- Hoe vaak (%) informatie-uitwisseling leidt tot een andere beslissing. </w:t>
            </w:r>
          </w:p>
          <w:p w:rsidR="00817D73" w:rsidP="00817D73" w:rsidRDefault="00817D73" w14:paraId="43EB3B89" w14:textId="77777777">
            <w:r>
              <w:t xml:space="preserve">- Bij hoeveel gemelde transacties </w:t>
            </w:r>
          </w:p>
          <w:p w:rsidR="00817D73" w:rsidP="00817D73" w:rsidRDefault="00817D73" w14:paraId="3257E165" w14:textId="77777777">
            <w:proofErr w:type="gramStart"/>
            <w:r>
              <w:t>gezamenlijke</w:t>
            </w:r>
            <w:proofErr w:type="gramEnd"/>
            <w:r>
              <w:t xml:space="preserve"> monitoring heeft </w:t>
            </w:r>
          </w:p>
          <w:p w:rsidR="00817D73" w:rsidP="00817D73" w:rsidRDefault="00817D73" w14:paraId="706EA55F" w14:textId="77777777">
            <w:proofErr w:type="gramStart"/>
            <w:r>
              <w:t>bijgedragen</w:t>
            </w:r>
            <w:proofErr w:type="gramEnd"/>
            <w:r>
              <w:t>.</w:t>
            </w:r>
          </w:p>
          <w:p w:rsidR="00817D73" w:rsidP="00817D73" w:rsidRDefault="00817D73" w14:paraId="10385C25" w14:textId="3A5C750A">
            <w:r>
              <w:t>- Hoeveel van de meldingen uiteindelijk leiden tot een aanklacht van het OM.</w:t>
            </w:r>
          </w:p>
          <w:p w:rsidR="00817D73" w:rsidP="00817D73" w:rsidRDefault="00817D73" w14:paraId="56659A48" w14:textId="16C6FAAB">
            <w:r>
              <w:t xml:space="preserve">- Hoeveel cashtransacties van boven de €3000 er ontdekt worden en hoeveel daarvan leiden tot een onderzoek naar </w:t>
            </w:r>
          </w:p>
          <w:p w:rsidR="00817D73" w:rsidP="00817D73" w:rsidRDefault="00817D73" w14:paraId="12DC945A" w14:textId="77777777">
            <w:proofErr w:type="gramStart"/>
            <w:r>
              <w:t>criminele</w:t>
            </w:r>
            <w:proofErr w:type="gramEnd"/>
            <w:r>
              <w:t xml:space="preserve"> banden.</w:t>
            </w:r>
          </w:p>
          <w:p w:rsidR="00817D73" w:rsidP="00817D73" w:rsidRDefault="00817D73" w14:paraId="3333EC28" w14:textId="0B55C3B9">
            <w:r>
              <w:t xml:space="preserve">- Hoe goed de </w:t>
            </w:r>
            <w:proofErr w:type="spellStart"/>
            <w:r>
              <w:t>risicoselectiemodellen</w:t>
            </w:r>
            <w:proofErr w:type="spellEnd"/>
            <w:r>
              <w:t xml:space="preserve"> zijn </w:t>
            </w:r>
          </w:p>
          <w:p w:rsidR="00817D73" w:rsidP="00817D73" w:rsidRDefault="00817D73" w14:paraId="56497D1E" w14:textId="0E662267">
            <w:r>
              <w:t>(</w:t>
            </w:r>
            <w:proofErr w:type="gramStart"/>
            <w:r>
              <w:t>onderzoek</w:t>
            </w:r>
            <w:proofErr w:type="gramEnd"/>
            <w:r>
              <w:t xml:space="preserve"> door banken en de FIU via steekproeven).</w:t>
            </w:r>
          </w:p>
          <w:p w:rsidR="00817D73" w:rsidP="00817D73" w:rsidRDefault="00817D73" w14:paraId="4B425623" w14:textId="7F42923F">
            <w:r>
              <w:t>- Hoeveel niet gemelde transacties wel gemeld hadden moeten worden.</w:t>
            </w:r>
          </w:p>
          <w:p w:rsidR="00817D73" w:rsidP="00817D73" w:rsidRDefault="00817D73" w14:paraId="4AEF5AC0" w14:textId="77777777">
            <w:r>
              <w:t xml:space="preserve">- Hoeveel gemelde transacties ten </w:t>
            </w:r>
          </w:p>
          <w:p w:rsidR="00817D73" w:rsidP="00817D73" w:rsidRDefault="00817D73" w14:paraId="5C167749" w14:textId="77777777">
            <w:proofErr w:type="gramStart"/>
            <w:r>
              <w:t>onrechte</w:t>
            </w:r>
            <w:proofErr w:type="gramEnd"/>
            <w:r>
              <w:t xml:space="preserve"> zijn gemeld.</w:t>
            </w:r>
          </w:p>
          <w:p w:rsidR="00817D73" w:rsidP="00817D73" w:rsidRDefault="00817D73" w14:paraId="57A08ED5" w14:textId="68E9600B"/>
        </w:tc>
        <w:tc>
          <w:tcPr>
            <w:tcW w:w="5842" w:type="dxa"/>
          </w:tcPr>
          <w:p w:rsidR="00817D73" w:rsidP="00817D73" w:rsidRDefault="004D7F8A" w14:paraId="459478AA" w14:textId="29AB646A">
            <w:r>
              <w:t xml:space="preserve">We onderschrijven deze aanbeveling. </w:t>
            </w:r>
            <w:r w:rsidR="00817D73">
              <w:t xml:space="preserve">We zullen, in overleg met publieke partijen zoals De Nederlandsche Bank, </w:t>
            </w:r>
            <w:proofErr w:type="spellStart"/>
            <w:r w:rsidR="00817D73">
              <w:t>BTWwft</w:t>
            </w:r>
            <w:proofErr w:type="spellEnd"/>
            <w:r w:rsidR="00817D73">
              <w:t xml:space="preserve"> en de FIU-Nederland, de genoemde indicatoren meenemen in de vormgeving van de verschillende evaluaties uit dit wetsvoorstel. Ook zullen we de indicatoren die de wetenschappers aanbevelen doorgeleiden aan de relevante toezichthouders. Het is aan hen om te bepalen welke indicatoren zij hanteren in hun toezicht.   </w:t>
            </w:r>
          </w:p>
        </w:tc>
      </w:tr>
    </w:tbl>
    <w:p w:rsidRPr="008846F3" w:rsidR="008846F3" w:rsidP="008846F3" w:rsidRDefault="008846F3" w14:paraId="31878435" w14:textId="77777777"/>
    <w:sectPr w:rsidRPr="008846F3" w:rsidR="008846F3">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07A4" w14:textId="77777777" w:rsidR="005A7746" w:rsidRDefault="005A7746" w:rsidP="00185B53">
      <w:pPr>
        <w:spacing w:line="240" w:lineRule="auto"/>
      </w:pPr>
      <w:r>
        <w:separator/>
      </w:r>
    </w:p>
  </w:endnote>
  <w:endnote w:type="continuationSeparator" w:id="0">
    <w:p w14:paraId="649A0E97" w14:textId="77777777" w:rsidR="005A7746" w:rsidRDefault="005A7746" w:rsidP="00185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270E" w14:textId="77777777" w:rsidR="005A7746" w:rsidRDefault="005A7746" w:rsidP="00185B53">
      <w:pPr>
        <w:spacing w:line="240" w:lineRule="auto"/>
      </w:pPr>
      <w:r>
        <w:separator/>
      </w:r>
    </w:p>
  </w:footnote>
  <w:footnote w:type="continuationSeparator" w:id="0">
    <w:p w14:paraId="4FBAFBA0" w14:textId="77777777" w:rsidR="005A7746" w:rsidRDefault="005A7746" w:rsidP="00185B53">
      <w:pPr>
        <w:spacing w:line="240" w:lineRule="auto"/>
      </w:pPr>
      <w:r>
        <w:continuationSeparator/>
      </w:r>
    </w:p>
  </w:footnote>
  <w:footnote w:id="1">
    <w:p w14:paraId="184CD9C5" w14:textId="30EEA9DE" w:rsidR="008B07EE" w:rsidRPr="003062D1" w:rsidRDefault="008B07EE">
      <w:pPr>
        <w:pStyle w:val="Voetnoottekst"/>
        <w:rPr>
          <w:sz w:val="16"/>
          <w:szCs w:val="16"/>
        </w:rPr>
      </w:pPr>
      <w:r w:rsidRPr="003062D1">
        <w:rPr>
          <w:rStyle w:val="Voetnootmarkering"/>
          <w:sz w:val="16"/>
          <w:szCs w:val="16"/>
        </w:rPr>
        <w:footnoteRef/>
      </w:r>
      <w:r w:rsidRPr="003062D1">
        <w:rPr>
          <w:sz w:val="16"/>
          <w:szCs w:val="16"/>
        </w:rPr>
        <w:t xml:space="preserve"> Kamerstukken II, 2022/23, 31477 nr. 80.</w:t>
      </w:r>
    </w:p>
  </w:footnote>
  <w:footnote w:id="2">
    <w:p w14:paraId="50E61B1A" w14:textId="15385A9C" w:rsidR="007B3E24" w:rsidRPr="003062D1" w:rsidRDefault="007B3E24">
      <w:pPr>
        <w:pStyle w:val="Voetnoottekst"/>
        <w:rPr>
          <w:sz w:val="16"/>
          <w:szCs w:val="16"/>
        </w:rPr>
      </w:pPr>
      <w:r w:rsidRPr="003062D1">
        <w:rPr>
          <w:rStyle w:val="Voetnootmarkering"/>
          <w:sz w:val="16"/>
          <w:szCs w:val="16"/>
        </w:rPr>
        <w:footnoteRef/>
      </w:r>
      <w:r w:rsidRPr="003062D1">
        <w:rPr>
          <w:sz w:val="16"/>
          <w:szCs w:val="16"/>
        </w:rPr>
        <w:t xml:space="preserve"> </w:t>
      </w:r>
      <w:proofErr w:type="gramStart"/>
      <w:r w:rsidRPr="003062D1">
        <w:rPr>
          <w:sz w:val="16"/>
          <w:szCs w:val="16"/>
        </w:rPr>
        <w:t>https://finance.ec.europa.eu/publications/anti-money-laundering-and-countering-financing-terrorism-legislative-package_en#regulation</w:t>
      </w:r>
      <w:proofErr w:type="gramEnd"/>
      <w:r w:rsidRPr="003062D1">
        <w:rPr>
          <w:sz w:val="16"/>
          <w:szCs w:val="16"/>
        </w:rPr>
        <w:t xml:space="preserve">. </w:t>
      </w:r>
    </w:p>
  </w:footnote>
  <w:footnote w:id="3">
    <w:p w14:paraId="7C99F8EC" w14:textId="5F7A92FB" w:rsidR="00817D73" w:rsidRPr="003062D1" w:rsidRDefault="00817D73">
      <w:pPr>
        <w:pStyle w:val="Voetnoottekst"/>
        <w:rPr>
          <w:sz w:val="16"/>
          <w:szCs w:val="16"/>
        </w:rPr>
      </w:pPr>
      <w:r w:rsidRPr="003062D1">
        <w:rPr>
          <w:rStyle w:val="Voetnootmarkering"/>
          <w:sz w:val="16"/>
          <w:szCs w:val="16"/>
        </w:rPr>
        <w:footnoteRef/>
      </w:r>
      <w:r w:rsidRPr="003062D1">
        <w:rPr>
          <w:sz w:val="16"/>
          <w:szCs w:val="16"/>
        </w:rPr>
        <w:t xml:space="preserve"> Tweede Kamer, vergaderjaar 2022-2023, nr. 2022D37509: Beleidsagenda aanpak witwassen: streng waar nodig, met ruimte waar mogelijk en meten om te weten.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A22F80"/>
    <w:multiLevelType w:val="multilevel"/>
    <w:tmpl w:val="9134E57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B6FC48C"/>
    <w:multiLevelType w:val="multilevel"/>
    <w:tmpl w:val="C7D2B56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AB649B"/>
    <w:multiLevelType w:val="multilevel"/>
    <w:tmpl w:val="A2A8122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5C40F6"/>
    <w:multiLevelType w:val="hybridMultilevel"/>
    <w:tmpl w:val="A0FEC6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F0172C5"/>
    <w:multiLevelType w:val="hybridMultilevel"/>
    <w:tmpl w:val="9DA8E5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45319B5"/>
    <w:multiLevelType w:val="hybridMultilevel"/>
    <w:tmpl w:val="CA467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8157BB"/>
    <w:multiLevelType w:val="hybridMultilevel"/>
    <w:tmpl w:val="F160A5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1A90AD6"/>
    <w:multiLevelType w:val="multilevel"/>
    <w:tmpl w:val="7AD8E3F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352698"/>
    <w:multiLevelType w:val="hybridMultilevel"/>
    <w:tmpl w:val="842609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8"/>
  </w:num>
  <w:num w:numId="6">
    <w:abstractNumId w:val="4"/>
  </w:num>
  <w:num w:numId="7">
    <w:abstractNumId w:val="6"/>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CA"/>
    <w:rsid w:val="0000274B"/>
    <w:rsid w:val="00007257"/>
    <w:rsid w:val="00097DCD"/>
    <w:rsid w:val="000B2228"/>
    <w:rsid w:val="000C0095"/>
    <w:rsid w:val="00142A4A"/>
    <w:rsid w:val="00185B53"/>
    <w:rsid w:val="00194AEE"/>
    <w:rsid w:val="001E6ACA"/>
    <w:rsid w:val="002C538A"/>
    <w:rsid w:val="003062D1"/>
    <w:rsid w:val="00384BAB"/>
    <w:rsid w:val="00396C85"/>
    <w:rsid w:val="00410C5F"/>
    <w:rsid w:val="00415601"/>
    <w:rsid w:val="00421F67"/>
    <w:rsid w:val="004707C3"/>
    <w:rsid w:val="004C03F8"/>
    <w:rsid w:val="004D46D9"/>
    <w:rsid w:val="004D7F8A"/>
    <w:rsid w:val="00516ECF"/>
    <w:rsid w:val="00561819"/>
    <w:rsid w:val="00580DA9"/>
    <w:rsid w:val="00591DB9"/>
    <w:rsid w:val="005A6111"/>
    <w:rsid w:val="005A7746"/>
    <w:rsid w:val="005D5916"/>
    <w:rsid w:val="006043F9"/>
    <w:rsid w:val="00690591"/>
    <w:rsid w:val="006A50FF"/>
    <w:rsid w:val="006B1D65"/>
    <w:rsid w:val="006B65E1"/>
    <w:rsid w:val="006B6B21"/>
    <w:rsid w:val="006F05C5"/>
    <w:rsid w:val="006F748A"/>
    <w:rsid w:val="00710F3E"/>
    <w:rsid w:val="007223FD"/>
    <w:rsid w:val="00745ED6"/>
    <w:rsid w:val="00794F32"/>
    <w:rsid w:val="007B3E24"/>
    <w:rsid w:val="007C5CF7"/>
    <w:rsid w:val="007D7471"/>
    <w:rsid w:val="007E04D8"/>
    <w:rsid w:val="007F487E"/>
    <w:rsid w:val="00817D73"/>
    <w:rsid w:val="00857FEC"/>
    <w:rsid w:val="008740D2"/>
    <w:rsid w:val="008846F3"/>
    <w:rsid w:val="008905C7"/>
    <w:rsid w:val="008A5303"/>
    <w:rsid w:val="008A7F5C"/>
    <w:rsid w:val="008B07EE"/>
    <w:rsid w:val="00902916"/>
    <w:rsid w:val="00907F17"/>
    <w:rsid w:val="009551EF"/>
    <w:rsid w:val="009E2447"/>
    <w:rsid w:val="00A1598F"/>
    <w:rsid w:val="00A36675"/>
    <w:rsid w:val="00A5242F"/>
    <w:rsid w:val="00A757D5"/>
    <w:rsid w:val="00AA5404"/>
    <w:rsid w:val="00B35DD1"/>
    <w:rsid w:val="00B41E12"/>
    <w:rsid w:val="00B70874"/>
    <w:rsid w:val="00B81F9F"/>
    <w:rsid w:val="00BD0F51"/>
    <w:rsid w:val="00BD40FD"/>
    <w:rsid w:val="00BE257C"/>
    <w:rsid w:val="00C105CF"/>
    <w:rsid w:val="00C27CE1"/>
    <w:rsid w:val="00C74499"/>
    <w:rsid w:val="00CB18FB"/>
    <w:rsid w:val="00CC1389"/>
    <w:rsid w:val="00CE02BB"/>
    <w:rsid w:val="00CF49A7"/>
    <w:rsid w:val="00D0691C"/>
    <w:rsid w:val="00D21C85"/>
    <w:rsid w:val="00D26C77"/>
    <w:rsid w:val="00D52764"/>
    <w:rsid w:val="00D75A7C"/>
    <w:rsid w:val="00E10442"/>
    <w:rsid w:val="00E1595C"/>
    <w:rsid w:val="00E34B00"/>
    <w:rsid w:val="00E557CA"/>
    <w:rsid w:val="00E67407"/>
    <w:rsid w:val="00EC47E1"/>
    <w:rsid w:val="00EF266C"/>
    <w:rsid w:val="00F1564E"/>
    <w:rsid w:val="00F5057A"/>
    <w:rsid w:val="00F8110C"/>
    <w:rsid w:val="00F82C1B"/>
    <w:rsid w:val="00F85979"/>
    <w:rsid w:val="00FA2B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E9B5F4"/>
  <w15:docId w15:val="{8EE58FAB-8DF2-4D5A-8FA5-5F8021BA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85B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5B53"/>
    <w:rPr>
      <w:rFonts w:ascii="Verdana" w:hAnsi="Verdana"/>
      <w:color w:val="000000"/>
      <w:sz w:val="18"/>
      <w:szCs w:val="18"/>
    </w:rPr>
  </w:style>
  <w:style w:type="paragraph" w:styleId="Voettekst">
    <w:name w:val="footer"/>
    <w:basedOn w:val="Standaard"/>
    <w:link w:val="VoettekstChar"/>
    <w:uiPriority w:val="99"/>
    <w:unhideWhenUsed/>
    <w:rsid w:val="00185B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5B53"/>
    <w:rPr>
      <w:rFonts w:ascii="Verdana" w:hAnsi="Verdana"/>
      <w:color w:val="000000"/>
      <w:sz w:val="18"/>
      <w:szCs w:val="18"/>
    </w:rPr>
  </w:style>
  <w:style w:type="table" w:styleId="Tabelraster">
    <w:name w:val="Table Grid"/>
    <w:basedOn w:val="Standaardtabel"/>
    <w:uiPriority w:val="39"/>
    <w:rsid w:val="00884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846F3"/>
    <w:pPr>
      <w:ind w:left="720"/>
      <w:contextualSpacing/>
    </w:pPr>
  </w:style>
  <w:style w:type="paragraph" w:styleId="Voetnoottekst">
    <w:name w:val="footnote text"/>
    <w:basedOn w:val="Standaard"/>
    <w:link w:val="VoetnoottekstChar"/>
    <w:uiPriority w:val="99"/>
    <w:semiHidden/>
    <w:unhideWhenUsed/>
    <w:rsid w:val="008B07E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B07EE"/>
    <w:rPr>
      <w:rFonts w:ascii="Verdana" w:hAnsi="Verdana"/>
      <w:color w:val="000000"/>
    </w:rPr>
  </w:style>
  <w:style w:type="character" w:styleId="Voetnootmarkering">
    <w:name w:val="footnote reference"/>
    <w:basedOn w:val="Standaardalinea-lettertype"/>
    <w:uiPriority w:val="99"/>
    <w:semiHidden/>
    <w:unhideWhenUsed/>
    <w:rsid w:val="008B07EE"/>
    <w:rPr>
      <w:vertAlign w:val="superscript"/>
    </w:rPr>
  </w:style>
  <w:style w:type="character" w:styleId="Verwijzingopmerking">
    <w:name w:val="annotation reference"/>
    <w:basedOn w:val="Standaardalinea-lettertype"/>
    <w:uiPriority w:val="99"/>
    <w:semiHidden/>
    <w:unhideWhenUsed/>
    <w:rsid w:val="00EC47E1"/>
    <w:rPr>
      <w:sz w:val="16"/>
      <w:szCs w:val="16"/>
    </w:rPr>
  </w:style>
  <w:style w:type="paragraph" w:styleId="Tekstopmerking">
    <w:name w:val="annotation text"/>
    <w:basedOn w:val="Standaard"/>
    <w:link w:val="TekstopmerkingChar"/>
    <w:uiPriority w:val="99"/>
    <w:semiHidden/>
    <w:unhideWhenUsed/>
    <w:rsid w:val="00EC47E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C47E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47E1"/>
    <w:rPr>
      <w:b/>
      <w:bCs/>
    </w:rPr>
  </w:style>
  <w:style w:type="character" w:customStyle="1" w:styleId="OnderwerpvanopmerkingChar">
    <w:name w:val="Onderwerp van opmerking Char"/>
    <w:basedOn w:val="TekstopmerkingChar"/>
    <w:link w:val="Onderwerpvanopmerking"/>
    <w:uiPriority w:val="99"/>
    <w:semiHidden/>
    <w:rsid w:val="00EC47E1"/>
    <w:rPr>
      <w:rFonts w:ascii="Verdana" w:hAnsi="Verdana"/>
      <w:b/>
      <w:bCs/>
      <w:color w:val="000000"/>
    </w:rPr>
  </w:style>
  <w:style w:type="character" w:styleId="Hyperlink">
    <w:name w:val="Hyperlink"/>
    <w:basedOn w:val="Standaardalinea-lettertype"/>
    <w:uiPriority w:val="99"/>
    <w:unhideWhenUsed/>
    <w:rsid w:val="007B3E24"/>
    <w:rPr>
      <w:color w:val="0563C1" w:themeColor="hyperlink"/>
      <w:u w:val="single"/>
    </w:rPr>
  </w:style>
  <w:style w:type="character" w:styleId="Onopgelostemelding">
    <w:name w:val="Unresolved Mention"/>
    <w:basedOn w:val="Standaardalinea-lettertype"/>
    <w:uiPriority w:val="99"/>
    <w:semiHidden/>
    <w:unhideWhenUsed/>
    <w:rsid w:val="007B3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0773">
      <w:bodyDiv w:val="1"/>
      <w:marLeft w:val="0"/>
      <w:marRight w:val="0"/>
      <w:marTop w:val="0"/>
      <w:marBottom w:val="0"/>
      <w:divBdr>
        <w:top w:val="none" w:sz="0" w:space="0" w:color="auto"/>
        <w:left w:val="none" w:sz="0" w:space="0" w:color="auto"/>
        <w:bottom w:val="none" w:sz="0" w:space="0" w:color="auto"/>
        <w:right w:val="none" w:sz="0" w:space="0" w:color="auto"/>
      </w:divBdr>
    </w:div>
    <w:div w:id="727412092">
      <w:bodyDiv w:val="1"/>
      <w:marLeft w:val="0"/>
      <w:marRight w:val="0"/>
      <w:marTop w:val="0"/>
      <w:marBottom w:val="0"/>
      <w:divBdr>
        <w:top w:val="none" w:sz="0" w:space="0" w:color="auto"/>
        <w:left w:val="none" w:sz="0" w:space="0" w:color="auto"/>
        <w:bottom w:val="none" w:sz="0" w:space="0" w:color="auto"/>
        <w:right w:val="none" w:sz="0" w:space="0" w:color="auto"/>
      </w:divBdr>
    </w:div>
    <w:div w:id="1207252629">
      <w:bodyDiv w:val="1"/>
      <w:marLeft w:val="0"/>
      <w:marRight w:val="0"/>
      <w:marTop w:val="0"/>
      <w:marBottom w:val="0"/>
      <w:divBdr>
        <w:top w:val="none" w:sz="0" w:space="0" w:color="auto"/>
        <w:left w:val="none" w:sz="0" w:space="0" w:color="auto"/>
        <w:bottom w:val="none" w:sz="0" w:space="0" w:color="auto"/>
        <w:right w:val="none" w:sz="0" w:space="0" w:color="auto"/>
      </w:divBdr>
    </w:div>
    <w:div w:id="1365474258">
      <w:bodyDiv w:val="1"/>
      <w:marLeft w:val="0"/>
      <w:marRight w:val="0"/>
      <w:marTop w:val="0"/>
      <w:marBottom w:val="0"/>
      <w:divBdr>
        <w:top w:val="none" w:sz="0" w:space="0" w:color="auto"/>
        <w:left w:val="none" w:sz="0" w:space="0" w:color="auto"/>
        <w:bottom w:val="none" w:sz="0" w:space="0" w:color="auto"/>
        <w:right w:val="none" w:sz="0" w:space="0" w:color="auto"/>
      </w:divBdr>
    </w:div>
    <w:div w:id="1890847634">
      <w:bodyDiv w:val="1"/>
      <w:marLeft w:val="0"/>
      <w:marRight w:val="0"/>
      <w:marTop w:val="0"/>
      <w:marBottom w:val="0"/>
      <w:divBdr>
        <w:top w:val="none" w:sz="0" w:space="0" w:color="auto"/>
        <w:left w:val="none" w:sz="0" w:space="0" w:color="auto"/>
        <w:bottom w:val="none" w:sz="0" w:space="0" w:color="auto"/>
        <w:right w:val="none" w:sz="0" w:space="0" w:color="auto"/>
      </w:divBdr>
    </w:div>
    <w:div w:id="1942251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2327</ap:Words>
  <ap:Characters>12803</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2023-02-13T13:57:00.0000000Z</dcterms:created>
  <dcterms:modified xsi:type="dcterms:W3CDTF">2023-02-13T13:57:00.0000000Z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Reactie aanbevelingen wetenschapstoets</vt:lpwstr>
  </property>
  <property fmtid="{D5CDD505-2E9C-101B-9397-08002B2CF9AE}" pid="3" name="Docgensjabloon">
    <vt:lpwstr>DocGen_Blanco_document_nl_NL</vt:lpwstr>
  </property>
  <property fmtid="{D5CDD505-2E9C-101B-9397-08002B2CF9AE}" pid="4" name="MSIP_Label_6800fede-0e59-47ad-af95-4e63bbdb932d_Enabled">
    <vt:lpwstr>true</vt:lpwstr>
  </property>
  <property fmtid="{D5CDD505-2E9C-101B-9397-08002B2CF9AE}" pid="5" name="MSIP_Label_6800fede-0e59-47ad-af95-4e63bbdb932d_SetDate">
    <vt:lpwstr>2023-01-31T11:07:29Z</vt:lpwstr>
  </property>
  <property fmtid="{D5CDD505-2E9C-101B-9397-08002B2CF9AE}" pid="6" name="MSIP_Label_6800fede-0e59-47ad-af95-4e63bbdb932d_Method">
    <vt:lpwstr>Standard</vt:lpwstr>
  </property>
  <property fmtid="{D5CDD505-2E9C-101B-9397-08002B2CF9AE}" pid="7" name="MSIP_Label_6800fede-0e59-47ad-af95-4e63bbdb932d_Name">
    <vt:lpwstr>FIN-DGGT-Rijksoverheid</vt:lpwstr>
  </property>
  <property fmtid="{D5CDD505-2E9C-101B-9397-08002B2CF9AE}" pid="8" name="MSIP_Label_6800fede-0e59-47ad-af95-4e63bbdb932d_SiteId">
    <vt:lpwstr>84712536-f524-40a0-913b-5d25ba502732</vt:lpwstr>
  </property>
  <property fmtid="{D5CDD505-2E9C-101B-9397-08002B2CF9AE}" pid="9" name="MSIP_Label_6800fede-0e59-47ad-af95-4e63bbdb932d_ActionId">
    <vt:lpwstr>3fa91ca8-c9ff-470a-aa2e-11a4100118e4</vt:lpwstr>
  </property>
  <property fmtid="{D5CDD505-2E9C-101B-9397-08002B2CF9AE}" pid="10" name="MSIP_Label_6800fede-0e59-47ad-af95-4e63bbdb932d_ContentBits">
    <vt:lpwstr>0</vt:lpwstr>
  </property>
</Properties>
</file>