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rPr>
          <w:lang w:val="en-US"/>
        </w:rPr>
        <w:id w:val="2061979966"/>
        <w:lock w:val="contentLocked"/>
        <w:placeholder>
          <w:docPart w:val="DefaultPlaceholder_1082065158"/>
        </w:placeholder>
        <w:group/>
      </w:sdtPr>
      <w:sdtEndPr>
        <w:rPr>
          <w:lang w:val="nl-NL"/>
        </w:rPr>
      </w:sdtEndPr>
      <w:sdtContent>
        <w:p w:rsidRPr="00275756" w:rsidR="002E6459" w:rsidP="001F694A" w:rsidRDefault="002B2D68">
          <w:pPr>
            <w:tabs>
              <w:tab w:val="left" w:pos="3686"/>
            </w:tabs>
          </w:pPr>
          <w:r>
            <w:rPr>
              <w:noProof/>
            </w:rPr>
            <mc:AlternateContent>
              <mc:Choice Requires="wps">
                <w:drawing>
                  <wp:anchor distT="0" distB="0" distL="114300" distR="114300" simplePos="0" relativeHeight="251657728" behindDoc="0" locked="0" layoutInCell="1" allowOverlap="1" wp14:editId="4391CCF5" wp14:anchorId="368FBEA7">
                    <wp:simplePos x="0" y="0"/>
                    <wp:positionH relativeFrom="page">
                      <wp:posOffset>3960495</wp:posOffset>
                    </wp:positionH>
                    <wp:positionV relativeFrom="page">
                      <wp:posOffset>252095</wp:posOffset>
                    </wp:positionV>
                    <wp:extent cx="3429000" cy="208280"/>
                    <wp:effectExtent l="0" t="4445" r="1905"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68FBEA7">
                    <v:stroke joinstyle="miter"/>
                    <v:path gradientshapeok="t" o:connecttype="rect"/>
                  </v:shapetype>
                  <v:shape id="Text Box 6"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Gtf2HKGAgAADwUAAA4AAAAAAAAAAAAAAAAALgIAAGRycy9lMm9Eb2MueG1sUEsBAi0AFAAGAAgA&#10;AAAhAFMStWPfAAAACgEAAA8AAAAAAAAAAAAAAAAA4AQAAGRycy9kb3ducmV2LnhtbFBLBQYAAAAA&#10;BAAEAPMAAADsBQAAAAA=&#10;">
                    <v:textbox style="mso-fit-shape-to-text:t">
                      <w:txbxContent>
                        <w:p w:rsidRPr="00A4487D" w:rsidR="00C03BC5" w:rsidP="003819B6" w:rsidRDefault="00C03BC5">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7B4271" wp14:anchorId="4B70B2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5" name="Afbeelding 5"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442" w:rsidR="009E4442">
            <w:rPr>
              <w:lang w:val="en-US"/>
            </w:rPr>
            <w:t>No.</w:t>
          </w:r>
          <w:sdt>
            <w:sdtPr>
              <w:alias w:val="ZaakNummerPlus"/>
              <w:tag w:val="ZaakNummerPlus"/>
              <w:id w:val="-2079433656"/>
              <w:lock w:val="sdtContentLocked"/>
              <w:placeholder>
                <w:docPart w:val="61A409EBA1D24904BD15A44413E5E5A9"/>
              </w:placeholder>
              <w:text/>
            </w:sdtPr>
            <w:sdtEndPr/>
            <w:sdtContent>
              <w:r>
                <w:t>W16.22.0200/II</w:t>
              </w:r>
            </w:sdtContent>
          </w:sdt>
          <w:r w:rsidRPr="009E4442" w:rsidR="00C03BC5">
            <w:rPr>
              <w:lang w:val="en-US"/>
            </w:rPr>
            <w:tab/>
            <w:t xml:space="preserve">'s-Gravenhage, </w:t>
          </w:r>
          <w:sdt>
            <w:sdtPr>
              <w:alias w:val="DatumAdvies"/>
              <w:tag w:val="DatumAdvies"/>
              <w:id w:val="-287518040"/>
              <w:lock w:val="sdtContentLocked"/>
              <w:placeholder>
                <w:docPart w:val="60B69189923245C7B9E7461000FC6AA8"/>
              </w:placeholder>
              <w:text/>
            </w:sdtPr>
            <w:sdtEndPr/>
            <w:sdtContent>
              <w:r>
                <w:t>27 januari 2023</w:t>
              </w:r>
            </w:sdtContent>
          </w:sdt>
        </w:p>
        <w:p w:rsidRPr="009E4442" w:rsidR="00C03BC5" w:rsidP="00C03BC5" w:rsidRDefault="00C03BC5">
          <w:pPr>
            <w:tabs>
              <w:tab w:val="left" w:pos="3685"/>
            </w:tabs>
            <w:rPr>
              <w:lang w:val="en-US"/>
            </w:rPr>
          </w:pPr>
        </w:p>
        <w:p w:rsidRPr="009E4442" w:rsidR="00C03BC5" w:rsidP="00C03BC5" w:rsidRDefault="00C03BC5">
          <w:pPr>
            <w:tabs>
              <w:tab w:val="left" w:pos="3685"/>
            </w:tabs>
            <w:rPr>
              <w:lang w:val="en-US"/>
            </w:rPr>
          </w:pPr>
        </w:p>
        <w:sdt>
          <w:sdtPr>
            <w:alias w:val="Aanhef"/>
            <w:tag w:val="Aanhef"/>
            <w:id w:val="2074146362"/>
            <w:lock w:val="sdtContentLocked"/>
            <w:placeholder>
              <w:docPart w:val="4821023B96A84EE9B77960A6A1634B1C"/>
            </w:placeholder>
            <w:text w:multiLine="1"/>
          </w:sdtPr>
          <w:sdtEndPr/>
          <w:sdtContent>
            <w:p w:rsidR="00EB7AE3" w:rsidRDefault="00C76B5D">
              <w:r>
                <w:t>Bij brief van de Voorzitter van de Tweede Kamer der Staten-Generaal van 5 oktober 2022 heeft de Tweede Kamer, bij de Afdeling advisering van de Raad van State ter overweging aanhangig gemaakt het voorstel van wet van de leden Van der Laan, Van der Woude, D</w:t>
              </w:r>
              <w:r>
                <w:t>e Hoop, Westerveld, Kwint en Van Esch tot wijziging van het Wetboek van Strafrecht en enige andere wetten in verband met het strafbaar stellen van handelingen gericht op het veranderen of onderdrukken van de seksuele gerichtheid, genderidentiteit of gender</w:t>
              </w:r>
              <w:r>
                <w:t>expressie (Wet strafbaarstelling conversiehandelingen), met memorie van toelichting.</w:t>
              </w:r>
            </w:p>
          </w:sdtContent>
        </w:sdt>
        <w:p w:rsidR="00EF6FDD" w:rsidP="003819B6" w:rsidRDefault="00EF6FDD"/>
        <w:sdt>
          <w:sdtPr>
            <w:alias w:val="VrijeTekst1"/>
            <w:tag w:val="VrijeTekst1"/>
            <w:id w:val="-437221631"/>
            <w:lock w:val="sdtLocked"/>
          </w:sdtPr>
          <w:sdtEndPr/>
          <w:sdtContent>
            <w:p w:rsidR="005633D2" w:rsidP="005633D2" w:rsidRDefault="00C76B5D">
              <w:r>
                <w:t>Het initiatiefwetsvoorstel beoogt een einde te maken aan conversiehandelingen bij mensen in een kwetsbare positie. Conversiehandelingen hebben tot doel om de seksuele g</w:t>
              </w:r>
              <w:r>
                <w:t>erichtheid of genderidentiteit van mensen te veranderen tot de heersende norm. De initiatiefnemers zijn van mening dat – gelet op de zeer schadelijke gevolgen die conversiehandelingen kunnen hebben – kwetsbare slacht-</w:t>
              </w:r>
            </w:p>
            <w:p w:rsidR="005633D2" w:rsidP="005633D2" w:rsidRDefault="00C76B5D">
              <w:r>
                <w:t>offers moeten worden beschermd tegen d</w:t>
              </w:r>
              <w:r>
                <w:t>ergelijke handeling. Het wetsvoorstel strekt daarom tot strafbaarstelling van ernstige vormen van conversiehandelingen.</w:t>
              </w:r>
            </w:p>
            <w:p w:rsidR="005633D2" w:rsidP="001801AE" w:rsidRDefault="00C76B5D"/>
            <w:p w:rsidR="001801AE" w:rsidP="001801AE" w:rsidRDefault="00C76B5D">
              <w:r w:rsidRPr="003C0A50">
                <w:t>De Afdeling advisering van de Raad van State heeft begrip voor de wens om conversiehandelingen tegen te gaan en om de schade daarvan vo</w:t>
              </w:r>
              <w:r w:rsidRPr="003C0A50">
                <w:t xml:space="preserve">or slachtoffers te verminderen. </w:t>
              </w:r>
              <w:r>
                <w:t xml:space="preserve">Van het introduceren van een strafrechtelijke norm kan een signaal uitgaan dat dit soort handelingen ongewenst zijn. </w:t>
              </w:r>
              <w:r w:rsidRPr="003C0A50">
                <w:t>De Afdeling</w:t>
              </w:r>
              <w:r>
                <w:t xml:space="preserve"> zet evenwel vraagtekens bij de gemaakte keuze om het Wetboek van Strafrecht aan te vullen met e</w:t>
              </w:r>
              <w:r>
                <w:t xml:space="preserve">en nieuwe strafbaarstelling. </w:t>
              </w:r>
            </w:p>
            <w:p w:rsidR="001801AE" w:rsidP="001801AE" w:rsidRDefault="00C76B5D"/>
            <w:p w:rsidR="001801AE" w:rsidP="001801AE" w:rsidRDefault="00C76B5D">
              <w:r>
                <w:t xml:space="preserve">De initiatiefnemers beogen vooral ernstige vormen van conversiehandelingen strafbaar te stellen. Dat leidt tot de vraag </w:t>
              </w:r>
              <w:r w:rsidRPr="00C32E25">
                <w:t>of deze gedragingen niet al strafbaar zijn gesteld in het huidige Wetboek van Strafrecht. Conversiehandel</w:t>
              </w:r>
              <w:r w:rsidRPr="00C32E25">
                <w:t xml:space="preserve">ingen waarbij het slachtoffer mishandeld wordt, onder grote druk komt te staan of gediscrimineerd wordt, zijn </w:t>
              </w:r>
              <w:r>
                <w:t>bijvoorbeeld</w:t>
              </w:r>
              <w:r w:rsidRPr="00C32E25">
                <w:t xml:space="preserve"> al verboden</w:t>
              </w:r>
              <w:r>
                <w:t>. Het is voor de Afdeling onduidelijk wat de betekenis van de voorgestelde strafbepaling is ten opzichte van bestaande str</w:t>
              </w:r>
              <w:r>
                <w:t xml:space="preserve">afbepalingen. Als dit louter een signaalfunctie betreft, is dit naar de opvatting van de Afdeling onvoldoende om een nieuwe strafbaarstelling te introduceren. </w:t>
              </w:r>
              <w:r w:rsidRPr="00C32E25">
                <w:t>De Afdeling adviseert daarom</w:t>
              </w:r>
              <w:r>
                <w:t xml:space="preserve"> de duidelijke meerwaarde van de strafbaarstelling ten opzichte van b</w:t>
              </w:r>
              <w:r>
                <w:t>estaande strafbaarstellingen dragend te motiveren en indien dat niet mogelijk is het wetsvoorstel niet in behandeling te nemen.</w:t>
              </w:r>
              <w:r w:rsidRPr="00C32E25">
                <w:t xml:space="preserve"> </w:t>
              </w:r>
            </w:p>
            <w:p w:rsidR="001801AE" w:rsidP="001801AE" w:rsidRDefault="00C76B5D"/>
            <w:p w:rsidR="001801AE" w:rsidP="001801AE" w:rsidRDefault="00C76B5D">
              <w:r>
                <w:t>De Afdeling maakt daarnaast enkele opmerkingen over de handhaafbaarheid van de strafbaarstelling en de verhouding van het voor</w:t>
              </w:r>
              <w:r>
                <w:t xml:space="preserve">stel tot andere maatregelen die getroffen worden om conversiehandelingen tegen te gaan. </w:t>
              </w:r>
            </w:p>
            <w:p w:rsidR="001801AE" w:rsidP="001801AE" w:rsidRDefault="00C76B5D"/>
            <w:p w:rsidR="001801AE" w:rsidP="001801AE" w:rsidRDefault="00C76B5D">
              <w:r>
                <w:t>De Afdeling maakt verder nog een specifieke opmerking over de strafbaarstelling van het</w:t>
              </w:r>
              <w:r w:rsidRPr="00382411">
                <w:rPr>
                  <w:i/>
                  <w:iCs/>
                </w:rPr>
                <w:t xml:space="preserve"> aanbieden</w:t>
              </w:r>
              <w:r>
                <w:t xml:space="preserve"> van conversiehandelingen. De initiatiefnemers willen dit in alle gevallen strafbaar stellen, ook als het om conversiehandelingen gaat die ook onder dit wetsvoorstel niet verboden zullen zijn. Een dergelijk totaalverbod is in strijd met grondrechten van be</w:t>
              </w:r>
              <w:r>
                <w:t xml:space="preserve">trokkenen. De Afdeling adviseert daarom hiervan af te zien. </w:t>
              </w:r>
            </w:p>
            <w:p w:rsidR="001801AE" w:rsidP="001801AE" w:rsidRDefault="00C76B5D"/>
            <w:p w:rsidR="001801AE" w:rsidP="001801AE" w:rsidRDefault="00C76B5D">
              <w:r w:rsidRPr="003C0A50">
                <w:lastRenderedPageBreak/>
                <w:t xml:space="preserve">In verband met het </w:t>
              </w:r>
              <w:r>
                <w:t>voorg</w:t>
              </w:r>
              <w:r w:rsidRPr="003C0A50">
                <w:t xml:space="preserve">aande is de Afdeling van oordeel dat het initiatiefvoorstel nader dient te worden overwogen. </w:t>
              </w:r>
            </w:p>
            <w:p w:rsidR="001801AE" w:rsidP="001801AE" w:rsidRDefault="00C76B5D"/>
            <w:p w:rsidR="001801AE" w:rsidP="001801AE" w:rsidRDefault="00C76B5D">
              <w:pPr>
                <w:rPr>
                  <w:szCs w:val="22"/>
                </w:rPr>
              </w:pPr>
              <w:r w:rsidRPr="003C0A50">
                <w:t xml:space="preserve">Indien het voorstel verder in behandeling wordt genomen, behoeft de </w:t>
              </w:r>
              <w:r w:rsidRPr="003C0A50">
                <w:t>toelichting nadere motivering op onder meer de hiervoor bedoelde punten</w:t>
              </w:r>
              <w:r>
                <w:t>. Daarnaast adviseert de Afdeling in de toelichting in te gaan op een aantal grondrechten die in de toelichting nog niet worden besproken, maar wel relevant zijn voor het voorstel</w:t>
              </w:r>
              <w:r w:rsidRPr="003C0A50">
                <w:t>.</w:t>
              </w:r>
              <w:r>
                <w:t xml:space="preserve"> </w:t>
              </w:r>
              <w:r w:rsidRPr="003C0A50">
                <w:t>De A</w:t>
              </w:r>
              <w:r w:rsidRPr="003C0A50">
                <w:t xml:space="preserve">fdeling maakt voorts enkele opmerkingen over de vormgeving van de strafbaarstelling. </w:t>
              </w:r>
            </w:p>
            <w:p w:rsidR="001801AE" w:rsidP="001801AE" w:rsidRDefault="00C76B5D"/>
            <w:p w:rsidR="001801AE" w:rsidP="00C11E73" w:rsidRDefault="00C76B5D">
              <w:r>
                <w:t xml:space="preserve">1. </w:t>
              </w:r>
              <w:r>
                <w:tab/>
              </w:r>
              <w:r w:rsidRPr="00C11E73">
                <w:rPr>
                  <w:u w:val="single"/>
                </w:rPr>
                <w:t>Achtergrond van het wetsvoorstel</w:t>
              </w:r>
            </w:p>
            <w:p w:rsidR="001801AE" w:rsidP="001801AE" w:rsidRDefault="00C76B5D"/>
            <w:p w:rsidR="001801AE" w:rsidP="001801AE" w:rsidRDefault="00C76B5D">
              <w:r>
                <w:t>Het wetsvoorstel beoogt een einde te maken aan conversiehandelingen bij mensen in een kwetsbare positie. Het gaat om handelingen wa</w:t>
              </w:r>
              <w:r>
                <w:t>arbij het doel is om de seksuele gerichtheid of genderidentiteit van mensen te onderdrukken of te veranderen naar de heersende norm. Een voorbeeld hiervan is ‘homogenezingstherapie’, waarbij wordt geprobeerd om iemands homoseksualiteit te veranderen naar h</w:t>
              </w:r>
              <w:r>
                <w:t xml:space="preserve">eteroseksualiteit of met iemand indringend wordt gesproken over het onderdrukken van homoseksuele gevoelens. </w:t>
              </w:r>
            </w:p>
            <w:p w:rsidR="001801AE" w:rsidP="001801AE" w:rsidRDefault="00C76B5D"/>
            <w:p w:rsidR="001801AE" w:rsidP="001801AE" w:rsidRDefault="00C76B5D">
              <w:r>
                <w:t>In de literatuur worden verschillende typen interventies onderscheiden: biologische behandelingen, gedragsinterventies, cognitieve therapie, psyc</w:t>
              </w:r>
              <w:r>
                <w:t>hoanalyse en religieuze interventies. In Nederland lijkt in het bijzonder de laatste vorm voor te komen. In de toelichting worden voorbeelden genoemd van intensieve gesprekken tussen slachtoffers en senior-leden van hun geloofsgemeenschap, gebedssessies en</w:t>
              </w:r>
              <w:r>
                <w:t xml:space="preserve"> duivelsuitdrijving.</w:t>
              </w:r>
              <w:r>
                <w:rPr>
                  <w:rStyle w:val="Voetnootmarkering"/>
                </w:rPr>
                <w:footnoteReference w:id="1"/>
              </w:r>
              <w:r>
                <w:t xml:space="preserve"> Hoewel de meeste informatie over dergelijke praktijken betrekking heeft op bepaalde christelijke kerken, zijn er ook signalen dat conversiehandelingen voorkomen bij andere religieuze stromingen en bij niet-gelovigen.</w:t>
              </w:r>
              <w:r>
                <w:rPr>
                  <w:rStyle w:val="Voetnootmarkering"/>
                </w:rPr>
                <w:footnoteReference w:id="2"/>
              </w:r>
              <w:r>
                <w:t xml:space="preserve"> </w:t>
              </w:r>
            </w:p>
            <w:p w:rsidR="001801AE" w:rsidP="001801AE" w:rsidRDefault="00C76B5D"/>
            <w:p w:rsidR="001801AE" w:rsidP="001801AE" w:rsidRDefault="00C76B5D">
              <w:r>
                <w:t>Uit de toelich</w:t>
              </w:r>
              <w:r>
                <w:t>ting blijkt dat de gevolgen van conversiehandelingen groot kunnen zijn.</w:t>
              </w:r>
              <w:r>
                <w:rPr>
                  <w:rStyle w:val="Voetnootmarkering"/>
                </w:rPr>
                <w:footnoteReference w:id="3"/>
              </w:r>
              <w:r>
                <w:t xml:space="preserve"> Er is geen wetenschappelijk bewijs dat conversiehandelingen daadwerkelijk tot een verandering van de seksuele gerichtheid of genderidentiteit kunnen leiden. Wanneer iemand echter derg</w:t>
              </w:r>
              <w:r>
                <w:t>elijke handelingen heeft ondergaan, kan dit de mentale en fysieke gezondheid ernstig schaden. Slachtoffers rapporteren onder andere schuldgevoelens, depressieve klachten, angsten, onzekerheid over de eigen identiteit, intimiteitsproblemen en suïcidale geda</w:t>
              </w:r>
              <w:r>
                <w:t>chten. Daarnaast kunnen slachtoffers het contact met familie en hun geloofsgemeenschap verliezen en zo in sociale isolatie raken. Voorts wordt in de toelichting genoemd dat ook de sociaaleconomische positie van het slachtoffer kan verslechteren.</w:t>
              </w:r>
              <w:r>
                <w:rPr>
                  <w:rStyle w:val="Voetnootmarkering"/>
                </w:rPr>
                <w:footnoteReference w:id="4"/>
              </w:r>
            </w:p>
            <w:p w:rsidR="001801AE" w:rsidP="001801AE" w:rsidRDefault="00C76B5D"/>
            <w:p w:rsidR="001801AE" w:rsidP="001801AE" w:rsidRDefault="00C76B5D">
              <w:r>
                <w:t>De initi</w:t>
              </w:r>
              <w:r>
                <w:t>atiefnemers merken op dat de slachtoffers zich vaak in een kwetsbare positie bevinden. Het gaat voornamelijk om jonge mensen die zich in een religieuze omgeving bevinden waarin zij grote sociale of religieuze druk ervaren om hun homoseksualiteit te verande</w:t>
              </w:r>
              <w:r>
                <w:t>ren of te onderdrukken.</w:t>
              </w:r>
              <w:r>
                <w:rPr>
                  <w:rStyle w:val="Voetnootmarkering"/>
                </w:rPr>
                <w:footnoteReference w:id="5"/>
              </w:r>
              <w:r>
                <w:t xml:space="preserve"> De meeste mensen zijn in hun late tiener- of </w:t>
              </w:r>
              <w:r>
                <w:lastRenderedPageBreak/>
                <w:t>twintigerjaren als zij een conversiepoging meemaken. Onderzoek laat zien dat de gemiddelde leeftijd in de Verenigde Staten 23 jaar is.</w:t>
              </w:r>
              <w:r>
                <w:rPr>
                  <w:rStyle w:val="Voetnootmarkering"/>
                </w:rPr>
                <w:footnoteReference w:id="6"/>
              </w:r>
              <w:r>
                <w:t xml:space="preserve"> </w:t>
              </w:r>
            </w:p>
            <w:p w:rsidR="001801AE" w:rsidP="001801AE" w:rsidRDefault="00C76B5D"/>
            <w:p w:rsidR="001801AE" w:rsidP="001801AE" w:rsidRDefault="00C76B5D">
              <w:r>
                <w:t>De bestaande mogelijkheden om conversiehandeling</w:t>
              </w:r>
              <w:r>
                <w:t xml:space="preserve">en aan te pakken voldoen volgens de initiatiefnemers niet (zie verder </w:t>
              </w:r>
              <w:r w:rsidRPr="002A3BA0">
                <w:t xml:space="preserve">punt </w:t>
              </w:r>
              <w:r>
                <w:t>6).</w:t>
              </w:r>
              <w:r>
                <w:rPr>
                  <w:rStyle w:val="Voetnootmarkering"/>
                </w:rPr>
                <w:footnoteReference w:id="7"/>
              </w:r>
              <w:r>
                <w:t xml:space="preserve"> Het bestaande civielrechtelijke en strafrechtelijke instrumentarium is niet adequaat om deze handelingen tegen te gaan. Verder betwijfelen de initiatiefnemers of andere inspann</w:t>
              </w:r>
              <w:r>
                <w:t>ingen om de acceptatie van LHBTIQ+-personen te vergroten binnen streng religieuze gemeenschappen effectief zijn. Het zou bovendien aan toezicht ontbreken, omdat conversiehandelingen geen medisch handelen zijn en religieuze gemeenschappen op dit terrein nie</w:t>
              </w:r>
              <w:r>
                <w:t xml:space="preserve">t aan zelfregulering doen. Daarom wordt een wettelijk verbod op conversiehandelingen noodzakelijk geacht. </w:t>
              </w:r>
            </w:p>
            <w:p w:rsidR="001801AE" w:rsidP="001801AE" w:rsidRDefault="00C76B5D"/>
            <w:p w:rsidR="001801AE" w:rsidP="001801AE" w:rsidRDefault="00C76B5D">
              <w:r>
                <w:t>Het initiatiefwetsvoorstel kan gezien worden als een vervolg op verschillende moties waarin de regering wordt opgeroepen conversiehandelingen te ver</w:t>
              </w:r>
              <w:r>
                <w:t>bieden.</w:t>
              </w:r>
              <w:r>
                <w:rPr>
                  <w:rStyle w:val="Voetnootmarkering"/>
                </w:rPr>
                <w:footnoteReference w:id="8"/>
              </w:r>
              <w:r>
                <w:t xml:space="preserve"> De regering heeft deze moties tot op heden niet uitgevoerd, omdat zij verder onderzoek afwachtte.</w:t>
              </w:r>
              <w:r>
                <w:rPr>
                  <w:rStyle w:val="Voetnootmarkering"/>
                </w:rPr>
                <w:footnoteReference w:id="9"/>
              </w:r>
              <w:r>
                <w:t xml:space="preserve"> Deze onderzoeken zijn inmiddels afgerond.</w:t>
              </w:r>
              <w:r>
                <w:rPr>
                  <w:rStyle w:val="Voetnootmarkering"/>
                </w:rPr>
                <w:footnoteReference w:id="10"/>
              </w:r>
              <w:r>
                <w:t xml:space="preserve"> In de beleidsreactie op het laatst gepubliceerde onderzoek van Regioplan (2022) onderschrijft de regering</w:t>
              </w:r>
              <w:r>
                <w:t xml:space="preserve"> de aanbeveling tot een wettelijk verbod te komen gelet op de normstellende werking die van een dergelijk verbod uitgaat. Bij de uitwerking moet volgens de regering wel kritisch worden gekeken naar de uitvoerbaarheid en de verhouding tot andere grondrechte</w:t>
              </w:r>
              <w:r>
                <w:t>n. De regering wacht het onderhavige initiatiefwetsvoorstel en het advies van de Afdeling af, voordat zij haar standpunt kenbaar maakt.</w:t>
              </w:r>
              <w:r>
                <w:rPr>
                  <w:rStyle w:val="Voetnootmarkering"/>
                </w:rPr>
                <w:footnoteReference w:id="11"/>
              </w:r>
              <w:r>
                <w:t xml:space="preserve"> De regering heeft zich overigens verbonden aan het uitvoeren van het Regenboog Stembusakkoord 2021, waarin staat dat er</w:t>
              </w:r>
              <w:r>
                <w:t xml:space="preserve"> een wettelijke verbod op ‘LHBTI-genezingstherapieën’ moet komen.</w:t>
              </w:r>
              <w:r>
                <w:rPr>
                  <w:rStyle w:val="Voetnootmarkering"/>
                </w:rPr>
                <w:footnoteReference w:id="12"/>
              </w:r>
              <w:r>
                <w:t xml:space="preserve"> </w:t>
              </w:r>
            </w:p>
            <w:p w:rsidR="001801AE" w:rsidP="001801AE" w:rsidRDefault="00C76B5D"/>
            <w:p w:rsidR="001801AE" w:rsidP="001801AE" w:rsidRDefault="00C76B5D">
              <w:r>
                <w:t xml:space="preserve">2. </w:t>
              </w:r>
              <w:r>
                <w:tab/>
              </w:r>
              <w:r>
                <w:rPr>
                  <w:u w:val="single"/>
                </w:rPr>
                <w:t>Inhoud van het wetsvoorstel</w:t>
              </w:r>
            </w:p>
            <w:p w:rsidR="001801AE" w:rsidP="001801AE" w:rsidRDefault="00C76B5D"/>
            <w:p w:rsidR="001801AE" w:rsidP="001801AE" w:rsidRDefault="00C76B5D">
              <w:r>
                <w:t>Het wetsvoorstel stelt het aanbieden en verrichten van conversiehandelingen strafbaar in artikel 285ba van het Wetboek van Strafrecht (Sr) en in artikel 2</w:t>
              </w:r>
              <w:r>
                <w:t>97b van het Wetboek van Strafrecht BES (Sr BES). Het eerste en het tweede lid van de voorgestelde artikelen 285ba Sr en 297b Sr BES betreffen de strafbaarstelling van het verrichten van conversiehandelingen. Het derde lid van die bepalingen ziet op het aan</w:t>
              </w:r>
              <w:r>
                <w:t>bieden daarvan.</w:t>
              </w:r>
            </w:p>
            <w:p w:rsidR="001801AE" w:rsidP="001801AE" w:rsidRDefault="00C76B5D"/>
            <w:p w:rsidR="001801AE" w:rsidP="001801AE" w:rsidRDefault="00C76B5D">
              <w:r>
                <w:lastRenderedPageBreak/>
                <w:t>Onder conversiehandelingen worden handelingen verstaan die gericht zijn op het veranderen of onderdrukken van de seksuele gerichtheid of de genderidentiteit van een ander. Deze handelingen gaan verder dan alleen het afkeuren van een bepaal</w:t>
              </w:r>
              <w:r>
                <w:t xml:space="preserve">de seksuele gerichtheid of genderidentiteit. Het kan bijvoorbeeld gaan om gesprekken waarin druk wordt uitgeoefend op het slachtoffer, maar ook om het toedienen van elektroshocks of homeopathische middelen. Uit de toelichting blijkt dat de handelingen van </w:t>
              </w:r>
              <w:r>
                <w:t xml:space="preserve">voldoende gewicht moeten zijn om strafwaardig te worden bevonden. </w:t>
              </w:r>
            </w:p>
            <w:p w:rsidR="001801AE" w:rsidP="001801AE" w:rsidRDefault="00C76B5D"/>
            <w:p w:rsidR="001801AE" w:rsidP="001801AE" w:rsidRDefault="00C76B5D">
              <w:r>
                <w:t xml:space="preserve">Het gewicht van de fysieke of psychische inwerking van de behandeling kan worden afgeleid uit de aard, duur, frequentie en intensiteit van de gedragingen en de omstandigheden waaronder de </w:t>
              </w:r>
              <w:r>
                <w:t>gedragingen hebben plaatsgevonden.</w:t>
              </w:r>
              <w:r>
                <w:rPr>
                  <w:rStyle w:val="Voetnootmarkering"/>
                </w:rPr>
                <w:footnoteReference w:id="13"/>
              </w:r>
              <w:r>
                <w:t xml:space="preserve"> Volgens de toelichting zal een psychische inwerking in de regel pas van voldoende gewicht zijn “indien in een (informele) zorg- of behandelsetting, al dan niet pastoraal van aard, over een zekere periode en met een hoge </w:t>
              </w:r>
              <w:r>
                <w:t>mate van intensiteit druk wordt uitgeoefend de betreffende persoon om diens seksuele gerichtheid of genderidentiteit te veranderen of te onderdrukken.”</w:t>
              </w:r>
              <w:r>
                <w:rPr>
                  <w:rStyle w:val="Voetnootmarkering"/>
                </w:rPr>
                <w:footnoteReference w:id="14"/>
              </w:r>
              <w:r>
                <w:t xml:space="preserve"> Een enkel pastoraal of psychotherapeutisch gesprek, zal in beginsel niet van voldoende gewicht zijn. Bi</w:t>
              </w:r>
              <w:r>
                <w:t>j fysieke vormen van conversiehandeling, bijvoorbeeld elektroshocks, kan één voorval wel voldoende zijn om te spreken van strafbare conversiehandelingen.</w:t>
              </w:r>
            </w:p>
            <w:p w:rsidR="001801AE" w:rsidP="001801AE" w:rsidRDefault="00C76B5D"/>
            <w:p w:rsidR="001801AE" w:rsidP="001801AE" w:rsidRDefault="00C76B5D">
              <w:r>
                <w:t xml:space="preserve">In de voorgestelde bepalingen wordt een onderscheid gemaakt tussen het verrichten van </w:t>
              </w:r>
              <w:r>
                <w:t>conversiehandelingen bij minderjarigen en bij meerderjarigen. Bij minderjarigen is vereist dat de handelingen in de uitoefening van een ambt, beroep of bedrijf, of in verband van een organisatie zijn verricht.</w:t>
              </w:r>
              <w:r>
                <w:rPr>
                  <w:rStyle w:val="Voetnootmarkering"/>
                </w:rPr>
                <w:footnoteReference w:id="15"/>
              </w:r>
              <w:r>
                <w:t xml:space="preserve"> Deze ruime formulering leidt ertoe dat niet a</w:t>
              </w:r>
              <w:r>
                <w:t>lleen het hoofd van een geloofsgemeenschap, maar ook leden strafbaar kunnen zijn als zij conversiehandelingen binnen die gemeenschap verrichten.</w:t>
              </w:r>
              <w:r>
                <w:rPr>
                  <w:rStyle w:val="Voetnootmarkering"/>
                </w:rPr>
                <w:footnoteReference w:id="16"/>
              </w:r>
              <w:r>
                <w:t xml:space="preserve"> Gedragingen in de privésfeer vallen in beginsel buiten het bereik van de strafbepaling.</w:t>
              </w:r>
              <w:r>
                <w:rPr>
                  <w:rStyle w:val="Voetnootmarkering"/>
                </w:rPr>
                <w:footnoteReference w:id="17"/>
              </w:r>
              <w:r>
                <w:t xml:space="preserve"> Bijvoorbeeld indringe</w:t>
              </w:r>
              <w:r>
                <w:t>nde, op conversie gerichte gesprekken tussen ouders en kinderen zouden dus niet tot vervolging van de ouders mogen leiden.</w:t>
              </w:r>
            </w:p>
            <w:p w:rsidR="001801AE" w:rsidP="001801AE" w:rsidRDefault="00C76B5D"/>
            <w:p w:rsidR="001801AE" w:rsidP="001801AE" w:rsidRDefault="00C76B5D">
              <w:r>
                <w:t>Conversiehandelingen bij meerderjarigen zijn strafbaar als sprake is van misbruik van uit feitelijke omstandigheden voortvloeiend ov</w:t>
              </w:r>
              <w:r>
                <w:t>erwicht.</w:t>
              </w:r>
              <w:r>
                <w:rPr>
                  <w:rStyle w:val="Voetnootmarkering"/>
                </w:rPr>
                <w:footnoteReference w:id="18"/>
              </w:r>
              <w:r>
                <w:t xml:space="preserve"> Als voorbeeld worden functionele afhankelijkheidsrelaties binnen de zorg en hulpverlening genoemd. Of van een bepaald overwicht misbruik is gemaakt, dient te worden beoordeeld aan de hand van de omstandigheden van het geval. Zo kan het volgens de</w:t>
              </w:r>
              <w:r>
                <w:t xml:space="preserve"> toelichting van belang zijn of het slachtoffer een psychische stoornis heeft.</w:t>
              </w:r>
              <w:r>
                <w:rPr>
                  <w:rStyle w:val="Voetnootmarkering"/>
                </w:rPr>
                <w:footnoteReference w:id="19"/>
              </w:r>
            </w:p>
            <w:p w:rsidR="001801AE" w:rsidP="001801AE" w:rsidRDefault="00C76B5D"/>
            <w:p w:rsidR="001801AE" w:rsidP="001801AE" w:rsidRDefault="00C76B5D">
              <w:r>
                <w:t>Het aanbieden van conversiehandelingen wordt strafbaar gesteld om te voorkomen dat er een maatschappelijk klimaat ontstaat waarin het verschijnsel conversiehandelingen zich ve</w:t>
              </w:r>
              <w:r>
                <w:t xml:space="preserve">rder kan ontwikkelen. Zowel een aanbod in de openbaarheid (bijvoorbeeld reclame) als in een gesloten omgeving is strafbaar. Er is verder geen beperking gesteld aan de hoedanigheid van de aanbieder als bedoeld in het eerste lid van de </w:t>
              </w:r>
              <w:r>
                <w:lastRenderedPageBreak/>
                <w:t>voorgestelde bepalinge</w:t>
              </w:r>
              <w:r>
                <w:t>n, of de omstandigheden waaronder het aanbod wordt gedaan als bedoeld in het tweede lid.</w:t>
              </w:r>
              <w:r>
                <w:rPr>
                  <w:rStyle w:val="Voetnootmarkering"/>
                </w:rPr>
                <w:footnoteReference w:id="20"/>
              </w:r>
              <w:r>
                <w:t xml:space="preserve"> </w:t>
              </w:r>
            </w:p>
            <w:p w:rsidR="001801AE" w:rsidP="001801AE" w:rsidRDefault="00C76B5D"/>
            <w:p w:rsidR="001801AE" w:rsidP="001801AE" w:rsidRDefault="00C76B5D">
              <w:r>
                <w:t>Op het plegen van verboden conversiehandelingen wordt een gevangenisstraf van maximaal een jaar of een geldboete van de vierde categorie gesteld. Op het aanbieden v</w:t>
              </w:r>
              <w:r>
                <w:t>an conversiehandelingen staat een maximale straf van zes maanden of een geldboete van de derde categorie. Het wetsvoorstel voorziet voorts in een strafverzwaringsgrond als de pleger van het verrichten van conversiehandelingen er een gewoonte van heeft gema</w:t>
              </w:r>
              <w:r>
                <w:t>akt of deze handelingen door twee of meer verenigde personen worden verricht.</w:t>
              </w:r>
              <w:r>
                <w:rPr>
                  <w:rStyle w:val="Voetnootmarkering"/>
                </w:rPr>
                <w:footnoteReference w:id="21"/>
              </w:r>
              <w:r>
                <w:t xml:space="preserve"> Indien de schuldige de misdrijven in zijn beroep begaat, kan hij van de uitoefening van dat beroep worden ontzet.</w:t>
              </w:r>
              <w:r>
                <w:rPr>
                  <w:rStyle w:val="Voetnootmarkering"/>
                </w:rPr>
                <w:footnoteReference w:id="22"/>
              </w:r>
            </w:p>
            <w:p w:rsidR="001801AE" w:rsidP="001801AE" w:rsidRDefault="00C76B5D"/>
            <w:p w:rsidRPr="007B1593" w:rsidR="001801AE" w:rsidP="001801AE" w:rsidRDefault="00C76B5D">
              <w:r w:rsidRPr="007B1593">
                <w:rPr>
                  <w:i/>
                  <w:iCs/>
                </w:rPr>
                <w:t>Leeswijzer</w:t>
              </w:r>
            </w:p>
            <w:p w:rsidRPr="00D66D3F" w:rsidR="001801AE" w:rsidP="001801AE" w:rsidRDefault="00C76B5D">
              <w:r w:rsidRPr="007B1593">
                <w:t xml:space="preserve">Het advies is als volgt opgebouwd. Onder punt 3 </w:t>
              </w:r>
              <w:r w:rsidRPr="007B1593">
                <w:t>wordt het voorstel bezien in het licht van de grondrechten van deelnemers en aanbieders. Onder punt 4 komt aan de orde of de voorgestelde strafbaarstelling van meerwaarde is ten opzichte van bestaande strafbaarstellingen. Onder punt 5 wordt vervolgens geke</w:t>
              </w:r>
              <w:r w:rsidRPr="007B1593">
                <w:t>ken naar de effectiviteit, de handhaafbaarheid en de uitvoerbaarheid</w:t>
              </w:r>
              <w:r>
                <w:t xml:space="preserve"> van het voorstel</w:t>
              </w:r>
              <w:r w:rsidRPr="007B1593">
                <w:t xml:space="preserve">. Onder punt 6 </w:t>
              </w:r>
              <w:r>
                <w:t>worden andere maatregelen besproken die conversiehandelingen kunnen tegengaan</w:t>
              </w:r>
              <w:r w:rsidRPr="007B1593">
                <w:t xml:space="preserve">. Op basis </w:t>
              </w:r>
              <w:r>
                <w:t>van de punten 4 tot en met 6</w:t>
              </w:r>
              <w:r w:rsidRPr="007B1593">
                <w:t xml:space="preserve"> wordt onder punt 7 de conclusie getrokk</w:t>
              </w:r>
              <w:r w:rsidRPr="007B1593">
                <w:t>en. Onder punt 8 worden tot slot nog enkele opmerkingen over de vormgeving van de strafbaarstelling gemaakt.</w:t>
              </w:r>
            </w:p>
            <w:p w:rsidR="001801AE" w:rsidP="001801AE" w:rsidRDefault="00C76B5D"/>
            <w:p w:rsidR="001801AE" w:rsidP="001801AE" w:rsidRDefault="00C76B5D">
              <w:r>
                <w:t>3.</w:t>
              </w:r>
              <w:r>
                <w:tab/>
              </w:r>
              <w:r>
                <w:rPr>
                  <w:u w:val="single"/>
                </w:rPr>
                <w:t>Grondrechten</w:t>
              </w:r>
            </w:p>
            <w:p w:rsidR="001801AE" w:rsidP="001801AE" w:rsidRDefault="00C76B5D"/>
            <w:p w:rsidR="001801AE" w:rsidP="001801AE" w:rsidRDefault="00C76B5D">
              <w:r>
                <w:t>Het wetsvoorstel raakt aan grondrechten, zowel van degenen die conversiehandelingen ondergaan of daartoe worden aangezet, als van</w:t>
              </w:r>
              <w:r>
                <w:t xml:space="preserve"> degenen die conversiehandelingen aanbieden en verrichten.</w:t>
              </w:r>
            </w:p>
            <w:p w:rsidR="001801AE" w:rsidP="001801AE" w:rsidRDefault="00C76B5D"/>
            <w:p w:rsidR="00483249" w:rsidRDefault="00C76B5D">
              <w:r>
                <w:br w:type="page"/>
              </w:r>
            </w:p>
            <w:p w:rsidR="001801AE" w:rsidP="001801AE" w:rsidRDefault="00C76B5D">
              <w:pPr>
                <w:rPr>
                  <w:i/>
                  <w:iCs/>
                </w:rPr>
              </w:pPr>
              <w:r>
                <w:lastRenderedPageBreak/>
                <w:t xml:space="preserve">a. </w:t>
              </w:r>
              <w:r>
                <w:tab/>
              </w:r>
              <w:r>
                <w:rPr>
                  <w:i/>
                  <w:iCs/>
                </w:rPr>
                <w:t>Grondrechten van slachtoffers en deelnemers</w:t>
              </w:r>
            </w:p>
            <w:p w:rsidR="001801AE" w:rsidP="001801AE" w:rsidRDefault="00C76B5D">
              <w:pPr>
                <w:rPr>
                  <w:i/>
                  <w:iCs/>
                </w:rPr>
              </w:pPr>
            </w:p>
            <w:p w:rsidR="001801AE" w:rsidP="001801AE" w:rsidRDefault="00C76B5D">
              <w:r>
                <w:t xml:space="preserve">i. </w:t>
              </w:r>
              <w:r>
                <w:tab/>
                <w:t xml:space="preserve">Relevante grondrechten </w:t>
              </w:r>
            </w:p>
            <w:p w:rsidR="001801AE" w:rsidP="001801AE" w:rsidRDefault="00C76B5D">
              <w:r>
                <w:t>In de toelichting wordt ten aanzien van de deelnemers gewezen op de eerbiediging van de persoonlijke levenssfeer.</w:t>
              </w:r>
              <w:r>
                <w:rPr>
                  <w:rStyle w:val="Voetnootmarkering"/>
                </w:rPr>
                <w:footnoteReference w:id="23"/>
              </w:r>
              <w:r>
                <w:t xml:space="preserve"> Hi</w:t>
              </w:r>
              <w:r>
                <w:t>eruit vloeit volgens de initiatiefnemers voort dat mensen het recht hebben om ongestoord hun seksuele gerichtheid of genderidentiteit te beleven en uit te dragen. Pogingen van derden om deze persoonskenmerken te veranderen, zijn ingrijpend en kunnen schade</w:t>
              </w:r>
              <w:r>
                <w:t>lijk zijn. Het verbod op conversiehandelingen beschermt daarom het recht op eerbiediging van de persoonlijke levenssfeer.</w:t>
              </w:r>
              <w:r>
                <w:rPr>
                  <w:rStyle w:val="Voetnootmarkering"/>
                </w:rPr>
                <w:footnoteReference w:id="24"/>
              </w:r>
              <w:r>
                <w:t xml:space="preserve"> Tevens wijzen de initiatiefnemers erop dat bij bepaalde conversiehandelingen de lichamelijke integriteit in het geding kan zijn.</w:t>
              </w:r>
              <w:r>
                <w:rPr>
                  <w:rStyle w:val="Voetnootmarkering"/>
                </w:rPr>
                <w:footnoteReference w:id="25"/>
              </w:r>
              <w:r>
                <w:t xml:space="preserve"> </w:t>
              </w:r>
            </w:p>
            <w:p w:rsidR="001801AE" w:rsidP="001801AE" w:rsidRDefault="00C76B5D"/>
            <w:p w:rsidR="001801AE" w:rsidP="001801AE" w:rsidRDefault="00C76B5D">
              <w:r>
                <w:t>H</w:t>
              </w:r>
              <w:r>
                <w:t>oewel de toelichting het verbod op discriminatie niet noemt, kan dit tevens worden betrokken bij de beoordeling van het wetsvoorstel.</w:t>
              </w:r>
              <w:r>
                <w:rPr>
                  <w:rStyle w:val="Voetnootmarkering"/>
                </w:rPr>
                <w:footnoteReference w:id="26"/>
              </w:r>
              <w:r>
                <w:t xml:space="preserve"> Het discriminatieverbod is opgenomen in het eerste artikel van de Grondwet en uitgewerkt in de Algemene wet gelijke behan</w:t>
              </w:r>
              <w:r>
                <w:t>deling. Het VN-Mensenrechtencomité</w:t>
              </w:r>
              <w:r w:rsidRPr="0085496B">
                <w:t>,</w:t>
              </w:r>
              <w:r w:rsidRPr="0085496B">
                <w:rPr>
                  <w:rStyle w:val="Voetnootmarkering"/>
                  <w:lang w:val="en-US"/>
                </w:rPr>
                <w:footnoteReference w:id="27"/>
              </w:r>
              <w:r w:rsidRPr="0085496B">
                <w:t xml:space="preserve"> het </w:t>
              </w:r>
              <w:proofErr w:type="spellStart"/>
              <w:r w:rsidRPr="0085496B">
                <w:t>Committee</w:t>
              </w:r>
              <w:proofErr w:type="spellEnd"/>
              <w:r w:rsidRPr="0085496B">
                <w:t xml:space="preserve"> on </w:t>
              </w:r>
              <w:proofErr w:type="spellStart"/>
              <w:r w:rsidRPr="0085496B">
                <w:t>the</w:t>
              </w:r>
              <w:proofErr w:type="spellEnd"/>
              <w:r w:rsidRPr="0085496B">
                <w:t xml:space="preserve"> </w:t>
              </w:r>
              <w:proofErr w:type="spellStart"/>
              <w:r w:rsidRPr="0085496B">
                <w:t>Elimination</w:t>
              </w:r>
              <w:proofErr w:type="spellEnd"/>
              <w:r w:rsidRPr="0085496B">
                <w:t xml:space="preserve"> of </w:t>
              </w:r>
              <w:proofErr w:type="spellStart"/>
              <w:r w:rsidRPr="0085496B">
                <w:t>Discrimination</w:t>
              </w:r>
              <w:proofErr w:type="spellEnd"/>
              <w:r w:rsidRPr="0085496B">
                <w:t xml:space="preserve"> </w:t>
              </w:r>
              <w:proofErr w:type="spellStart"/>
              <w:r w:rsidRPr="0085496B">
                <w:t>against</w:t>
              </w:r>
              <w:proofErr w:type="spellEnd"/>
              <w:r w:rsidRPr="0085496B">
                <w:t xml:space="preserve"> </w:t>
              </w:r>
              <w:proofErr w:type="spellStart"/>
              <w:r w:rsidRPr="0085496B">
                <w:t>Women</w:t>
              </w:r>
              <w:proofErr w:type="spellEnd"/>
              <w:r w:rsidRPr="0085496B">
                <w:rPr>
                  <w:rStyle w:val="Voetnootmarkering"/>
                  <w:lang w:val="en-US"/>
                </w:rPr>
                <w:footnoteReference w:id="28"/>
              </w:r>
              <w:r w:rsidRPr="0085496B">
                <w:t xml:space="preserve"> en de door </w:t>
              </w:r>
              <w:r>
                <w:t>de VN-Mensenrechtenraad</w:t>
              </w:r>
              <w:r w:rsidRPr="0085496B">
                <w:t xml:space="preserve"> aangewezen Independent Expert on </w:t>
              </w:r>
              <w:proofErr w:type="spellStart"/>
              <w:r w:rsidRPr="0085496B">
                <w:t>Protection</w:t>
              </w:r>
              <w:proofErr w:type="spellEnd"/>
              <w:r w:rsidRPr="0085496B">
                <w:t xml:space="preserve"> </w:t>
              </w:r>
              <w:proofErr w:type="spellStart"/>
              <w:r w:rsidRPr="0085496B">
                <w:t>against</w:t>
              </w:r>
              <w:proofErr w:type="spellEnd"/>
              <w:r w:rsidRPr="0085496B">
                <w:t xml:space="preserve"> </w:t>
              </w:r>
              <w:proofErr w:type="spellStart"/>
              <w:r w:rsidRPr="0085496B">
                <w:t>violence</w:t>
              </w:r>
              <w:proofErr w:type="spellEnd"/>
              <w:r w:rsidRPr="0085496B">
                <w:t xml:space="preserve"> </w:t>
              </w:r>
              <w:proofErr w:type="spellStart"/>
              <w:r w:rsidRPr="0085496B">
                <w:t>and</w:t>
              </w:r>
              <w:proofErr w:type="spellEnd"/>
              <w:r w:rsidRPr="0085496B">
                <w:t xml:space="preserve"> </w:t>
              </w:r>
              <w:proofErr w:type="spellStart"/>
              <w:r w:rsidRPr="0085496B">
                <w:t>discrimination</w:t>
              </w:r>
              <w:proofErr w:type="spellEnd"/>
              <w:r w:rsidRPr="0085496B">
                <w:t xml:space="preserve"> </w:t>
              </w:r>
              <w:proofErr w:type="spellStart"/>
              <w:r w:rsidRPr="0085496B">
                <w:t>based</w:t>
              </w:r>
              <w:proofErr w:type="spellEnd"/>
              <w:r w:rsidRPr="0085496B">
                <w:t xml:space="preserve"> on </w:t>
              </w:r>
              <w:proofErr w:type="spellStart"/>
              <w:r w:rsidRPr="0085496B">
                <w:t>sexual</w:t>
              </w:r>
              <w:proofErr w:type="spellEnd"/>
              <w:r w:rsidRPr="0085496B">
                <w:t xml:space="preserve"> </w:t>
              </w:r>
              <w:proofErr w:type="spellStart"/>
              <w:r w:rsidRPr="0085496B">
                <w:t>orientation</w:t>
              </w:r>
              <w:proofErr w:type="spellEnd"/>
              <w:r w:rsidRPr="0085496B">
                <w:t xml:space="preserve"> </w:t>
              </w:r>
              <w:proofErr w:type="spellStart"/>
              <w:r w:rsidRPr="0085496B">
                <w:t>and</w:t>
              </w:r>
              <w:proofErr w:type="spellEnd"/>
              <w:r w:rsidRPr="0085496B">
                <w:t xml:space="preserve"> gender</w:t>
              </w:r>
              <w:r w:rsidRPr="0085496B">
                <w:t xml:space="preserve"> </w:t>
              </w:r>
              <w:proofErr w:type="spellStart"/>
              <w:r w:rsidRPr="0085496B">
                <w:t>identity</w:t>
              </w:r>
              <w:proofErr w:type="spellEnd"/>
              <w:r w:rsidRPr="0085496B">
                <w:rPr>
                  <w:rStyle w:val="Voetnootmarkering"/>
                  <w:lang w:val="en-US"/>
                </w:rPr>
                <w:footnoteReference w:id="29"/>
              </w:r>
              <w:r w:rsidRPr="0085496B">
                <w:t xml:space="preserve"> </w:t>
              </w:r>
              <w:r>
                <w:t xml:space="preserve">hebben </w:t>
              </w:r>
              <w:r w:rsidRPr="0085496B">
                <w:t xml:space="preserve">zich op het standpunt gesteld dat conversiehandelingen discriminatoir zijn </w:t>
              </w:r>
              <w:r>
                <w:t xml:space="preserve">als bedoeld in de verdragen waarop deze toezien. Deze instituten </w:t>
              </w:r>
              <w:r w:rsidRPr="0085496B">
                <w:t>hebben opgeroepen dergelijke handelingen te verbieden</w:t>
              </w:r>
              <w:r>
                <w:t>. In het kader van de bestrijding van discrim</w:t>
              </w:r>
              <w:r>
                <w:t>inatie heeft het Europees Parlement lidstaten opgeroepen om conversietherapieën te verbieden.</w:t>
              </w:r>
              <w:r>
                <w:rPr>
                  <w:rStyle w:val="Voetnootmarkering"/>
                </w:rPr>
                <w:footnoteReference w:id="30"/>
              </w:r>
              <w:r>
                <w:t xml:space="preserve"> </w:t>
              </w:r>
            </w:p>
            <w:p w:rsidR="001801AE" w:rsidP="001801AE" w:rsidRDefault="00C76B5D"/>
            <w:p w:rsidR="001801AE" w:rsidP="001801AE" w:rsidRDefault="00C76B5D">
              <w:r>
                <w:t>Het verrichten en aanbieden van conversiehandelingen belemmert de acceptatie van verschillende seksuele gerichtheden en genderidentiteiten. Bovendien kunnen de</w:t>
              </w:r>
              <w:r>
                <w:t xml:space="preserve"> gevolgen van conversiepraktijken voor slachtoffers ernstig zijn. Gelet daarop heeft de Afdeling begrip voor de wens om deze handelingen tegen te gaan en om de schade daarvan voor slachtoffers te verminderen. </w:t>
              </w:r>
            </w:p>
            <w:p w:rsidR="001801AE" w:rsidP="001801AE" w:rsidRDefault="00C76B5D"/>
            <w:p w:rsidR="00483249" w:rsidRDefault="00C76B5D">
              <w:r>
                <w:br w:type="page"/>
              </w:r>
            </w:p>
            <w:p w:rsidR="001801AE" w:rsidP="001801AE" w:rsidRDefault="00C76B5D">
              <w:r>
                <w:lastRenderedPageBreak/>
                <w:t>ii.</w:t>
              </w:r>
              <w:r>
                <w:tab/>
                <w:t>Vrijwillige deelname aan conversiehande</w:t>
              </w:r>
              <w:r>
                <w:t>lingen</w:t>
              </w:r>
            </w:p>
            <w:p w:rsidR="001801AE" w:rsidP="001801AE" w:rsidRDefault="00C76B5D">
              <w:r>
                <w:t>Bij de bespreking van grondrechten wordt geen aandacht besteed aan de grondrechten van mensen die vrijwillig conversiehandelingen laten verrichten. Elders in de toelichting wordt overigens wel erkend dat een totaalverbod de vrijheid van “weldenkende</w:t>
              </w:r>
              <w:r>
                <w:t xml:space="preserve"> en volwassen individuen” beperkt en dat strafrechtelijk ingrijpen dan te ver gaat.</w:t>
              </w:r>
              <w:r>
                <w:rPr>
                  <w:rStyle w:val="Voetnootmarkering"/>
                </w:rPr>
                <w:footnoteReference w:id="31"/>
              </w:r>
              <w:r>
                <w:t xml:space="preserve"> In dit kader is het relevant dat conversiebehandelingen vooral bij volwassenen worden verricht, al zijn de meesten van hen erg jong.</w:t>
              </w:r>
              <w:r>
                <w:rPr>
                  <w:rStyle w:val="Voetnootmarkering"/>
                </w:rPr>
                <w:footnoteReference w:id="32"/>
              </w:r>
              <w:r>
                <w:t xml:space="preserve"> </w:t>
              </w:r>
            </w:p>
            <w:p w:rsidR="001801AE" w:rsidP="001801AE" w:rsidRDefault="00C76B5D"/>
            <w:p w:rsidR="001801AE" w:rsidP="001801AE" w:rsidRDefault="00C76B5D">
              <w:r>
                <w:t xml:space="preserve">De Afdeling deelt de conclusie van </w:t>
              </w:r>
              <w:r>
                <w:t>de initiatiefnemers dat een totaalverbod op conversiehandelingen in strijd is met de rechten van mensen die hiermee vrijwillig instemmen. Het uitgangspunt moet zijn dat mensen zelf kunnen besluiten hoe zij omgaan met hun seksuele gerichtheid of genderident</w:t>
              </w:r>
              <w:r>
                <w:t xml:space="preserve">iteit, ook als dat betekent dat zij zelf pogingen ondernemen om deze kenmerken te veranderen of te onderdrukken. Van inmenging in de persoonlijke levenssfeer of de lichamelijke integriteit is in dat geval geen sprake, ook niet als zij zich onderwerpen aan </w:t>
              </w:r>
              <w:r>
                <w:t xml:space="preserve">conversiehandelingen door anderen. Daarnaast zou het deelnemen aan conversiehandelingen om geloofsredenen ook onder de vrijheid van godsdienst kunnen worden geschaard. </w:t>
              </w:r>
            </w:p>
            <w:p w:rsidR="001801AE" w:rsidP="001801AE" w:rsidRDefault="00C76B5D"/>
            <w:p w:rsidR="001801AE" w:rsidP="001801AE" w:rsidRDefault="00C76B5D">
              <w:r>
                <w:t>Tegelijkertijd erkent de Afdeling dat het ingewikkeld is om vast te stellen wanneer sp</w:t>
              </w:r>
              <w:r>
                <w:t>rake is van vrijwilligheid. De meeste deelnemers aan conversiehandelingen gaan zelf op zoek naar een therapeut.</w:t>
              </w:r>
              <w:r>
                <w:rPr>
                  <w:rStyle w:val="Voetnootmarkering"/>
                </w:rPr>
                <w:footnoteReference w:id="33"/>
              </w:r>
              <w:r>
                <w:t xml:space="preserve"> Dit suggereert dat zij zelf besluiten om conversiehandelingen te ondergaan. In hoeverre is deze keuze vrijwillig te noemen als iemand in een om</w:t>
              </w:r>
              <w:r>
                <w:t>geving leeft waarin homoseksuele of transgender personen worden veroordeeld en buiten gesloten?</w:t>
              </w:r>
              <w:r>
                <w:rPr>
                  <w:rStyle w:val="Voetnootmarkering"/>
                </w:rPr>
                <w:footnoteReference w:id="34"/>
              </w:r>
              <w:r>
                <w:t xml:space="preserve"> In het bijzonder bij minderjarigen en volwassenen in afhankelijkheidsrelaties kan </w:t>
              </w:r>
              <w:r w:rsidDel="00531EAF">
                <w:t>de vrije wilsvorming onder druk kom</w:t>
              </w:r>
              <w:r>
                <w:t>en</w:t>
              </w:r>
              <w:r w:rsidDel="00531EAF">
                <w:t xml:space="preserve"> te staan door invloed van buitenaf</w:t>
              </w:r>
              <w:r>
                <w:t xml:space="preserve">. Het voert echter te ver om te stellen dat conversiehandelingen in alle gevallen onvrijwillig worden ondergaan. De Afdeling heeft dus begrip voor de keuze van de initiatiefnemers om het wetsvoorstel te beperken tot minderjarigen en volwassenen </w:t>
              </w:r>
              <w:r w:rsidRPr="00C32E25">
                <w:t>in situatie</w:t>
              </w:r>
              <w:r w:rsidRPr="00C32E25">
                <w:t xml:space="preserve">s waarin misbruik van de omstandigheden </w:t>
              </w:r>
              <w:r>
                <w:t>wordt gemaakt.</w:t>
              </w:r>
            </w:p>
            <w:p w:rsidR="001801AE" w:rsidP="001801AE" w:rsidRDefault="00C76B5D"/>
            <w:p w:rsidR="001801AE" w:rsidP="001801AE" w:rsidRDefault="00C76B5D">
              <w:r>
                <w:t xml:space="preserve">De Afdeling adviseert in de toelichting meer aandacht te besteden aan de positie van mensen die vrijwillig deelnemen aan conversiehandelingen, mede in het licht van hun grondrechten. In een dergelijk </w:t>
              </w:r>
              <w:r>
                <w:t xml:space="preserve">geval is voor strafbaarstelling geen plaats. </w:t>
              </w:r>
            </w:p>
            <w:p w:rsidR="001801AE" w:rsidP="001801AE" w:rsidRDefault="00C76B5D"/>
            <w:p w:rsidR="001801AE" w:rsidP="001801AE" w:rsidRDefault="00C76B5D">
              <w:r>
                <w:t xml:space="preserve">b. </w:t>
              </w:r>
              <w:r>
                <w:tab/>
              </w:r>
              <w:r w:rsidRPr="001C22FC">
                <w:rPr>
                  <w:i/>
                  <w:iCs/>
                </w:rPr>
                <w:t>Grondrechten van aanbieders</w:t>
              </w:r>
            </w:p>
            <w:p w:rsidR="001801AE" w:rsidP="001801AE" w:rsidRDefault="00C76B5D"/>
            <w:p w:rsidR="001801AE" w:rsidP="001801AE" w:rsidRDefault="00C76B5D">
              <w:r>
                <w:t xml:space="preserve">i. </w:t>
              </w:r>
              <w:r>
                <w:tab/>
                <w:t>Niet-religieuze grondrechten</w:t>
              </w:r>
            </w:p>
            <w:p w:rsidR="001801AE" w:rsidP="001801AE" w:rsidRDefault="00C76B5D">
              <w:r>
                <w:t>In de toelichting wordt betoogd dat de godsdienstvrijheid van de aanbieder de voorgestelde strafbaarstelling niet in de weg staat.</w:t>
              </w:r>
              <w:r>
                <w:rPr>
                  <w:rStyle w:val="Voetnootmarkering"/>
                </w:rPr>
                <w:footnoteReference w:id="35"/>
              </w:r>
              <w:r>
                <w:t xml:space="preserve"> Conversieha</w:t>
              </w:r>
              <w:r>
                <w:t>ndelingen vinden echter niet alleen plaats in een religieuze context.</w:t>
              </w:r>
              <w:r>
                <w:rPr>
                  <w:rStyle w:val="Voetnootmarkering"/>
                </w:rPr>
                <w:footnoteReference w:id="36"/>
              </w:r>
              <w:r>
                <w:t xml:space="preserve"> De voorgestelde strafbaarstelling </w:t>
              </w:r>
              <w:r>
                <w:lastRenderedPageBreak/>
                <w:t>vormt in dat geval een beperking op de vrijheid van meningsuiting als bedoeld in artikel 10 EVRM en de eerbiediging van de persoonlijke levenssfeer (‘p</w:t>
              </w:r>
              <w:r>
                <w:t xml:space="preserve">rivate life’) in de zin van artikel 8 EVRM. </w:t>
              </w:r>
            </w:p>
            <w:p w:rsidR="001801AE" w:rsidP="001801AE" w:rsidRDefault="00C76B5D"/>
            <w:p w:rsidR="001801AE" w:rsidP="001801AE" w:rsidRDefault="00C76B5D">
              <w:r>
                <w:t>Het is wenselijk dat niet alleen de godsdienstvrijheid, maar ook de andere rechten van de aanbieder bij de bespreking van grondrechten in de toelichting worden betrokken. De Afdeling adviseert de toelichting op</w:t>
              </w:r>
              <w:r>
                <w:t xml:space="preserve"> dit punt aan te vullen. </w:t>
              </w:r>
            </w:p>
            <w:p w:rsidR="001801AE" w:rsidP="001801AE" w:rsidRDefault="00C76B5D"/>
            <w:p w:rsidR="001801AE" w:rsidP="001801AE" w:rsidRDefault="00C76B5D">
              <w:r>
                <w:t xml:space="preserve">ii. </w:t>
              </w:r>
              <w:r>
                <w:tab/>
                <w:t>Vrijheid van onderwijs en opvoeding</w:t>
              </w:r>
            </w:p>
            <w:p w:rsidR="001060C1" w:rsidP="001801AE" w:rsidRDefault="00C76B5D">
              <w:r>
                <w:t>In de toelichting wordt de strafbaarstelling onder meer bezien in het licht van de vrijheid van onderwijs. De initiatiefnemers stellen dat conversiehandelingen niet vallen onder “het geven</w:t>
              </w:r>
              <w:r>
                <w:t xml:space="preserve"> van onderwijs” in de zin van artikel 23, tweede lid, van de Grondwet. Daarom zou van een beperking van de onderwijsvrijheid geen sprake zijn.</w:t>
              </w:r>
              <w:r>
                <w:rPr>
                  <w:rStyle w:val="Voetnootmarkering"/>
                </w:rPr>
                <w:footnoteReference w:id="37"/>
              </w:r>
            </w:p>
            <w:p w:rsidR="001060C1" w:rsidP="001801AE" w:rsidRDefault="00C76B5D"/>
            <w:p w:rsidR="00635BB4" w:rsidP="001801AE" w:rsidRDefault="00C76B5D">
              <w:r>
                <w:t>Voor grondrechtelijke toetsing geldt echter in beginsel dat aan rechten en vrijheden een ruime reikwijdte wordt</w:t>
              </w:r>
              <w:r>
                <w:t xml:space="preserve"> gegeven, die vervolgens beperkt mag worden met het oog op andere belangen, waaronder de rechten en vrijheden van anderen. </w:t>
              </w:r>
            </w:p>
            <w:p w:rsidR="00635BB4" w:rsidP="001801AE" w:rsidRDefault="00C76B5D"/>
            <w:p w:rsidR="001060C1" w:rsidP="001801AE" w:rsidRDefault="00C76B5D">
              <w:r>
                <w:t xml:space="preserve">Gelet op de verschillende verschijningsvormen van conversiehandelingen is het </w:t>
              </w:r>
            </w:p>
            <w:p w:rsidR="001801AE" w:rsidP="001801AE" w:rsidRDefault="00C76B5D">
              <w:r>
                <w:t>niet uitgesloten dat op scholen ook activiteiten pla</w:t>
              </w:r>
              <w:r>
                <w:t>atsvinden die als conversiehandelingen kunnen worden gekwalificeerd. Die activiteiten vallen mogelijk binnen de reikwijdte van de onderwijsvrijheid in de zin van artikel 23 van de Grondwet en de vrijheid van onderwijs en opvoeding – onder meer van de ouder</w:t>
              </w:r>
              <w:r>
                <w:t xml:space="preserve">s – in de zin van artikel 2 van het Eerste Protocol van het EVRM, welke bepaling in de toelichting niet genoemd wordt. </w:t>
              </w:r>
            </w:p>
            <w:p w:rsidR="001801AE" w:rsidP="001801AE" w:rsidRDefault="00C76B5D"/>
            <w:p w:rsidR="001801AE" w:rsidP="001801AE" w:rsidRDefault="00C76B5D">
              <w:r>
                <w:t>Voor zover conversiehandelingen kunnen worden aangemerkt als onderwijs, betekent dit dan ook niet dat dergelijke handelingen toegestaan</w:t>
              </w:r>
              <w:r>
                <w:t xml:space="preserve"> dienen te worden op scholen. De onderwijsvrijheid kan immers beperkt worden met het oog op andere belangen. Zo heeft de onderwijsinstelling een zorgplicht ten aanzien van de sociale en psychische veiligheid van leerlingen.</w:t>
              </w:r>
              <w:r>
                <w:rPr>
                  <w:rStyle w:val="Voetnootmarkering"/>
                </w:rPr>
                <w:footnoteReference w:id="38"/>
              </w:r>
              <w:r>
                <w:t xml:space="preserve"> In het onderwijs moet bovendien</w:t>
              </w:r>
              <w:r>
                <w:t xml:space="preserve"> aandacht worden besteed aan kennis over en respect voor verschillen in onder andere geslacht en seksuele gerichtheid. Daarnaast dient de schoolcultuur te worden ingericht overeenkomstig deze waarden.</w:t>
              </w:r>
              <w:r>
                <w:rPr>
                  <w:rStyle w:val="Voetnootmarkering"/>
                </w:rPr>
                <w:footnoteReference w:id="39"/>
              </w:r>
              <w:r>
                <w:t xml:space="preserve"> Het aanbieden en verrichten van conversiehandelingen a</w:t>
              </w:r>
              <w:r>
                <w:t xml:space="preserve">an leerlingen komt al gauw in strijd met deze zorgplicht en burgerschapsopdracht. </w:t>
              </w:r>
            </w:p>
            <w:p w:rsidR="001801AE" w:rsidP="001801AE" w:rsidRDefault="00C76B5D"/>
            <w:p w:rsidR="001801AE" w:rsidP="001801AE" w:rsidRDefault="00C76B5D">
              <w:r>
                <w:t>De Afdeling adviseert de toelichting op dit punt aan te passen.</w:t>
              </w:r>
            </w:p>
            <w:p w:rsidR="001801AE" w:rsidP="001801AE" w:rsidRDefault="00C76B5D"/>
            <w:p w:rsidRPr="00C91D0A" w:rsidR="001801AE" w:rsidP="001801AE" w:rsidRDefault="00C76B5D">
              <w:pPr>
                <w:rPr>
                  <w:i/>
                  <w:iCs/>
                </w:rPr>
              </w:pPr>
              <w:r>
                <w:t xml:space="preserve">c. </w:t>
              </w:r>
              <w:r>
                <w:tab/>
              </w:r>
              <w:r w:rsidRPr="00C91D0A">
                <w:rPr>
                  <w:i/>
                  <w:iCs/>
                </w:rPr>
                <w:t>Verbod op het aanbieden van conversiehandelingen</w:t>
              </w:r>
            </w:p>
            <w:p w:rsidR="001801AE" w:rsidP="001801AE" w:rsidRDefault="00C76B5D">
              <w:r>
                <w:t>Opvallend is dat op grond van het voorstel het aanbied</w:t>
              </w:r>
              <w:r>
                <w:t>en van conversiehandelingen, in tegenstelling tot het verrichten ervan, in alle omstandigheden verboden is.</w:t>
              </w:r>
              <w:r>
                <w:rPr>
                  <w:rStyle w:val="Voetnootmarkering"/>
                </w:rPr>
                <w:footnoteReference w:id="40"/>
              </w:r>
              <w:r>
                <w:t xml:space="preserve"> </w:t>
              </w:r>
              <w:r w:rsidRPr="0035222F">
                <w:t xml:space="preserve">Dit totaalverbod leidt ertoe dat het aanbieden van </w:t>
              </w:r>
              <w:r>
                <w:t xml:space="preserve">ook </w:t>
              </w:r>
              <w:r w:rsidRPr="0035222F">
                <w:t>legale conversiehandelingen, namelijk handelingen gericht op volwassenen waarbij geen sprake</w:t>
              </w:r>
              <w:r w:rsidRPr="0035222F">
                <w:t xml:space="preserve"> is van misbruik van uit feitelijke omstandigheden voortvloeiend overwicht, strafbaar is.</w:t>
              </w:r>
              <w:r>
                <w:t xml:space="preserve"> In de toelichting wordt niet ingegaan op de vraag hoe volwassenen die vrijwillig conversiehandelingen </w:t>
              </w:r>
              <w:r>
                <w:lastRenderedPageBreak/>
                <w:t>willen laten verrichten aan een aanbieder kunnen komen, en omgek</w:t>
              </w:r>
              <w:r>
                <w:t>eerd, hoe aanbieders van legale conversiehandelingen aan deelnemers kunnen komen. In de praktijk kan het totaalverbod op het aanbieden dus resulteren in een situatie waarin er helemaal geen conversiehandelingen meer (kunnen) worden verricht. Dit beperkt de</w:t>
              </w:r>
              <w:r>
                <w:t xml:space="preserve"> grondrechten van mensen die vrijwillig hun seksuele gerichtheid of genderidentiteit willen veranderen of onderdrukken en van aanbieders van deze legale handelingen. </w:t>
              </w:r>
            </w:p>
            <w:p w:rsidR="001801AE" w:rsidP="001801AE" w:rsidRDefault="00C76B5D"/>
            <w:p w:rsidR="001801AE" w:rsidP="001801AE" w:rsidRDefault="00C76B5D">
              <w:r>
                <w:t>Deze beperking van grondrechten is ingrijpend en dient zelfstandig beoordeeld te worden.</w:t>
              </w:r>
              <w:r>
                <w:t xml:space="preserve"> Nu wordt bij de toetsing aan grondrechten in de toelichting geen onderscheid gemaakt tussen het aanbieden en het verrichten van conversiehandelingen. Hierdoor wordt onvoldoende rekenschap gegeven van de verschillen tussen deze gedragingen. Zo kan het aanb</w:t>
              </w:r>
              <w:r>
                <w:t>ieden van conversiehandelingen onder omstandigheden een discriminatoir karakter hebben, maar hoeft dat als zodanig nog geen directe schade aan individuele personen toe te brengen. Wanneer een aanbod in besloten kring is gedaan, zal handhaving bovendien moe</w:t>
              </w:r>
              <w:r>
                <w:t>ilijk zijn (zie punt 5). Daarnaast bestaan er specifieke alternatieven om het openbaar aanbieden van conversiehandelingen tegen te gaan. Hierbij kan bijvoorbeeld gedacht worden aan de Nederlandse Reclame Code.</w:t>
              </w:r>
              <w:r>
                <w:rPr>
                  <w:rStyle w:val="Voetnootmarkering"/>
                </w:rPr>
                <w:footnoteReference w:id="41"/>
              </w:r>
              <w:r>
                <w:t xml:space="preserve"> De noodzaak van een strafrechtelijke aanpak i</w:t>
              </w:r>
              <w:r>
                <w:t xml:space="preserve">s dan ook niet aangetoond. </w:t>
              </w:r>
            </w:p>
            <w:p w:rsidR="001801AE" w:rsidP="001801AE" w:rsidRDefault="00C76B5D">
              <w:r>
                <w:br/>
                <w:t>Gelet op het voorgaande acht de Afdeling een totaalverbod op het aanbieden van conversiehandelingen in strijd met de grondrechten van (potentiële) vrijwillige deelnemers en aanbieders van legale conversiehandelingen. De Afdelin</w:t>
              </w:r>
              <w:r>
                <w:t xml:space="preserve">g adviseert daarom het derde lid van 285ba Sr en 297b Sr BES te schrappen. </w:t>
              </w:r>
            </w:p>
            <w:p w:rsidR="001801AE" w:rsidP="001801AE" w:rsidRDefault="00C76B5D"/>
            <w:p w:rsidR="00483249" w:rsidRDefault="00C76B5D">
              <w:r>
                <w:br w:type="page"/>
              </w:r>
            </w:p>
            <w:p w:rsidR="001801AE" w:rsidP="001801AE" w:rsidRDefault="00C76B5D">
              <w:r>
                <w:lastRenderedPageBreak/>
                <w:t xml:space="preserve">4. </w:t>
              </w:r>
              <w:r>
                <w:tab/>
              </w:r>
              <w:r w:rsidRPr="0071030C">
                <w:rPr>
                  <w:u w:val="single"/>
                </w:rPr>
                <w:t xml:space="preserve">Meerwaarde </w:t>
              </w:r>
              <w:r w:rsidRPr="00B0762B">
                <w:rPr>
                  <w:u w:val="single"/>
                </w:rPr>
                <w:t>s</w:t>
              </w:r>
              <w:r>
                <w:rPr>
                  <w:u w:val="single"/>
                </w:rPr>
                <w:t>trafbaarstelling</w:t>
              </w:r>
            </w:p>
            <w:p w:rsidR="001801AE" w:rsidP="001801AE" w:rsidRDefault="00C76B5D"/>
            <w:p w:rsidR="001801AE" w:rsidP="001801AE" w:rsidRDefault="00C76B5D">
              <w:r>
                <w:t xml:space="preserve">Hoewel een totaalverbod te ver voert, heeft de Afdeling begrip voor de wens van de initiatiefnemers om </w:t>
              </w:r>
              <w:r w:rsidRPr="008A0303">
                <w:t xml:space="preserve">minderjarigen en volwassenen te </w:t>
              </w:r>
              <w:r w:rsidRPr="008A0303">
                <w:t>beschermen tegen schadelijke gevolgen van conversiehandelingen</w:t>
              </w:r>
              <w:r>
                <w:t xml:space="preserve"> (zie punt 3a onder ii)</w:t>
              </w:r>
              <w:r w:rsidRPr="008A0303">
                <w:t>.</w:t>
              </w:r>
              <w:r>
                <w:t xml:space="preserve"> Van het introduceren van een strafrechtelijke norm kan een signaal uitgaan dat dit soort handelingen ongewenst zijn. De Afdeling zet evenwel vraagtekens bij de gemaakte </w:t>
              </w:r>
              <w:r>
                <w:t>keuze om het Wetboek van Strafrecht aan te vullen met een nieuwe strafbaarstelling.</w:t>
              </w:r>
            </w:p>
            <w:p w:rsidR="001801AE" w:rsidP="001801AE" w:rsidRDefault="00C76B5D"/>
            <w:p w:rsidR="001801AE" w:rsidP="001801AE" w:rsidRDefault="00C76B5D">
              <w:r>
                <w:t>Uit de toelichting volgt dat er hoge eisen aan de voorgestelde strafbaarstelling worden gesteld. Zo is voorwaardelijk opzet onvoldoende om tot een veroordeling te komen,</w:t>
              </w:r>
              <w:r>
                <w:rPr>
                  <w:rStyle w:val="Voetnootmarkering"/>
                </w:rPr>
                <w:footnoteReference w:id="42"/>
              </w:r>
              <w:r>
                <w:t xml:space="preserve"> </w:t>
              </w:r>
              <w:r>
                <w:t>dienen de psychische of fysieke inwerkingen telkens van voldoende gewicht te zijn,</w:t>
              </w:r>
              <w:r>
                <w:rPr>
                  <w:rStyle w:val="Voetnootmarkering"/>
                </w:rPr>
                <w:footnoteReference w:id="43"/>
              </w:r>
              <w:r>
                <w:t xml:space="preserve"> is er vanaf gezien om te kiezen voor een totaalverbod van conversiebehandelingen en is ervoor gekozen om het verrichten van conversiehandelingen alleen strafbaar te stellen</w:t>
              </w:r>
              <w:r>
                <w:t xml:space="preserve"> als deze zijn begaan ten aanzien van een minderjarige, of ten aanzien van een meerderjarige door misbruik van uit feitelijke omstandigheden voortvloeiend overwicht.</w:t>
              </w:r>
              <w:r>
                <w:rPr>
                  <w:rStyle w:val="Voetnootmarkering"/>
                </w:rPr>
                <w:footnoteReference w:id="44"/>
              </w:r>
              <w:r>
                <w:t xml:space="preserve"> De Afdeling leidt uit de toelichting dan ook af dat de initiatiefnemers de reikwijdte van</w:t>
              </w:r>
              <w:r>
                <w:t xml:space="preserve"> de strafbaarstelling beogen te beperken met als gevolg dat enkel de meer ingrijpende vormen van conversiehandelingen strafbaar zullen zijn. </w:t>
              </w:r>
            </w:p>
            <w:p w:rsidR="001801AE" w:rsidP="001801AE" w:rsidRDefault="00C76B5D"/>
            <w:p w:rsidR="001801AE" w:rsidP="001801AE" w:rsidRDefault="00C76B5D">
              <w:pPr>
                <w:autoSpaceDE w:val="0"/>
                <w:autoSpaceDN w:val="0"/>
                <w:adjustRightInd w:val="0"/>
                <w:rPr>
                  <w:rFonts w:cs="Helvetica"/>
                  <w:color w:val="232323"/>
                  <w:szCs w:val="22"/>
                </w:rPr>
              </w:pPr>
              <w:r>
                <w:t>In het licht van het voorgaande rijst de vraag wat de meerwaarde is van de voorgestelde strafbaarstelling ten opz</w:t>
              </w:r>
              <w:r>
                <w:t xml:space="preserve">ichte van de bestaande strafbaarstellingen. </w:t>
              </w:r>
              <w:r>
                <w:rPr>
                  <w:rFonts w:cs="Helvetica"/>
                  <w:color w:val="232323"/>
                </w:rPr>
                <w:t>In de toelichting wordt gewezen op verschillende strafbepalingen in het Wetboek van Strafrecht die nu reeds voorzien in de mogelijkheid om in bepaalde gevallen van conversiehandelingen tot vervolging over te gaan</w:t>
              </w:r>
              <w:r>
                <w:rPr>
                  <w:rFonts w:cs="Helvetica"/>
                  <w:color w:val="232323"/>
                </w:rPr>
                <w:t>. Genoemd worden (diverse varianten van) mishandeling,</w:t>
              </w:r>
              <w:r>
                <w:rPr>
                  <w:rStyle w:val="Voetnootmarkering"/>
                  <w:rFonts w:cs="Helvetica"/>
                  <w:color w:val="232323"/>
                </w:rPr>
                <w:footnoteReference w:id="45"/>
              </w:r>
              <w:r>
                <w:rPr>
                  <w:rFonts w:cs="Helvetica"/>
                  <w:color w:val="232323"/>
                </w:rPr>
                <w:t xml:space="preserve"> wederrechtelijke vrijheidsberoving,</w:t>
              </w:r>
              <w:r>
                <w:rPr>
                  <w:rStyle w:val="Voetnootmarkering"/>
                  <w:rFonts w:cs="Helvetica"/>
                  <w:color w:val="232323"/>
                </w:rPr>
                <w:footnoteReference w:id="46"/>
              </w:r>
              <w:r>
                <w:rPr>
                  <w:rFonts w:cs="Helvetica"/>
                  <w:color w:val="232323"/>
                </w:rPr>
                <w:t xml:space="preserve"> dwang,</w:t>
              </w:r>
              <w:r>
                <w:rPr>
                  <w:rStyle w:val="Voetnootmarkering"/>
                  <w:rFonts w:cs="Helvetica"/>
                  <w:color w:val="232323"/>
                </w:rPr>
                <w:footnoteReference w:id="47"/>
              </w:r>
              <w:r>
                <w:rPr>
                  <w:rFonts w:cs="Helvetica"/>
                  <w:color w:val="232323"/>
                </w:rPr>
                <w:t xml:space="preserve"> bedreiging</w:t>
              </w:r>
              <w:r>
                <w:rPr>
                  <w:rStyle w:val="Voetnootmarkering"/>
                  <w:rFonts w:cs="Helvetica"/>
                  <w:color w:val="232323"/>
                </w:rPr>
                <w:footnoteReference w:id="48"/>
              </w:r>
              <w:r>
                <w:rPr>
                  <w:rFonts w:cs="Helvetica"/>
                  <w:color w:val="232323"/>
                </w:rPr>
                <w:t xml:space="preserve"> en het deelnemen aan of het steunen van discriminatoire </w:t>
              </w:r>
              <w:r>
                <w:rPr>
                  <w:rFonts w:cs="Helvetica"/>
                  <w:color w:val="232323"/>
                  <w:szCs w:val="22"/>
                </w:rPr>
                <w:t>activiteiten.</w:t>
              </w:r>
              <w:r>
                <w:rPr>
                  <w:rStyle w:val="Voetnootmarkering"/>
                  <w:rFonts w:cs="Helvetica"/>
                  <w:color w:val="232323"/>
                  <w:szCs w:val="22"/>
                </w:rPr>
                <w:footnoteReference w:id="49"/>
              </w:r>
              <w:r>
                <w:rPr>
                  <w:rFonts w:cs="Helvetica"/>
                  <w:color w:val="232323"/>
                  <w:szCs w:val="22"/>
                </w:rPr>
                <w:t xml:space="preserve"> Elders worden ook </w:t>
              </w:r>
              <w:r>
                <w:rPr>
                  <w:rFonts w:cs="NewCenturySchlbkLTPro-Roman"/>
                  <w:szCs w:val="22"/>
                </w:rPr>
                <w:t>de delicten oplichting</w:t>
              </w:r>
              <w:r>
                <w:rPr>
                  <w:rStyle w:val="Voetnootmarkering"/>
                  <w:rFonts w:cs="NewCenturySchlbkLTPro-Roman"/>
                  <w:szCs w:val="22"/>
                </w:rPr>
                <w:footnoteReference w:id="50"/>
              </w:r>
              <w:r>
                <w:rPr>
                  <w:rFonts w:cs="NewCenturySchlbkLTPro-Roman"/>
                  <w:szCs w:val="22"/>
                </w:rPr>
                <w:t xml:space="preserve"> en verlating van hulpbehoevend</w:t>
              </w:r>
              <w:r>
                <w:rPr>
                  <w:rFonts w:cs="NewCenturySchlbkLTPro-Roman"/>
                  <w:szCs w:val="22"/>
                </w:rPr>
                <w:t>en</w:t>
              </w:r>
              <w:r>
                <w:rPr>
                  <w:rStyle w:val="Voetnootmarkering"/>
                  <w:rFonts w:cs="NewCenturySchlbkLTPro-Roman"/>
                  <w:szCs w:val="22"/>
                </w:rPr>
                <w:footnoteReference w:id="51"/>
              </w:r>
              <w:r>
                <w:rPr>
                  <w:rFonts w:cs="NewCenturySchlbkLTPro-Roman"/>
                  <w:szCs w:val="22"/>
                </w:rPr>
                <w:t xml:space="preserve"> genoemd.</w:t>
              </w:r>
              <w:r>
                <w:rPr>
                  <w:rStyle w:val="Voetnootmarkering"/>
                  <w:rFonts w:cs="NewCenturySchlbkLTPro-Roman"/>
                  <w:szCs w:val="22"/>
                </w:rPr>
                <w:footnoteReference w:id="52"/>
              </w:r>
            </w:p>
            <w:p w:rsidR="001801AE" w:rsidP="001801AE" w:rsidRDefault="00C76B5D">
              <w:pPr>
                <w:rPr>
                  <w:rFonts w:cs="Helvetica"/>
                  <w:color w:val="232323"/>
                </w:rPr>
              </w:pPr>
            </w:p>
            <w:p w:rsidR="001801AE" w:rsidP="001801AE" w:rsidRDefault="00C76B5D">
              <w:pPr>
                <w:rPr>
                  <w:rFonts w:cs="Helvetica"/>
                  <w:color w:val="232323"/>
                </w:rPr>
              </w:pPr>
              <w:r>
                <w:rPr>
                  <w:rFonts w:cs="Helvetica"/>
                  <w:color w:val="232323"/>
                </w:rPr>
                <w:t xml:space="preserve">Volgens de initiatiefnemers gaat het om delicten die </w:t>
              </w:r>
              <w:r>
                <w:rPr>
                  <w:rFonts w:cs="Helvetica"/>
                  <w:i/>
                  <w:iCs/>
                  <w:color w:val="232323"/>
                </w:rPr>
                <w:t>kunnen</w:t>
              </w:r>
              <w:r>
                <w:rPr>
                  <w:rFonts w:cs="Helvetica"/>
                  <w:color w:val="232323"/>
                </w:rPr>
                <w:t xml:space="preserve"> voorkomen binnen de context van conversiehandelingen. Daarmee is niet gezegd dat de therapie op zich zelf strafbaar is, of het aanzetten tot het ondergaan daarvan. Of sprake is van </w:t>
              </w:r>
              <w:r>
                <w:rPr>
                  <w:rFonts w:cs="Helvetica"/>
                  <w:color w:val="232323"/>
                </w:rPr>
                <w:t>strafbare gedragingen hangt af van de feiten in een voorliggend geval.</w:t>
              </w:r>
              <w:r>
                <w:rPr>
                  <w:rStyle w:val="Voetnootmarkering"/>
                  <w:rFonts w:cs="Helvetica"/>
                  <w:color w:val="232323"/>
                </w:rPr>
                <w:footnoteReference w:id="53"/>
              </w:r>
            </w:p>
            <w:p w:rsidR="001801AE" w:rsidP="001801AE" w:rsidRDefault="00C76B5D">
              <w:pPr>
                <w:rPr>
                  <w:rFonts w:cs="Helvetica"/>
                  <w:color w:val="232323"/>
                </w:rPr>
              </w:pPr>
            </w:p>
            <w:p w:rsidR="001801AE" w:rsidP="001801AE" w:rsidRDefault="00C76B5D">
              <w:r>
                <w:rPr>
                  <w:rFonts w:cs="Helvetica"/>
                  <w:color w:val="232323"/>
                </w:rPr>
                <w:lastRenderedPageBreak/>
                <w:t>In de toelichting wordt geconcludeerd dat geen van de strafbepalingen het verrichten van conversiehandelingen alsmede de aard en ernst daarvan in voldoende mate adresseert.</w:t>
              </w:r>
              <w:r>
                <w:rPr>
                  <w:rStyle w:val="Voetnootmarkering"/>
                  <w:rFonts w:cs="Helvetica"/>
                  <w:color w:val="232323"/>
                </w:rPr>
                <w:footnoteReference w:id="54"/>
              </w:r>
              <w:r>
                <w:rPr>
                  <w:rFonts w:cs="Helvetica"/>
                  <w:color w:val="232323"/>
                </w:rPr>
                <w:t xml:space="preserve"> </w:t>
              </w:r>
              <w:r>
                <w:t xml:space="preserve">De </w:t>
              </w:r>
              <w:r>
                <w:t>Afdeling begrijpt dat conversiehandelingen in de bestaande bepalingen inderdaad niet als zodanig worden strafbaar gesteld. Zij wijst er evenwel op dat deze strafbaarstellingen in samenhang moeten worden bezien, en dat veel conversiehandelingen aldus al str</w:t>
              </w:r>
              <w:r>
                <w:t>afbaar gesteld zijn. De meer ingrijpende vormen van conversiehandelingen lijken in elk geval binnen het bereik van de genoemde strafbaarstellingen tezamen te vallen.</w:t>
              </w:r>
            </w:p>
            <w:p w:rsidR="001801AE" w:rsidP="001801AE" w:rsidRDefault="00C76B5D"/>
            <w:p w:rsidR="001801AE" w:rsidP="001801AE" w:rsidRDefault="00C76B5D">
              <w:r>
                <w:rPr>
                  <w:rFonts w:cs="Helvetica"/>
                  <w:color w:val="232323"/>
                </w:rPr>
                <w:t>De noodzaak van een nieuwe strafbaarstelling hangt af van de reikwijdte van bestaande str</w:t>
              </w:r>
              <w:r>
                <w:rPr>
                  <w:rFonts w:cs="Helvetica"/>
                  <w:color w:val="232323"/>
                </w:rPr>
                <w:t>afbaarstellingen.</w:t>
              </w:r>
              <w:r>
                <w:rPr>
                  <w:rStyle w:val="Voetnootmarkering"/>
                  <w:rFonts w:cs="Helvetica"/>
                  <w:color w:val="232323"/>
                </w:rPr>
                <w:footnoteReference w:id="55"/>
              </w:r>
              <w:r>
                <w:rPr>
                  <w:rFonts w:cs="Helvetica"/>
                  <w:color w:val="232323"/>
                </w:rPr>
                <w:t xml:space="preserve"> </w:t>
              </w:r>
              <w:r>
                <w:t xml:space="preserve">Niet duidelijk is aan welke vormen van het verrichten van conversiehandelingen die niet vallen onder bestaande strafbepalingen maar die wel zullen vallen onder de voorgestelde strafbaarstelling moet worden gedacht. In de toelichting had </w:t>
              </w:r>
              <w:r>
                <w:t xml:space="preserve">dit bijvoorbeeld geïllustreerd kunnen worden met concrete voorbeelden van situaties waarbij de voorgestelde strafbaarstelling een zinvolle aanvulling blijkt te zijn op het bestaande strafrechtelijke instrumentarium. </w:t>
              </w:r>
            </w:p>
            <w:p w:rsidR="001801AE" w:rsidP="001801AE" w:rsidRDefault="00C76B5D"/>
            <w:p w:rsidR="001801AE" w:rsidP="001801AE" w:rsidRDefault="00C76B5D">
              <w:r>
                <w:t>Indien de duidelijke meerwaarde van de</w:t>
              </w:r>
              <w:r>
                <w:t xml:space="preserve"> voorgestelde strafbaarstelling ten opzichte van de reeds bestaande strafbepalingen niet kan worden aangetoond, acht de Afdeling het niet raadzaam een nieuwe wettelijke bepaling te introduceren. De Afdeling adviseert daarom de meerwaarde van de voorgesteld</w:t>
              </w:r>
              <w:r>
                <w:t>e strafbaarstelling dragend te motiveren en indien dat niet mogelijk is het voorstel niet in behandeling te nemen.</w:t>
              </w:r>
              <w:r>
                <w:rPr>
                  <w:rStyle w:val="Voetnootmarkering"/>
                </w:rPr>
                <w:footnoteReference w:id="56"/>
              </w:r>
            </w:p>
            <w:p w:rsidR="001801AE" w:rsidP="001801AE" w:rsidRDefault="00C76B5D"/>
            <w:p w:rsidR="001801AE" w:rsidP="001801AE" w:rsidRDefault="00C76B5D">
              <w:pPr>
                <w:rPr>
                  <w:u w:val="single"/>
                </w:rPr>
              </w:pPr>
              <w:r>
                <w:t xml:space="preserve">5. </w:t>
              </w:r>
              <w:r>
                <w:tab/>
              </w:r>
              <w:r>
                <w:rPr>
                  <w:u w:val="single"/>
                </w:rPr>
                <w:t>Effectiviteit, handhaafbaarheid en uitvoerbaarheid</w:t>
              </w:r>
            </w:p>
            <w:p w:rsidR="001801AE" w:rsidP="001801AE" w:rsidRDefault="00C76B5D"/>
            <w:p w:rsidR="001801AE" w:rsidP="001801AE" w:rsidRDefault="00C76B5D">
              <w:r>
                <w:t>a.</w:t>
              </w:r>
              <w:r>
                <w:tab/>
              </w:r>
              <w:r>
                <w:rPr>
                  <w:i/>
                  <w:iCs/>
                </w:rPr>
                <w:t>Effectiviteit</w:t>
              </w:r>
            </w:p>
            <w:p w:rsidR="001801AE" w:rsidP="001801AE" w:rsidRDefault="00C76B5D">
              <w:r>
                <w:t>Het doel van het wetsvoorstel is om slachtoffers te beschermen teg</w:t>
              </w:r>
              <w:r>
                <w:t>en schadelijke gevolgen van conversiehandelingen. Recent onderzoek heeft geen duidelijkheid gegeven over de vraag hoe vaak conversiehandelingen voorkomen.</w:t>
              </w:r>
              <w:r>
                <w:rPr>
                  <w:rStyle w:val="Voetnootmarkering"/>
                </w:rPr>
                <w:footnoteReference w:id="57"/>
              </w:r>
              <w:r>
                <w:t xml:space="preserve"> Dit maakt het moeilijk te beoordelen of de nieuwe strafbepaling daadwerkelijk bijdraagt aan de gefor</w:t>
              </w:r>
              <w:r>
                <w:t>muleerde doelstelling.</w:t>
              </w:r>
              <w:r>
                <w:rPr>
                  <w:rStyle w:val="Voetnootmarkering"/>
                </w:rPr>
                <w:footnoteReference w:id="58"/>
              </w:r>
              <w:r>
                <w:t xml:space="preserve"> Hoewel de initiatiefnemers erkennen dat de beoordeling van de effectiviteit niet eenvoudig is, trekken zij niettemin de conclusie dat een wettelijk verbod doelmatig is.</w:t>
              </w:r>
              <w:r>
                <w:rPr>
                  <w:rStyle w:val="Voetnootmarkering"/>
                </w:rPr>
                <w:footnoteReference w:id="59"/>
              </w:r>
              <w:r>
                <w:t xml:space="preserve"> Deze conclusie wordt in de toelichting niet gemotiveerd.</w:t>
              </w:r>
            </w:p>
            <w:p w:rsidR="001801AE" w:rsidP="001801AE" w:rsidRDefault="00C76B5D"/>
            <w:p w:rsidR="001801AE" w:rsidP="001801AE" w:rsidRDefault="00C76B5D">
              <w:r>
                <w:t xml:space="preserve">b. </w:t>
              </w:r>
              <w:r>
                <w:tab/>
              </w:r>
              <w:r>
                <w:rPr>
                  <w:i/>
                  <w:iCs/>
                </w:rPr>
                <w:t>Handhaafbaarheid</w:t>
              </w:r>
            </w:p>
            <w:p w:rsidR="001801AE" w:rsidP="001801AE" w:rsidRDefault="00C76B5D">
              <w:pPr>
                <w:tabs>
                  <w:tab w:val="left" w:pos="7230"/>
                </w:tabs>
              </w:pPr>
              <w:r>
                <w:t>De effectiviteit van een strafbaarstelling wordt mede bepaald door de handhaafbaarheid. In de toelichting wordt in dat verband gewezen op potentiële bewijsproblemen. Ten eerste is het verrichten van strafbare conversiehandelingen lastig te</w:t>
              </w:r>
              <w:r>
                <w:t xml:space="preserve"> bewijzen als het gaat om indringende gesprekken of gesprekstherapieën of om het mondeling aanbieden van conversiehandelingen in een besloten setting. Ten </w:t>
              </w:r>
              <w:r>
                <w:lastRenderedPageBreak/>
                <w:t>tweede is het lastig aan te tonen dat het opzet van de verdachte gericht was op het bewerkstelligen v</w:t>
              </w:r>
              <w:r>
                <w:t>an een verandering bij het slachtoffer als de verdachte daarover niet heeft verklaard. Deze problemen komen volgens de toelichting evenwel ook voor bij bestaande strafbaarstellingen en vormen volgens de initiatiefnemers dus geen aanleiding om af te zien va</w:t>
              </w:r>
              <w:r>
                <w:t>n een strafrechtelijk verbod.</w:t>
              </w:r>
              <w:r>
                <w:rPr>
                  <w:rStyle w:val="Voetnootmarkering"/>
                </w:rPr>
                <w:footnoteReference w:id="60"/>
              </w:r>
            </w:p>
            <w:p w:rsidR="001801AE" w:rsidP="001801AE" w:rsidRDefault="00C76B5D"/>
            <w:p w:rsidR="001801AE" w:rsidP="001801AE" w:rsidRDefault="00C76B5D">
              <w:r>
                <w:t>De genoemde bewijsproblematiek staat waarschijnlijk in een groot deel van de gevallen een strafrechtelijke veroordeling in de weg. De meeste conversiehandelingen vinden immers plaats in het kader van gesprekken of therapieën</w:t>
              </w:r>
              <w:r>
                <w:t xml:space="preserve"> in een besloten setting.</w:t>
              </w:r>
              <w:r>
                <w:rPr>
                  <w:rStyle w:val="Voetnootmarkering"/>
                </w:rPr>
                <w:footnoteReference w:id="61"/>
              </w:r>
              <w:r>
                <w:t xml:space="preserve"> Verklaringen van het slachtoffer en andere betrokkenen zijn dan cruciaal om het strafbare feit te bewijzen. Dat conversiehandelingen veelal plaatsvinden in hechte gemeenschappen, kan hen ervan weerhouden te getuigen in de strafza</w:t>
              </w:r>
              <w:r>
                <w:t>ak. Ook is gebleken dat slachtoffers geen melding durven te maken van conversiehandelingen of daartoe niet de noodzaak voelen.</w:t>
              </w:r>
              <w:r>
                <w:rPr>
                  <w:rStyle w:val="Voetnootmarkering"/>
                </w:rPr>
                <w:footnoteReference w:id="62"/>
              </w:r>
              <w:r>
                <w:t xml:space="preserve"> De bewijsproblematiek roept dus de vraag op in hoeverre de voorgestelde strafbaarstelling handhaafbaar zal zijn.</w:t>
              </w:r>
            </w:p>
            <w:p w:rsidR="001801AE" w:rsidP="001801AE" w:rsidRDefault="00C76B5D"/>
            <w:p w:rsidR="001801AE" w:rsidP="001801AE" w:rsidRDefault="00C76B5D">
              <w:r>
                <w:t xml:space="preserve">Verder zullen </w:t>
              </w:r>
              <w:r>
                <w:t>conversiehandelingen die eenvoudiger te bewijzen zijn, zoals fysieke mishandeling, vaak onder al bestaande strafbaarstellingen vallen (zie punt 4). De genoemde bewijsproblemen kunnen echter ook een belemmering zijn bij de handhaving van die strafbaarstelli</w:t>
              </w:r>
              <w:r>
                <w:t xml:space="preserve">ngen. Dit is echter geen overtuigend argument om een nieuwe strafbaarstelling in te voeren als daarbij dezelfde handhavingsproblemen ontstaan. </w:t>
              </w:r>
            </w:p>
            <w:p w:rsidR="001801AE" w:rsidP="001801AE" w:rsidRDefault="00C76B5D"/>
            <w:p w:rsidR="001801AE" w:rsidP="001801AE" w:rsidRDefault="00C76B5D">
              <w:r>
                <w:t xml:space="preserve">c. </w:t>
              </w:r>
              <w:r>
                <w:tab/>
              </w:r>
              <w:r>
                <w:rPr>
                  <w:i/>
                  <w:iCs/>
                </w:rPr>
                <w:t xml:space="preserve">Uitvoerbaarheid </w:t>
              </w:r>
            </w:p>
            <w:p w:rsidR="001801AE" w:rsidP="001801AE" w:rsidRDefault="00C76B5D">
              <w:r>
                <w:t>De effectiviteit van de strafbaarstelling is daarnaast afhankelijk van de inspanningen van</w:t>
              </w:r>
              <w:r>
                <w:t xml:space="preserve"> de strafrechtketen om de strafbaarstelling te handhaven. In de toelichting wordt met betrekking tot de uitvoerbaarheid opgemerkt dat niet wordt verwacht dat de strafbaarstelling zal leiden tot een groot aantal aangiftes.</w:t>
              </w:r>
              <w:r>
                <w:rPr>
                  <w:rStyle w:val="Voetnootmarkering"/>
                </w:rPr>
                <w:footnoteReference w:id="63"/>
              </w:r>
              <w:r>
                <w:t xml:space="preserve"> Het is desondanks van belang dat </w:t>
              </w:r>
              <w:r>
                <w:t>het openbaar ministerie (OM) en de politie voldoende capaciteit hebben voor de opsporing en vervolging. De strafrechtelijke keten dient te zijn “toegerust op de casuïstiek”. De initiatiefnemers moedigen bovendien “effectief flankerend beleid” sterk aan.</w:t>
              </w:r>
              <w:r>
                <w:rPr>
                  <w:rStyle w:val="Voetnootmarkering"/>
                </w:rPr>
                <w:footnoteReference w:id="64"/>
              </w:r>
              <w:r>
                <w:t xml:space="preserve"> I</w:t>
              </w:r>
              <w:r>
                <w:t xml:space="preserve">n de toelichting is niet uitgewerkt hoe de strafrechtketen wordt voorbereid op de implementatie en wat verwacht wordt van het flankerend beleid. </w:t>
              </w:r>
            </w:p>
            <w:p w:rsidR="001801AE" w:rsidP="001801AE" w:rsidRDefault="00C76B5D"/>
            <w:p w:rsidR="001801AE" w:rsidP="001801AE" w:rsidRDefault="00C76B5D">
              <w:r>
                <w:t>Daarnaast blijkt uit de toelichting niet dat financiële middelen worden vrijgemaakt voor de implementatie van</w:t>
              </w:r>
              <w:r>
                <w:t xml:space="preserve"> het wetsvoorstel. De politie, het OM en de Rechtspraak hebben ook niet gevraagd om middelen om de uitvoering van het voorstel mogelijk te maken.</w:t>
              </w:r>
              <w:r>
                <w:rPr>
                  <w:rStyle w:val="Voetnootmarkering"/>
                </w:rPr>
                <w:footnoteReference w:id="65"/>
              </w:r>
              <w:r>
                <w:t xml:space="preserve"> </w:t>
              </w:r>
            </w:p>
            <w:p w:rsidR="001801AE" w:rsidP="001801AE" w:rsidRDefault="00C76B5D">
              <w:r>
                <w:br/>
                <w:t xml:space="preserve">Het ontbreken van implementatietraject en financiële middelen roept de vraag op welke </w:t>
              </w:r>
              <w:r>
                <w:lastRenderedPageBreak/>
                <w:t>prioriteit de handhav</w:t>
              </w:r>
              <w:r>
                <w:t>ing van de strafbaarstelling in de praktijk zal krijgen. Daarbij dient in ogenschouw te worden genomen dat slachtoffers om verschillende redenen geen aangifte doen of pas na verloop van tijd.</w:t>
              </w:r>
              <w:r>
                <w:rPr>
                  <w:rStyle w:val="Voetnootmarkering"/>
                </w:rPr>
                <w:footnoteReference w:id="66"/>
              </w:r>
              <w:r>
                <w:t xml:space="preserve"> In dat laatste geval zullen de eerdergenoemde bewijsproblemen e</w:t>
              </w:r>
              <w:r>
                <w:t xml:space="preserve">nkel groter zijn geworden. Een actieve opstelling van politie en OM is dus nodig om conversiehandelingen tijdig op te sporen. Uit de toelichting blijkt echter niet dat dergelijke inspanningen van hen verlangd worden of dat zij daartoe de middelen krijgen. </w:t>
              </w:r>
            </w:p>
            <w:p w:rsidR="001801AE" w:rsidP="001801AE" w:rsidRDefault="00C76B5D"/>
            <w:p w:rsidR="001801AE" w:rsidP="001801AE" w:rsidRDefault="00C76B5D">
              <w:r>
                <w:t xml:space="preserve">d. </w:t>
              </w:r>
              <w:r>
                <w:tab/>
              </w:r>
              <w:r>
                <w:rPr>
                  <w:i/>
                  <w:iCs/>
                </w:rPr>
                <w:t>Ervaringen uit het buitenland</w:t>
              </w:r>
            </w:p>
            <w:p w:rsidR="001801AE" w:rsidP="001801AE" w:rsidRDefault="00C76B5D">
              <w:r>
                <w:t xml:space="preserve">Bij de beoordeling van de effectiviteit, handhaafbaarheid en uitvoerbaarheid van het wetsvoorstel kunnen ervaringen uit het buitenland worden betrokken. Recent onderzoek laat zien dat een wettelijk verbod in de praktijk </w:t>
              </w:r>
              <w:r>
                <w:t>moeilijk te handhaven is, waardoor het in landen als Duitsland en Malta nog niet tot vervolging heeft geleid.</w:t>
              </w:r>
              <w:r>
                <w:rPr>
                  <w:rStyle w:val="Voetnootmarkering"/>
                </w:rPr>
                <w:footnoteReference w:id="67"/>
              </w:r>
              <w:r>
                <w:t xml:space="preserve"> Een mogelijke verklaring is dat conversiehandelingen veel vormen kennen die zich niet makkelijk laten vangen in één wettekst. Een andere verklari</w:t>
              </w:r>
              <w:r>
                <w:t>ng is dat deze handelingen veelal plaatsvinden in besloten gemeenschappen buiten het zicht van overheidsinstanties. Het onderzoek noemt verder dat conversiepraktijken meer uit het zicht van de overheid raken omdat aanbieders ‘ondergronds gaan’ of hun activ</w:t>
              </w:r>
              <w:r>
                <w:t>iteiten naar het buitenland verplaatsen. De symbolische waarde van een wettelijk verbod wordt in het onderzoek echter groot genoemd.</w:t>
              </w:r>
              <w:r>
                <w:rPr>
                  <w:rStyle w:val="Voetnootmarkering"/>
                </w:rPr>
                <w:footnoteReference w:id="68"/>
              </w:r>
              <w:r>
                <w:t xml:space="preserve"> </w:t>
              </w:r>
            </w:p>
            <w:p w:rsidR="001801AE" w:rsidP="001801AE" w:rsidRDefault="00C76B5D"/>
            <w:p w:rsidR="001801AE" w:rsidP="001801AE" w:rsidRDefault="00C76B5D">
              <w:r>
                <w:t xml:space="preserve">e. </w:t>
              </w:r>
              <w:r>
                <w:tab/>
              </w:r>
              <w:r>
                <w:rPr>
                  <w:i/>
                  <w:iCs/>
                </w:rPr>
                <w:t>Beoordeling</w:t>
              </w:r>
            </w:p>
            <w:p w:rsidR="001801AE" w:rsidP="001801AE" w:rsidRDefault="00C76B5D">
              <w:r>
                <w:t>De Afdeling merkt op dat op grond van het voorgaande een wettelijk verbod in de praktijk moeilijk handha</w:t>
              </w:r>
              <w:r>
                <w:t>afbaar zal blijken te zijn. Er wordt niet voorzien in een implementatietraject en financiële middelen om handhaving mogelijk te maken. De ervaringen uit het buitenland laten bovendien ongewenste neveneffecten zien, waarbij slachtoffers juist verder geïsole</w:t>
              </w:r>
              <w:r>
                <w:t xml:space="preserve">erd raken. Het is dus onvoldoende gebleken dat de voorgestelde strafbaarstelling een effectieve bescherming voor slachtoffers zal vormen, zoals de initiatiefnemers veronderstellen. </w:t>
              </w:r>
            </w:p>
            <w:p w:rsidR="001801AE" w:rsidP="001801AE" w:rsidRDefault="00C76B5D"/>
            <w:p w:rsidR="00635BB4" w:rsidP="00635BB4" w:rsidRDefault="00C76B5D">
              <w:r w:rsidRPr="00635BB4">
                <w:t>Van het introduceren van een strafrechtelijke norm kan een signaal uitgaa</w:t>
              </w:r>
              <w:r w:rsidRPr="00635BB4">
                <w:t>n dat dit soort handelingen ongewenst zijn. Dit enkele feit is echter onvoldoende reden een strafbaarstelling in te voeren. Bij de beoordeling van de wenselijkheid van een strafbaarstelling dient naast zaken als proportionaliteit ook de effectiviteit van e</w:t>
              </w:r>
              <w:r w:rsidRPr="00635BB4">
                <w:t>en dergelijke strafrechtelijk</w:t>
              </w:r>
              <w:r>
                <w:t>e</w:t>
              </w:r>
              <w:r w:rsidRPr="00635BB4">
                <w:t xml:space="preserve"> norm </w:t>
              </w:r>
              <w:r>
                <w:t xml:space="preserve">te </w:t>
              </w:r>
              <w:r w:rsidRPr="00635BB4">
                <w:t xml:space="preserve">worden betrokken. Overwogen moet worden in hoeverre handhaving mogelijk is en dat bij het uitblijven van handhaving het gevaar bestaat dat de strafbepaling haar normerende werking verliest en verwachtingen gewekt </w:t>
              </w:r>
              <w:r w:rsidRPr="00635BB4">
                <w:t>worden die niet waargemaakt kunnen worden. Dit kan het vertrouwen van burgers in het strafrecht schaden. Ook om die reden is het belangrijk dat de effectiviteit, uitvoerbaarheid en handhaafbaarheid van een strafbaarstelling voldoende aannemelijk word</w:t>
              </w:r>
              <w:r>
                <w:t>en</w:t>
              </w:r>
              <w:r w:rsidRPr="00635BB4">
                <w:t xml:space="preserve"> gem</w:t>
              </w:r>
              <w:r w:rsidRPr="00635BB4">
                <w:t>aakt voordat een nieuwe strafbaarstelling wordt ingevoerd.</w:t>
              </w:r>
            </w:p>
            <w:p w:rsidRPr="00635BB4" w:rsidR="00855B4C" w:rsidP="00635BB4" w:rsidRDefault="00C76B5D"/>
            <w:p w:rsidR="003D2BAB" w:rsidRDefault="00C76B5D">
              <w:pPr>
                <w:rPr>
                  <w:u w:val="single"/>
                </w:rPr>
              </w:pPr>
              <w:r>
                <w:lastRenderedPageBreak/>
                <w:t xml:space="preserve">6. </w:t>
              </w:r>
              <w:r>
                <w:tab/>
              </w:r>
              <w:r>
                <w:rPr>
                  <w:u w:val="single"/>
                </w:rPr>
                <w:t>Andere maatregelen</w:t>
              </w:r>
            </w:p>
            <w:p w:rsidR="001801AE" w:rsidP="001801AE" w:rsidRDefault="00C76B5D"/>
            <w:p w:rsidRPr="00C14F66" w:rsidR="001801AE" w:rsidP="001801AE" w:rsidRDefault="00C76B5D">
              <w:pPr>
                <w:rPr>
                  <w:i/>
                  <w:iCs/>
                </w:rPr>
              </w:pPr>
              <w:r w:rsidRPr="00C14F66">
                <w:t xml:space="preserve">a. </w:t>
              </w:r>
              <w:r w:rsidRPr="00C14F66">
                <w:tab/>
              </w:r>
              <w:r w:rsidRPr="00C14F66">
                <w:rPr>
                  <w:i/>
                  <w:iCs/>
                </w:rPr>
                <w:t xml:space="preserve">Algemeen </w:t>
              </w:r>
            </w:p>
            <w:p w:rsidR="001801AE" w:rsidP="001801AE" w:rsidRDefault="00C76B5D">
              <w:r w:rsidRPr="00C14F66">
                <w:t xml:space="preserve">Bij de beoordeling van het wetsvoorstel dient te worden betrokken welke andere maatregelen worden getroffen om het beoogde doel, het </w:t>
              </w:r>
              <w:r>
                <w:t>tegengaan</w:t>
              </w:r>
              <w:r w:rsidRPr="00C14F66">
                <w:t xml:space="preserve"> van conversieha</w:t>
              </w:r>
              <w:r w:rsidRPr="00C14F66">
                <w:t xml:space="preserve">ndelingen, </w:t>
              </w:r>
              <w:r>
                <w:t>te bereiken</w:t>
              </w:r>
              <w:r w:rsidRPr="00C14F66">
                <w:t>. Deze maatregelen kunnen ertoe bijdragen dat de acceptatie voor LHBTIQ+-personen wordt vergroot. Daarmee wordt de voedingsbodem voor conversiehandelingen weggenomen. Anderzijds is dit een vangnet voor die situaties waarin het strafre</w:t>
              </w:r>
              <w:r w:rsidRPr="00C14F66">
                <w:t xml:space="preserve">cht geen soelaas kan bieden. </w:t>
              </w:r>
            </w:p>
            <w:p w:rsidR="001801AE" w:rsidP="001801AE" w:rsidRDefault="00C76B5D"/>
            <w:p w:rsidR="001801AE" w:rsidP="001801AE" w:rsidRDefault="00C76B5D">
              <w:r>
                <w:t>Het in kaart brengen van andere maatregelen is bovendien van belang om de beperking van grondrechten te rechtvaardigen. Als hetzelfde doel met minder ingrijpende middelen kan worden bereikt, dient daarmee in beginsel te worde</w:t>
              </w:r>
              <w:r>
                <w:t>n volstaan. Voor de inzet van het strafrecht geldt in het bijzonder dat eerst andere mogelijkheden verkend dienen te worden voordat hiertoe wordt overgegaan.</w:t>
              </w:r>
              <w:r>
                <w:rPr>
                  <w:rStyle w:val="Voetnootmarkering"/>
                </w:rPr>
                <w:footnoteReference w:id="69"/>
              </w:r>
              <w:r>
                <w:t xml:space="preserve"> </w:t>
              </w:r>
            </w:p>
            <w:p w:rsidRPr="00C14F66" w:rsidR="001801AE" w:rsidP="001801AE" w:rsidRDefault="00C76B5D"/>
            <w:p w:rsidR="001801AE" w:rsidP="001801AE" w:rsidRDefault="00C76B5D">
              <w:r w:rsidRPr="00C14F66">
                <w:t xml:space="preserve">Uit de recente onderzoeken in opdracht van de regering blijkt dat </w:t>
              </w:r>
              <w:r>
                <w:t xml:space="preserve">er </w:t>
              </w:r>
              <w:r w:rsidRPr="00C14F66">
                <w:t xml:space="preserve">diverse mogelijkheden </w:t>
              </w:r>
              <w:r w:rsidRPr="00C14F66">
                <w:t>bestaan om conversiepraktijken aan te pakken. Hierbij is het van belang dat draagvlak wordt gecreëerd door verschillende partijen te betrekken, te investeren in lange termijnoplossingen en maatregelen in samenhang met elkaar in te voeren.</w:t>
              </w:r>
              <w:r w:rsidRPr="00C14F66">
                <w:rPr>
                  <w:rStyle w:val="Voetnootmarkering"/>
                </w:rPr>
                <w:footnoteReference w:id="70"/>
              </w:r>
              <w:r w:rsidRPr="00C14F66">
                <w:t xml:space="preserve"> Bij de invoering</w:t>
              </w:r>
              <w:r w:rsidRPr="00C14F66">
                <w:t xml:space="preserve"> van een wettelijk verbod op conversiehandelingen moet dus rekening worden gehouden met de andere maatregelen die op dit gebied worden getroffen.</w:t>
              </w:r>
            </w:p>
            <w:p w:rsidR="001801AE" w:rsidP="001801AE" w:rsidRDefault="00C76B5D"/>
            <w:p w:rsidR="001801AE" w:rsidP="001801AE" w:rsidRDefault="00C76B5D">
              <w:r>
                <w:t>In het onderzoek van Regioplan wordt geconcludeerd dat het beëindigen van conversiepraktijken uiteindelijk ee</w:t>
              </w:r>
              <w:r>
                <w:t>n cultuurverandering vergt. Mensen verrichten conversiehandelingen bij anderen omdat zij ervan overtuigd zijn dat de ander daarmee geholpen is. Het is de vraag in hoeverre een wettelijk verbod ertoe bijdraagt dat deze opvatting verandert en of dit niet jui</w:t>
              </w:r>
              <w:r>
                <w:t>st een averechts effect heeft. Experts pleiten daarom ook voor een zachtere aanpak, waarbij een ‘verandering van binnenuit’ centraal staat.</w:t>
              </w:r>
              <w:r>
                <w:rPr>
                  <w:rStyle w:val="Voetnootmarkering"/>
                </w:rPr>
                <w:footnoteReference w:id="71"/>
              </w:r>
              <w:r>
                <w:t xml:space="preserve"> </w:t>
              </w:r>
            </w:p>
            <w:p w:rsidR="001801AE" w:rsidP="001801AE" w:rsidRDefault="00C76B5D"/>
            <w:p w:rsidR="001801AE" w:rsidP="001801AE" w:rsidRDefault="00C76B5D">
              <w:r>
                <w:t>In het onderzoek van Regioplan worden drie typen maatregelen onderscheiden, namelijk juridische interventies, bel</w:t>
              </w:r>
              <w:r>
                <w:t xml:space="preserve">eidsmatige interventies en het opzetten van allianties en samenwerkingen. In het vervolg van deze paragraaf komen deze drie typen aan de orde. </w:t>
              </w:r>
            </w:p>
            <w:p w:rsidR="001801AE" w:rsidP="001801AE" w:rsidRDefault="00C76B5D"/>
            <w:p w:rsidRPr="003F349B" w:rsidR="001801AE" w:rsidP="001801AE" w:rsidRDefault="00C76B5D">
              <w:pPr>
                <w:rPr>
                  <w:i/>
                  <w:iCs/>
                </w:rPr>
              </w:pPr>
              <w:r>
                <w:rPr>
                  <w:i/>
                  <w:iCs/>
                </w:rPr>
                <w:t xml:space="preserve">b. </w:t>
              </w:r>
              <w:r>
                <w:rPr>
                  <w:i/>
                  <w:iCs/>
                </w:rPr>
                <w:tab/>
              </w:r>
              <w:r w:rsidRPr="003F349B">
                <w:rPr>
                  <w:i/>
                  <w:iCs/>
                </w:rPr>
                <w:t>Juridische interventies</w:t>
              </w:r>
            </w:p>
            <w:p w:rsidR="001801AE" w:rsidP="001801AE" w:rsidRDefault="00C76B5D">
              <w:r w:rsidRPr="003F349B">
                <w:t xml:space="preserve">Met betrekking tot de juridische interventies, anders dan het strafrecht (zie punt </w:t>
              </w:r>
              <w:r>
                <w:t>4</w:t>
              </w:r>
              <w:r w:rsidRPr="003F349B">
                <w:t>), is de toelichting summier te noemen. Er staat enkel dat er bepalingen in het civiel recht zijn die in bepaalde gevallen kunnen worden</w:t>
              </w:r>
              <w:r>
                <w:t xml:space="preserve"> ingeroepen als er sprake is van </w:t>
              </w:r>
              <w:r>
                <w:lastRenderedPageBreak/>
                <w:t>conversiehandelingen.</w:t>
              </w:r>
              <w:r>
                <w:rPr>
                  <w:rStyle w:val="Voetnootmarkering"/>
                </w:rPr>
                <w:footnoteReference w:id="72"/>
              </w:r>
              <w:r>
                <w:t xml:space="preserve"> Welke bepalingen dat zijn en waarom deze niet voldoen, blijkt n</w:t>
              </w:r>
              <w:r>
                <w:t>iet uit de toelichting. Elders in de toelichting staat dat bestuursrechtelijke handhaving een onvoldoende zwaar middel is. Uit de toelichting blijkt echter niet welke vorm van bestuursrechtelijke handhaving de initiatiefnemers hierbij voor ogen hebben.</w:t>
              </w:r>
            </w:p>
            <w:p w:rsidR="001801AE" w:rsidP="001801AE" w:rsidRDefault="00C76B5D"/>
            <w:p w:rsidR="00483249" w:rsidRDefault="00C76B5D">
              <w:pPr>
                <w:rPr>
                  <w:i/>
                  <w:iCs/>
                </w:rPr>
              </w:pPr>
              <w:r>
                <w:rPr>
                  <w:i/>
                  <w:iCs/>
                </w:rPr>
                <w:br w:type="page"/>
              </w:r>
            </w:p>
            <w:p w:rsidR="001801AE" w:rsidP="001801AE" w:rsidRDefault="00C76B5D">
              <w:pPr>
                <w:rPr>
                  <w:i/>
                  <w:iCs/>
                </w:rPr>
              </w:pPr>
              <w:r>
                <w:rPr>
                  <w:i/>
                  <w:iCs/>
                </w:rPr>
                <w:lastRenderedPageBreak/>
                <w:t xml:space="preserve">c. </w:t>
              </w:r>
              <w:r>
                <w:rPr>
                  <w:i/>
                  <w:iCs/>
                </w:rPr>
                <w:tab/>
                <w:t>Beleidsmatige interventies</w:t>
              </w:r>
            </w:p>
            <w:p w:rsidR="001801AE" w:rsidP="001801AE" w:rsidRDefault="00C76B5D">
              <w:r>
                <w:t>Op het gebied van beleidsmatige interventies worden in het rapport van Regioplan verschillende opties genoemd,</w:t>
              </w:r>
              <w:r>
                <w:rPr>
                  <w:rStyle w:val="Voetnootmarkering"/>
                </w:rPr>
                <w:footnoteReference w:id="73"/>
              </w:r>
              <w:r>
                <w:t xml:space="preserve"> waarvan een groot deel al staand beleid is. De regering heeft in reactie op het onderzoek van Regioplan bijvoorbe</w:t>
              </w:r>
              <w:r>
                <w:t xml:space="preserve">eld uiteengezet hoe in het onderwijs de acceptatie van LHBTIQ+-personen wordt vergroot. Daarnaast wordt voorgenomen om met godsdienstige organisaties in gesprek te gaan over de verantwoordelijkheid die zij hebben bij het voorkomen van conversiepraktijken. </w:t>
              </w:r>
              <w:r>
                <w:t xml:space="preserve">Er wordt ook gewerkt aan het verbeteren van de steun aan slachtoffers. </w:t>
              </w:r>
              <w:r>
                <w:rPr>
                  <w:rStyle w:val="Voetnootmarkering"/>
                </w:rPr>
                <w:footnoteReference w:id="74"/>
              </w:r>
            </w:p>
            <w:p w:rsidR="001801AE" w:rsidP="001801AE" w:rsidRDefault="00C76B5D"/>
            <w:p w:rsidR="001801AE" w:rsidP="001801AE" w:rsidRDefault="00C76B5D">
              <w:r>
                <w:t>In de toelichting wordt slechts een aantal van deze interventies besproken. Uit de bespreking blijkt dat de initiatiefnemers hiervan weinig effect verwachten in de christelijke gemee</w:t>
              </w:r>
              <w:r>
                <w:t>nschappen waar conversiehandelingen hoofdzakelijk zouden plaatsvinden.</w:t>
              </w:r>
              <w:r>
                <w:rPr>
                  <w:rStyle w:val="Voetnootmarkering"/>
                </w:rPr>
                <w:footnoteReference w:id="75"/>
              </w:r>
              <w:r>
                <w:t xml:space="preserve"> Verder achten zij het verbeteren van de informatievoorziening een onvoldoende zwaar middel gelet op de verwerpelijkheid en schadelijkheid van conversiehandelingen. Daarom vinden zij ee</w:t>
              </w:r>
              <w:r>
                <w:t>n wettelijk verbod op conversiehandelingen noodzakelijk. Tegelijkertijd erkennen zij ook de behoefte aan preventieve maatregelen en zien graag dat het wetsvoorstel gepaard gaat met beleid dat op preventie en zorg gericht is.</w:t>
              </w:r>
              <w:r>
                <w:rPr>
                  <w:rStyle w:val="Voetnootmarkering"/>
                </w:rPr>
                <w:footnoteReference w:id="76"/>
              </w:r>
            </w:p>
            <w:p w:rsidR="001801AE" w:rsidP="001801AE" w:rsidRDefault="00C76B5D"/>
            <w:p w:rsidR="001801AE" w:rsidP="001801AE" w:rsidRDefault="00C76B5D">
              <w:pPr>
                <w:rPr>
                  <w:i/>
                  <w:iCs/>
                </w:rPr>
              </w:pPr>
              <w:r>
                <w:t>d.</w:t>
              </w:r>
              <w:r>
                <w:tab/>
              </w:r>
              <w:r>
                <w:rPr>
                  <w:i/>
                  <w:iCs/>
                </w:rPr>
                <w:t>Allianties en samenwerking</w:t>
              </w:r>
              <w:r>
                <w:rPr>
                  <w:i/>
                  <w:iCs/>
                </w:rPr>
                <w:t>smogelijkheden</w:t>
              </w:r>
            </w:p>
            <w:p w:rsidR="001801AE" w:rsidP="001801AE" w:rsidRDefault="00C76B5D">
              <w:r>
                <w:t>De derde categorie interventies in het rapport van Regioplan heeft betrekking op het opzetten van allianties en samenwerkingsverbanden.</w:t>
              </w:r>
              <w:r>
                <w:rPr>
                  <w:rStyle w:val="Voetnootmarkering"/>
                </w:rPr>
                <w:footnoteReference w:id="77"/>
              </w:r>
              <w:r>
                <w:t xml:space="preserve"> Daarbij kan worden gedacht aan de rol van mensenrechtenorganisaties, de media en het stimuleren van dial</w:t>
              </w:r>
              <w:r>
                <w:t>oog tussen vertegenwoordigers van verschillende levensbeschouwingen. Uit de beleidsreactie op dit rapport blijkt dat het ministerie van OCW diverse strategische partnerschappen is aangegaan om de acceptatie van LHBTIQ+-personen te vergroten.</w:t>
              </w:r>
              <w:r>
                <w:rPr>
                  <w:rStyle w:val="Voetnootmarkering"/>
                </w:rPr>
                <w:footnoteReference w:id="78"/>
              </w:r>
              <w:r>
                <w:t xml:space="preserve"> Aan deze cate</w:t>
              </w:r>
              <w:r>
                <w:t>gorie interventies wordt in de toelichting geen aandacht besteed.</w:t>
              </w:r>
            </w:p>
            <w:p w:rsidR="001801AE" w:rsidP="001801AE" w:rsidRDefault="00C76B5D"/>
            <w:p w:rsidR="001801AE" w:rsidP="001801AE" w:rsidRDefault="00C76B5D">
              <w:pPr>
                <w:rPr>
                  <w:i/>
                  <w:iCs/>
                </w:rPr>
              </w:pPr>
              <w:r>
                <w:t xml:space="preserve">e. </w:t>
              </w:r>
              <w:r>
                <w:tab/>
              </w:r>
              <w:r>
                <w:rPr>
                  <w:i/>
                  <w:iCs/>
                </w:rPr>
                <w:t>Beoordeling</w:t>
              </w:r>
            </w:p>
            <w:p w:rsidR="001801AE" w:rsidP="001801AE" w:rsidRDefault="00C76B5D">
              <w:r>
                <w:t>De Afdeling overweegt dat recent onderzoek laat zien dat er buiten het strafrecht nog verschillende mogelijkheden zijn om een einde te maken aan conversiehandelingen en slac</w:t>
              </w:r>
              <w:r>
                <w:t>htoffers beter te beschermen. De regering heeft in een beleidsreactie te kennen gegeven zich hiervoor in te spannen. Uit de toelichting blijkt onvoldoende hoe het voorstel zich tot deze inspanningen verhoudt. In de toelichting wordt bovendien geen aandacht</w:t>
              </w:r>
              <w:r>
                <w:t xml:space="preserve"> besteed aan de - mogelijk averechtse - neveneffecten van het wettelijk verbod op de effectiviteit van andere interventies waarbij medewerking van geloofsgemeenschappen noodzakelijk is om uiteindelijk tot de gewenste cultuurverandering te komen (zie ook pu</w:t>
              </w:r>
              <w:r>
                <w:t xml:space="preserve">nt 5d). </w:t>
              </w:r>
            </w:p>
            <w:p w:rsidR="001801AE" w:rsidP="001801AE" w:rsidRDefault="00C76B5D"/>
            <w:p w:rsidRPr="00C32E25" w:rsidR="001801AE" w:rsidP="001801AE" w:rsidRDefault="00C76B5D">
              <w:r w:rsidRPr="00C32E25">
                <w:t xml:space="preserve">7. </w:t>
              </w:r>
              <w:r w:rsidRPr="00C32E25">
                <w:tab/>
              </w:r>
              <w:r w:rsidRPr="00C32E25">
                <w:rPr>
                  <w:u w:val="single"/>
                </w:rPr>
                <w:t>Conclusie</w:t>
              </w:r>
            </w:p>
            <w:p w:rsidRPr="00C32E25" w:rsidR="001801AE" w:rsidP="001801AE" w:rsidRDefault="00C76B5D"/>
            <w:p w:rsidRPr="00C32E25" w:rsidR="001801AE" w:rsidP="001801AE" w:rsidRDefault="00C76B5D">
              <w:r>
                <w:t>Het</w:t>
              </w:r>
              <w:r w:rsidRPr="00C32E25">
                <w:t xml:space="preserve"> verrichten en aanbieden van conversiehandelingen</w:t>
              </w:r>
              <w:r>
                <w:t xml:space="preserve"> belemmert </w:t>
              </w:r>
              <w:r w:rsidRPr="00C32E25">
                <w:t>de acceptatie van verschillende seksuele gerichtheden en genderidentiteiten</w:t>
              </w:r>
              <w:r>
                <w:t>. De</w:t>
              </w:r>
              <w:r w:rsidRPr="00C32E25">
                <w:t xml:space="preserve"> gevolgen</w:t>
              </w:r>
              <w:r>
                <w:t xml:space="preserve"> van conversiehandelingen</w:t>
              </w:r>
              <w:r w:rsidRPr="00C32E25">
                <w:t xml:space="preserve"> voor de slachtoffers kunnen</w:t>
              </w:r>
              <w:r>
                <w:t xml:space="preserve"> bovendien groot</w:t>
              </w:r>
              <w:r w:rsidRPr="00C32E25">
                <w:t xml:space="preserve"> zijn. Daar</w:t>
              </w:r>
              <w:r w:rsidRPr="00C32E25">
                <w:t xml:space="preserve">om heeft de Afdeling begrip voor de wens om deze handelingen tegen te gaan en om de schade daarvan voor slachtoffers te verminderen. </w:t>
              </w:r>
              <w:r>
                <w:t>Van het introduceren van de strafrechtelijke norm kan een signaal uitgaan dat dit soort handelingen ongewenst zijn.</w:t>
              </w:r>
            </w:p>
            <w:p w:rsidRPr="00C32E25" w:rsidR="001801AE" w:rsidP="001801AE" w:rsidRDefault="00C76B5D"/>
            <w:p w:rsidRPr="00C32E25" w:rsidR="001801AE" w:rsidP="001801AE" w:rsidRDefault="00C76B5D">
              <w:r w:rsidRPr="00C32E25">
                <w:t>Tegeli</w:t>
              </w:r>
              <w:r w:rsidRPr="00C32E25">
                <w:t>jkertijd stelt de Afdeling vast dat sommigen vrijwillig dergelijke conversiehandelingen zullen willen ondergaan. Met de initiatiefnemers deelt zij dan ook de opvatting dat een totaalverbod</w:t>
              </w:r>
              <w:r>
                <w:t xml:space="preserve"> op het</w:t>
              </w:r>
              <w:r w:rsidRPr="00382411">
                <w:rPr>
                  <w:i/>
                  <w:iCs/>
                </w:rPr>
                <w:t xml:space="preserve"> verrichten</w:t>
              </w:r>
              <w:r>
                <w:t xml:space="preserve"> van conversiehandelingen</w:t>
              </w:r>
              <w:r w:rsidRPr="00C32E25">
                <w:t xml:space="preserve"> te ver strekt gelet op d</w:t>
              </w:r>
              <w:r w:rsidRPr="00C32E25">
                <w:t>e rechten en vrijheden van vrijwillige deelnemers. Het is daarom begrijpelijk dat de initiatiefnemers zich richten op de bescherming van minderjarigen en volwassenen in situaties waarin misbruik van de omstandigheden wordt gemaakt. In die gevallen kan de v</w:t>
              </w:r>
              <w:r w:rsidRPr="00C32E25">
                <w:t xml:space="preserve">rije wilsvorming onder druk komen te staan door invloed van buitenaf. </w:t>
              </w:r>
              <w:r>
                <w:t>Ee</w:t>
              </w:r>
              <w:r w:rsidRPr="00C32E25">
                <w:t xml:space="preserve">n totaalverbod op het </w:t>
              </w:r>
              <w:r w:rsidRPr="00382411">
                <w:rPr>
                  <w:i/>
                  <w:iCs/>
                </w:rPr>
                <w:t>aanbieden</w:t>
              </w:r>
              <w:r w:rsidRPr="00C32E25">
                <w:t xml:space="preserve"> van conversiehandelingen kan in de praktijk tot een situatie leiden waarin ook de rechten van vrijwillige deelnemers en aanbieders</w:t>
              </w:r>
              <w:r>
                <w:t xml:space="preserve"> van legale conversieh</w:t>
              </w:r>
              <w:r>
                <w:t>andelingen</w:t>
              </w:r>
              <w:r w:rsidRPr="00C32E25">
                <w:t xml:space="preserve"> ernstig worden beperkt. De Afdeling meent daarom dat afgezien moet worden van het totaalverbod op het aanbieden van conversiehandelingen (zie punt 3</w:t>
              </w:r>
              <w:r>
                <w:t xml:space="preserve"> onder c</w:t>
              </w:r>
              <w:r w:rsidRPr="00C32E25">
                <w:t xml:space="preserve">). </w:t>
              </w:r>
            </w:p>
            <w:p w:rsidRPr="00C32E25" w:rsidR="001801AE" w:rsidP="001801AE" w:rsidRDefault="00C76B5D"/>
            <w:p w:rsidR="001801AE" w:rsidP="001801AE" w:rsidRDefault="00C76B5D">
              <w:r w:rsidRPr="00C32E25">
                <w:t xml:space="preserve">De Afdeling </w:t>
              </w:r>
              <w:r>
                <w:t xml:space="preserve">merkt op dat dat in de toelichting onvoldoende wordt gemotiveerd dat </w:t>
              </w:r>
              <w:r w:rsidRPr="00C32E25">
                <w:t xml:space="preserve">de </w:t>
              </w:r>
              <w:r w:rsidRPr="00C32E25">
                <w:t xml:space="preserve">voorgestelde strafbepaling voor het verrichten van conversiehandelingen een </w:t>
              </w:r>
              <w:r>
                <w:t xml:space="preserve">duidelijke </w:t>
              </w:r>
              <w:r w:rsidRPr="00C32E25">
                <w:t xml:space="preserve">meerwaarde heeft ten opzichte van bestaande strafbaarstellingen. Aan </w:t>
              </w:r>
              <w:r>
                <w:t xml:space="preserve">de conversiehandelingen worden verschillende eisen gesteld om binnen het bereik van de voorgestelde </w:t>
              </w:r>
              <w:r>
                <w:t xml:space="preserve">strafbepaling te vallen. Hierdoor komt de vraag op </w:t>
              </w:r>
              <w:r w:rsidRPr="00C32E25">
                <w:t>of deze gedragingen niet al strafbaar zijn gesteld in het huidige Wetboek van Strafrecht. Conversiehandelingen waarbij het slachtoffer mishandeld wordt, onder grote druk komt te staan of gediscrimineerd wo</w:t>
              </w:r>
              <w:r w:rsidRPr="00C32E25">
                <w:t>rdt, zijn immers al verboden (zie punt 4). De Afdeling adviseert daarom</w:t>
              </w:r>
              <w:r>
                <w:t xml:space="preserve"> de meerwaarde dragend te motiveren en indien dat niet mogelijk is het wetsvoorstel niet in behandeling te nemen.</w:t>
              </w:r>
              <w:r w:rsidRPr="00C32E25">
                <w:t xml:space="preserve"> </w:t>
              </w:r>
            </w:p>
            <w:p w:rsidRPr="00C32E25" w:rsidR="001801AE" w:rsidP="001801AE" w:rsidRDefault="00C76B5D"/>
            <w:p w:rsidR="001801AE" w:rsidP="001801AE" w:rsidRDefault="00C76B5D">
              <w:r>
                <w:t xml:space="preserve">De Afdeling merkt bovendien op dat de effectiviteit van de strafbaarstelling en de meerwaarde ten opzichte van (lichtere) maatregelen aannemelijk moet worden gemaakt om de beperking van grondrechten te rechtvaardigen. </w:t>
              </w:r>
              <w:r w:rsidRPr="00D97F43">
                <w:t>De</w:t>
              </w:r>
              <w:r w:rsidRPr="00C32E25">
                <w:t xml:space="preserve"> Afdeling meent dat de voorgestelde strafbaarstelling in de praktijk moeilijk handhaafbaar</w:t>
              </w:r>
              <w:r>
                <w:t xml:space="preserve"> </w:t>
              </w:r>
              <w:r w:rsidRPr="00C32E25">
                <w:t xml:space="preserve">zal zijn. </w:t>
              </w:r>
              <w:r>
                <w:t xml:space="preserve">Het is daarom onvoldoende gebleken dat de voorgestelde strafbaarstelling tot een effectieve bescherming van slachtoffers zal leiden </w:t>
              </w:r>
              <w:r w:rsidRPr="00C32E25">
                <w:t>(zie punt 5)</w:t>
              </w:r>
              <w:r>
                <w:t xml:space="preserve">. </w:t>
              </w:r>
              <w:r w:rsidRPr="00C32E25">
                <w:t>Om daadwe</w:t>
              </w:r>
              <w:r w:rsidRPr="00C32E25">
                <w:t>rkelijk een einde te maken aan conversiehandelingen zal een cultuur</w:t>
              </w:r>
              <w:r>
                <w:t>verandering</w:t>
              </w:r>
              <w:r w:rsidRPr="00C32E25">
                <w:t xml:space="preserve"> moeten plaatsvinden. De regering spant zich hiervoor op verschillende manieren in. </w:t>
              </w:r>
              <w:r>
                <w:t>De mogelijkheid</w:t>
              </w:r>
              <w:r w:rsidRPr="00C32E25">
                <w:t xml:space="preserve"> bestaat dat de voorgestelde strafbaarstelling deze inspanningen zal doorkruise</w:t>
              </w:r>
              <w:r w:rsidRPr="00C32E25">
                <w:t xml:space="preserve">n (zie punt 6). </w:t>
              </w:r>
              <w:r>
                <w:t xml:space="preserve">De Afdeling vindt dat in de toelichting onvoldoende tot uitdrukking komt hoe het voorstel zich tot de inspanningen van de regering verhoudt. </w:t>
              </w:r>
            </w:p>
            <w:p w:rsidRPr="00C32E25" w:rsidR="001801AE" w:rsidP="001801AE" w:rsidRDefault="00C76B5D"/>
            <w:p w:rsidRPr="00C32E25" w:rsidR="001801AE" w:rsidP="001801AE" w:rsidRDefault="00C76B5D">
              <w:pPr>
                <w:rPr>
                  <w:szCs w:val="22"/>
                </w:rPr>
              </w:pPr>
              <w:r w:rsidRPr="00C32E25">
                <w:rPr>
                  <w:rFonts w:cs="Segoe UI"/>
                  <w:color w:val="000000"/>
                  <w:szCs w:val="22"/>
                </w:rPr>
                <w:t xml:space="preserve">De Afdeling is van oordeel dat het initiatiefvoorstel </w:t>
              </w:r>
              <w:r>
                <w:rPr>
                  <w:rFonts w:cs="Segoe UI"/>
                  <w:color w:val="000000"/>
                  <w:szCs w:val="22"/>
                </w:rPr>
                <w:t xml:space="preserve">om deze redenen </w:t>
              </w:r>
              <w:r w:rsidRPr="00C32E25">
                <w:rPr>
                  <w:rFonts w:cs="Segoe UI"/>
                  <w:color w:val="000000"/>
                  <w:szCs w:val="22"/>
                </w:rPr>
                <w:t>nader dient te worden overw</w:t>
              </w:r>
              <w:r w:rsidRPr="00C32E25">
                <w:rPr>
                  <w:rFonts w:cs="Segoe UI"/>
                  <w:color w:val="000000"/>
                  <w:szCs w:val="22"/>
                </w:rPr>
                <w:t xml:space="preserve">ogen. </w:t>
              </w:r>
            </w:p>
            <w:p w:rsidRPr="00C32E25" w:rsidR="001801AE" w:rsidP="001801AE" w:rsidRDefault="00C76B5D">
              <w:pPr>
                <w:rPr>
                  <w:szCs w:val="22"/>
                </w:rPr>
              </w:pPr>
            </w:p>
            <w:p w:rsidR="001801AE" w:rsidP="001801AE" w:rsidRDefault="00C76B5D">
              <w:r w:rsidRPr="00C32E25">
                <w:t>Onverminderd het voorgaande merkt de Afdeling nog het volgende op. Indien het voorstel verder in behandeling wordt genomen, adviseert de Afdeling in de toelichting in te gaan op de opmerkingen onder punt 3 tot en met 6 en, zo nodig, het voorstel aa</w:t>
              </w:r>
              <w:r w:rsidRPr="00C32E25">
                <w:t xml:space="preserve">n </w:t>
              </w:r>
              <w:r w:rsidRPr="00C32E25">
                <w:lastRenderedPageBreak/>
                <w:t xml:space="preserve">te passen. Voorts maakt de Afdeling </w:t>
              </w:r>
              <w:r>
                <w:t xml:space="preserve">hierna, </w:t>
              </w:r>
              <w:r w:rsidRPr="00C32E25">
                <w:t>onder punt 8</w:t>
              </w:r>
              <w:r>
                <w:t>, nog</w:t>
              </w:r>
              <w:r w:rsidRPr="00C32E25">
                <w:t xml:space="preserve"> enkele aanvullende opmerkingen met betrekking tot de vormgeving van de strafbaarstelling.</w:t>
              </w:r>
            </w:p>
            <w:p w:rsidR="001801AE" w:rsidP="001801AE" w:rsidRDefault="00C76B5D">
              <w:r>
                <w:t xml:space="preserve"> </w:t>
              </w:r>
            </w:p>
            <w:p w:rsidR="001801AE" w:rsidP="001801AE" w:rsidRDefault="00C76B5D">
              <w:pPr>
                <w:rPr>
                  <w:u w:val="single"/>
                </w:rPr>
              </w:pPr>
              <w:r>
                <w:t>8.</w:t>
              </w:r>
              <w:r>
                <w:tab/>
              </w:r>
              <w:r>
                <w:rPr>
                  <w:u w:val="single"/>
                </w:rPr>
                <w:t>De vormgeving van de strafbaarstelling</w:t>
              </w:r>
            </w:p>
            <w:p w:rsidR="001801AE" w:rsidP="001801AE" w:rsidRDefault="00C76B5D"/>
            <w:p w:rsidR="001801AE" w:rsidP="001801AE" w:rsidRDefault="00C76B5D">
              <w:r>
                <w:t xml:space="preserve">a. </w:t>
              </w:r>
              <w:r>
                <w:tab/>
              </w:r>
              <w:r>
                <w:rPr>
                  <w:i/>
                  <w:iCs/>
                </w:rPr>
                <w:t>Privésfeer</w:t>
              </w:r>
            </w:p>
            <w:p w:rsidR="001801AE" w:rsidP="001801AE" w:rsidRDefault="00C76B5D">
              <w:r>
                <w:t>In het eerste lid wordt het verrichten van</w:t>
              </w:r>
              <w:r>
                <w:t xml:space="preserve"> conversiehandelingen tegen minderjarigen strafbaar gesteld. Blijkens de toelichting vallen gedragingen die zich uitsluitend in de privésfeer afspelen, zoals indringende gesprekken tussen ouder en kind, in beginsel buiten deze strafbaarstelling</w:t>
              </w:r>
              <w:r w:rsidRPr="009C0B4E">
                <w:rPr>
                  <w:szCs w:val="22"/>
                </w:rPr>
                <w:t xml:space="preserve">. </w:t>
              </w:r>
              <w:r>
                <w:t>Dit is het</w:t>
              </w:r>
              <w:r>
                <w:t xml:space="preserve"> (beoogde) effect van het opnemen in de strafbaarstelling van het bestanddeel ‘in de uitoefening van een ambt, beroep of bedrijf dan wel in het verband van een organisatie’. Op deze wijze wordt </w:t>
              </w:r>
              <w:r w:rsidRPr="009C0B4E">
                <w:rPr>
                  <w:szCs w:val="22"/>
                </w:rPr>
                <w:t xml:space="preserve">de opvoedingsrelatie </w:t>
              </w:r>
              <w:r>
                <w:rPr>
                  <w:szCs w:val="22"/>
                </w:rPr>
                <w:t>beschermd</w:t>
              </w:r>
              <w:r w:rsidRPr="009C0B4E">
                <w:rPr>
                  <w:szCs w:val="22"/>
                </w:rPr>
                <w:t>.</w:t>
              </w:r>
              <w:r w:rsidRPr="009C0B4E">
                <w:rPr>
                  <w:rStyle w:val="Voetnootmarkering"/>
                  <w:szCs w:val="22"/>
                </w:rPr>
                <w:footnoteReference w:id="79"/>
              </w:r>
            </w:p>
            <w:p w:rsidR="001801AE" w:rsidP="001801AE" w:rsidRDefault="00C76B5D"/>
            <w:p w:rsidR="001801AE" w:rsidP="001801AE" w:rsidRDefault="00C76B5D">
              <w:pPr>
                <w:rPr>
                  <w:szCs w:val="22"/>
                </w:rPr>
              </w:pPr>
              <w:r>
                <w:t xml:space="preserve">In het tweede lid wordt het </w:t>
              </w:r>
              <w:r>
                <w:t xml:space="preserve">verrichten van conversiehandelingen tegen meerderjarigen door misbruik van uit feitelijke omstandigheden voortvloeiend </w:t>
              </w:r>
              <w:r w:rsidRPr="00496CA8">
                <w:t>overwicht</w:t>
              </w:r>
              <w:r>
                <w:t xml:space="preserve"> strafbaar gesteld</w:t>
              </w:r>
              <w:r w:rsidRPr="00496CA8">
                <w:t>.</w:t>
              </w:r>
              <w:r>
                <w:t xml:space="preserve"> De i</w:t>
              </w:r>
              <w:r w:rsidRPr="00496CA8">
                <w:rPr>
                  <w:szCs w:val="22"/>
                </w:rPr>
                <w:t xml:space="preserve">nitiatiefnemers </w:t>
              </w:r>
              <w:r>
                <w:rPr>
                  <w:szCs w:val="22"/>
                </w:rPr>
                <w:t xml:space="preserve">hebben reden gezien om </w:t>
              </w:r>
              <w:r w:rsidRPr="00496CA8">
                <w:rPr>
                  <w:szCs w:val="22"/>
                </w:rPr>
                <w:t>de strafrechtelijke bescherming verder te doen reiken dan slechts</w:t>
              </w:r>
              <w:r w:rsidRPr="00496CA8">
                <w:rPr>
                  <w:szCs w:val="22"/>
                </w:rPr>
                <w:t xml:space="preserve"> het beschermen van minderjarigen.</w:t>
              </w:r>
              <w:r>
                <w:rPr>
                  <w:szCs w:val="22"/>
                </w:rPr>
                <w:t xml:space="preserve"> In de toelichting wordt erop gewezen dat </w:t>
              </w:r>
              <w:r w:rsidRPr="00496CA8">
                <w:rPr>
                  <w:szCs w:val="22"/>
                </w:rPr>
                <w:t>(potentiële) slachtoffers van conversiehandelingen veelal kwetsbaar zijn en</w:t>
              </w:r>
              <w:r>
                <w:rPr>
                  <w:szCs w:val="22"/>
                </w:rPr>
                <w:t xml:space="preserve"> </w:t>
              </w:r>
              <w:r w:rsidRPr="00496CA8">
                <w:rPr>
                  <w:szCs w:val="22"/>
                </w:rPr>
                <w:t xml:space="preserve">het in de meeste gevallen jonge meerderjarigen </w:t>
              </w:r>
              <w:r w:rsidRPr="00001CD7">
                <w:rPr>
                  <w:szCs w:val="22"/>
                </w:rPr>
                <w:t>betreft (zie punt 1).</w:t>
              </w:r>
              <w:r w:rsidRPr="00001CD7">
                <w:rPr>
                  <w:rStyle w:val="Voetnootmarkering"/>
                  <w:szCs w:val="22"/>
                </w:rPr>
                <w:footnoteReference w:id="80"/>
              </w:r>
              <w:r w:rsidRPr="00496CA8">
                <w:rPr>
                  <w:szCs w:val="22"/>
                </w:rPr>
                <w:t xml:space="preserve"> </w:t>
              </w:r>
            </w:p>
            <w:p w:rsidR="001801AE" w:rsidP="001801AE" w:rsidRDefault="00C76B5D">
              <w:pPr>
                <w:rPr>
                  <w:szCs w:val="22"/>
                </w:rPr>
              </w:pPr>
            </w:p>
            <w:p w:rsidR="001801AE" w:rsidP="001801AE" w:rsidRDefault="00C76B5D">
              <w:pPr>
                <w:rPr>
                  <w:szCs w:val="22"/>
                </w:rPr>
              </w:pPr>
              <w:r>
                <w:rPr>
                  <w:szCs w:val="22"/>
                </w:rPr>
                <w:t>De voorgestelde strafbaarstellin</w:t>
              </w:r>
              <w:r>
                <w:rPr>
                  <w:szCs w:val="22"/>
                </w:rPr>
                <w:t>g van conversiehandelingen tegen meerderjarigen sluit gedragingen die zich uitsluitend in de privésfeer afspelen niet uitdrukkelijk uit. De vraag rijst of de initiatiefnemers zulks ook voor ogen heeft gestaan. Zonder nadere motivering, die in de toelichtin</w:t>
              </w:r>
              <w:r>
                <w:rPr>
                  <w:szCs w:val="22"/>
                </w:rPr>
                <w:t>g ontbreekt, is immers niet begrijpelijk waarom conversiehandelingen tegen minderjarigen in de privésfeer niet strafbaar zijn, maar conversiehandelingen tegen (jonge) meerderjarigen in de privésfeer (mogelijk) wel. Bovendien wijzen de initiatiefnemers er i</w:t>
              </w:r>
              <w:r>
                <w:rPr>
                  <w:szCs w:val="22"/>
                </w:rPr>
                <w:t>n de toelichting op dat het misbruik van uit feitelijke omstandigheden voortvloeiend overwicht zich in het kader van deze strafbaarstelling in het bijzonder zal voordoen in situaties waarin een meerderjarige persoon in een functionele afhankelijkheidsrelat</w:t>
              </w:r>
              <w:r>
                <w:rPr>
                  <w:szCs w:val="22"/>
                </w:rPr>
                <w:t>ie, dus buiten de privésfeer, verkeert.</w:t>
              </w:r>
              <w:r>
                <w:rPr>
                  <w:rStyle w:val="Voetnootmarkering"/>
                  <w:szCs w:val="22"/>
                </w:rPr>
                <w:footnoteReference w:id="81"/>
              </w:r>
              <w:r>
                <w:rPr>
                  <w:szCs w:val="22"/>
                </w:rPr>
                <w:t xml:space="preserve"> </w:t>
              </w:r>
            </w:p>
            <w:p w:rsidR="001801AE" w:rsidP="001801AE" w:rsidRDefault="00C76B5D">
              <w:pPr>
                <w:rPr>
                  <w:szCs w:val="22"/>
                </w:rPr>
              </w:pPr>
            </w:p>
            <w:p w:rsidR="001801AE" w:rsidP="001801AE" w:rsidRDefault="00C76B5D">
              <w:pPr>
                <w:rPr>
                  <w:szCs w:val="22"/>
                </w:rPr>
              </w:pPr>
              <w:r>
                <w:rPr>
                  <w:szCs w:val="22"/>
                </w:rPr>
                <w:t>De Afdeling adviseert in de toelichting duidelijkheid te verschaffen over de vraag of met de strafbaarstelling in het tweede lid is beoogd mede conversiehandelingen tegen (jonge) meerderjarigen in de privésfeer st</w:t>
              </w:r>
              <w:r>
                <w:rPr>
                  <w:szCs w:val="22"/>
                </w:rPr>
                <w:t>rafbaar te stellen en, zo nodig, het voorstel aan te passen.</w:t>
              </w:r>
            </w:p>
            <w:p w:rsidR="001801AE" w:rsidP="001801AE" w:rsidRDefault="00C76B5D"/>
            <w:p w:rsidR="003D2BAB" w:rsidRDefault="00C76B5D">
              <w:r>
                <w:t xml:space="preserve">b. </w:t>
              </w:r>
              <w:r>
                <w:tab/>
              </w:r>
              <w:r w:rsidRPr="008F38FD">
                <w:rPr>
                  <w:i/>
                  <w:iCs/>
                </w:rPr>
                <w:t>Spreekrecht</w:t>
              </w:r>
            </w:p>
            <w:p w:rsidR="001801AE" w:rsidP="001801AE" w:rsidRDefault="00C76B5D">
              <w:pPr>
                <w:rPr>
                  <w:szCs w:val="22"/>
                </w:rPr>
              </w:pPr>
              <w:r>
                <w:t xml:space="preserve">Voorgesteld wordt het spreekrecht als bedoeld in artikel 51e Sv toe te kennen aan </w:t>
              </w:r>
              <w:r w:rsidRPr="00966527">
                <w:rPr>
                  <w:szCs w:val="22"/>
                </w:rPr>
                <w:t>slachtoffers van conversiehandelingen.</w:t>
              </w:r>
              <w:r w:rsidRPr="00966527">
                <w:rPr>
                  <w:rStyle w:val="Voetnootmarkering"/>
                  <w:szCs w:val="22"/>
                </w:rPr>
                <w:footnoteReference w:id="82"/>
              </w:r>
              <w:r w:rsidRPr="00966527">
                <w:rPr>
                  <w:szCs w:val="22"/>
                </w:rPr>
                <w:t xml:space="preserve"> In de toelichting </w:t>
              </w:r>
              <w:r>
                <w:rPr>
                  <w:szCs w:val="22"/>
                </w:rPr>
                <w:t xml:space="preserve">wordt aangegeven dat hiermee wordt </w:t>
              </w:r>
              <w:r w:rsidRPr="00966527">
                <w:rPr>
                  <w:rFonts w:cs="CMHMF P+ Univers"/>
                  <w:szCs w:val="22"/>
                </w:rPr>
                <w:t>aan</w:t>
              </w:r>
              <w:r w:rsidRPr="00966527">
                <w:rPr>
                  <w:rFonts w:cs="CMHMF P+ Univers"/>
                  <w:szCs w:val="22"/>
                </w:rPr>
                <w:t xml:space="preserve">gesloten bij onder meer de </w:t>
              </w:r>
              <w:r>
                <w:rPr>
                  <w:rFonts w:cs="CMHMF P+ Univers"/>
                  <w:szCs w:val="22"/>
                </w:rPr>
                <w:t xml:space="preserve">strafbaarstellingen van bedreiging en </w:t>
              </w:r>
              <w:r>
                <w:rPr>
                  <w:rFonts w:cs="CMHMF P+ Univers"/>
                  <w:szCs w:val="22"/>
                </w:rPr>
                <w:lastRenderedPageBreak/>
                <w:t>belaging</w:t>
              </w:r>
              <w:r w:rsidRPr="00966527">
                <w:rPr>
                  <w:rFonts w:cs="CMHMF P+ Univers"/>
                  <w:szCs w:val="22"/>
                </w:rPr>
                <w:t>,</w:t>
              </w:r>
              <w:r>
                <w:rPr>
                  <w:rStyle w:val="Voetnootmarkering"/>
                  <w:rFonts w:cs="CMHMF P+ Univers"/>
                  <w:szCs w:val="22"/>
                </w:rPr>
                <w:footnoteReference w:id="83"/>
              </w:r>
              <w:r w:rsidRPr="00966527">
                <w:rPr>
                  <w:rFonts w:cs="CMHMF P+ Univers"/>
                  <w:szCs w:val="22"/>
                </w:rPr>
                <w:t xml:space="preserve"> waarvoor ook het spreekrecht geldt. </w:t>
              </w:r>
              <w:r>
                <w:rPr>
                  <w:rFonts w:cs="CMHMF P+ Univers"/>
                  <w:szCs w:val="22"/>
                </w:rPr>
                <w:t>Er wordt op gewezen dat c</w:t>
              </w:r>
              <w:r w:rsidRPr="00966527">
                <w:rPr>
                  <w:rFonts w:cs="CMHMF P+ Univers"/>
                  <w:szCs w:val="22"/>
                </w:rPr>
                <w:t>onversie</w:t>
              </w:r>
              <w:r w:rsidRPr="00966527">
                <w:rPr>
                  <w:szCs w:val="22"/>
                </w:rPr>
                <w:t xml:space="preserve">handelingen </w:t>
              </w:r>
              <w:r>
                <w:rPr>
                  <w:szCs w:val="22"/>
                </w:rPr>
                <w:t>u</w:t>
              </w:r>
              <w:r w:rsidRPr="00966527">
                <w:rPr>
                  <w:szCs w:val="22"/>
                </w:rPr>
                <w:t>itermate invasief</w:t>
              </w:r>
              <w:r>
                <w:rPr>
                  <w:szCs w:val="22"/>
                </w:rPr>
                <w:t xml:space="preserve"> kunnen</w:t>
              </w:r>
              <w:r w:rsidRPr="00966527">
                <w:rPr>
                  <w:szCs w:val="22"/>
                </w:rPr>
                <w:t xml:space="preserve"> zijn en ernstige gevolgen </w:t>
              </w:r>
              <w:r>
                <w:rPr>
                  <w:szCs w:val="22"/>
                </w:rPr>
                <w:t xml:space="preserve">kunnen </w:t>
              </w:r>
              <w:r w:rsidRPr="00966527">
                <w:rPr>
                  <w:szCs w:val="22"/>
                </w:rPr>
                <w:t xml:space="preserve">hebben voor slachtoffers. </w:t>
              </w:r>
              <w:r>
                <w:rPr>
                  <w:szCs w:val="22"/>
                </w:rPr>
                <w:t>De initiatiefn</w:t>
              </w:r>
              <w:r>
                <w:rPr>
                  <w:szCs w:val="22"/>
                </w:rPr>
                <w:t xml:space="preserve">emers vinden het terecht </w:t>
              </w:r>
              <w:r w:rsidRPr="00966527">
                <w:rPr>
                  <w:szCs w:val="22"/>
                </w:rPr>
                <w:t xml:space="preserve">als </w:t>
              </w:r>
              <w:r>
                <w:rPr>
                  <w:szCs w:val="22"/>
                </w:rPr>
                <w:t xml:space="preserve">slachtoffers </w:t>
              </w:r>
              <w:r w:rsidRPr="00966527">
                <w:rPr>
                  <w:szCs w:val="22"/>
                </w:rPr>
                <w:t xml:space="preserve">in </w:t>
              </w:r>
              <w:r>
                <w:rPr>
                  <w:szCs w:val="22"/>
                </w:rPr>
                <w:t xml:space="preserve">de </w:t>
              </w:r>
              <w:r w:rsidRPr="00966527">
                <w:rPr>
                  <w:szCs w:val="22"/>
                </w:rPr>
                <w:t>rechtszaal kunnen vertellen over de gevolgen die het feit voor hen heeft gehad</w:t>
              </w:r>
              <w:r>
                <w:rPr>
                  <w:szCs w:val="22"/>
                </w:rPr>
                <w:t xml:space="preserve">, juist </w:t>
              </w:r>
              <w:r w:rsidRPr="00966527">
                <w:rPr>
                  <w:szCs w:val="22"/>
                </w:rPr>
                <w:t>omdat het voor slachtoffers op het moment van de conversiehandelingen moeilijk is om weerstand te bieden.</w:t>
              </w:r>
              <w:r>
                <w:rPr>
                  <w:rStyle w:val="Voetnootmarkering"/>
                  <w:szCs w:val="22"/>
                </w:rPr>
                <w:footnoteReference w:id="84"/>
              </w:r>
            </w:p>
            <w:p w:rsidR="001801AE" w:rsidP="001801AE" w:rsidRDefault="00C76B5D">
              <w:pPr>
                <w:rPr>
                  <w:szCs w:val="22"/>
                </w:rPr>
              </w:pPr>
            </w:p>
            <w:p w:rsidR="001801AE" w:rsidP="001801AE" w:rsidRDefault="00C76B5D">
              <w:pPr>
                <w:rPr>
                  <w:szCs w:val="22"/>
                </w:rPr>
              </w:pPr>
              <w:r>
                <w:rPr>
                  <w:szCs w:val="22"/>
                </w:rPr>
                <w:t>Oorspronkelijk</w:t>
              </w:r>
              <w:r>
                <w:rPr>
                  <w:szCs w:val="22"/>
                </w:rPr>
                <w:t xml:space="preserve"> was ervoor gekozen het spreekrecht mogelijk te maken voor alle delicten. Naar aanleiding van adviezen van de Raad van State en de Nederlandse Vereniging voor Rechtspraak zijn bij de invoering van het spreekrecht evenwel fundamentele beperkingen aangebrach</w:t>
              </w:r>
              <w:r>
                <w:rPr>
                  <w:szCs w:val="22"/>
                </w:rPr>
                <w:t>t.</w:t>
              </w:r>
              <w:r>
                <w:rPr>
                  <w:rStyle w:val="Voetnootmarkering"/>
                  <w:szCs w:val="22"/>
                </w:rPr>
                <w:footnoteReference w:id="85"/>
              </w:r>
              <w:r>
                <w:rPr>
                  <w:szCs w:val="22"/>
                </w:rPr>
                <w:t xml:space="preserve"> De keuze is toen gemaakt dat alle levens-, gewelds- en zedendelicten voor het spreekrecht in aanmerking komen, alsmede al die delicten, waarop een gevangenisstraf van acht jaar of meer is gesteld.</w:t>
              </w:r>
              <w:r>
                <w:rPr>
                  <w:rStyle w:val="Voetnootmarkering"/>
                  <w:szCs w:val="22"/>
                </w:rPr>
                <w:footnoteReference w:id="86"/>
              </w:r>
              <w:r>
                <w:rPr>
                  <w:szCs w:val="22"/>
                </w:rPr>
                <w:t xml:space="preserve"> </w:t>
              </w:r>
            </w:p>
            <w:p w:rsidR="001801AE" w:rsidP="001801AE" w:rsidRDefault="00C76B5D">
              <w:pPr>
                <w:rPr>
                  <w:szCs w:val="22"/>
                </w:rPr>
              </w:pPr>
            </w:p>
            <w:p w:rsidR="00D13EE9" w:rsidP="001801AE" w:rsidRDefault="00C76B5D">
              <w:r>
                <w:rPr>
                  <w:szCs w:val="22"/>
                </w:rPr>
                <w:t xml:space="preserve">Het verrichten van conversiehandelingen wordt bedreigd met een gevangenisstraf van maximaal één jaar. Bovendien betreft de strafbaarstelling van het verrichten van conversiehandelingen geen levens-, gewelds- of zedendelict. De vraag rijst waarom er in het </w:t>
              </w:r>
              <w:r>
                <w:rPr>
                  <w:szCs w:val="22"/>
                </w:rPr>
                <w:t>licht van het voorgaande toch voor is gekozen het spreekrecht toe te kennen aan slachtoffers van conversiehandelingen. De toelichting besteedt daar geen aandacht aan. De Afdeling adviseert in de toelichting de gemaakte keuze toe te lichten en daarbij de hi</w:t>
              </w:r>
              <w:r>
                <w:rPr>
                  <w:szCs w:val="22"/>
                </w:rPr>
                <w:t xml:space="preserve">ervoor vermelde context te betrekken. Indien de gemaakte keuze niet goed kan worden gemotiveerd, adviseert zij af te zien van het spreekrecht voor slachtoffers van conversiehandelingen. </w:t>
              </w:r>
            </w:p>
          </w:sdtContent>
        </w:sdt>
        <w:p w:rsidR="004227C2" w:rsidRDefault="004227C2"/>
        <w:p w:rsidR="004227C2" w:rsidRDefault="004227C2"/>
        <w:sdt>
          <w:sdtPr>
            <w:alias w:val="Dictum"/>
            <w:tag w:val="Dictum"/>
            <w:id w:val="-351264612"/>
            <w:lock w:val="contentLocked"/>
            <w:placeholder>
              <w:docPart w:val="94FBDDDE1E0F4FED99AF78A1F9BE573E"/>
            </w:placeholder>
            <w:text w:multiLine="1"/>
          </w:sdtPr>
          <w:sdtEndPr/>
          <w:sdtContent>
            <w:p w:rsidR="00EB7AE3" w:rsidRDefault="00C76B5D">
              <w:r>
                <w:t>De Afdeling advisering van de Raad van State heeft een aantal bez</w:t>
              </w:r>
              <w:r>
                <w:t xml:space="preserve">waren bij het initiatiefvoorstel en adviseert het voorstel niet in behandeling te nemen, tenzij het is aangepast. </w:t>
              </w:r>
              <w:r>
                <w:br/>
              </w:r>
              <w:r>
                <w:br/>
              </w:r>
              <w:r>
                <w:br/>
                <w:t>De vice-president van de Raad van State,</w:t>
              </w:r>
            </w:p>
          </w:sdtContent>
        </w:sdt>
      </w:sdtContent>
    </w:sdt>
    <w:sectPr w:rsidR="00EB7AE3" w:rsidSect="00C03BC5">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637" w:rsidRDefault="00C76B5D" w:rsidP="005B3E03">
      <w:r>
        <w:separator/>
      </w:r>
    </w:p>
  </w:endnote>
  <w:endnote w:type="continuationSeparator" w:id="0">
    <w:p w:rsidR="00F20637" w:rsidRDefault="00C76B5D"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NewCenturySchlbkLTPro-Roman">
    <w:panose1 w:val="00000000000000000000"/>
    <w:charset w:val="00"/>
    <w:family w:val="roman"/>
    <w:notTrueType/>
    <w:pitch w:val="default"/>
  </w:font>
  <w:font w:name="NewCenturySchlbkLTPro-It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MHMF P+ Univer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633" w:rsidRPr="00B31990" w:rsidRDefault="00B31990" w:rsidP="00B31990">
    <w:pPr>
      <w:pStyle w:val="Voettekst"/>
      <w:rPr>
        <w:lang w:val="nb-NO"/>
      </w:rPr>
    </w:pPr>
    <w:r>
      <w:rPr>
        <w:noProof/>
        <w:lang w:val="nl-NL" w:eastAsia="nl-NL"/>
      </w:rPr>
      <mc:AlternateContent>
        <mc:Choice Requires="wps">
          <w:drawing>
            <wp:anchor distT="0" distB="0" distL="114300" distR="114300" simplePos="0" relativeHeight="251659264" behindDoc="0" locked="0" layoutInCell="1" allowOverlap="1" wp14:anchorId="1C8F7003" wp14:editId="45C8E780">
              <wp:simplePos x="0" y="0"/>
              <wp:positionH relativeFrom="page">
                <wp:posOffset>189230</wp:posOffset>
              </wp:positionH>
              <wp:positionV relativeFrom="page">
                <wp:posOffset>10193655</wp:posOffset>
              </wp:positionV>
              <wp:extent cx="7229475" cy="342900"/>
              <wp:effectExtent l="0" t="0" r="9525" b="0"/>
              <wp:wrapSquare wrapText="bothSides"/>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94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1990" w:rsidRPr="00B31990" w:rsidRDefault="00C76B5D"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7003" id="_x0000_t202" coordsize="21600,21600" o:spt="202" path="m,l,21600r21600,l21600,xe">
              <v:stroke joinstyle="miter"/>
              <v:path gradientshapeok="t" o:connecttype="rect"/>
            </v:shapetype>
            <v:shape id="Text Box 7" o:spid="_x0000_s1027" type="#_x0000_t202" style="position:absolute;margin-left:14.9pt;margin-top:802.65pt;width:569.25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dgwIAAA8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" stroked="f">
              <v:textbox>
                <w:txbxContent>
                  <w:p w:rsidR="00B31990" w:rsidRPr="00B31990" w:rsidRDefault="00C76B5D" w:rsidP="00B31990">
                    <w:pPr>
                      <w:shd w:val="solid" w:color="FFFFFF" w:fill="FFFFFF"/>
                      <w:jc w:val="center"/>
                      <w:rPr>
                        <w:rFonts w:ascii="Bembo" w:hAnsi="Bembo"/>
                        <w:sz w:val="24"/>
                        <w:lang w:val="nb-NO"/>
                      </w:rPr>
                    </w:pPr>
                    <w:sdt>
                      <w:sdtPr>
                        <w:alias w:val="Voettekst"/>
                        <w:tag w:val="Voettekst"/>
                        <w:id w:val="480356492"/>
                        <w:lock w:val="contentLocked"/>
                        <w:placeholder>
                          <w:docPart w:val="011A92BBC5BB4C838042FC6B2C91B16D"/>
                        </w:placeholder>
                        <w:text/>
                      </w:sdtPr>
                      <w:sdtEndPr/>
                      <w:sdtContent>
                        <w:r w:rsidR="00B31990">
                          <w:rPr>
                            <w:rStyle w:val="LogoKoninginnepapier"/>
                            <w:sz w:val="24"/>
                          </w:rPr>
                          <w:t>AAN DE VOORZITTER VAN DE TWEEDE KAMER DER STATEN-GENERAAL</w:t>
                        </w:r>
                      </w:sdtContent>
                    </w:sdt>
                    <w:r w:rsidR="00B31990" w:rsidRPr="00D32EF1">
                      <w:rPr>
                        <w:rStyle w:val="LogoKoninginnepapier"/>
                        <w:sz w:val="24"/>
                      </w:rPr>
                      <w:t xml:space="preserve"> </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637" w:rsidRDefault="00C76B5D" w:rsidP="005B3E03">
      <w:r>
        <w:separator/>
      </w:r>
    </w:p>
  </w:footnote>
  <w:footnote w:type="continuationSeparator" w:id="0">
    <w:p w:rsidR="00F20637" w:rsidRDefault="00C76B5D" w:rsidP="005B3E03">
      <w:r>
        <w:continuationSeparator/>
      </w:r>
    </w:p>
  </w:footnote>
  <w:footnote w:id="1">
    <w:p w:rsidR="001801AE" w:rsidRDefault="00C76B5D" w:rsidP="001801AE">
      <w:pPr>
        <w:pStyle w:val="Voetnoottekst"/>
        <w:tabs>
          <w:tab w:val="clear" w:pos="227"/>
          <w:tab w:val="left" w:pos="284"/>
        </w:tabs>
        <w:ind w:left="284" w:hanging="284"/>
      </w:pPr>
      <w:r>
        <w:rPr>
          <w:rStyle w:val="Voetnootmarkering"/>
        </w:rPr>
        <w:footnoteRef/>
      </w:r>
      <w:r>
        <w:t xml:space="preserve"> </w:t>
      </w:r>
      <w:r>
        <w:tab/>
      </w:r>
      <w:r>
        <w:t xml:space="preserve">Toelichting, paragraaf 2.1.1. </w:t>
      </w:r>
    </w:p>
  </w:footnote>
  <w:footnote w:id="2">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2.1.2. </w:t>
      </w:r>
    </w:p>
  </w:footnote>
  <w:footnote w:id="3">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2.2. </w:t>
      </w:r>
    </w:p>
  </w:footnote>
  <w:footnote w:id="4">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2.2. </w:t>
      </w:r>
    </w:p>
  </w:footnote>
  <w:footnote w:id="5">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1.</w:t>
      </w:r>
    </w:p>
  </w:footnote>
  <w:footnote w:id="6">
    <w:p w:rsidR="001801AE" w:rsidRDefault="00C76B5D" w:rsidP="001801AE">
      <w:pPr>
        <w:pStyle w:val="Voetnoottekst"/>
        <w:tabs>
          <w:tab w:val="left" w:pos="284"/>
        </w:tabs>
        <w:ind w:left="284" w:hanging="284"/>
      </w:pPr>
      <w:r>
        <w:rPr>
          <w:rStyle w:val="Voetnootmarkering"/>
        </w:rPr>
        <w:footnoteRef/>
      </w:r>
      <w:r>
        <w:t xml:space="preserve"> </w:t>
      </w:r>
      <w:r>
        <w:tab/>
        <w:t xml:space="preserve"> </w:t>
      </w:r>
      <w:r w:rsidRPr="00D057DB">
        <w:t>A. van Wijk e.a., ‘Voor de verandering. Een exploratief onderzoek naar pogingen tot het veranderen van seksuele gerichtheid en genderidentiteit in Nederland’, Den Haag: Ministerie van Volksgezondheid, Welzijn en Sport 2020 (bijlage bij Kamerstukken II 2020</w:t>
      </w:r>
      <w:r w:rsidRPr="00D057DB">
        <w:t xml:space="preserve">/21, 30420, nr. 358), </w:t>
      </w:r>
      <w:r>
        <w:t xml:space="preserve">p. 57 en </w:t>
      </w:r>
      <w:r w:rsidRPr="00D057DB">
        <w:t xml:space="preserve">p. </w:t>
      </w:r>
      <w:r>
        <w:t>137. Ook de toelichting gaat ervan uit dat conversiebehandelingen meestal jonge meerderjarigen betreffen, Toelichting, paragraaf 5.4.</w:t>
      </w:r>
    </w:p>
  </w:footnote>
  <w:footnote w:id="7">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2.3.</w:t>
      </w:r>
    </w:p>
  </w:footnote>
  <w:footnote w:id="8">
    <w:p w:rsidR="001801AE" w:rsidRDefault="00C76B5D" w:rsidP="001801AE">
      <w:pPr>
        <w:pStyle w:val="Voetnoottekst"/>
        <w:tabs>
          <w:tab w:val="clear" w:pos="227"/>
          <w:tab w:val="left" w:pos="284"/>
        </w:tabs>
        <w:ind w:left="284" w:hanging="284"/>
      </w:pPr>
      <w:r>
        <w:rPr>
          <w:rStyle w:val="Voetnootmarkering"/>
        </w:rPr>
        <w:footnoteRef/>
      </w:r>
      <w:r>
        <w:t xml:space="preserve"> </w:t>
      </w:r>
      <w:r>
        <w:tab/>
        <w:t>Kamerstukken II 2020/21, 35570-XVI, nr. 181; Kamerstuk</w:t>
      </w:r>
      <w:r>
        <w:t xml:space="preserve">ken II 2018/19, 30420, nr. 320. </w:t>
      </w:r>
    </w:p>
  </w:footnote>
  <w:footnote w:id="9">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Kamerstukken II 2021/22, 30420, nr. 366; Aanhangsel Handelingen II 2021/22, nr. 33. </w:t>
      </w:r>
    </w:p>
  </w:footnote>
  <w:footnote w:id="10">
    <w:p w:rsidR="001801AE" w:rsidRDefault="00C76B5D" w:rsidP="001801AE">
      <w:pPr>
        <w:pStyle w:val="Voetnoottekst"/>
        <w:tabs>
          <w:tab w:val="left" w:pos="284"/>
        </w:tabs>
        <w:ind w:left="284" w:hanging="284"/>
      </w:pPr>
      <w:r>
        <w:rPr>
          <w:rStyle w:val="Voetnootmarkering"/>
        </w:rPr>
        <w:footnoteRef/>
      </w:r>
      <w:r>
        <w:t xml:space="preserve"> </w:t>
      </w:r>
      <w:r>
        <w:tab/>
        <w:t xml:space="preserve"> </w:t>
      </w:r>
      <w:r w:rsidRPr="003112AF">
        <w:t xml:space="preserve">A. van Wijk e.a., </w:t>
      </w:r>
      <w:r>
        <w:t>‘</w:t>
      </w:r>
      <w:r w:rsidRPr="003112AF">
        <w:t>Voor de verandering. Een exploratief onderzoek naar pogingen tot het veranderen van seksuele gerichtheid en gend</w:t>
      </w:r>
      <w:r w:rsidRPr="003112AF">
        <w:t>eridentiteit in Nederland</w:t>
      </w:r>
      <w:r>
        <w:t>’</w:t>
      </w:r>
      <w:r w:rsidRPr="003112AF">
        <w:t>, Den Haag: Ministerie van Volksgezondheid, Welzijn en Sport 2020 (bijlage bij Kamerstukken II 2020/21, 30420, nr. 358)</w:t>
      </w:r>
      <w:r>
        <w:t xml:space="preserve">; </w:t>
      </w:r>
      <w:r w:rsidRPr="009D686B">
        <w:t xml:space="preserve">L. </w:t>
      </w:r>
      <w:proofErr w:type="spellStart"/>
      <w:r w:rsidRPr="009D686B">
        <w:t>Buimer</w:t>
      </w:r>
      <w:proofErr w:type="spellEnd"/>
      <w:r w:rsidRPr="009D686B">
        <w:t xml:space="preserve"> e.a. ‘Verkenning van juridische en beleidsmatige interventies ter voorkoming en bestrijding van ‘co</w:t>
      </w:r>
      <w:r w:rsidRPr="009D686B">
        <w:t>nversietherapie’, Regioplan: 2022 (bijlage bij Kamerstukken II 2021-2022, 30420, nr. 370)</w:t>
      </w:r>
      <w:r>
        <w:t>.</w:t>
      </w:r>
    </w:p>
  </w:footnote>
  <w:footnote w:id="11">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Kamerstukken II 2021/22, 30420, nr. 371, p. 5. Zie ook Emancipatienota 2022-2025, Kamerstukken II 2021/22, 30420, nr. 374, p. 16. </w:t>
      </w:r>
    </w:p>
  </w:footnote>
  <w:footnote w:id="12">
    <w:p w:rsidR="001801AE" w:rsidRDefault="00C76B5D" w:rsidP="001801AE">
      <w:pPr>
        <w:pStyle w:val="Voetnoottekst"/>
        <w:tabs>
          <w:tab w:val="clear" w:pos="227"/>
          <w:tab w:val="left" w:pos="284"/>
        </w:tabs>
        <w:ind w:left="284" w:hanging="284"/>
      </w:pPr>
      <w:r>
        <w:rPr>
          <w:rStyle w:val="Voetnootmarkering"/>
        </w:rPr>
        <w:footnoteRef/>
      </w:r>
      <w:r>
        <w:t xml:space="preserve"> </w:t>
      </w:r>
      <w:r>
        <w:tab/>
        <w:t>Kamerstukken II</w:t>
      </w:r>
      <w:r>
        <w:rPr>
          <w:i/>
          <w:iCs/>
        </w:rPr>
        <w:t xml:space="preserve"> </w:t>
      </w:r>
      <w:r>
        <w:t>2021/22, 357</w:t>
      </w:r>
      <w:r>
        <w:t xml:space="preserve">88, nr. 77. </w:t>
      </w:r>
    </w:p>
  </w:footnote>
  <w:footnote w:id="13">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Artikelsgewijs deel, Artikel I, Onderdeel B, onder ‘Het eerste lid’.</w:t>
      </w:r>
    </w:p>
  </w:footnote>
  <w:footnote w:id="14">
    <w:p w:rsidR="001801AE" w:rsidRDefault="00C76B5D" w:rsidP="001801AE">
      <w:pPr>
        <w:pStyle w:val="Voetnoottekst"/>
      </w:pPr>
      <w:r>
        <w:rPr>
          <w:rStyle w:val="Voetnootmarkering"/>
        </w:rPr>
        <w:footnoteRef/>
      </w:r>
      <w:r>
        <w:t xml:space="preserve"> </w:t>
      </w:r>
      <w:r>
        <w:tab/>
        <w:t xml:space="preserve"> Toelichting, Artikelsgewijs deel, Artikel I, Onderdeel B, onder ‘Het eerste lid’. </w:t>
      </w:r>
    </w:p>
  </w:footnote>
  <w:footnote w:id="15">
    <w:p w:rsidR="001801AE" w:rsidRDefault="00C76B5D" w:rsidP="001801AE">
      <w:pPr>
        <w:pStyle w:val="Voetnoottekst"/>
        <w:tabs>
          <w:tab w:val="clear" w:pos="227"/>
          <w:tab w:val="left" w:pos="284"/>
        </w:tabs>
        <w:ind w:left="284" w:hanging="284"/>
      </w:pPr>
      <w:r>
        <w:rPr>
          <w:rStyle w:val="Voetnootmarkering"/>
        </w:rPr>
        <w:footnoteRef/>
      </w:r>
      <w:r>
        <w:t xml:space="preserve"> </w:t>
      </w:r>
      <w:r>
        <w:tab/>
        <w:t>Het eerste lid van de voorgestelde artikelen 285ba Sr en 297b Sr BES</w:t>
      </w:r>
      <w:r>
        <w:t xml:space="preserve">. </w:t>
      </w:r>
    </w:p>
  </w:footnote>
  <w:footnote w:id="16">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Artikelsgewijs deel, Artikel I, Onderdeel B, onder ‘Het eerste lid’. </w:t>
      </w:r>
    </w:p>
  </w:footnote>
  <w:footnote w:id="17">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Artikelsgewijs deel, Artikel I, Onderdeel B, onder ‘Het eerste lid’.</w:t>
      </w:r>
    </w:p>
  </w:footnote>
  <w:footnote w:id="18">
    <w:p w:rsidR="001801AE" w:rsidRDefault="00C76B5D" w:rsidP="001801AE">
      <w:pPr>
        <w:pStyle w:val="Voetnoottekst"/>
        <w:tabs>
          <w:tab w:val="clear" w:pos="227"/>
          <w:tab w:val="left" w:pos="284"/>
        </w:tabs>
        <w:ind w:left="284" w:hanging="284"/>
      </w:pPr>
      <w:r>
        <w:rPr>
          <w:rStyle w:val="Voetnootmarkering"/>
        </w:rPr>
        <w:footnoteRef/>
      </w:r>
      <w:r>
        <w:t xml:space="preserve"> </w:t>
      </w:r>
      <w:r>
        <w:tab/>
        <w:t>Het tweede lid van de voorgestelde artikelen 285ba Sr en 297b Sr BES.</w:t>
      </w:r>
    </w:p>
  </w:footnote>
  <w:footnote w:id="19">
    <w:p w:rsidR="001801AE" w:rsidRDefault="00C76B5D" w:rsidP="001801AE">
      <w:pPr>
        <w:pStyle w:val="Voetnoottekst"/>
        <w:tabs>
          <w:tab w:val="clear" w:pos="227"/>
          <w:tab w:val="left" w:pos="284"/>
        </w:tabs>
        <w:ind w:left="284" w:hanging="284"/>
      </w:pPr>
      <w:r>
        <w:rPr>
          <w:rStyle w:val="Voetnootmarkering"/>
        </w:rPr>
        <w:footnoteRef/>
      </w:r>
      <w:r>
        <w:t xml:space="preserve"> </w:t>
      </w:r>
      <w:r>
        <w:tab/>
      </w:r>
      <w:r>
        <w:t xml:space="preserve">Toelichting, Artikelsgewijs deel, Artikel I, Onderdeel B, onder ‘Het tweede lid’. </w:t>
      </w:r>
    </w:p>
  </w:footnote>
  <w:footnote w:id="20">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Artikelsgewijs deel, Artikel I, Onderdeel B, onder ‘Het derde lid’. </w:t>
      </w:r>
    </w:p>
  </w:footnote>
  <w:footnote w:id="21">
    <w:p w:rsidR="001801AE" w:rsidRDefault="00C76B5D" w:rsidP="001801AE">
      <w:pPr>
        <w:pStyle w:val="Voetnoottekst"/>
        <w:tabs>
          <w:tab w:val="clear" w:pos="227"/>
          <w:tab w:val="left" w:pos="284"/>
        </w:tabs>
        <w:ind w:left="284" w:hanging="284"/>
      </w:pPr>
      <w:r>
        <w:rPr>
          <w:rStyle w:val="Voetnootmarkering"/>
        </w:rPr>
        <w:footnoteRef/>
      </w:r>
      <w:r>
        <w:t xml:space="preserve"> </w:t>
      </w:r>
      <w:r>
        <w:tab/>
        <w:t>Het vierde lid van de voorgestelde artikelen 285ba Sr en 297b Sr BES.</w:t>
      </w:r>
    </w:p>
  </w:footnote>
  <w:footnote w:id="22">
    <w:p w:rsidR="001801AE" w:rsidRDefault="00C76B5D" w:rsidP="001801AE">
      <w:pPr>
        <w:pStyle w:val="Voetnoottekst"/>
        <w:tabs>
          <w:tab w:val="clear" w:pos="227"/>
          <w:tab w:val="left" w:pos="284"/>
        </w:tabs>
        <w:ind w:left="284" w:hanging="284"/>
      </w:pPr>
      <w:r>
        <w:rPr>
          <w:rStyle w:val="Voetnootmarkering"/>
        </w:rPr>
        <w:footnoteRef/>
      </w:r>
      <w:r>
        <w:t xml:space="preserve"> </w:t>
      </w:r>
      <w:r>
        <w:tab/>
        <w:t>Het vijfde l</w:t>
      </w:r>
      <w:r>
        <w:t>id van de voorgestelde artikelen 285ba Sr en 297b Sr BES.</w:t>
      </w:r>
    </w:p>
  </w:footnote>
  <w:footnote w:id="23">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Artikel 10, eerste lid, van de Grondwet en artikel 8 EVRM. </w:t>
      </w:r>
    </w:p>
  </w:footnote>
  <w:footnote w:id="24">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3.1 en 3.2. </w:t>
      </w:r>
    </w:p>
  </w:footnote>
  <w:footnote w:id="25">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Artikel 11 van de Grondwet. </w:t>
      </w:r>
    </w:p>
  </w:footnote>
  <w:footnote w:id="26">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Zie onder meer artikel 1 van de Grondwet, artikel 14 EVRM en </w:t>
      </w:r>
      <w:r>
        <w:t xml:space="preserve">artikel 26 IVBPR. </w:t>
      </w:r>
    </w:p>
  </w:footnote>
  <w:footnote w:id="27">
    <w:p w:rsidR="001801AE" w:rsidRPr="00D9238E" w:rsidRDefault="00C76B5D" w:rsidP="001801AE">
      <w:pPr>
        <w:pStyle w:val="Voetnoottekst"/>
        <w:tabs>
          <w:tab w:val="clear" w:pos="227"/>
          <w:tab w:val="left" w:pos="284"/>
        </w:tabs>
        <w:ind w:left="284" w:hanging="284"/>
        <w:rPr>
          <w:szCs w:val="18"/>
          <w:lang w:val="en-US"/>
        </w:rPr>
      </w:pPr>
      <w:r w:rsidRPr="0085496B">
        <w:rPr>
          <w:rStyle w:val="Voetnootmarkering"/>
          <w:szCs w:val="18"/>
        </w:rPr>
        <w:footnoteRef/>
      </w:r>
      <w:r w:rsidRPr="00D9238E">
        <w:rPr>
          <w:szCs w:val="18"/>
          <w:lang w:val="en-US"/>
        </w:rPr>
        <w:t xml:space="preserve"> </w:t>
      </w:r>
      <w:r w:rsidRPr="00D9238E">
        <w:rPr>
          <w:szCs w:val="18"/>
          <w:lang w:val="en-US"/>
        </w:rPr>
        <w:tab/>
        <w:t xml:space="preserve">Human </w:t>
      </w:r>
      <w:r>
        <w:rPr>
          <w:szCs w:val="18"/>
          <w:lang w:val="en-US"/>
        </w:rPr>
        <w:t xml:space="preserve">Rights Committee, Concluding observations on the fourth periodic report of the Republic of Korea, 3 </w:t>
      </w:r>
      <w:proofErr w:type="spellStart"/>
      <w:r>
        <w:rPr>
          <w:szCs w:val="18"/>
          <w:lang w:val="en-US"/>
        </w:rPr>
        <w:t>december</w:t>
      </w:r>
      <w:proofErr w:type="spellEnd"/>
      <w:r>
        <w:rPr>
          <w:szCs w:val="18"/>
          <w:lang w:val="en-US"/>
        </w:rPr>
        <w:t xml:space="preserve"> 2015, </w:t>
      </w:r>
      <w:r w:rsidRPr="0029553F">
        <w:rPr>
          <w:lang w:val="en-GB"/>
        </w:rPr>
        <w:t>CCPR/C/KOR/CO/4</w:t>
      </w:r>
      <w:r w:rsidRPr="00D9238E">
        <w:rPr>
          <w:szCs w:val="18"/>
          <w:lang w:val="en-US"/>
        </w:rPr>
        <w:t>,</w:t>
      </w:r>
      <w:r>
        <w:rPr>
          <w:szCs w:val="18"/>
          <w:lang w:val="en-US"/>
        </w:rPr>
        <w:t xml:space="preserve"> </w:t>
      </w:r>
      <w:proofErr w:type="spellStart"/>
      <w:r>
        <w:rPr>
          <w:szCs w:val="18"/>
          <w:lang w:val="en-US"/>
        </w:rPr>
        <w:t>paragraaf</w:t>
      </w:r>
      <w:proofErr w:type="spellEnd"/>
      <w:r>
        <w:rPr>
          <w:szCs w:val="18"/>
          <w:lang w:val="en-US"/>
        </w:rPr>
        <w:t xml:space="preserve"> </w:t>
      </w:r>
      <w:r w:rsidRPr="00D9238E">
        <w:rPr>
          <w:szCs w:val="18"/>
          <w:lang w:val="en-US"/>
        </w:rPr>
        <w:t>14-15.</w:t>
      </w:r>
    </w:p>
  </w:footnote>
  <w:footnote w:id="28">
    <w:p w:rsidR="001801AE" w:rsidRPr="0029553F" w:rsidRDefault="00C76B5D" w:rsidP="001801AE">
      <w:pPr>
        <w:tabs>
          <w:tab w:val="left" w:pos="284"/>
        </w:tabs>
        <w:ind w:left="284" w:hanging="284"/>
        <w:rPr>
          <w:sz w:val="18"/>
          <w:szCs w:val="18"/>
          <w:lang w:val="en-US"/>
        </w:rPr>
      </w:pPr>
      <w:r w:rsidRPr="0085496B">
        <w:rPr>
          <w:rStyle w:val="Voetnootmarkering"/>
          <w:sz w:val="18"/>
          <w:szCs w:val="18"/>
        </w:rPr>
        <w:footnoteRef/>
      </w:r>
      <w:r w:rsidRPr="0029553F">
        <w:rPr>
          <w:sz w:val="18"/>
          <w:szCs w:val="18"/>
          <w:lang w:val="en-US"/>
        </w:rPr>
        <w:t xml:space="preserve"> </w:t>
      </w:r>
      <w:r w:rsidRPr="0029553F">
        <w:rPr>
          <w:sz w:val="18"/>
          <w:szCs w:val="18"/>
          <w:lang w:val="en-US"/>
        </w:rPr>
        <w:tab/>
        <w:t xml:space="preserve">Committee on the Elimination of Discrimination against Women, </w:t>
      </w:r>
      <w:r w:rsidRPr="0029553F">
        <w:rPr>
          <w:bCs/>
          <w:sz w:val="18"/>
          <w:szCs w:val="18"/>
          <w:lang w:val="en-GB"/>
        </w:rPr>
        <w:t xml:space="preserve">Concluding </w:t>
      </w:r>
      <w:r w:rsidRPr="0029553F">
        <w:rPr>
          <w:bCs/>
          <w:sz w:val="18"/>
          <w:szCs w:val="18"/>
          <w:lang w:val="en-GB"/>
        </w:rPr>
        <w:t>observations on the combined third to fifth periodic reports of Malaysia</w:t>
      </w:r>
      <w:r>
        <w:rPr>
          <w:bCs/>
          <w:sz w:val="18"/>
          <w:szCs w:val="18"/>
          <w:lang w:val="en-GB"/>
        </w:rPr>
        <w:t xml:space="preserve">, 9 </w:t>
      </w:r>
      <w:proofErr w:type="spellStart"/>
      <w:r>
        <w:rPr>
          <w:bCs/>
          <w:sz w:val="18"/>
          <w:szCs w:val="18"/>
          <w:lang w:val="en-GB"/>
        </w:rPr>
        <w:t>maart</w:t>
      </w:r>
      <w:proofErr w:type="spellEnd"/>
      <w:r>
        <w:rPr>
          <w:bCs/>
          <w:sz w:val="18"/>
          <w:szCs w:val="18"/>
          <w:lang w:val="en-GB"/>
        </w:rPr>
        <w:t xml:space="preserve"> 2018, </w:t>
      </w:r>
      <w:r w:rsidRPr="003914C6">
        <w:rPr>
          <w:sz w:val="18"/>
          <w:szCs w:val="18"/>
          <w:lang w:val="en-US"/>
        </w:rPr>
        <w:t>CEDAW/C/MYS/3-</w:t>
      </w:r>
      <w:r w:rsidRPr="00937C6D">
        <w:rPr>
          <w:sz w:val="18"/>
          <w:szCs w:val="18"/>
          <w:lang w:val="en-US"/>
        </w:rPr>
        <w:t>5</w:t>
      </w:r>
      <w:r>
        <w:rPr>
          <w:sz w:val="18"/>
          <w:szCs w:val="18"/>
          <w:lang w:val="en-US"/>
        </w:rPr>
        <w:t xml:space="preserve">, </w:t>
      </w:r>
      <w:proofErr w:type="spellStart"/>
      <w:r>
        <w:rPr>
          <w:sz w:val="18"/>
          <w:szCs w:val="18"/>
          <w:lang w:val="en-US"/>
        </w:rPr>
        <w:t>paragraaf</w:t>
      </w:r>
      <w:proofErr w:type="spellEnd"/>
      <w:r>
        <w:rPr>
          <w:sz w:val="18"/>
          <w:szCs w:val="18"/>
          <w:lang w:val="en-US"/>
        </w:rPr>
        <w:t xml:space="preserve"> </w:t>
      </w:r>
      <w:r w:rsidRPr="0029553F">
        <w:rPr>
          <w:sz w:val="18"/>
          <w:szCs w:val="18"/>
          <w:lang w:val="en-US"/>
        </w:rPr>
        <w:t>48.</w:t>
      </w:r>
    </w:p>
  </w:footnote>
  <w:footnote w:id="29">
    <w:p w:rsidR="001801AE" w:rsidRPr="0029553F" w:rsidRDefault="00C76B5D" w:rsidP="001801AE">
      <w:pPr>
        <w:pStyle w:val="Voetnoottekst"/>
        <w:tabs>
          <w:tab w:val="left" w:pos="284"/>
        </w:tabs>
        <w:ind w:left="284" w:hanging="284"/>
        <w:rPr>
          <w:szCs w:val="18"/>
          <w:lang w:val="en-US"/>
        </w:rPr>
      </w:pPr>
      <w:r w:rsidRPr="0085496B">
        <w:rPr>
          <w:rStyle w:val="Voetnootmarkering"/>
          <w:szCs w:val="18"/>
        </w:rPr>
        <w:footnoteRef/>
      </w:r>
      <w:r w:rsidRPr="0029553F">
        <w:rPr>
          <w:szCs w:val="18"/>
          <w:lang w:val="en-US"/>
        </w:rPr>
        <w:t xml:space="preserve"> </w:t>
      </w:r>
      <w:r w:rsidRPr="0029553F">
        <w:rPr>
          <w:szCs w:val="18"/>
          <w:lang w:val="en-US"/>
        </w:rPr>
        <w:tab/>
      </w:r>
      <w:r>
        <w:rPr>
          <w:szCs w:val="18"/>
          <w:lang w:val="en-US"/>
        </w:rPr>
        <w:t xml:space="preserve"> </w:t>
      </w:r>
      <w:r w:rsidRPr="0029553F">
        <w:rPr>
          <w:szCs w:val="18"/>
          <w:lang w:val="en-US"/>
        </w:rPr>
        <w:t>Independent Expert on protection against violence and discrimination based on sexual orientation and gender identity</w:t>
      </w:r>
      <w:r>
        <w:rPr>
          <w:szCs w:val="18"/>
          <w:lang w:val="en-US"/>
        </w:rPr>
        <w:t xml:space="preserve">, </w:t>
      </w:r>
      <w:r w:rsidRPr="0029553F">
        <w:rPr>
          <w:szCs w:val="18"/>
          <w:lang w:val="en-US"/>
        </w:rPr>
        <w:t>Practices of so</w:t>
      </w:r>
      <w:r w:rsidRPr="0029553F">
        <w:rPr>
          <w:szCs w:val="18"/>
          <w:lang w:val="en-US"/>
        </w:rPr>
        <w:t>-called “conversion therapy”</w:t>
      </w:r>
      <w:r>
        <w:rPr>
          <w:szCs w:val="18"/>
          <w:lang w:val="en-US"/>
        </w:rPr>
        <w:t>,</w:t>
      </w:r>
      <w:r w:rsidRPr="0029553F">
        <w:rPr>
          <w:b/>
          <w:bCs/>
          <w:szCs w:val="18"/>
          <w:lang w:val="en-US"/>
        </w:rPr>
        <w:t xml:space="preserve"> </w:t>
      </w:r>
      <w:r w:rsidRPr="0029553F">
        <w:rPr>
          <w:szCs w:val="18"/>
          <w:lang w:val="en-US"/>
        </w:rPr>
        <w:t xml:space="preserve">1 </w:t>
      </w:r>
      <w:proofErr w:type="spellStart"/>
      <w:r w:rsidRPr="0029553F">
        <w:rPr>
          <w:szCs w:val="18"/>
          <w:lang w:val="en-US"/>
        </w:rPr>
        <w:t>mei</w:t>
      </w:r>
      <w:proofErr w:type="spellEnd"/>
      <w:r w:rsidRPr="0029553F">
        <w:rPr>
          <w:szCs w:val="18"/>
          <w:lang w:val="en-US"/>
        </w:rPr>
        <w:t xml:space="preserve"> 202</w:t>
      </w:r>
      <w:r w:rsidRPr="0029553F">
        <w:rPr>
          <w:lang w:val="en-US"/>
        </w:rPr>
        <w:t>0,</w:t>
      </w:r>
      <w:r>
        <w:rPr>
          <w:lang w:val="en-US"/>
        </w:rPr>
        <w:t xml:space="preserve"> </w:t>
      </w:r>
      <w:r w:rsidRPr="0029553F">
        <w:rPr>
          <w:lang w:val="en-US"/>
        </w:rPr>
        <w:t>A/HRC/44/53</w:t>
      </w:r>
      <w:r w:rsidRPr="0029553F">
        <w:rPr>
          <w:szCs w:val="18"/>
          <w:lang w:val="en-US"/>
        </w:rPr>
        <w:t>,</w:t>
      </w:r>
      <w:r>
        <w:rPr>
          <w:szCs w:val="18"/>
          <w:lang w:val="en-US"/>
        </w:rPr>
        <w:t xml:space="preserve"> </w:t>
      </w:r>
      <w:proofErr w:type="spellStart"/>
      <w:r>
        <w:rPr>
          <w:szCs w:val="18"/>
          <w:lang w:val="en-US"/>
        </w:rPr>
        <w:t>paragraaf</w:t>
      </w:r>
      <w:proofErr w:type="spellEnd"/>
      <w:r>
        <w:rPr>
          <w:szCs w:val="18"/>
          <w:lang w:val="en-US"/>
        </w:rPr>
        <w:t xml:space="preserve"> </w:t>
      </w:r>
      <w:r w:rsidRPr="0029553F">
        <w:rPr>
          <w:szCs w:val="18"/>
          <w:lang w:val="en-US"/>
        </w:rPr>
        <w:t xml:space="preserve">59. </w:t>
      </w:r>
    </w:p>
  </w:footnote>
  <w:footnote w:id="30">
    <w:p w:rsidR="001801AE" w:rsidRDefault="00C76B5D" w:rsidP="001801AE">
      <w:pPr>
        <w:pStyle w:val="Voetnoottekst"/>
        <w:tabs>
          <w:tab w:val="left" w:pos="284"/>
        </w:tabs>
        <w:ind w:left="284" w:hanging="284"/>
      </w:pPr>
      <w:r>
        <w:rPr>
          <w:rStyle w:val="Voetnootmarkering"/>
        </w:rPr>
        <w:footnoteRef/>
      </w:r>
      <w:r>
        <w:t xml:space="preserve"> </w:t>
      </w:r>
      <w:r>
        <w:tab/>
      </w:r>
      <w:r>
        <w:tab/>
      </w:r>
      <w:r>
        <w:t xml:space="preserve">Resolutie van het Europees Parlement van 1 maart 2018 over de situatie van grondrechten in de EU in 2016 (2017/2125(INI)), paragraaf 65. Resolutie van het Europees Parlement van 11 maart 2021 </w:t>
      </w:r>
      <w:r w:rsidRPr="0029553F">
        <w:t>over het uitroepen van de EU tot vrijheidszone voor LGBTIQ-perso</w:t>
      </w:r>
      <w:r w:rsidRPr="0029553F">
        <w:t>nen</w:t>
      </w:r>
      <w:r>
        <w:t xml:space="preserve"> (2021/2557(RSP)), overweging K. </w:t>
      </w:r>
    </w:p>
  </w:footnote>
  <w:footnote w:id="31">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5.2. </w:t>
      </w:r>
    </w:p>
  </w:footnote>
  <w:footnote w:id="32">
    <w:p w:rsidR="001801AE" w:rsidRDefault="00C76B5D" w:rsidP="001801AE">
      <w:pPr>
        <w:pStyle w:val="Voetnoottekst"/>
        <w:tabs>
          <w:tab w:val="clear" w:pos="227"/>
          <w:tab w:val="left" w:pos="284"/>
        </w:tabs>
        <w:ind w:left="284" w:hanging="284"/>
      </w:pPr>
      <w:r>
        <w:rPr>
          <w:rStyle w:val="Voetnootmarkering"/>
        </w:rPr>
        <w:footnoteRef/>
      </w:r>
      <w:r>
        <w:t xml:space="preserve"> </w:t>
      </w:r>
      <w:r>
        <w:tab/>
      </w:r>
      <w:r w:rsidRPr="00D057DB">
        <w:t xml:space="preserve">A. van Wijk e.a., ‘Voor de verandering. Een exploratief onderzoek naar pogingen tot het veranderen van seksuele gerichtheid en genderidentiteit in Nederland’, Den Haag: Ministerie van </w:t>
      </w:r>
      <w:r w:rsidRPr="00D057DB">
        <w:t xml:space="preserve">Volksgezondheid, Welzijn en Sport 2020 (bijlage bij Kamerstukken II 2020/21, 30420, nr. 358), </w:t>
      </w:r>
      <w:r>
        <w:t xml:space="preserve">p. 57 en </w:t>
      </w:r>
      <w:r w:rsidRPr="00D057DB">
        <w:t xml:space="preserve">p. </w:t>
      </w:r>
      <w:r>
        <w:t>137.</w:t>
      </w:r>
    </w:p>
  </w:footnote>
  <w:footnote w:id="33">
    <w:p w:rsidR="001801AE" w:rsidRDefault="00C76B5D" w:rsidP="001801AE">
      <w:pPr>
        <w:pStyle w:val="Voetnoottekst"/>
        <w:tabs>
          <w:tab w:val="clear" w:pos="227"/>
          <w:tab w:val="left" w:pos="284"/>
        </w:tabs>
        <w:ind w:left="284" w:hanging="284"/>
      </w:pPr>
      <w:r>
        <w:rPr>
          <w:rStyle w:val="Voetnootmarkering"/>
        </w:rPr>
        <w:footnoteRef/>
      </w:r>
      <w:r>
        <w:t xml:space="preserve"> </w:t>
      </w:r>
      <w:r>
        <w:tab/>
      </w:r>
      <w:r w:rsidRPr="003112AF">
        <w:t xml:space="preserve">A. van Wijk e.a., </w:t>
      </w:r>
      <w:r>
        <w:t>‘</w:t>
      </w:r>
      <w:r w:rsidRPr="003112AF">
        <w:t>Voor de verandering. Een exploratief onderzoek naar pogingen tot het veranderen van seksuele gerichtheid en genderidentitei</w:t>
      </w:r>
      <w:r w:rsidRPr="003112AF">
        <w:t>t in Nederland</w:t>
      </w:r>
      <w:r>
        <w:t>’</w:t>
      </w:r>
      <w:r w:rsidRPr="003112AF">
        <w:t xml:space="preserve">, Den Haag: Ministerie van Volksgezondheid, Welzijn en Sport 2020 (bijlage bij Kamerstukken II 2020/21, 30420, nr. 358), p. </w:t>
      </w:r>
      <w:r>
        <w:t>121.</w:t>
      </w:r>
    </w:p>
  </w:footnote>
  <w:footnote w:id="34">
    <w:p w:rsidR="001801AE" w:rsidRDefault="00C76B5D" w:rsidP="001801AE">
      <w:pPr>
        <w:pStyle w:val="Voetnoottekst"/>
        <w:tabs>
          <w:tab w:val="clear" w:pos="227"/>
          <w:tab w:val="left" w:pos="284"/>
        </w:tabs>
        <w:ind w:left="284" w:hanging="284"/>
      </w:pPr>
      <w:r>
        <w:rPr>
          <w:rStyle w:val="Voetnootmarkering"/>
        </w:rPr>
        <w:footnoteRef/>
      </w:r>
      <w:r>
        <w:t xml:space="preserve"> </w:t>
      </w:r>
      <w:r>
        <w:tab/>
      </w:r>
      <w:r w:rsidRPr="003112AF">
        <w:t xml:space="preserve">A. van Wijk e.a., </w:t>
      </w:r>
      <w:r>
        <w:t>‘</w:t>
      </w:r>
      <w:r w:rsidRPr="003112AF">
        <w:t>Voor de verandering. Een exploratief onderzoek naar pogingen tot het veranderen van seksue</w:t>
      </w:r>
      <w:r w:rsidRPr="003112AF">
        <w:t>le gerichtheid en genderidentiteit in Nederland</w:t>
      </w:r>
      <w:r>
        <w:t>’</w:t>
      </w:r>
      <w:r w:rsidRPr="003112AF">
        <w:t xml:space="preserve">, Den Haag: Ministerie van Volksgezondheid, Welzijn en Sport 2020 (bijlage bij Kamerstukken II 2020/21, 30420, nr. 358), p. </w:t>
      </w:r>
      <w:r>
        <w:t>132-133, 144-150.</w:t>
      </w:r>
    </w:p>
  </w:footnote>
  <w:footnote w:id="35">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6 van de Grondwet en artikel 9 EVRM. Zie toelichting, p</w:t>
      </w:r>
      <w:r>
        <w:t xml:space="preserve">aragraaf 3.1 en paragraaf 3.2. </w:t>
      </w:r>
    </w:p>
  </w:footnote>
  <w:footnote w:id="36">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2.1.2. </w:t>
      </w:r>
    </w:p>
  </w:footnote>
  <w:footnote w:id="37">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3.1. </w:t>
      </w:r>
    </w:p>
  </w:footnote>
  <w:footnote w:id="38">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4 van de Wet op het primair onderwijs; Artikel 3:40 van de Wet op het voortgezet onderwijs; artikel 1a, tweede lid, van de Algemene wet gelijke beh</w:t>
      </w:r>
      <w:r>
        <w:t xml:space="preserve">andeling. </w:t>
      </w:r>
    </w:p>
  </w:footnote>
  <w:footnote w:id="39">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Artikel 8 van de Wet op het primair onderwijs; artikel 17 van de Wet op het voortgezet onderwijs; artikel 1a, tweede lid, van de Algemene wet gelijke behandeling. </w:t>
      </w:r>
    </w:p>
  </w:footnote>
  <w:footnote w:id="40">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Het derde lid van de voorgestelde artikelen 285ba Sr en 297b Sr BES. </w:t>
      </w:r>
    </w:p>
  </w:footnote>
  <w:footnote w:id="41">
    <w:p w:rsidR="001801AE" w:rsidRDefault="00C76B5D" w:rsidP="001801AE">
      <w:pPr>
        <w:pStyle w:val="Voetnoottekst"/>
        <w:tabs>
          <w:tab w:val="clear" w:pos="227"/>
          <w:tab w:val="left" w:pos="284"/>
          <w:tab w:val="left" w:pos="426"/>
        </w:tabs>
        <w:ind w:left="284" w:hanging="284"/>
      </w:pPr>
      <w:r>
        <w:rPr>
          <w:rStyle w:val="Voetnootmarkering"/>
        </w:rPr>
        <w:footnoteRef/>
      </w:r>
      <w:r>
        <w:t xml:space="preserve"> </w:t>
      </w:r>
      <w:r>
        <w:tab/>
      </w:r>
      <w:r>
        <w:t xml:space="preserve">Zie artikelen 2, 3, 4 en 6 van de Nederlandse Reclame Code. Zie ook artikel 2, eerste lid, van de Kinder- en Jeugdreclamecode. </w:t>
      </w:r>
    </w:p>
  </w:footnote>
  <w:footnote w:id="42">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Artikelsgewijs deel, Artikel I, Onderdeel B, onder ‘Het eerste lid’.</w:t>
      </w:r>
    </w:p>
  </w:footnote>
  <w:footnote w:id="43">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Artikelsgewijs deel, Artike</w:t>
      </w:r>
      <w:r>
        <w:t xml:space="preserve">l I, Onderdeel B, onder ‘Het eerste lid’. Zie ook dit advies onder </w:t>
      </w:r>
      <w:r w:rsidRPr="002A3BA0">
        <w:t>punt 2</w:t>
      </w:r>
      <w:r>
        <w:t xml:space="preserve">. Zo wordt in de toelichting aangegeven dat het toedienen van elektroshocks naar zijn aard wel zal gelden als een fysieke inwerking van voldoende gewicht, maar levert een incidenteel </w:t>
      </w:r>
      <w:r>
        <w:t>pastoraal of psychotherapeutisch getint gesprek over de wijze waarop een persoon zou moeten omgaan met diens seksuele gerichtheid of genderidentiteit in beginsel niet een voldoende psychische inwerking op.</w:t>
      </w:r>
    </w:p>
  </w:footnote>
  <w:footnote w:id="44">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5.2.</w:t>
      </w:r>
    </w:p>
  </w:footnote>
  <w:footnote w:id="45">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Artikelen 300-30</w:t>
      </w:r>
      <w:r>
        <w:t>4 Sr; Toelichting, paragraaf 6.1.</w:t>
      </w:r>
    </w:p>
  </w:footnote>
  <w:footnote w:id="46">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282 Sr; Toelichting, paragraaf 6.2.</w:t>
      </w:r>
    </w:p>
  </w:footnote>
  <w:footnote w:id="47">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284 Sr; Toelichting, paragraaf 6.3. Ook louter psychische druk kan strafbare dwang opleveren: HR 6 januari 1998, NJ 1998, 607.</w:t>
      </w:r>
    </w:p>
  </w:footnote>
  <w:footnote w:id="48">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285 Sr; Toelichting, parag</w:t>
      </w:r>
      <w:r>
        <w:t>raaf 6.4.</w:t>
      </w:r>
    </w:p>
  </w:footnote>
  <w:footnote w:id="49">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137f; Toelichting, paragraaf 6.5. Ook artikel 429quater Sr zou hier genoemd moeten worden.</w:t>
      </w:r>
    </w:p>
  </w:footnote>
  <w:footnote w:id="50">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326 Sr.</w:t>
      </w:r>
    </w:p>
  </w:footnote>
  <w:footnote w:id="51">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255 e.v. en artikel 450 Sr.</w:t>
      </w:r>
    </w:p>
  </w:footnote>
  <w:footnote w:id="52">
    <w:p w:rsidR="001801AE" w:rsidRDefault="00C76B5D" w:rsidP="001801AE">
      <w:pPr>
        <w:tabs>
          <w:tab w:val="left" w:pos="284"/>
        </w:tabs>
        <w:autoSpaceDE w:val="0"/>
        <w:autoSpaceDN w:val="0"/>
        <w:adjustRightInd w:val="0"/>
        <w:ind w:left="284" w:hanging="284"/>
        <w:rPr>
          <w:sz w:val="18"/>
          <w:szCs w:val="18"/>
        </w:rPr>
      </w:pPr>
      <w:r>
        <w:rPr>
          <w:rStyle w:val="Voetnootmarkering"/>
          <w:sz w:val="18"/>
          <w:szCs w:val="18"/>
        </w:rPr>
        <w:footnoteRef/>
      </w:r>
      <w:r>
        <w:rPr>
          <w:sz w:val="18"/>
          <w:szCs w:val="18"/>
        </w:rPr>
        <w:t xml:space="preserve"> </w:t>
      </w:r>
      <w:r>
        <w:rPr>
          <w:sz w:val="18"/>
          <w:szCs w:val="18"/>
        </w:rPr>
        <w:tab/>
      </w:r>
      <w:r>
        <w:rPr>
          <w:rFonts w:cs="NewCenturySchlbkLTPro-Roman"/>
          <w:sz w:val="18"/>
          <w:szCs w:val="18"/>
        </w:rPr>
        <w:t>A. van Wijk e.a., ‘</w:t>
      </w:r>
      <w:r>
        <w:rPr>
          <w:rFonts w:cs="NewCenturySchlbkLTPro-Ita"/>
          <w:sz w:val="18"/>
          <w:szCs w:val="18"/>
        </w:rPr>
        <w:t>Voor de verandering. Een exploratief onderzoek naar pogingen tot</w:t>
      </w:r>
      <w:r>
        <w:rPr>
          <w:rFonts w:cs="NewCenturySchlbkLTPro-Ita"/>
          <w:sz w:val="18"/>
          <w:szCs w:val="18"/>
        </w:rPr>
        <w:t xml:space="preserve"> het veranderen van seksuele gerichtheid en genderidentiteit in Nederland’</w:t>
      </w:r>
      <w:r>
        <w:rPr>
          <w:rFonts w:cs="NewCenturySchlbkLTPro-Roman"/>
          <w:sz w:val="18"/>
          <w:szCs w:val="18"/>
        </w:rPr>
        <w:t xml:space="preserve">, Den Haag: Ministerie van Volksgezondheid, Welzijn en Sport 2020 (bijlage bij </w:t>
      </w:r>
      <w:r>
        <w:rPr>
          <w:rFonts w:cs="NewCenturySchlbkLTPro-Ita"/>
          <w:sz w:val="18"/>
          <w:szCs w:val="18"/>
        </w:rPr>
        <w:t xml:space="preserve">Kamerstukken II </w:t>
      </w:r>
      <w:r>
        <w:rPr>
          <w:rFonts w:cs="NewCenturySchlbkLTPro-Roman"/>
          <w:sz w:val="18"/>
          <w:szCs w:val="18"/>
        </w:rPr>
        <w:t>2020/21, 30420, nr. 358), p. 190.</w:t>
      </w:r>
    </w:p>
  </w:footnote>
  <w:footnote w:id="53">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6.</w:t>
      </w:r>
    </w:p>
  </w:footnote>
  <w:footnote w:id="54">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w:t>
      </w:r>
      <w:r>
        <w:t>f 6.6.</w:t>
      </w:r>
    </w:p>
  </w:footnote>
  <w:footnote w:id="55">
    <w:p w:rsidR="001801AE" w:rsidRDefault="00C76B5D" w:rsidP="001801AE">
      <w:pPr>
        <w:pStyle w:val="Voetnoottekst"/>
        <w:tabs>
          <w:tab w:val="clear" w:pos="227"/>
          <w:tab w:val="left" w:pos="284"/>
        </w:tabs>
        <w:ind w:left="284" w:hanging="284"/>
      </w:pPr>
      <w:r>
        <w:rPr>
          <w:rStyle w:val="Voetnootmarkering"/>
        </w:rPr>
        <w:footnoteRef/>
      </w:r>
      <w:r>
        <w:t xml:space="preserve"> </w:t>
      </w:r>
      <w:r>
        <w:tab/>
        <w:t>J. de Hullu, ‘Materieel strafrecht’, Deventer: Wolters Kluwer 2021, paragraaf I.2.5, waarin wordt verwezen naar de</w:t>
      </w:r>
      <w:r>
        <w:rPr>
          <w:rFonts w:cs="Helvetica"/>
          <w:color w:val="232323"/>
        </w:rPr>
        <w:t xml:space="preserve"> drietrapsbenadering van het strafwetgevingsproces van Buisman.</w:t>
      </w:r>
    </w:p>
  </w:footnote>
  <w:footnote w:id="56">
    <w:p w:rsidR="001801AE" w:rsidRDefault="00C76B5D" w:rsidP="001801AE">
      <w:pPr>
        <w:pStyle w:val="Voetnoottekst"/>
        <w:tabs>
          <w:tab w:val="clear" w:pos="227"/>
          <w:tab w:val="left" w:pos="284"/>
        </w:tabs>
        <w:ind w:left="284" w:hanging="284"/>
      </w:pPr>
      <w:r>
        <w:rPr>
          <w:rStyle w:val="Voetnootmarkering"/>
        </w:rPr>
        <w:footnoteRef/>
      </w:r>
      <w:r>
        <w:t xml:space="preserve"> </w:t>
      </w:r>
      <w:r>
        <w:tab/>
        <w:t>Zo ook: J. Verhagen en L. Postma, ‘Een wettelijke verbod op conve</w:t>
      </w:r>
      <w:r>
        <w:t xml:space="preserve">rsietherapie: symboolwetgeving of bittere noodzaak?’, </w:t>
      </w:r>
      <w:r>
        <w:rPr>
          <w:i/>
          <w:iCs/>
        </w:rPr>
        <w:t xml:space="preserve">Ars </w:t>
      </w:r>
      <w:proofErr w:type="spellStart"/>
      <w:r>
        <w:rPr>
          <w:i/>
          <w:iCs/>
        </w:rPr>
        <w:t>Aequi</w:t>
      </w:r>
      <w:proofErr w:type="spellEnd"/>
      <w:r>
        <w:t xml:space="preserve"> februari 2022.</w:t>
      </w:r>
    </w:p>
  </w:footnote>
  <w:footnote w:id="57">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2.1, met verwijzing naar </w:t>
      </w:r>
      <w:r w:rsidRPr="003112AF">
        <w:t xml:space="preserve">A. van Wijk e.a., </w:t>
      </w:r>
      <w:r>
        <w:t>‘</w:t>
      </w:r>
      <w:r w:rsidRPr="003112AF">
        <w:t>Voor de verandering. Een exploratief onderzoek naar pogingen tot het veranderen van seksuele gerichtheid en</w:t>
      </w:r>
      <w:r w:rsidRPr="003112AF">
        <w:t xml:space="preserve"> genderidentiteit in Nederland</w:t>
      </w:r>
      <w:r>
        <w:t>’</w:t>
      </w:r>
      <w:r w:rsidRPr="003112AF">
        <w:t>, Den Haag: Ministerie van Volksgezondheid, Welzijn en Sport 2020 (bijlage bij Kamerstukken II 2020/21, 30420, nr. 358)</w:t>
      </w:r>
      <w:r>
        <w:t xml:space="preserve">. </w:t>
      </w:r>
    </w:p>
  </w:footnote>
  <w:footnote w:id="58">
    <w:p w:rsidR="001801AE" w:rsidRDefault="00C76B5D" w:rsidP="001801AE">
      <w:pPr>
        <w:pStyle w:val="Voetnoottekst"/>
        <w:tabs>
          <w:tab w:val="clear" w:pos="227"/>
          <w:tab w:val="left" w:pos="284"/>
        </w:tabs>
        <w:ind w:left="284" w:hanging="284"/>
      </w:pPr>
      <w:r>
        <w:rPr>
          <w:rStyle w:val="Voetnootmarkering"/>
        </w:rPr>
        <w:footnoteRef/>
      </w:r>
      <w:r>
        <w:tab/>
        <w:t xml:space="preserve">De wet dient na 5 jaar na inwerkingtreding te worden geëvalueerd. Zie Artikel IV. </w:t>
      </w:r>
    </w:p>
  </w:footnote>
  <w:footnote w:id="59">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w:t>
      </w:r>
      <w:r>
        <w:t xml:space="preserve">ragraaf 4. </w:t>
      </w:r>
    </w:p>
  </w:footnote>
  <w:footnote w:id="60">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4. </w:t>
      </w:r>
    </w:p>
  </w:footnote>
  <w:footnote w:id="61">
    <w:p w:rsidR="001801AE" w:rsidRDefault="00C76B5D" w:rsidP="001801AE">
      <w:pPr>
        <w:pStyle w:val="Voetnoottekst"/>
        <w:tabs>
          <w:tab w:val="clear" w:pos="227"/>
          <w:tab w:val="left" w:pos="284"/>
        </w:tabs>
        <w:ind w:left="284" w:hanging="284"/>
      </w:pPr>
      <w:r>
        <w:rPr>
          <w:rStyle w:val="Voetnootmarkering"/>
        </w:rPr>
        <w:footnoteRef/>
      </w:r>
      <w:r>
        <w:t xml:space="preserve"> </w:t>
      </w:r>
      <w:r>
        <w:tab/>
      </w:r>
      <w:r w:rsidRPr="003112AF">
        <w:t xml:space="preserve">A. van Wijk e.a., </w:t>
      </w:r>
      <w:r>
        <w:t>‘</w:t>
      </w:r>
      <w:r w:rsidRPr="003112AF">
        <w:t>Voor de verandering. Een exploratief onderzoek naar pogingen tot het veranderen van seksuele gerichtheid en genderidentiteit in Nederland</w:t>
      </w:r>
      <w:r>
        <w:t>’</w:t>
      </w:r>
      <w:r w:rsidRPr="003112AF">
        <w:t xml:space="preserve">, Den Haag: Ministerie van Volksgezondheid, Welzijn en Sport 2020 (bijlage bij Kamerstukken II 2020/21, 30420, nr. 358), </w:t>
      </w:r>
      <w:r>
        <w:t xml:space="preserve">p. 133-135. </w:t>
      </w:r>
    </w:p>
  </w:footnote>
  <w:footnote w:id="62">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J. Verhagen en L. Postma, ‘Een wettelijke verbod op conversietherapie: symboolwetgeving of bittere noodzaak?’, </w:t>
      </w:r>
      <w:r>
        <w:rPr>
          <w:i/>
          <w:iCs/>
        </w:rPr>
        <w:t xml:space="preserve">Ars </w:t>
      </w:r>
      <w:proofErr w:type="spellStart"/>
      <w:r>
        <w:rPr>
          <w:i/>
          <w:iCs/>
        </w:rPr>
        <w:t>Aequ</w:t>
      </w:r>
      <w:r>
        <w:rPr>
          <w:i/>
          <w:iCs/>
        </w:rPr>
        <w:t>i</w:t>
      </w:r>
      <w:proofErr w:type="spellEnd"/>
      <w:r>
        <w:t xml:space="preserve"> februari 2022. </w:t>
      </w:r>
      <w:r w:rsidRPr="003112AF">
        <w:t xml:space="preserve">A. van Wijk e.a., </w:t>
      </w:r>
      <w:r>
        <w:t>‘</w:t>
      </w:r>
      <w:r w:rsidRPr="003112AF">
        <w:t>Voor de verandering. Een exploratief onderzoek naar pogingen tot het veranderen van seksuele gerichtheid en genderidentiteit in Nederland</w:t>
      </w:r>
      <w:r>
        <w:t>’</w:t>
      </w:r>
      <w:r w:rsidRPr="003112AF">
        <w:t>, Den Haag: Ministerie van Volksgezondheid, Welzijn en Sport 2020 (bijlage bij Kam</w:t>
      </w:r>
      <w:r w:rsidRPr="003112AF">
        <w:t xml:space="preserve">erstukken II 2020/21, 30420, nr. 358), </w:t>
      </w:r>
      <w:r>
        <w:t xml:space="preserve">p. 191 en 198. </w:t>
      </w:r>
    </w:p>
  </w:footnote>
  <w:footnote w:id="63">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Toelichting, paragraaf 7. Zie ook in bevestigende zin het advies van het OM van 7 maart 2022, p. 1. </w:t>
      </w:r>
    </w:p>
  </w:footnote>
  <w:footnote w:id="64">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7, Uitvoeringsaspecten en handhaving.</w:t>
      </w:r>
    </w:p>
  </w:footnote>
  <w:footnote w:id="65">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10. Zie</w:t>
      </w:r>
      <w:r>
        <w:t xml:space="preserve"> het advies van de Nederlandse Politie, het advies van het OM van 7 maart 2022 en het advies van de Raad voor de Rechtspraak van 20 april 2022, p. 5.</w:t>
      </w:r>
    </w:p>
  </w:footnote>
  <w:footnote w:id="66">
    <w:p w:rsidR="001801AE" w:rsidRDefault="00C76B5D" w:rsidP="001801AE">
      <w:pPr>
        <w:pStyle w:val="Voetnoottekst"/>
        <w:tabs>
          <w:tab w:val="clear" w:pos="227"/>
          <w:tab w:val="left" w:pos="284"/>
        </w:tabs>
        <w:ind w:left="284" w:hanging="284"/>
      </w:pPr>
      <w:r>
        <w:rPr>
          <w:rStyle w:val="Voetnootmarkering"/>
        </w:rPr>
        <w:footnoteRef/>
      </w:r>
      <w:r>
        <w:t xml:space="preserve"> </w:t>
      </w:r>
      <w:r>
        <w:tab/>
      </w:r>
      <w:r w:rsidRPr="003112AF">
        <w:t xml:space="preserve">A. van Wijk e.a., </w:t>
      </w:r>
      <w:r>
        <w:t>‘</w:t>
      </w:r>
      <w:r w:rsidRPr="003112AF">
        <w:t xml:space="preserve">Voor de verandering. Een exploratief onderzoek naar pogingen tot het veranderen van </w:t>
      </w:r>
      <w:r w:rsidRPr="003112AF">
        <w:t>seksuele gerichtheid en genderidentiteit in Nederland</w:t>
      </w:r>
      <w:r>
        <w:t>’</w:t>
      </w:r>
      <w:r w:rsidRPr="003112AF">
        <w:t>, Den Haag: Ministerie van Volksgezondheid, Welzijn en Sport 2020 (bijlage bij Kamerstukken II 2020/21, 30420, nr. 358)</w:t>
      </w:r>
      <w:r>
        <w:t>, p. 191 en 198.</w:t>
      </w:r>
    </w:p>
  </w:footnote>
  <w:footnote w:id="67">
    <w:p w:rsidR="001801AE" w:rsidRDefault="00C76B5D" w:rsidP="001801AE">
      <w:pPr>
        <w:pStyle w:val="Voetnoottekst"/>
        <w:tabs>
          <w:tab w:val="left" w:pos="284"/>
        </w:tabs>
        <w:ind w:left="284" w:hanging="284"/>
      </w:pPr>
      <w:r>
        <w:rPr>
          <w:rStyle w:val="Voetnootmarkering"/>
        </w:rPr>
        <w:footnoteRef/>
      </w:r>
      <w:r>
        <w:t xml:space="preserve"> </w:t>
      </w:r>
      <w:r>
        <w:tab/>
      </w:r>
      <w:r>
        <w:tab/>
      </w:r>
      <w:r w:rsidRPr="00563F30">
        <w:t xml:space="preserve">L. </w:t>
      </w:r>
      <w:proofErr w:type="spellStart"/>
      <w:r w:rsidRPr="00563F30">
        <w:t>Buimer</w:t>
      </w:r>
      <w:proofErr w:type="spellEnd"/>
      <w:r w:rsidRPr="00563F30">
        <w:t xml:space="preserve"> e.a.</w:t>
      </w:r>
      <w:r>
        <w:t>,</w:t>
      </w:r>
      <w:r w:rsidRPr="00563F30">
        <w:t xml:space="preserve"> ‘Verkenning van juridische en beleidsmatige in</w:t>
      </w:r>
      <w:r w:rsidRPr="00563F30">
        <w:t>terventies ter voorkoming en bestrijding van ‘conversietherapie’, Regioplan: 2022 (bijlage bij Kamerstukken II 2021-2022, 30420, nr. 370)</w:t>
      </w:r>
      <w:r>
        <w:t>, p. 22.</w:t>
      </w:r>
    </w:p>
  </w:footnote>
  <w:footnote w:id="68">
    <w:p w:rsidR="001801AE" w:rsidRDefault="00C76B5D" w:rsidP="001801AE">
      <w:pPr>
        <w:pStyle w:val="Voetnoottekst"/>
        <w:tabs>
          <w:tab w:val="left" w:pos="284"/>
        </w:tabs>
        <w:ind w:left="284" w:hanging="284"/>
      </w:pPr>
      <w:r>
        <w:rPr>
          <w:rStyle w:val="Voetnootmarkering"/>
        </w:rPr>
        <w:footnoteRef/>
      </w:r>
      <w:r>
        <w:t xml:space="preserve"> </w:t>
      </w:r>
      <w:r>
        <w:tab/>
      </w:r>
      <w:r>
        <w:tab/>
      </w:r>
      <w:r w:rsidRPr="00563F30">
        <w:t xml:space="preserve">L. </w:t>
      </w:r>
      <w:proofErr w:type="spellStart"/>
      <w:r w:rsidRPr="00563F30">
        <w:t>Buimer</w:t>
      </w:r>
      <w:proofErr w:type="spellEnd"/>
      <w:r w:rsidRPr="00563F30">
        <w:t xml:space="preserve"> e.a.</w:t>
      </w:r>
      <w:r>
        <w:t>,</w:t>
      </w:r>
      <w:r w:rsidRPr="00563F30">
        <w:t xml:space="preserve"> ‘Verkenning van juridische en beleidsmatige interventies ter voorkoming en bestrijding van</w:t>
      </w:r>
      <w:r w:rsidRPr="00563F30">
        <w:t xml:space="preserve"> ‘conversietherapie’, Regioplan: 2022 (bijlage bij Kamerstukken II 2021-2022, 30420, nr. 370)</w:t>
      </w:r>
      <w:r>
        <w:t>, p. 22.</w:t>
      </w:r>
    </w:p>
  </w:footnote>
  <w:footnote w:id="69">
    <w:p w:rsidR="001801AE" w:rsidRDefault="00C76B5D" w:rsidP="001801AE">
      <w:pPr>
        <w:pStyle w:val="Voetnoottekst"/>
      </w:pPr>
      <w:r>
        <w:rPr>
          <w:rStyle w:val="Voetnootmarkering"/>
        </w:rPr>
        <w:footnoteRef/>
      </w:r>
      <w:r>
        <w:t xml:space="preserve"> Zie bijvoorbeeld C. Kelk (bewerkt door F. de Jong), ‘Studieboek materieel strafrecht’, Deventer: Wolters Kluwer 2019, p. 9; J.H. Crijns, ‘Strafrecht als</w:t>
      </w:r>
      <w:r>
        <w:t xml:space="preserve"> ultimum remedium. Levend leidmotief of archaïsch desideratum?’, Ars </w:t>
      </w:r>
      <w:proofErr w:type="spellStart"/>
      <w:r>
        <w:t>Aequi</w:t>
      </w:r>
      <w:proofErr w:type="spellEnd"/>
      <w:r>
        <w:t xml:space="preserve">, januari 2012, p. 11 e.v.; T.A. de Roos, ‘Het grote onbehagen. Emotie en onbegrip over de rol van het strafrecht’, Uitgeverij Balans 2000. </w:t>
      </w:r>
    </w:p>
  </w:footnote>
  <w:footnote w:id="70">
    <w:p w:rsidR="001801AE" w:rsidRDefault="00C76B5D" w:rsidP="001801AE">
      <w:pPr>
        <w:pStyle w:val="Voetnoottekst"/>
        <w:tabs>
          <w:tab w:val="left" w:pos="284"/>
        </w:tabs>
        <w:ind w:left="284" w:hanging="284"/>
      </w:pPr>
      <w:r>
        <w:rPr>
          <w:rStyle w:val="Voetnootmarkering"/>
        </w:rPr>
        <w:footnoteRef/>
      </w:r>
      <w:r>
        <w:t xml:space="preserve"> </w:t>
      </w:r>
      <w:r>
        <w:tab/>
      </w:r>
      <w:r>
        <w:tab/>
      </w:r>
      <w:r w:rsidRPr="00563F30">
        <w:t xml:space="preserve">L. </w:t>
      </w:r>
      <w:proofErr w:type="spellStart"/>
      <w:r w:rsidRPr="00563F30">
        <w:t>Buimer</w:t>
      </w:r>
      <w:proofErr w:type="spellEnd"/>
      <w:r w:rsidRPr="00563F30">
        <w:t xml:space="preserve"> e.a.</w:t>
      </w:r>
      <w:r>
        <w:t>,</w:t>
      </w:r>
      <w:r w:rsidRPr="00563F30">
        <w:t xml:space="preserve"> ‘Verkenning van jurid</w:t>
      </w:r>
      <w:r w:rsidRPr="00563F30">
        <w:t>ische en beleidsmatige interventies ter voorkoming en bestrijding van ‘conversietherapie’, Regioplan: 2022 (bijlage bij Kamerstukken II 2021-2022, 30420, nr. 370)</w:t>
      </w:r>
      <w:r>
        <w:t xml:space="preserve">, p. 57-59. Zie ook </w:t>
      </w:r>
      <w:r w:rsidRPr="00563F30">
        <w:t>A. van Wijk e.a., ‘Voor de verandering. Een exploratief onderzoek naar pog</w:t>
      </w:r>
      <w:r w:rsidRPr="00563F30">
        <w:t xml:space="preserve">ingen tot het veranderen van seksuele gerichtheid en genderidentiteit in Nederland’, Den Haag: Ministerie van Volksgezondheid, Welzijn en Sport 2020 (bijlage bij Kamerstukken II 2020/21, 30420, nr. 358), p. </w:t>
      </w:r>
      <w:r>
        <w:t>173-201.</w:t>
      </w:r>
    </w:p>
  </w:footnote>
  <w:footnote w:id="71">
    <w:p w:rsidR="001801AE" w:rsidRDefault="00C76B5D" w:rsidP="001801AE">
      <w:pPr>
        <w:pStyle w:val="Voetnoottekst"/>
      </w:pPr>
      <w:r>
        <w:rPr>
          <w:rStyle w:val="Voetnootmarkering"/>
        </w:rPr>
        <w:footnoteRef/>
      </w:r>
      <w:r>
        <w:t xml:space="preserve"> </w:t>
      </w:r>
      <w:r w:rsidRPr="00563F30">
        <w:t xml:space="preserve">L. </w:t>
      </w:r>
      <w:proofErr w:type="spellStart"/>
      <w:r w:rsidRPr="00563F30">
        <w:t>Buimer</w:t>
      </w:r>
      <w:proofErr w:type="spellEnd"/>
      <w:r w:rsidRPr="00563F30">
        <w:t xml:space="preserve"> e.a.</w:t>
      </w:r>
      <w:r>
        <w:t>,</w:t>
      </w:r>
      <w:r w:rsidRPr="00563F30">
        <w:t xml:space="preserve"> ‘Verkenning van juridi</w:t>
      </w:r>
      <w:r w:rsidRPr="00563F30">
        <w:t>sche en beleidsmatige interventies ter voorkoming en bestrijding van ‘conversietherapie’, Regioplan: 2022 (bijlage bij Kamerstukken II 2021-2022, 30420, nr. 370)</w:t>
      </w:r>
      <w:r>
        <w:t xml:space="preserve">, p. 58. </w:t>
      </w:r>
    </w:p>
  </w:footnote>
  <w:footnote w:id="72">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2.3.</w:t>
      </w:r>
    </w:p>
  </w:footnote>
  <w:footnote w:id="73">
    <w:p w:rsidR="001801AE" w:rsidRDefault="00C76B5D" w:rsidP="001801AE">
      <w:pPr>
        <w:pStyle w:val="Voetnoottekst"/>
        <w:tabs>
          <w:tab w:val="left" w:pos="284"/>
        </w:tabs>
        <w:ind w:left="284" w:hanging="284"/>
      </w:pPr>
      <w:r>
        <w:rPr>
          <w:rStyle w:val="Voetnootmarkering"/>
        </w:rPr>
        <w:footnoteRef/>
      </w:r>
      <w:r>
        <w:t xml:space="preserve"> </w:t>
      </w:r>
      <w:r>
        <w:tab/>
      </w:r>
      <w:r>
        <w:tab/>
      </w:r>
      <w:r w:rsidRPr="009D686B">
        <w:t xml:space="preserve">L. </w:t>
      </w:r>
      <w:proofErr w:type="spellStart"/>
      <w:r w:rsidRPr="009D686B">
        <w:t>Buimer</w:t>
      </w:r>
      <w:proofErr w:type="spellEnd"/>
      <w:r w:rsidRPr="009D686B">
        <w:t xml:space="preserve"> e.a. ‘Verkenning van juridische en belei</w:t>
      </w:r>
      <w:r w:rsidRPr="009D686B">
        <w:t>dsmatige interventies ter voorkoming en bestrijding van ‘conversietherapie’, Regioplan: 2022 (bijlage bij Kamerstukken II 2021-2022, 30420, nr. 370)</w:t>
      </w:r>
      <w:r>
        <w:t xml:space="preserve">, p. 24-35. </w:t>
      </w:r>
    </w:p>
  </w:footnote>
  <w:footnote w:id="74">
    <w:p w:rsidR="001801AE" w:rsidRDefault="00C76B5D" w:rsidP="001801AE">
      <w:pPr>
        <w:pStyle w:val="Voetnoottekst"/>
        <w:tabs>
          <w:tab w:val="clear" w:pos="227"/>
          <w:tab w:val="left" w:pos="284"/>
        </w:tabs>
        <w:ind w:left="284" w:hanging="284"/>
      </w:pPr>
      <w:r>
        <w:rPr>
          <w:rStyle w:val="Voetnootmarkering"/>
        </w:rPr>
        <w:footnoteRef/>
      </w:r>
      <w:r>
        <w:t xml:space="preserve"> </w:t>
      </w:r>
      <w:r>
        <w:tab/>
        <w:t xml:space="preserve">Kamerstukken II 2021/22, 30420, nr. 371, p. 6-9. </w:t>
      </w:r>
    </w:p>
  </w:footnote>
  <w:footnote w:id="75">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2.3.</w:t>
      </w:r>
    </w:p>
  </w:footnote>
  <w:footnote w:id="76">
    <w:p w:rsidR="001801AE" w:rsidRDefault="00C76B5D" w:rsidP="001801AE">
      <w:pPr>
        <w:pStyle w:val="Voetnoottekst"/>
        <w:tabs>
          <w:tab w:val="clear" w:pos="227"/>
          <w:tab w:val="left" w:pos="284"/>
        </w:tabs>
        <w:ind w:left="284" w:hanging="284"/>
      </w:pPr>
      <w:r>
        <w:rPr>
          <w:rStyle w:val="Voetnootmarkering"/>
        </w:rPr>
        <w:footnoteRef/>
      </w:r>
      <w:r>
        <w:t xml:space="preserve"> </w:t>
      </w:r>
      <w:r>
        <w:tab/>
      </w:r>
      <w:r>
        <w:t xml:space="preserve">Toelichting, paragraaf 3.2. </w:t>
      </w:r>
    </w:p>
  </w:footnote>
  <w:footnote w:id="77">
    <w:p w:rsidR="001801AE" w:rsidRDefault="00C76B5D" w:rsidP="001801AE">
      <w:pPr>
        <w:pStyle w:val="Voetnoottekst"/>
        <w:tabs>
          <w:tab w:val="left" w:pos="284"/>
        </w:tabs>
        <w:ind w:left="284" w:hanging="284"/>
      </w:pPr>
      <w:r>
        <w:rPr>
          <w:rStyle w:val="Voetnootmarkering"/>
        </w:rPr>
        <w:footnoteRef/>
      </w:r>
      <w:r>
        <w:t xml:space="preserve"> </w:t>
      </w:r>
      <w:r>
        <w:tab/>
      </w:r>
      <w:r>
        <w:tab/>
      </w:r>
      <w:r w:rsidRPr="009D686B">
        <w:t xml:space="preserve">L. </w:t>
      </w:r>
      <w:proofErr w:type="spellStart"/>
      <w:r w:rsidRPr="009D686B">
        <w:t>Buimer</w:t>
      </w:r>
      <w:proofErr w:type="spellEnd"/>
      <w:r w:rsidRPr="009D686B">
        <w:t xml:space="preserve"> e.a. ‘Verkenning van juridische en beleidsmatige interventies ter voorkoming en bestrijding van ‘conversietherapie’, Regioplan: 2022 (bijlage bij Kamerstukken II 2021-2022, 30420, nr. 370)</w:t>
      </w:r>
      <w:r>
        <w:t>, p. 35-40.</w:t>
      </w:r>
    </w:p>
  </w:footnote>
  <w:footnote w:id="78">
    <w:p w:rsidR="001801AE" w:rsidRDefault="00C76B5D" w:rsidP="001801AE">
      <w:pPr>
        <w:pStyle w:val="Voetnoottekst"/>
        <w:tabs>
          <w:tab w:val="clear" w:pos="227"/>
          <w:tab w:val="left" w:pos="284"/>
        </w:tabs>
        <w:ind w:left="284" w:hanging="284"/>
      </w:pPr>
      <w:r>
        <w:rPr>
          <w:rStyle w:val="Voetnootmarkering"/>
        </w:rPr>
        <w:footnoteRef/>
      </w:r>
      <w:r>
        <w:t xml:space="preserve"> </w:t>
      </w:r>
      <w:r>
        <w:tab/>
        <w:t>Kamerstukk</w:t>
      </w:r>
      <w:r>
        <w:t xml:space="preserve">en II 2021/22, 30420, nr. 371, p. 9-10. </w:t>
      </w:r>
    </w:p>
  </w:footnote>
  <w:footnote w:id="79">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Artikelsgewijs deel, Artikel I, Onderdeel B, onder ‘Het eerste lid’. De strafbepaling is wel van belang als ouders betrokken zijn bij conversiehandelingen jegens hun kind, die door een ander in diens</w:t>
      </w:r>
      <w:r>
        <w:t xml:space="preserve"> ambt, beroep of bedrijf dan wel in het verband van een organisatie worden verricht; Toelichting, paragraaf 3.1.</w:t>
      </w:r>
    </w:p>
  </w:footnote>
  <w:footnote w:id="80">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5.4.</w:t>
      </w:r>
    </w:p>
  </w:footnote>
  <w:footnote w:id="81">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Artikelsgewijs deel, Artikel I, Onderdeel B, onder ‘Het tweede lid’.</w:t>
      </w:r>
    </w:p>
  </w:footnote>
  <w:footnote w:id="82">
    <w:p w:rsidR="001801AE" w:rsidRDefault="00C76B5D" w:rsidP="001801AE">
      <w:pPr>
        <w:pStyle w:val="Voetnoottekst"/>
        <w:tabs>
          <w:tab w:val="clear" w:pos="227"/>
          <w:tab w:val="left" w:pos="284"/>
        </w:tabs>
        <w:ind w:left="284" w:hanging="284"/>
      </w:pPr>
      <w:r>
        <w:rPr>
          <w:rStyle w:val="Voetnootmarkering"/>
        </w:rPr>
        <w:footnoteRef/>
      </w:r>
      <w:r>
        <w:t xml:space="preserve"> </w:t>
      </w:r>
      <w:r>
        <w:tab/>
        <w:t>Dit geschiedt middels de</w:t>
      </w:r>
      <w:r>
        <w:t xml:space="preserve"> toevoeging van het voorgestelde artikel 285ba, eerste en tweede lid, Sr aan artikel 51e, eerste lid, Sv; Toelichting, Artikelsgewijs deel, Artikel II. Er wordt niet voorzien in het spreekrecht voor wat betreft het Wetboek van Strafvordering BES, omdat het</w:t>
      </w:r>
      <w:r>
        <w:t xml:space="preserve"> BES-eilanden geen slachtofferspreekrecht kennen; Toelichting, paragraaf 5.10 en Artikelsgewijs deel, Artikel III. </w:t>
      </w:r>
    </w:p>
  </w:footnote>
  <w:footnote w:id="83">
    <w:p w:rsidR="001801AE" w:rsidRDefault="00C76B5D" w:rsidP="001801AE">
      <w:pPr>
        <w:pStyle w:val="Voetnoottekst"/>
        <w:tabs>
          <w:tab w:val="clear" w:pos="227"/>
          <w:tab w:val="left" w:pos="284"/>
        </w:tabs>
        <w:ind w:left="284" w:hanging="284"/>
      </w:pPr>
      <w:r>
        <w:rPr>
          <w:rStyle w:val="Voetnootmarkering"/>
        </w:rPr>
        <w:footnoteRef/>
      </w:r>
      <w:r>
        <w:t xml:space="preserve"> </w:t>
      </w:r>
      <w:r>
        <w:tab/>
        <w:t>Artikel 285 respectievelijk artikel 285b Sr.</w:t>
      </w:r>
    </w:p>
  </w:footnote>
  <w:footnote w:id="84">
    <w:p w:rsidR="001801AE" w:rsidRDefault="00C76B5D" w:rsidP="001801AE">
      <w:pPr>
        <w:pStyle w:val="Voetnoottekst"/>
        <w:tabs>
          <w:tab w:val="clear" w:pos="227"/>
          <w:tab w:val="left" w:pos="284"/>
        </w:tabs>
        <w:ind w:left="284" w:hanging="284"/>
      </w:pPr>
      <w:r>
        <w:rPr>
          <w:rStyle w:val="Voetnootmarkering"/>
        </w:rPr>
        <w:footnoteRef/>
      </w:r>
      <w:r>
        <w:t xml:space="preserve"> </w:t>
      </w:r>
      <w:r>
        <w:tab/>
        <w:t>Toelichting, paragraaf 5.9.</w:t>
      </w:r>
    </w:p>
  </w:footnote>
  <w:footnote w:id="85">
    <w:p w:rsidR="001801AE" w:rsidRDefault="00C76B5D" w:rsidP="001801AE">
      <w:pPr>
        <w:pStyle w:val="Voetnoottekst"/>
        <w:tabs>
          <w:tab w:val="clear" w:pos="227"/>
          <w:tab w:val="left" w:pos="284"/>
        </w:tabs>
        <w:ind w:left="284" w:hanging="284"/>
      </w:pPr>
      <w:r>
        <w:rPr>
          <w:rStyle w:val="Voetnootmarkering"/>
        </w:rPr>
        <w:footnoteRef/>
      </w:r>
      <w:r>
        <w:t xml:space="preserve"> </w:t>
      </w:r>
      <w:r>
        <w:tab/>
        <w:t>Kamerstukken II 2001/02, 27632, A. Zie ook Kamerstukken II</w:t>
      </w:r>
      <w:r>
        <w:t xml:space="preserve"> 2001/02, 27632, nr. 5, p. 10.</w:t>
      </w:r>
    </w:p>
  </w:footnote>
  <w:footnote w:id="86">
    <w:p w:rsidR="001801AE" w:rsidRDefault="00C76B5D" w:rsidP="001801AE">
      <w:pPr>
        <w:pStyle w:val="Voetnoottekst"/>
        <w:tabs>
          <w:tab w:val="clear" w:pos="227"/>
          <w:tab w:val="left" w:pos="284"/>
        </w:tabs>
        <w:ind w:left="284" w:hanging="284"/>
      </w:pPr>
      <w:r>
        <w:rPr>
          <w:rStyle w:val="Voetnootmarkering"/>
        </w:rPr>
        <w:footnoteRef/>
      </w:r>
      <w:r>
        <w:t xml:space="preserve"> </w:t>
      </w:r>
      <w:r>
        <w:tab/>
        <w:t>Kamerstukken II 2001/02, 27632, 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19B6" w:rsidRDefault="003819B6">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76B5D">
      <w:rPr>
        <w:rStyle w:val="Paginanummer"/>
        <w:noProof/>
      </w:rPr>
      <w:t>19</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AE1"/>
    <w:multiLevelType w:val="hybridMultilevel"/>
    <w:tmpl w:val="D472D386"/>
    <w:lvl w:ilvl="0" w:tplc="746CB1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XML1" w:val="&lt;?xml version=&quot;1.0&quot;?&gt;_x000d__x000a_&lt;Advies&gt;&lt;Afdeling&gt;IV&lt;/Afdeling&gt;&lt;Afdoening&gt;W&lt;/Afdoening&gt;&lt;Betreft&gt;Ontwerpbesluit, houdende wijziging van het Reglement voor de binnenvisserij 1985 en van het Reglement minimummaten en gesloten tijden 1985 in verband met het doorvoeren van enkele vereenvoudigingen en enkele andere wijzigingen van beleidsmatige aard.&lt;/Betreft&gt;&lt;Datum&gt;26 november 2012&lt;/Datum&gt;&lt;Inzake&gt;Initiatiefwetsvoorstel 1e fase&lt;/Inzake&gt;&lt;Kabinetmissivebetreft&gt;het ontwerpbesluit, houdende wijziging van het Reglement voor de binnenvisserij 1985 en van het Reglement minimummaten en gesloten tijden 1985 in verband met het doorvoeren van enkele vereenvoudigingen en enkele andere wijzigingen van beleidsmatige aard&lt;/Kabinetmissivebetreft&gt;&lt;Kabinetmissivedatum&gt;15 juni 2012&lt;/Kabinetmissivedatum&gt;&lt;Kabinetmissivenummer&gt;12.001339&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advies minuut&lt;/Naambestand&gt;&lt;Waarneminguitgevraagd&gt;Waar&lt;/Waarneminguitgevraagd&gt;&lt;Zaaknummer&gt;W15.12.0206&lt;/Zaaknummer&gt;&lt;Auteurs&gt;&lt;Auteur&gt;&lt;id&gt;jur024&lt;/id&gt;&lt;/Auteur&gt;&lt;/Auteurs&gt;&lt;Meelezers/&gt;&lt;Rapporteurs&gt;&lt;Rapporteur&gt;&lt;id&gt;str16&lt;/id&gt;&lt;woordvoerder&gt;&lt;/woordvoerder&gt;&lt;/Rapporteur&gt;&lt;/Rapporteurs&gt;&lt;Ministerie&gt;&lt;id&gt;15&lt;/id&gt;&lt;Afdeling&gt;IV&lt;/Afdeling&gt;&lt;Afkorting&gt;ELenI&lt;/Afkorting&gt;&lt;Naam&gt;Economische Zaken, Landbouw en Innovatie&lt;/Naam&gt;&lt;Plaats&gt;2500 EK DEN HAAG&lt;/Plaats&gt;&lt;Postadres&gt;Postbus 20401&lt;/Postadres&gt;&lt;/Ministerie&gt;&lt;Personen&gt;&lt;Persoon&gt;&lt;id&gt;jur024&lt;/id&gt;&lt;Achternaam&gt;Verbeek&lt;/Achternaam&gt;&lt;/Persoon&gt;&lt;Persoon&gt;&lt;id&gt;str16&lt;/id&gt;&lt;Achternaam&gt;Vermeulen&lt;/Achternaam&gt;&lt;/Persoon&gt;&lt;/Personen&gt;&lt;/Advies&gt;_x000d__x000a_"/>
  </w:docVars>
  <w:rsids>
    <w:rsidRoot w:val="00C50D4F"/>
    <w:rsid w:val="00106633"/>
    <w:rsid w:val="00156F0B"/>
    <w:rsid w:val="001F694A"/>
    <w:rsid w:val="00275756"/>
    <w:rsid w:val="0028249C"/>
    <w:rsid w:val="002B2D68"/>
    <w:rsid w:val="002B3794"/>
    <w:rsid w:val="002E6459"/>
    <w:rsid w:val="003819B6"/>
    <w:rsid w:val="004227C2"/>
    <w:rsid w:val="004A0E99"/>
    <w:rsid w:val="00564A94"/>
    <w:rsid w:val="0066274D"/>
    <w:rsid w:val="00744956"/>
    <w:rsid w:val="00857398"/>
    <w:rsid w:val="00925C70"/>
    <w:rsid w:val="009E4442"/>
    <w:rsid w:val="009E72D2"/>
    <w:rsid w:val="00A91877"/>
    <w:rsid w:val="00B31990"/>
    <w:rsid w:val="00C03BC5"/>
    <w:rsid w:val="00C5066A"/>
    <w:rsid w:val="00C50D4F"/>
    <w:rsid w:val="00C76B5D"/>
    <w:rsid w:val="00C94D31"/>
    <w:rsid w:val="00D17220"/>
    <w:rsid w:val="00DB51FC"/>
    <w:rsid w:val="00E83E3B"/>
    <w:rsid w:val="00EB7AE3"/>
    <w:rsid w:val="00EF6FDD"/>
    <w:rsid w:val="00F05C0F"/>
    <w:rsid w:val="00F4096E"/>
    <w:rsid w:val="00F508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296CBC19-FD9A-4129-8D3C-E0ACA83C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DC4449"/>
    <w:pPr>
      <w:tabs>
        <w:tab w:val="left" w:pos="227"/>
      </w:tabs>
      <w:ind w:left="227" w:hanging="227"/>
    </w:pPr>
    <w:rPr>
      <w:sz w:val="18"/>
      <w:szCs w:val="20"/>
    </w:rPr>
  </w:style>
  <w:style w:type="character" w:customStyle="1" w:styleId="VoetnoottekstChar">
    <w:name w:val="Voetnoottekst Char"/>
    <w:link w:val="Voetnoottekst"/>
    <w:uiPriority w:val="99"/>
    <w:rsid w:val="00DC4449"/>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90265E"/>
    <w:rPr>
      <w:vertAlign w:val="superscript"/>
    </w:rPr>
  </w:style>
  <w:style w:type="character" w:styleId="Verwijzingopmerking">
    <w:name w:val="annotation reference"/>
    <w:basedOn w:val="Standaardalinea-lettertype"/>
    <w:semiHidden/>
    <w:unhideWhenUsed/>
    <w:rsid w:val="00AA13C9"/>
    <w:rPr>
      <w:sz w:val="16"/>
      <w:szCs w:val="16"/>
    </w:rPr>
  </w:style>
  <w:style w:type="paragraph" w:styleId="Tekstopmerking">
    <w:name w:val="annotation text"/>
    <w:basedOn w:val="Standaard"/>
    <w:link w:val="TekstopmerkingChar"/>
    <w:semiHidden/>
    <w:unhideWhenUsed/>
    <w:rsid w:val="00AA13C9"/>
    <w:rPr>
      <w:sz w:val="20"/>
      <w:szCs w:val="20"/>
      <w:lang w:eastAsia="en-US"/>
    </w:rPr>
  </w:style>
  <w:style w:type="character" w:customStyle="1" w:styleId="TekstopmerkingChar">
    <w:name w:val="Tekst opmerking Char"/>
    <w:basedOn w:val="Standaardalinea-lettertype"/>
    <w:link w:val="Tekstopmerking"/>
    <w:semiHidden/>
    <w:rsid w:val="00AA13C9"/>
    <w:rPr>
      <w:rFonts w:ascii="Univers" w:hAnsi="Univers"/>
      <w:lang w:eastAsia="en-US"/>
    </w:rPr>
  </w:style>
  <w:style w:type="paragraph" w:styleId="Onderwerpvanopmerking">
    <w:name w:val="annotation subject"/>
    <w:basedOn w:val="Tekstopmerking"/>
    <w:next w:val="Tekstopmerking"/>
    <w:link w:val="OnderwerpvanopmerkingChar"/>
    <w:semiHidden/>
    <w:unhideWhenUsed/>
    <w:rsid w:val="00CF6E88"/>
    <w:rPr>
      <w:b/>
      <w:bCs/>
      <w:lang w:eastAsia="nl-NL"/>
    </w:rPr>
  </w:style>
  <w:style w:type="character" w:customStyle="1" w:styleId="OnderwerpvanopmerkingChar">
    <w:name w:val="Onderwerp van opmerking Char"/>
    <w:basedOn w:val="TekstopmerkingChar"/>
    <w:link w:val="Onderwerpvanopmerking"/>
    <w:semiHidden/>
    <w:rsid w:val="00CF6E88"/>
    <w:rPr>
      <w:rFonts w:ascii="Univers" w:hAnsi="Univers"/>
      <w:b/>
      <w:bCs/>
      <w:lang w:eastAsia="en-US"/>
    </w:rPr>
  </w:style>
  <w:style w:type="character" w:customStyle="1" w:styleId="LogoKoninginnepapier">
    <w:name w:val="Logo Koninginnepapier"/>
    <w:rsid w:val="00636D17"/>
    <w:rPr>
      <w:rFonts w:ascii="Bembo" w:hAnsi="Bembo"/>
      <w:spacing w:val="0"/>
      <w:sz w:val="32"/>
      <w:szCs w:val="32"/>
    </w:rPr>
  </w:style>
  <w:style w:type="paragraph" w:customStyle="1" w:styleId="standaard0">
    <w:name w:val="standaard"/>
    <w:basedOn w:val="Standaard"/>
    <w:rsid w:val="009C7D61"/>
    <w:pPr>
      <w:spacing w:before="100" w:beforeAutospacing="1" w:after="100" w:afterAutospacing="1"/>
    </w:pPr>
    <w:rPr>
      <w:rFonts w:ascii="Times New Roman" w:hAnsi="Times New Roman"/>
      <w:sz w:val="24"/>
    </w:rPr>
  </w:style>
  <w:style w:type="character" w:styleId="Nadruk">
    <w:name w:val="Emphasis"/>
    <w:basedOn w:val="Standaardalinea-lettertype"/>
    <w:uiPriority w:val="20"/>
    <w:qFormat/>
    <w:rsid w:val="009C7D61"/>
    <w:rPr>
      <w:i/>
      <w:iCs/>
    </w:rPr>
  </w:style>
  <w:style w:type="character" w:styleId="Hyperlink">
    <w:name w:val="Hyperlink"/>
    <w:basedOn w:val="Standaardalinea-lettertype"/>
    <w:uiPriority w:val="99"/>
    <w:unhideWhenUsed/>
    <w:rsid w:val="00DF1265"/>
    <w:rPr>
      <w:color w:val="0000FF"/>
      <w:u w:val="single"/>
    </w:rPr>
  </w:style>
  <w:style w:type="character" w:styleId="GevolgdeHyperlink">
    <w:name w:val="FollowedHyperlink"/>
    <w:basedOn w:val="Standaardalinea-lettertype"/>
    <w:semiHidden/>
    <w:unhideWhenUsed/>
    <w:rsid w:val="00764E12"/>
    <w:rPr>
      <w:color w:val="800080" w:themeColor="followedHyperlink"/>
      <w:u w:val="single"/>
    </w:rPr>
  </w:style>
  <w:style w:type="paragraph" w:styleId="Revisie">
    <w:name w:val="Revision"/>
    <w:hidden/>
    <w:uiPriority w:val="99"/>
    <w:semiHidden/>
    <w:rsid w:val="00ED6C83"/>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534221">
      <w:bodyDiv w:val="1"/>
      <w:marLeft w:val="0"/>
      <w:marRight w:val="0"/>
      <w:marTop w:val="0"/>
      <w:marBottom w:val="0"/>
      <w:divBdr>
        <w:top w:val="none" w:sz="0" w:space="0" w:color="auto"/>
        <w:left w:val="none" w:sz="0" w:space="0" w:color="auto"/>
        <w:bottom w:val="none" w:sz="0" w:space="0" w:color="auto"/>
        <w:right w:val="none" w:sz="0" w:space="0" w:color="auto"/>
      </w:divBdr>
    </w:div>
    <w:div w:id="836648717">
      <w:bodyDiv w:val="1"/>
      <w:marLeft w:val="0"/>
      <w:marRight w:val="0"/>
      <w:marTop w:val="0"/>
      <w:marBottom w:val="0"/>
      <w:divBdr>
        <w:top w:val="none" w:sz="0" w:space="0" w:color="auto"/>
        <w:left w:val="none" w:sz="0" w:space="0" w:color="auto"/>
        <w:bottom w:val="none" w:sz="0" w:space="0" w:color="auto"/>
        <w:right w:val="none" w:sz="0" w:space="0" w:color="auto"/>
      </w:divBdr>
    </w:div>
    <w:div w:id="94584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A409EBA1D24904BD15A44413E5E5A9"/>
        <w:category>
          <w:name w:val="Algemeen"/>
          <w:gallery w:val="placeholder"/>
        </w:category>
        <w:types>
          <w:type w:val="bbPlcHdr"/>
        </w:types>
        <w:behaviors>
          <w:behavior w:val="content"/>
        </w:behaviors>
        <w:guid w:val="{85B2947E-901A-4D9F-B7BA-E36873D7F0E2}"/>
      </w:docPartPr>
      <w:docPartBody>
        <w:p w:rsidR="00BA35F2" w:rsidRDefault="006E0215" w:rsidP="006E0215">
          <w:pPr>
            <w:pStyle w:val="61A409EBA1D24904BD15A44413E5E5A9"/>
          </w:pPr>
          <w:r>
            <w:rPr>
              <w:rStyle w:val="Tekstvantijdelijkeaanduiding"/>
            </w:rPr>
            <w:t>Klik hier als u tekst wilt invoeren.</w:t>
          </w:r>
        </w:p>
      </w:docPartBody>
    </w:docPart>
    <w:docPart>
      <w:docPartPr>
        <w:name w:val="60B69189923245C7B9E7461000FC6AA8"/>
        <w:category>
          <w:name w:val="Algemeen"/>
          <w:gallery w:val="placeholder"/>
        </w:category>
        <w:types>
          <w:type w:val="bbPlcHdr"/>
        </w:types>
        <w:behaviors>
          <w:behavior w:val="content"/>
        </w:behaviors>
        <w:guid w:val="{01549A7D-FD0C-4527-989B-2E5EC9D24491}"/>
      </w:docPartPr>
      <w:docPartBody>
        <w:p w:rsidR="00BA35F2" w:rsidRDefault="006E0215" w:rsidP="006E0215">
          <w:pPr>
            <w:pStyle w:val="60B69189923245C7B9E7461000FC6AA8"/>
          </w:pPr>
          <w:r>
            <w:rPr>
              <w:rStyle w:val="Tekstvantijdelijkeaanduiding"/>
            </w:rPr>
            <w:t>Klik hier als u tekst wilt invoeren.</w:t>
          </w:r>
        </w:p>
      </w:docPartBody>
    </w:docPart>
    <w:docPart>
      <w:docPartPr>
        <w:name w:val="4821023B96A84EE9B77960A6A1634B1C"/>
        <w:category>
          <w:name w:val="Algemeen"/>
          <w:gallery w:val="placeholder"/>
        </w:category>
        <w:types>
          <w:type w:val="bbPlcHdr"/>
        </w:types>
        <w:behaviors>
          <w:behavior w:val="content"/>
        </w:behaviors>
        <w:guid w:val="{A6743FD0-3B1C-4620-AD0B-0747C1A0F731}"/>
      </w:docPartPr>
      <w:docPartBody>
        <w:p w:rsidR="00BA35F2" w:rsidRDefault="006E0215" w:rsidP="006E0215">
          <w:pPr>
            <w:pStyle w:val="4821023B96A84EE9B77960A6A1634B1C"/>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6F653666-C15A-4C34-BFBC-41F9BBDE3DB0}"/>
      </w:docPartPr>
      <w:docPartBody>
        <w:p w:rsidR="00D201DA" w:rsidRDefault="00BA35F2">
          <w:r w:rsidRPr="0002552E">
            <w:rPr>
              <w:rStyle w:val="Tekstvantijdelijkeaanduiding"/>
            </w:rPr>
            <w:t>Klik hier als u tekst wilt invoeren.</w:t>
          </w:r>
        </w:p>
      </w:docPartBody>
    </w:docPart>
    <w:docPart>
      <w:docPartPr>
        <w:name w:val="94FBDDDE1E0F4FED99AF78A1F9BE573E"/>
        <w:category>
          <w:name w:val="Algemeen"/>
          <w:gallery w:val="placeholder"/>
        </w:category>
        <w:types>
          <w:type w:val="bbPlcHdr"/>
        </w:types>
        <w:behaviors>
          <w:behavior w:val="content"/>
        </w:behaviors>
        <w:guid w:val="{3C36E9D7-AA7E-44CA-A90A-C2227C712832}"/>
      </w:docPartPr>
      <w:docPartBody>
        <w:p w:rsidR="009E0AE8" w:rsidRDefault="007B1F69" w:rsidP="007B1F69">
          <w:pPr>
            <w:pStyle w:val="94FBDDDE1E0F4FED99AF78A1F9BE573E"/>
          </w:pPr>
          <w:r>
            <w:rPr>
              <w:rStyle w:val="Tekstvantijdelijkeaanduiding"/>
            </w:rPr>
            <w:t>Klik hier als u tekst wilt invoeren.</w:t>
          </w:r>
        </w:p>
      </w:docPartBody>
    </w:docPart>
    <w:docPart>
      <w:docPartPr>
        <w:name w:val="011A92BBC5BB4C838042FC6B2C91B16D"/>
        <w:category>
          <w:name w:val="Algemeen"/>
          <w:gallery w:val="placeholder"/>
        </w:category>
        <w:types>
          <w:type w:val="bbPlcHdr"/>
        </w:types>
        <w:behaviors>
          <w:behavior w:val="content"/>
        </w:behaviors>
        <w:guid w:val="{2A93175B-856C-4229-8107-196C611C74EE}"/>
      </w:docPartPr>
      <w:docPartBody>
        <w:p w:rsidR="00C37961" w:rsidRDefault="00203767" w:rsidP="00203767">
          <w:pPr>
            <w:pStyle w:val="011A92BBC5BB4C838042FC6B2C91B16D"/>
          </w:pPr>
          <w:r w:rsidRPr="00D32EF1">
            <w:rPr>
              <w:rStyle w:val="LogoKoninginnepapier"/>
              <w:sz w:val="24"/>
            </w:rPr>
            <w:t xml:space="preserve">AAN DE VOORZITTER VAN DE </w:t>
          </w:r>
          <w:r>
            <w:rPr>
              <w:rStyle w:val="LogoKoninginnepapier"/>
              <w:sz w:val="24"/>
            </w:rPr>
            <w:t>EERSTE\TWEEDE KAMER DER STATEN-GENERAAL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NewCenturySchlbkLTPro-Roman">
    <w:panose1 w:val="00000000000000000000"/>
    <w:charset w:val="00"/>
    <w:family w:val="roman"/>
    <w:notTrueType/>
    <w:pitch w:val="default"/>
  </w:font>
  <w:font w:name="NewCenturySchlbkLTPro-It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MHMF P+ Univer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215"/>
    <w:rsid w:val="000D6E9B"/>
    <w:rsid w:val="00130122"/>
    <w:rsid w:val="00203767"/>
    <w:rsid w:val="00403656"/>
    <w:rsid w:val="00653CB0"/>
    <w:rsid w:val="006E0215"/>
    <w:rsid w:val="007B1F69"/>
    <w:rsid w:val="007F5F18"/>
    <w:rsid w:val="009E0AE8"/>
    <w:rsid w:val="00AC7B82"/>
    <w:rsid w:val="00BA35F2"/>
    <w:rsid w:val="00C37961"/>
    <w:rsid w:val="00C905B8"/>
    <w:rsid w:val="00CB696D"/>
    <w:rsid w:val="00D201DA"/>
    <w:rsid w:val="00D85BAE"/>
    <w:rsid w:val="00E10445"/>
    <w:rsid w:val="00F4204C"/>
    <w:rsid w:val="00FB4DE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9E0AE8"/>
    <w:rPr>
      <w:color w:val="808080"/>
    </w:rPr>
  </w:style>
  <w:style w:type="paragraph" w:customStyle="1" w:styleId="61A409EBA1D24904BD15A44413E5E5A9">
    <w:name w:val="61A409EBA1D24904BD15A44413E5E5A9"/>
    <w:rsid w:val="006E0215"/>
  </w:style>
  <w:style w:type="paragraph" w:customStyle="1" w:styleId="60B69189923245C7B9E7461000FC6AA8">
    <w:name w:val="60B69189923245C7B9E7461000FC6AA8"/>
    <w:rsid w:val="006E0215"/>
  </w:style>
  <w:style w:type="paragraph" w:customStyle="1" w:styleId="4821023B96A84EE9B77960A6A1634B1C">
    <w:name w:val="4821023B96A84EE9B77960A6A1634B1C"/>
    <w:rsid w:val="006E0215"/>
  </w:style>
  <w:style w:type="paragraph" w:customStyle="1" w:styleId="70E64CF49E41446A9F646D839EA73C95">
    <w:name w:val="70E64CF49E41446A9F646D839EA73C95"/>
    <w:rsid w:val="006E0215"/>
  </w:style>
  <w:style w:type="paragraph" w:customStyle="1" w:styleId="854FAE6A562A4812AA9BE258FB9E0147">
    <w:name w:val="854FAE6A562A4812AA9BE258FB9E0147"/>
    <w:rsid w:val="006E0215"/>
  </w:style>
  <w:style w:type="paragraph" w:customStyle="1" w:styleId="70E64CF49E41446A9F646D839EA73C951">
    <w:name w:val="70E64CF49E41446A9F646D839EA73C951"/>
    <w:rsid w:val="00BA35F2"/>
    <w:pPr>
      <w:spacing w:after="0" w:line="240" w:lineRule="auto"/>
    </w:pPr>
    <w:rPr>
      <w:rFonts w:ascii="Univers" w:eastAsia="Times New Roman" w:hAnsi="Univers" w:cs="Times New Roman"/>
      <w:szCs w:val="24"/>
    </w:rPr>
  </w:style>
  <w:style w:type="paragraph" w:customStyle="1" w:styleId="0D57A4B7A6D94828932490BDB106E006">
    <w:name w:val="0D57A4B7A6D94828932490BDB106E006"/>
    <w:rsid w:val="00BA35F2"/>
  </w:style>
  <w:style w:type="paragraph" w:customStyle="1" w:styleId="92062132797A4C2697AB9C2FEBAA56DD">
    <w:name w:val="92062132797A4C2697AB9C2FEBAA56DD"/>
    <w:rsid w:val="00BA35F2"/>
  </w:style>
  <w:style w:type="paragraph" w:customStyle="1" w:styleId="D6227FDF79C0439EBEDBD7C8F4E83F09">
    <w:name w:val="D6227FDF79C0439EBEDBD7C8F4E83F09"/>
    <w:rsid w:val="00FB4DED"/>
    <w:pPr>
      <w:spacing w:after="0" w:line="240" w:lineRule="auto"/>
    </w:pPr>
    <w:rPr>
      <w:rFonts w:ascii="Univers" w:eastAsia="Times New Roman" w:hAnsi="Univers" w:cs="Times New Roman"/>
      <w:szCs w:val="24"/>
    </w:rPr>
  </w:style>
  <w:style w:type="paragraph" w:customStyle="1" w:styleId="B0870D68A3544141BDC7C41749AE7E48">
    <w:name w:val="B0870D68A3544141BDC7C41749AE7E48"/>
    <w:rsid w:val="00FB4DED"/>
    <w:pPr>
      <w:spacing w:after="0" w:line="240" w:lineRule="auto"/>
    </w:pPr>
    <w:rPr>
      <w:rFonts w:ascii="Univers" w:eastAsia="Times New Roman" w:hAnsi="Univers" w:cs="Times New Roman"/>
      <w:szCs w:val="24"/>
    </w:rPr>
  </w:style>
  <w:style w:type="paragraph" w:customStyle="1" w:styleId="D6227FDF79C0439EBEDBD7C8F4E83F091">
    <w:name w:val="D6227FDF79C0439EBEDBD7C8F4E83F091"/>
    <w:rsid w:val="007F5F18"/>
    <w:pPr>
      <w:spacing w:after="0" w:line="240" w:lineRule="auto"/>
    </w:pPr>
    <w:rPr>
      <w:rFonts w:ascii="Univers" w:eastAsia="Times New Roman" w:hAnsi="Univers" w:cs="Times New Roman"/>
      <w:szCs w:val="24"/>
    </w:rPr>
  </w:style>
  <w:style w:type="paragraph" w:customStyle="1" w:styleId="B0870D68A3544141BDC7C41749AE7E481">
    <w:name w:val="B0870D68A3544141BDC7C41749AE7E481"/>
    <w:rsid w:val="007F5F18"/>
    <w:pPr>
      <w:spacing w:after="0" w:line="240" w:lineRule="auto"/>
    </w:pPr>
    <w:rPr>
      <w:rFonts w:ascii="Univers" w:eastAsia="Times New Roman" w:hAnsi="Univers" w:cs="Times New Roman"/>
      <w:szCs w:val="24"/>
    </w:rPr>
  </w:style>
  <w:style w:type="paragraph" w:customStyle="1" w:styleId="D6227FDF79C0439EBEDBD7C8F4E83F092">
    <w:name w:val="D6227FDF79C0439EBEDBD7C8F4E83F092"/>
    <w:rsid w:val="00AC7B82"/>
    <w:pPr>
      <w:spacing w:after="0" w:line="240" w:lineRule="auto"/>
    </w:pPr>
    <w:rPr>
      <w:rFonts w:ascii="Univers" w:eastAsia="Times New Roman" w:hAnsi="Univers" w:cs="Times New Roman"/>
      <w:szCs w:val="24"/>
    </w:rPr>
  </w:style>
  <w:style w:type="paragraph" w:customStyle="1" w:styleId="B0870D68A3544141BDC7C41749AE7E482">
    <w:name w:val="B0870D68A3544141BDC7C41749AE7E482"/>
    <w:rsid w:val="00AC7B82"/>
    <w:pPr>
      <w:spacing w:after="0" w:line="240" w:lineRule="auto"/>
    </w:pPr>
    <w:rPr>
      <w:rFonts w:ascii="Univers" w:eastAsia="Times New Roman" w:hAnsi="Univers" w:cs="Times New Roman"/>
      <w:szCs w:val="24"/>
    </w:rPr>
  </w:style>
  <w:style w:type="paragraph" w:customStyle="1" w:styleId="D6227FDF79C0439EBEDBD7C8F4E83F093">
    <w:name w:val="D6227FDF79C0439EBEDBD7C8F4E83F093"/>
    <w:rsid w:val="00E10445"/>
    <w:pPr>
      <w:spacing w:after="0" w:line="240" w:lineRule="auto"/>
    </w:pPr>
    <w:rPr>
      <w:rFonts w:ascii="Univers" w:eastAsia="Times New Roman" w:hAnsi="Univers" w:cs="Times New Roman"/>
      <w:szCs w:val="24"/>
    </w:rPr>
  </w:style>
  <w:style w:type="paragraph" w:customStyle="1" w:styleId="D6227FDF79C0439EBEDBD7C8F4E83F094">
    <w:name w:val="D6227FDF79C0439EBEDBD7C8F4E83F094"/>
    <w:rsid w:val="00CB696D"/>
    <w:pPr>
      <w:spacing w:after="0" w:line="240" w:lineRule="auto"/>
    </w:pPr>
    <w:rPr>
      <w:rFonts w:ascii="Univers" w:eastAsia="Times New Roman" w:hAnsi="Univers" w:cs="Times New Roman"/>
      <w:szCs w:val="24"/>
    </w:rPr>
  </w:style>
  <w:style w:type="paragraph" w:customStyle="1" w:styleId="D6227FDF79C0439EBEDBD7C8F4E83F095">
    <w:name w:val="D6227FDF79C0439EBEDBD7C8F4E83F095"/>
    <w:rsid w:val="00130122"/>
    <w:pPr>
      <w:spacing w:after="0" w:line="240" w:lineRule="auto"/>
    </w:pPr>
    <w:rPr>
      <w:rFonts w:ascii="Univers" w:eastAsia="Times New Roman" w:hAnsi="Univers" w:cs="Times New Roman"/>
      <w:szCs w:val="24"/>
    </w:rPr>
  </w:style>
  <w:style w:type="paragraph" w:customStyle="1" w:styleId="D6227FDF79C0439EBEDBD7C8F4E83F096">
    <w:name w:val="D6227FDF79C0439EBEDBD7C8F4E83F096"/>
    <w:rsid w:val="000D6E9B"/>
    <w:pPr>
      <w:spacing w:after="0" w:line="240" w:lineRule="auto"/>
    </w:pPr>
    <w:rPr>
      <w:rFonts w:ascii="Univers" w:eastAsia="Times New Roman" w:hAnsi="Univers" w:cs="Times New Roman"/>
      <w:szCs w:val="24"/>
    </w:rPr>
  </w:style>
  <w:style w:type="paragraph" w:customStyle="1" w:styleId="D6227FDF79C0439EBEDBD7C8F4E83F097">
    <w:name w:val="D6227FDF79C0439EBEDBD7C8F4E83F097"/>
    <w:rsid w:val="00D85BAE"/>
    <w:pPr>
      <w:spacing w:after="0" w:line="240" w:lineRule="auto"/>
    </w:pPr>
    <w:rPr>
      <w:rFonts w:ascii="Univers" w:eastAsia="Times New Roman" w:hAnsi="Univers" w:cs="Times New Roman"/>
      <w:szCs w:val="24"/>
    </w:rPr>
  </w:style>
  <w:style w:type="paragraph" w:customStyle="1" w:styleId="D6227FDF79C0439EBEDBD7C8F4E83F098">
    <w:name w:val="D6227FDF79C0439EBEDBD7C8F4E83F098"/>
    <w:rsid w:val="00403656"/>
    <w:pPr>
      <w:spacing w:after="0" w:line="240" w:lineRule="auto"/>
    </w:pPr>
    <w:rPr>
      <w:rFonts w:ascii="Univers" w:eastAsia="Times New Roman" w:hAnsi="Univers" w:cs="Times New Roman"/>
      <w:szCs w:val="24"/>
    </w:rPr>
  </w:style>
  <w:style w:type="paragraph" w:customStyle="1" w:styleId="D6227FDF79C0439EBEDBD7C8F4E83F099">
    <w:name w:val="D6227FDF79C0439EBEDBD7C8F4E83F099"/>
    <w:rsid w:val="00653CB0"/>
    <w:pPr>
      <w:spacing w:after="0" w:line="240" w:lineRule="auto"/>
    </w:pPr>
    <w:rPr>
      <w:rFonts w:ascii="Univers" w:eastAsia="Times New Roman" w:hAnsi="Univers" w:cs="Times New Roman"/>
      <w:szCs w:val="24"/>
    </w:rPr>
  </w:style>
  <w:style w:type="paragraph" w:customStyle="1" w:styleId="94FBDDDE1E0F4FED99AF78A1F9BE573E">
    <w:name w:val="94FBDDDE1E0F4FED99AF78A1F9BE573E"/>
    <w:rsid w:val="007B1F69"/>
  </w:style>
  <w:style w:type="paragraph" w:customStyle="1" w:styleId="D6227FDF79C0439EBEDBD7C8F4E83F0910">
    <w:name w:val="D6227FDF79C0439EBEDBD7C8F4E83F0910"/>
    <w:rsid w:val="009E0AE8"/>
    <w:pPr>
      <w:spacing w:after="0" w:line="240" w:lineRule="auto"/>
    </w:pPr>
    <w:rPr>
      <w:rFonts w:ascii="Univers" w:eastAsia="Times New Roman" w:hAnsi="Univers" w:cs="Times New Roman"/>
      <w:szCs w:val="24"/>
    </w:rPr>
  </w:style>
  <w:style w:type="character" w:customStyle="1" w:styleId="LogoKoninginnepapier">
    <w:name w:val="Logo Koninginnepapier"/>
    <w:rsid w:val="00203767"/>
    <w:rPr>
      <w:rFonts w:ascii="Bembo" w:hAnsi="Bembo"/>
      <w:spacing w:val="0"/>
      <w:sz w:val="32"/>
      <w:szCs w:val="32"/>
    </w:rPr>
  </w:style>
  <w:style w:type="paragraph" w:customStyle="1" w:styleId="FAF98BC62E9F497F9FD0045DC0A57D53">
    <w:name w:val="FAF98BC62E9F497F9FD0045DC0A57D53"/>
    <w:rsid w:val="00203767"/>
  </w:style>
  <w:style w:type="paragraph" w:customStyle="1" w:styleId="011A92BBC5BB4C838042FC6B2C91B16D">
    <w:name w:val="011A92BBC5BB4C838042FC6B2C91B16D"/>
    <w:rsid w:val="00203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19</ap:Pages>
  <ap:Words>7040</ap:Words>
  <ap:Characters>38726</ap:Characters>
  <ap:DocSecurity>4</ap:DocSecurity>
  <ap:Lines>322</ap:Lines>
  <ap:Paragraphs>91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45675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2023-01-31T14:00:00.0000000Z</dcterms:created>
  <dcterms:modified xsi:type="dcterms:W3CDTF">2023-01-31T14:00:00.0000000Z</dcterms:modified>
  <dc:description>------------------------</dc:description>
  <dc:subject/>
  <dc:title/>
  <keywords/>
  <version/>
  <category/>
</coreProperties>
</file>