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97FD3" w:rsidR="00CB3578" w:rsidTr="00F13442">
        <w:trPr>
          <w:cantSplit/>
        </w:trPr>
        <w:tc>
          <w:tcPr>
            <w:tcW w:w="9142" w:type="dxa"/>
            <w:gridSpan w:val="2"/>
            <w:tcBorders>
              <w:top w:val="nil"/>
              <w:left w:val="nil"/>
              <w:bottom w:val="nil"/>
              <w:right w:val="nil"/>
            </w:tcBorders>
          </w:tcPr>
          <w:p w:rsidRPr="00E50CAD" w:rsidR="00E50CAD" w:rsidP="000D0DF5" w:rsidRDefault="00E50CAD">
            <w:pPr>
              <w:tabs>
                <w:tab w:val="left" w:pos="-1440"/>
                <w:tab w:val="left" w:pos="-720"/>
              </w:tabs>
              <w:suppressAutoHyphens/>
              <w:rPr>
                <w:rFonts w:ascii="Times New Roman" w:hAnsi="Times New Roman"/>
              </w:rPr>
            </w:pPr>
            <w:r w:rsidRPr="00E50CAD">
              <w:rPr>
                <w:rFonts w:ascii="Times New Roman" w:hAnsi="Times New Roman"/>
              </w:rPr>
              <w:t>De Tweede Kamer der Staten-</w:t>
            </w:r>
            <w:r w:rsidRPr="00E50CAD">
              <w:rPr>
                <w:rFonts w:ascii="Times New Roman" w:hAnsi="Times New Roman"/>
              </w:rPr>
              <w:fldChar w:fldCharType="begin"/>
            </w:r>
            <w:r w:rsidRPr="00E50CAD">
              <w:rPr>
                <w:rFonts w:ascii="Times New Roman" w:hAnsi="Times New Roman"/>
              </w:rPr>
              <w:instrText xml:space="preserve">PRIVATE </w:instrText>
            </w:r>
            <w:r w:rsidRPr="00E50CAD">
              <w:rPr>
                <w:rFonts w:ascii="Times New Roman" w:hAnsi="Times New Roman"/>
              </w:rPr>
              <w:fldChar w:fldCharType="end"/>
            </w:r>
          </w:p>
          <w:p w:rsidRPr="00E50CAD" w:rsidR="00E50CAD" w:rsidP="000D0DF5" w:rsidRDefault="00E50CAD">
            <w:pPr>
              <w:tabs>
                <w:tab w:val="left" w:pos="-1440"/>
                <w:tab w:val="left" w:pos="-720"/>
              </w:tabs>
              <w:suppressAutoHyphens/>
              <w:rPr>
                <w:rFonts w:ascii="Times New Roman" w:hAnsi="Times New Roman"/>
              </w:rPr>
            </w:pPr>
            <w:r w:rsidRPr="00E50CAD">
              <w:rPr>
                <w:rFonts w:ascii="Times New Roman" w:hAnsi="Times New Roman"/>
              </w:rPr>
              <w:t>Generaal zendt bijgaand door</w:t>
            </w:r>
          </w:p>
          <w:p w:rsidRPr="00E50CAD" w:rsidR="00E50CAD" w:rsidP="000D0DF5" w:rsidRDefault="00E50CAD">
            <w:pPr>
              <w:tabs>
                <w:tab w:val="left" w:pos="-1440"/>
                <w:tab w:val="left" w:pos="-720"/>
              </w:tabs>
              <w:suppressAutoHyphens/>
              <w:rPr>
                <w:rFonts w:ascii="Times New Roman" w:hAnsi="Times New Roman"/>
              </w:rPr>
            </w:pPr>
            <w:r w:rsidRPr="00E50CAD">
              <w:rPr>
                <w:rFonts w:ascii="Times New Roman" w:hAnsi="Times New Roman"/>
              </w:rPr>
              <w:t>haar aangenomen wetsvoorstel</w:t>
            </w:r>
          </w:p>
          <w:p w:rsidRPr="00E50CAD" w:rsidR="00E50CAD" w:rsidP="000D0DF5" w:rsidRDefault="00E50CAD">
            <w:pPr>
              <w:tabs>
                <w:tab w:val="left" w:pos="-1440"/>
                <w:tab w:val="left" w:pos="-720"/>
              </w:tabs>
              <w:suppressAutoHyphens/>
              <w:rPr>
                <w:rFonts w:ascii="Times New Roman" w:hAnsi="Times New Roman"/>
              </w:rPr>
            </w:pPr>
            <w:r w:rsidRPr="00E50CAD">
              <w:rPr>
                <w:rFonts w:ascii="Times New Roman" w:hAnsi="Times New Roman"/>
              </w:rPr>
              <w:t>aan de Eerste Kamer.</w:t>
            </w: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r w:rsidRPr="00E50CAD">
              <w:rPr>
                <w:rFonts w:ascii="Times New Roman" w:hAnsi="Times New Roman"/>
              </w:rPr>
              <w:t>De Voorzitter,</w:t>
            </w: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tabs>
                <w:tab w:val="left" w:pos="-1440"/>
                <w:tab w:val="left" w:pos="-720"/>
              </w:tabs>
              <w:suppressAutoHyphens/>
              <w:rPr>
                <w:rFonts w:ascii="Times New Roman" w:hAnsi="Times New Roman"/>
              </w:rPr>
            </w:pPr>
          </w:p>
          <w:p w:rsidRPr="00E50CAD" w:rsidR="00E50CAD" w:rsidP="000D0DF5" w:rsidRDefault="00E50CAD">
            <w:pPr>
              <w:rPr>
                <w:rFonts w:ascii="Times New Roman" w:hAnsi="Times New Roman"/>
              </w:rPr>
            </w:pPr>
          </w:p>
          <w:p w:rsidRPr="00CA231D" w:rsidR="00CB3578" w:rsidP="00E50CAD" w:rsidRDefault="00E50CAD">
            <w:pPr>
              <w:pStyle w:val="Amendement"/>
              <w:rPr>
                <w:rFonts w:ascii="Times New Roman" w:hAnsi="Times New Roman" w:cs="Times New Roman"/>
                <w:b w:val="0"/>
              </w:rPr>
            </w:pPr>
            <w:r w:rsidRPr="00CA231D">
              <w:rPr>
                <w:rFonts w:ascii="Times New Roman" w:hAnsi="Times New Roman" w:cs="Times New Roman"/>
                <w:b w:val="0"/>
                <w:sz w:val="20"/>
              </w:rPr>
              <w:t>2 februari 2023</w:t>
            </w:r>
          </w:p>
        </w:tc>
      </w:tr>
      <w:tr w:rsidRPr="00397F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7FD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97FD3" w:rsidR="00CB3578" w:rsidRDefault="00CB3578">
            <w:pPr>
              <w:tabs>
                <w:tab w:val="left" w:pos="-1440"/>
                <w:tab w:val="left" w:pos="-720"/>
              </w:tabs>
              <w:suppressAutoHyphens/>
              <w:rPr>
                <w:rFonts w:ascii="Times New Roman" w:hAnsi="Times New Roman"/>
                <w:b/>
                <w:bCs/>
                <w:sz w:val="24"/>
              </w:rPr>
            </w:pPr>
          </w:p>
        </w:tc>
      </w:tr>
      <w:tr w:rsidRPr="00397FD3" w:rsidR="00E50CA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7FD3" w:rsidR="00E50CAD" w:rsidRDefault="00E50CAD">
            <w:pPr>
              <w:pStyle w:val="Amendement"/>
              <w:rPr>
                <w:rFonts w:ascii="Times New Roman" w:hAnsi="Times New Roman" w:cs="Times New Roman"/>
              </w:rPr>
            </w:pPr>
          </w:p>
        </w:tc>
        <w:tc>
          <w:tcPr>
            <w:tcW w:w="6590" w:type="dxa"/>
            <w:tcBorders>
              <w:top w:val="nil"/>
              <w:left w:val="nil"/>
              <w:bottom w:val="nil"/>
              <w:right w:val="nil"/>
            </w:tcBorders>
          </w:tcPr>
          <w:p w:rsidRPr="00397FD3" w:rsidR="00E50CAD" w:rsidRDefault="00E50CAD">
            <w:pPr>
              <w:tabs>
                <w:tab w:val="left" w:pos="-1440"/>
                <w:tab w:val="left" w:pos="-720"/>
              </w:tabs>
              <w:suppressAutoHyphens/>
              <w:rPr>
                <w:rFonts w:ascii="Times New Roman" w:hAnsi="Times New Roman"/>
                <w:b/>
                <w:bCs/>
                <w:sz w:val="24"/>
              </w:rPr>
            </w:pPr>
          </w:p>
        </w:tc>
      </w:tr>
      <w:tr w:rsidRPr="00397FD3" w:rsidR="00E50CAD" w:rsidTr="00AF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7FD3" w:rsidR="00E50CAD" w:rsidP="000D5BC4" w:rsidRDefault="00E50CAD">
            <w:pPr>
              <w:rPr>
                <w:rFonts w:ascii="Times New Roman" w:hAnsi="Times New Roman"/>
                <w:b/>
                <w:sz w:val="24"/>
              </w:rPr>
            </w:pPr>
            <w:r w:rsidRPr="00397FD3">
              <w:rPr>
                <w:rFonts w:ascii="Times New Roman" w:hAnsi="Times New Roman"/>
                <w:b/>
                <w:sz w:val="24"/>
              </w:rPr>
              <w:t>Wijziging van de Wegenverkeerswet 1994 in verband met de modernisering van het erkenningenstelsel, het verbeteren van de handhaafbaarheid en enkele andere wijzigingen van technische aard</w:t>
            </w:r>
          </w:p>
        </w:tc>
      </w:tr>
      <w:tr w:rsidRPr="00397F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7FD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97FD3" w:rsidR="00CB3578" w:rsidRDefault="00CB3578">
            <w:pPr>
              <w:pStyle w:val="Amendement"/>
              <w:rPr>
                <w:rFonts w:ascii="Times New Roman" w:hAnsi="Times New Roman" w:cs="Times New Roman"/>
              </w:rPr>
            </w:pPr>
          </w:p>
        </w:tc>
      </w:tr>
      <w:tr w:rsidRPr="00397F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7FD3" w:rsidR="00CB3578" w:rsidRDefault="00CB3578">
            <w:pPr>
              <w:pStyle w:val="Amendement"/>
              <w:rPr>
                <w:rFonts w:ascii="Times New Roman" w:hAnsi="Times New Roman" w:cs="Times New Roman"/>
              </w:rPr>
            </w:pPr>
            <w:bookmarkStart w:name="_GoBack" w:id="0"/>
            <w:bookmarkEnd w:id="0"/>
          </w:p>
        </w:tc>
        <w:tc>
          <w:tcPr>
            <w:tcW w:w="6590" w:type="dxa"/>
            <w:tcBorders>
              <w:top w:val="nil"/>
              <w:left w:val="nil"/>
              <w:bottom w:val="nil"/>
              <w:right w:val="nil"/>
            </w:tcBorders>
          </w:tcPr>
          <w:p w:rsidRPr="00397FD3" w:rsidR="00CB3578" w:rsidRDefault="00CB3578">
            <w:pPr>
              <w:pStyle w:val="Amendement"/>
              <w:rPr>
                <w:rFonts w:ascii="Times New Roman" w:hAnsi="Times New Roman" w:cs="Times New Roman"/>
              </w:rPr>
            </w:pPr>
          </w:p>
        </w:tc>
      </w:tr>
      <w:tr w:rsidRPr="00397FD3" w:rsidR="00E50CAD" w:rsidTr="00B4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7FD3" w:rsidR="00E50CAD" w:rsidRDefault="00E50CAD">
            <w:pPr>
              <w:pStyle w:val="Amendement"/>
              <w:rPr>
                <w:rFonts w:ascii="Times New Roman" w:hAnsi="Times New Roman" w:cs="Times New Roman"/>
              </w:rPr>
            </w:pPr>
            <w:r w:rsidRPr="00397FD3">
              <w:rPr>
                <w:rFonts w:ascii="Times New Roman" w:hAnsi="Times New Roman" w:cs="Times New Roman"/>
              </w:rPr>
              <w:t>VOORSTEL VAN WET</w:t>
            </w:r>
          </w:p>
        </w:tc>
      </w:tr>
      <w:tr w:rsidRPr="00397F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7FD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97FD3" w:rsidR="00CB3578" w:rsidRDefault="00CB3578">
            <w:pPr>
              <w:pStyle w:val="Amendement"/>
              <w:rPr>
                <w:rFonts w:ascii="Times New Roman" w:hAnsi="Times New Roman" w:cs="Times New Roman"/>
              </w:rPr>
            </w:pPr>
          </w:p>
        </w:tc>
      </w:tr>
    </w:tbl>
    <w:p w:rsidRPr="00397FD3" w:rsidR="00397FD3" w:rsidP="00397FD3" w:rsidRDefault="00397FD3">
      <w:pPr>
        <w:pStyle w:val="HBJZ-Kamerstukken-regelafstand138"/>
        <w:ind w:firstLine="284"/>
        <w:rPr>
          <w:rFonts w:ascii="Times New Roman" w:hAnsi="Times New Roman" w:cs="Times New Roman"/>
          <w:sz w:val="24"/>
          <w:szCs w:val="24"/>
        </w:rPr>
      </w:pPr>
      <w:r w:rsidRPr="00397FD3">
        <w:rPr>
          <w:rFonts w:ascii="Times New Roman" w:hAnsi="Times New Roman" w:cs="Times New Roman"/>
          <w:sz w:val="24"/>
          <w:szCs w:val="24"/>
        </w:rPr>
        <w:t>Wij Willem-Alexander, bij de gratie Gods, Koning der Nederlanden, Prins van Oranje-Nassau, enz. enz. enz.</w:t>
      </w:r>
    </w:p>
    <w:p w:rsidRPr="00397FD3" w:rsidR="00397FD3" w:rsidP="00397FD3" w:rsidRDefault="00397FD3">
      <w:pPr>
        <w:pStyle w:val="HBJZ-Kamerstukken-regelafstand138"/>
        <w:rPr>
          <w:rFonts w:ascii="Times New Roman" w:hAnsi="Times New Roman" w:cs="Times New Roman"/>
          <w:sz w:val="24"/>
          <w:szCs w:val="24"/>
        </w:rPr>
      </w:pPr>
    </w:p>
    <w:p w:rsidR="00397FD3" w:rsidP="00397FD3" w:rsidRDefault="00397FD3">
      <w:pPr>
        <w:pStyle w:val="HBJZ-Kamerstukken-regelafstand138"/>
        <w:ind w:firstLine="284"/>
        <w:rPr>
          <w:rFonts w:ascii="Times New Roman" w:hAnsi="Times New Roman" w:cs="Times New Roman"/>
          <w:sz w:val="24"/>
          <w:szCs w:val="24"/>
        </w:rPr>
      </w:pPr>
      <w:r w:rsidRPr="00397FD3">
        <w:rPr>
          <w:rFonts w:ascii="Times New Roman" w:hAnsi="Times New Roman" w:cs="Times New Roman"/>
          <w:sz w:val="24"/>
          <w:szCs w:val="24"/>
        </w:rPr>
        <w:t>Allen, die deze zullen zien of horen lezen, saluut! doen te weten:</w:t>
      </w:r>
    </w:p>
    <w:p w:rsidR="00397FD3" w:rsidP="00397FD3" w:rsidRDefault="00397FD3">
      <w:pPr>
        <w:pStyle w:val="HBJZ-Kamerstukken-regelafstand138"/>
        <w:ind w:firstLine="284"/>
        <w:rPr>
          <w:rFonts w:ascii="Times New Roman" w:hAnsi="Times New Roman" w:cs="Times New Roman"/>
          <w:sz w:val="24"/>
          <w:szCs w:val="24"/>
        </w:rPr>
      </w:pPr>
      <w:r w:rsidRPr="00397FD3">
        <w:rPr>
          <w:rFonts w:ascii="Times New Roman" w:hAnsi="Times New Roman" w:cs="Times New Roman"/>
          <w:sz w:val="24"/>
          <w:szCs w:val="24"/>
        </w:rPr>
        <w:t>Alzo Wij in overweging genomen hebben dat het wenselijk is dat het erkenningenstelsel dat wordt uitgevoerd door de Dienst Wegverkeer gemoderniseerd wordt en verder de handhaafbaarheid van de Wegenverkeerswet 1994 wordt verbeterd om de naleving ervan te bevorderen en enkele andere wijzigingen van technische aard door te voeren;</w:t>
      </w:r>
    </w:p>
    <w:p w:rsidR="00397FD3" w:rsidP="00397FD3" w:rsidRDefault="00397FD3">
      <w:pPr>
        <w:pStyle w:val="HBJZ-Kamerstukken-regelafstand138"/>
        <w:ind w:firstLine="284"/>
        <w:rPr>
          <w:rFonts w:ascii="Times New Roman" w:hAnsi="Times New Roman" w:cs="Times New Roman"/>
          <w:sz w:val="24"/>
          <w:szCs w:val="24"/>
        </w:rPr>
      </w:pPr>
      <w:r w:rsidRPr="00397FD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397FD3" w:rsidR="00397FD3" w:rsidP="00397FD3" w:rsidRDefault="00397FD3"/>
    <w:p w:rsidR="00397FD3" w:rsidP="00397FD3" w:rsidRDefault="00397FD3">
      <w:pPr>
        <w:pStyle w:val="HBJZ-Kamerstukken-regelafstand138"/>
        <w:rPr>
          <w:rFonts w:ascii="Times New Roman" w:hAnsi="Times New Roman" w:cs="Times New Roman"/>
          <w:b/>
          <w:sz w:val="24"/>
          <w:szCs w:val="24"/>
        </w:rPr>
      </w:pPr>
    </w:p>
    <w:p w:rsidRPr="00397FD3" w:rsidR="00397FD3" w:rsidP="00397FD3" w:rsidRDefault="00397FD3">
      <w:pPr>
        <w:pStyle w:val="HBJZ-Kamerstukken-regelafstand138"/>
        <w:rPr>
          <w:rFonts w:ascii="Times New Roman" w:hAnsi="Times New Roman" w:cs="Times New Roman"/>
          <w:b/>
          <w:sz w:val="24"/>
          <w:szCs w:val="24"/>
        </w:rPr>
      </w:pPr>
      <w:r w:rsidRPr="00397FD3">
        <w:rPr>
          <w:rFonts w:ascii="Times New Roman" w:hAnsi="Times New Roman" w:cs="Times New Roman"/>
          <w:b/>
          <w:sz w:val="24"/>
          <w:szCs w:val="24"/>
        </w:rPr>
        <w:t>ARTIKEL I</w:t>
      </w:r>
    </w:p>
    <w:p w:rsidRPr="00397FD3" w:rsidR="00397FD3" w:rsidP="00397FD3" w:rsidRDefault="00397FD3">
      <w:pPr>
        <w:pStyle w:val="HBJZ-Kamerstukken-regelafstand138"/>
        <w:rPr>
          <w:rFonts w:ascii="Times New Roman" w:hAnsi="Times New Roman" w:cs="Times New Roman"/>
          <w:b/>
          <w:sz w:val="24"/>
          <w:szCs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De Wegenverkeerswet 1994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A</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In artikel 1, eerste lid, worden na onderdeel u drie onderdelen ingevoegd, luidende: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v. </w:t>
      </w:r>
      <w:r w:rsidRPr="00397FD3">
        <w:rPr>
          <w:rFonts w:ascii="Times New Roman" w:hAnsi="Times New Roman"/>
          <w:i/>
          <w:sz w:val="24"/>
        </w:rPr>
        <w:t>basiserkenning</w:t>
      </w:r>
      <w:r w:rsidRPr="00397FD3">
        <w:rPr>
          <w:rFonts w:ascii="Times New Roman" w:hAnsi="Times New Roman"/>
          <w:sz w:val="24"/>
        </w:rPr>
        <w:t>: basiserkenning als bedoeld in artikel 4aua, eerste lid;</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w. </w:t>
      </w:r>
      <w:r w:rsidRPr="00397FD3">
        <w:rPr>
          <w:rFonts w:ascii="Times New Roman" w:hAnsi="Times New Roman"/>
          <w:i/>
          <w:sz w:val="24"/>
        </w:rPr>
        <w:t>erkenning voor specifieke handelingen</w:t>
      </w:r>
      <w:r w:rsidRPr="00397FD3">
        <w:rPr>
          <w:rFonts w:ascii="Times New Roman" w:hAnsi="Times New Roman"/>
          <w:sz w:val="24"/>
        </w:rPr>
        <w:t>: erkenning als bedoeld in artikel 4aud, eerste lid;</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x. </w:t>
      </w:r>
      <w:proofErr w:type="spellStart"/>
      <w:r w:rsidRPr="00397FD3">
        <w:rPr>
          <w:rFonts w:ascii="Times New Roman" w:hAnsi="Times New Roman"/>
          <w:i/>
          <w:sz w:val="24"/>
        </w:rPr>
        <w:t>erkenninghouder</w:t>
      </w:r>
      <w:proofErr w:type="spellEnd"/>
      <w:r w:rsidRPr="00397FD3">
        <w:rPr>
          <w:rFonts w:ascii="Times New Roman" w:hAnsi="Times New Roman"/>
          <w:sz w:val="24"/>
        </w:rPr>
        <w:t>: natuurlijke persoon of rechtspersoon waaraan een basiserkenning in combinatie met één of meer erkenningen voor specifieke handelingen is verleend.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B</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lastRenderedPageBreak/>
        <w:t>Artikel 4b, eerste lid,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Onderdeel j komt te luiden: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j. het verlenen van erkenningen als bedoeld in de artikelen 4aua, eerste lid, en 4aud, eerste lid, en het verlenen van bevoegdheden als bedoeld in 4aue, eerste lid, alsmede het schorsen, wijzigen en intrekken van erkenningen en bevoegdheden,.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In onderdeel k wordt “van de bevoegdheid voertuigen aan een keuring te onderwerpen” vervangen door “bevoegdheden”.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C</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Na hoofdstuk IB wordt een hoofdstuk ingevoegd, luidende:</w:t>
      </w:r>
    </w:p>
    <w:p w:rsidRPr="00397FD3" w:rsidR="00397FD3" w:rsidP="00397FD3" w:rsidRDefault="00397FD3">
      <w:pPr>
        <w:spacing w:line="276" w:lineRule="exact"/>
        <w:rPr>
          <w:rFonts w:ascii="Times New Roman" w:hAnsi="Times New Roman"/>
          <w:sz w:val="24"/>
        </w:rPr>
      </w:pPr>
    </w:p>
    <w:p w:rsidR="00397FD3" w:rsidP="00397FD3" w:rsidRDefault="00397FD3">
      <w:pPr>
        <w:spacing w:line="276" w:lineRule="exact"/>
        <w:rPr>
          <w:rFonts w:ascii="Times New Roman" w:hAnsi="Times New Roman"/>
          <w:b/>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HOOFDSTUK IBA. ERKENNING VAN BEDRIJVEN VOOR HET VERRICHTEN VAN HANDELINGEN MET BETREKKING TOT DE REGISTRATIE VAN GEGEVENS IN HET KENTEKENREGISTER, DE FABRICAGE OF REGISTRATIE VAN KENTEKENPLATEN, DE KEURING VAN VOERTUIGEN OF DE INBOUW VAN ONDERDELEN OF APPARATEN IN VOERTUIGEN</w:t>
      </w:r>
    </w:p>
    <w:p w:rsidRPr="00397FD3" w:rsidR="00397FD3" w:rsidP="00397FD3" w:rsidRDefault="00397FD3">
      <w:pPr>
        <w:spacing w:line="276" w:lineRule="exact"/>
        <w:rPr>
          <w:rFonts w:ascii="Times New Roman" w:hAnsi="Times New Roman"/>
          <w:b/>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4aua</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De Dienst Wegverkeer kan aan een natuurlijke persoon of een rechtspersoon een basiserkenning verlenen waardoor deze gerechtigd is gebruik te maken van één of meer erkenningen voor specifieke handelingen die aan die natuurlijke persoon of rechtspersoon wordt of worden verleend.</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De basiserkenning wordt uitsluitend verleend in samenhang met één of meer erkenningen voor specifieke handelingen.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4aub</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De basiserkenning wordt door de Dienst Wegverkeer op aanvraag verleend, indien: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 de rechtspersoon of de onderneming van de natuurlijke persoon is ingeschreven in het handelsregister, bedoeld in artikel 2 van de Handelsregisterwet 2007;</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b. een verklaring omtrent het gedrag als bedoeld in artikel 28 van de Wet justitiële en strafvorderlijke gegevens die niet ouder is dan twee maanden is overgelegd; en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c. geen sprake is van een weigeringsgrond als bedoeld in artikel 3 van de Wet bevordering integriteitsbeoordelingen door het openbaar bestuur.</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Het eerste lid, onderdeel a, is niet van toepassing in bij ministeriële regeling te bepalen gevallen.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3. De verklaring omtrent het gedrag die overeenkomstig het eerste lid, onderdeel b, is overgelegd, wordt door de Dienst Wegverkeer vijf jaar bewaard.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4. Met een verklaring omtrent het gedrag wordt gelijkgesteld een verklaring omtrent het gedrag die is afgegeven door een daartoe bevoegde instantie in een andere lidstaat van de Europese Unie dan wel in een staat, niet zijnde een lidstaat van de Europese Unie, die partij is bij een daartoe strekkend of mede daartoe strekkend verdrag dat Nederland bindt, op basis van onderzoekingen of documenten die een beschermingsniveau bieden dat ten minste </w:t>
      </w:r>
      <w:r w:rsidRPr="00397FD3">
        <w:rPr>
          <w:rFonts w:ascii="Times New Roman" w:hAnsi="Times New Roman"/>
          <w:sz w:val="24"/>
        </w:rPr>
        <w:lastRenderedPageBreak/>
        <w:t>gelijkwaardig is aan het beschermingsniveau dat met de nationale onderzoekingen of documenten wordt geboden.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5. Voordat de Dienst Wegverkeer de verlening van de basiserkenning weigert op grond van het eerste lid, onderdeel c, kan hij het Bureau bevordering integriteitsbeoordelingen door het openbaar bestuur, bedoeld in artikel 8 van de Wet bevordering integriteitsbeoordelingen door het openbaar bestuur, om een advies als bedoeld in artikel 9 van die wet vragen.</w:t>
      </w:r>
    </w:p>
    <w:p w:rsidRPr="00397FD3" w:rsidR="00397FD3" w:rsidP="00397FD3" w:rsidRDefault="00397FD3">
      <w:pPr>
        <w:spacing w:line="276" w:lineRule="exact"/>
        <w:rPr>
          <w:rFonts w:ascii="Times New Roman" w:hAnsi="Times New Roman"/>
          <w:b/>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4auc</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1. Na de afgifte van de basiserkenning overlegt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eens per drie jaar een verklaring omtrent het gedrag die niet ouder is dan twee maanden.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2. In afwijking van het eerste lid overlegt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een verklaring omtrent het gedrag die niet ouder is dan twee maanden binnen een bij ministeriële regeling te bepalen termijn nadat een bij ministeriële regeling bepaalde gebeurtenis omtrent de onderneming van de </w:t>
      </w:r>
      <w:proofErr w:type="spellStart"/>
      <w:r w:rsidRPr="00397FD3">
        <w:rPr>
          <w:rFonts w:ascii="Times New Roman" w:hAnsi="Times New Roman"/>
          <w:sz w:val="24"/>
        </w:rPr>
        <w:t>erkenninghouder</w:t>
      </w:r>
      <w:proofErr w:type="spellEnd"/>
      <w:r w:rsidRPr="00397FD3">
        <w:rPr>
          <w:rFonts w:ascii="Times New Roman" w:hAnsi="Times New Roman"/>
          <w:sz w:val="24"/>
        </w:rPr>
        <w:t>, waaronder in ieder geval de toetreding van een nieuw lid tot het bestuur van een onderneming, zich voordoet.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3. De verklaring omtrent het gedrag die overeenkomstig het eerste lid is overgelegd, wordt door de Dienst Wegverkeer vijf jaar bewaard.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4aud</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1. De Dienst Wegverkeer kan aan een natuurlijke persoon of rechtspersoon een erkenning verlenen om te worden gerechtigd tot het verrichten van bij algemene maatregel van bestuur bepaalde </w:t>
      </w:r>
      <w:bookmarkStart w:name="_Hlk101281481" w:id="1"/>
      <w:r w:rsidRPr="00397FD3">
        <w:rPr>
          <w:rFonts w:ascii="Times New Roman" w:hAnsi="Times New Roman"/>
          <w:sz w:val="24"/>
        </w:rPr>
        <w:t>handelingen</w:t>
      </w:r>
      <w:bookmarkEnd w:id="1"/>
      <w:r w:rsidRPr="00397FD3">
        <w:rPr>
          <w:rFonts w:ascii="Times New Roman" w:hAnsi="Times New Roman"/>
          <w:sz w:val="24"/>
        </w:rPr>
        <w:t xml:space="preserve">, indien aan die natuurlijke persoon of rechtspersoon een basiserkenning is of tegelijkertijd wordt verleend. </w:t>
      </w:r>
      <w:r>
        <w:rPr>
          <w:rFonts w:ascii="Times New Roman" w:hAnsi="Times New Roman"/>
          <w:sz w:val="24"/>
        </w:rPr>
        <w:t>Het kan hierbij slechts gaan om</w:t>
      </w:r>
      <w:r w:rsidRPr="00397FD3">
        <w:rPr>
          <w:rFonts w:ascii="Times New Roman" w:hAnsi="Times New Roman"/>
          <w:sz w:val="24"/>
        </w:rPr>
        <w:t xml:space="preserve"> handelingen die betrekking hebben op de registratie van gegevens in het kentekenregister, de fabricage of registratie van kentekenplaten, de keuring van voertuigen of de inbouw van onderdelen of apparaten in voertuigen en voor zover de aard van deze handelingen zich niet verzet tegen verrichting ervan door een ander dan de Dienst Wegverkeer.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Bij of krachtens algemene maatregel van bestuur worden eisen en voorwaarden gesteld aan de aanvrager voor het verkrijgen respectievelijk behouden van een erkenning voor specifieke handelingen. De eisen betreffen onder meer de voor het verrichten van de desbetreffende handelingen benodigde apparatuur.</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3. Bij ministeriële regeling kan de eis worden gesteld dat ingevolge het tweede lid benodigde apparatuur is goedgekeurd door een door Onze Minister aan te wijzen keuringsinstelling en met de in die regeling vast te stellen periodiciteit is onderzocht door deze keuringsinstelling dan wel door een door deze keuringsinstelling erkende </w:t>
      </w:r>
      <w:proofErr w:type="spellStart"/>
      <w:r w:rsidRPr="00397FD3">
        <w:rPr>
          <w:rFonts w:ascii="Times New Roman" w:hAnsi="Times New Roman"/>
          <w:sz w:val="24"/>
        </w:rPr>
        <w:t>onderzoeksgerechtigde</w:t>
      </w:r>
      <w:proofErr w:type="spellEnd"/>
      <w:r w:rsidRPr="00397FD3">
        <w:rPr>
          <w:rFonts w:ascii="Times New Roman" w:hAnsi="Times New Roman"/>
          <w:sz w:val="24"/>
        </w:rPr>
        <w:t xml:space="preserve">. Bij die ministeriële regeling kunnen regels worden vastgesteld met betrekking tot de erkenning van </w:t>
      </w:r>
      <w:proofErr w:type="spellStart"/>
      <w:r w:rsidRPr="00397FD3">
        <w:rPr>
          <w:rFonts w:ascii="Times New Roman" w:hAnsi="Times New Roman"/>
          <w:sz w:val="24"/>
        </w:rPr>
        <w:t>onderzoeksgerechtigden</w:t>
      </w:r>
      <w:proofErr w:type="spellEnd"/>
      <w:r w:rsidRPr="00397FD3">
        <w:rPr>
          <w:rFonts w:ascii="Times New Roman" w:hAnsi="Times New Roman"/>
          <w:sz w:val="24"/>
        </w:rPr>
        <w:t xml:space="preserve">.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4. Bij ministeriële regeling kan worden bepaald dat middelen die worden gebruikt om de in het derde lid bedoelde apparatuur voor gebruik geschikt te maken zijn gecertificeerd door een door die keuringsinstelling erkende instelling en kunnen regels worden gesteld met betrekking tot die erkenning.</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5.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verwerkt persoonsgegevens voor zover dat noodzakelijk is om de bij de erkenning behorende taken en bevoegdheden te kunnen verrichten. Bij of krachtens algemene maatregel van bestuur kunnen over de verwerking nadere regels worden gesteld.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b/>
          <w:sz w:val="24"/>
        </w:rPr>
        <w:t>Artikel 4aue</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lastRenderedPageBreak/>
        <w:t>1. Bij algemene maatregel van bestuur kan worden bepaald dat handelingen in het kader van een erkenning voor specifieke handelingen met betrekking tot de keuring of inbouw van onderdelen of apparaten in voertuigen alleen worden verricht door natuurlijke personen die daartoe bevoegd zijn</w:t>
      </w:r>
      <w:r>
        <w:rPr>
          <w:rFonts w:ascii="Times New Roman" w:hAnsi="Times New Roman"/>
          <w:sz w:val="24"/>
        </w:rPr>
        <w: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De Dienst Wegverkeer kan bij besluit aan een natuurlijke persoon een bevoegdheid als bedoe</w:t>
      </w:r>
      <w:r>
        <w:rPr>
          <w:rFonts w:ascii="Times New Roman" w:hAnsi="Times New Roman"/>
          <w:sz w:val="24"/>
        </w:rPr>
        <w:t>ld in het eerste lid verlenen.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3. Bij of krachtens algemene maatregel van bestuur worden eisen en voorwaarden gesteld voor het verkrijgen respectievelijk behouden van een bevoegdheid als bedoeld in het tweede lid.</w:t>
      </w:r>
    </w:p>
    <w:p w:rsidRPr="00397FD3" w:rsidR="00397FD3" w:rsidP="00397FD3" w:rsidRDefault="00397FD3">
      <w:pPr>
        <w:spacing w:line="276" w:lineRule="exact"/>
        <w:rPr>
          <w:rFonts w:ascii="Times New Roman" w:hAnsi="Times New Roman"/>
          <w:b/>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4auf</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Een bij de Dienst Wegverkeer in te dienen aanvraag tot verlening van een basiserkenning, een erkenning voor specifieke handelingen of een bevoegdheid als bedoeld in artikel 4aue wordt ingediend op een door de Dienst Wegverkeer te bepalen wijze.</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2. De kosten die samenhangen met het in behandeling nemen van de aanvraag en in verband met het door de Dienst Wegverkeer verrichten van taken en handelingen en het nemen van besluiten als bedoeld in artikel 4b, eerste lid, onderdelen j en k, ten aanzien van erkenningen en bevoegdheden worden door de Dienst Wegverkeer vastgesteld en komen ten laste van de aanvrager onderscheidenlijk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of bevoegde persoon. </w:t>
      </w:r>
    </w:p>
    <w:p w:rsidRPr="00397FD3" w:rsidR="00397FD3" w:rsidP="00397FD3" w:rsidRDefault="00397FD3">
      <w:pPr>
        <w:spacing w:line="276" w:lineRule="exact"/>
        <w:rPr>
          <w:rFonts w:ascii="Times New Roman" w:hAnsi="Times New Roman"/>
          <w:b/>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4aug</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1. Met het toezicht op de naleving van de uit de basiserkenning, erkenning voor specifieke handelingen of bevoegdheid als bedoeld in artikel 4aue voortvloeiende verplichtingen en van de aan de basiserkenning, erkenning voor specifieke handelingen of bevoegdheid als bedoeld in artikel 4aue verbonden eisen en voorwaarden zijn belast de bij besluit van de Dienst Wegverkeer aangewezen ambtenaren.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2. Van een besluit als bedoeld in het eerste lid wordt mededeling gedaan door plaatsing in de Staatscourant. </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b/>
          <w:sz w:val="24"/>
        </w:rPr>
        <w:t>Artikel 4auh</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1. De Dienst Wegverkeer trekt een basiserkenning in: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a. indien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daarom verzoekt;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b. indien de gegevens die met het oog op de verkrijging van een basiserkenning zijn verstrekt, zodanig onjuist of onvolledig blijken, dat op de aanvraag een andere beslissing zou zijn genomen als bij de beoordeling daarvan de juiste omstandigheden volledig bekend waren geweest;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c. indien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geen verklaring omtrent het gedrag overlegt overeenkomstig artikel 4auc;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d. in het geval en onder de voorwaarden, bedoeld in artikel 3 van de Wet bevordering integriteitsbeoordelingen door het openbaar bestuur; of</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e. indien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geen erkenning voor specifieke handelingen meer heeft.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Voordat de Dienst Wegverkeer toepassing geeft aan het eerste lid, aanhef en onderdeel d, kan hij het Bureau bevordering integriteitsbeoordelingen door het openbaar bestuur, bedoeld in artikel 8 van de Wet bevordering integriteitsbeoordelingen door het openbaar bestuur, om een advies als bedoeld in artikel 9 van die wet vragen.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lastRenderedPageBreak/>
        <w:t>3. Een erkenning voor specifieke handelingen vervalt indien de basiserkenning is ingetrokken.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4. Het eerste lid, aanhef en onderdelen a en b, is van overeenkomstige toepassing op erkenningen voor specifieke handelingen.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5. De Dienst Wegverkeer trekt een bevoegdheid als bedoeld in artikel 4aue in indien: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 de degene aan wie de bevoegdheid is verleend daarom verzoekt; of</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b. de gegevens die met het oog op de verkrijging van de bevoegdheid zijn verstrekt, zodanig onjuist of onvolledig blijken, dat op de aanvraag een andere beslissing zou zijn genomen als bij de beoordeling daarvan de juiste omstandigheden volledig bekend waren geweest.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6. De Dienst Wegverkeer kan een basiserkenning, erkenning voor specifieke handelingen of bevoegdheid als bedoeld in artikel 4aue intrekken of wijzigen indien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of bevoegde persoon niet of niet meer voldoet aan de eisen voor de erkenning of bevoegdheid of aan de erkenning of bevoegdheid verbonden voorwaarden of uit de erkenning of bevoegdheid voortvloeiende verplichtingen niet nakomt of in strijd daarmee handelt.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7. De Dienst Wegverkeer kan voordat toepassing wordt gegeven aan het eerste lid, aanhef en onderdelen c en d, of het zesde lid, een basiserkenning, erkenning voor specifieke handelingen of bevoegdheid als bedoeld in artikel 4aue schorsen voor een door hem daarbij vast te stellen termijn van ten hoogste twaalf weken. Indien een basiserkenning wordt geschorst, worden de erkenningen voor specifieke handelingen van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voor dezelfde termijn geschorst.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8. Bij de intrekking van een basiserkenning, erkenning voor specifieke handelingen of bevoegdheid als bedoeld in artikel 4aue kan de Dienst Wegverkeer bepalen dat een wachttijd geldt voor het aanvragen van een basiserkenning, erkenning voor specifieke handelingen of bevoegdheid van ten hoogste 30 maanden.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4aui</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Het is een ieder aan wie niet een basiserkenning, erkenning voor specifieke handelingen of bevoegdheid als bedoeld in artikel 4aue is verleend, verboden zich op zodanige wijze te gedragen, uit te laten of voor te doen, dat daardoor de indruk kan worden gewekt, dat een zodanige erkenning of bevoegdheid aan hem is verleend. </w:t>
      </w:r>
    </w:p>
    <w:p w:rsidRPr="00397FD3" w:rsidR="00397FD3" w:rsidP="00397FD3" w:rsidRDefault="00397FD3">
      <w:pPr>
        <w:spacing w:line="276" w:lineRule="exact"/>
        <w:rPr>
          <w:rFonts w:ascii="Times New Roman" w:hAnsi="Times New Roman"/>
          <w:b/>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D</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In artikel 4av, eerste lid, wordt “ingevolge de artikelen 71a, 84, eerste lid, 101, eerste lid, en 106a, derde lid, jo. 101, eerste lid,” vervangen door “ingevolge de artikelen 4aud, derde en vierde lid, en 71a”.</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E</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In artikel 37, derde lid, komt de eerste zin te luiden: Voor bij algemene maatregel van bestuur aangewezen motorrijtuigen en aanhangwagens geldt niet het vereiste dat een kenteken voor een bepaald voertuig dient te zijn opgegeven, mits overeenkomstig die maatregel gebruik wordt gemaakt van een bij die maatregel aangewezen kenteken.</w:t>
      </w:r>
    </w:p>
    <w:p w:rsidRPr="00397FD3" w:rsidR="00397FD3" w:rsidP="00397FD3" w:rsidRDefault="00397FD3">
      <w:pPr>
        <w:pStyle w:val="HBJZ-Kamerstukken-regelafstand138"/>
        <w:rPr>
          <w:rFonts w:ascii="Times New Roman" w:hAnsi="Times New Roman" w:cs="Times New Roman"/>
          <w:sz w:val="24"/>
          <w:szCs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F</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lastRenderedPageBreak/>
        <w:t xml:space="preserve">In artikel 45a, tweede lid, wordt “degene aan wie het kentekenbewijs voor het betreffende motorrijtuig of aanhangwagen is afgegeven” vervangen door “degene die als </w:t>
      </w:r>
      <w:proofErr w:type="spellStart"/>
      <w:r w:rsidRPr="00397FD3">
        <w:rPr>
          <w:rFonts w:ascii="Times New Roman" w:hAnsi="Times New Roman"/>
          <w:sz w:val="24"/>
        </w:rPr>
        <w:t>tenaamgestelde</w:t>
      </w:r>
      <w:proofErr w:type="spellEnd"/>
      <w:r w:rsidRPr="00397FD3">
        <w:rPr>
          <w:rFonts w:ascii="Times New Roman" w:hAnsi="Times New Roman"/>
          <w:sz w:val="24"/>
        </w:rPr>
        <w:t xml:space="preserve"> in het kentekenregister staat geregistreerd dan wel, indien het voertuig niet </w:t>
      </w:r>
      <w:proofErr w:type="spellStart"/>
      <w:r w:rsidRPr="00397FD3">
        <w:rPr>
          <w:rFonts w:ascii="Times New Roman" w:hAnsi="Times New Roman"/>
          <w:sz w:val="24"/>
        </w:rPr>
        <w:t>tenaamgesteld</w:t>
      </w:r>
      <w:proofErr w:type="spellEnd"/>
      <w:r w:rsidRPr="00397FD3">
        <w:rPr>
          <w:rFonts w:ascii="Times New Roman" w:hAnsi="Times New Roman"/>
          <w:sz w:val="24"/>
        </w:rPr>
        <w:t xml:space="preserve"> is,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het voertuig ter inschrijving in het kentekenregister heeft aangeboden of die het voertuig in zijn bedrijfsvoorraad heeft opgenomen”.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G</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In artikel 48, tweede lid, wordt “artikel 99, eerste lid, of 100, eerste lid,” vervangen door “artikel 99”.</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H</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49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In het eerste lid, onderdeel a, vervalt “in het kentekenregister of”.</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In het tweede lid, onderdeel b, vervalt “het kentekenregister of”.</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I</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50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Het eerste lid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a. In de aanhef wordt “een erkende instantie als bedoeld in de artikelen 61a, eerste lid, of 62, eerste lid,” vervangen door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gerechtigd is motorrijtuigen en aanhangwagens te naam te stellen in het kentekenregister”.</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b. Onderdeel a komt te luiden: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a. de aanvraag wordt ingediend door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gerechtigd is motorrijtuigen en aanhangwagens op te nemen in zijn bedrijfsvoorraad ten behoeve van opname in de eigen bedrijfsvoorraad,.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Het tweede lid vervalt onder vernummering van het derde tot en met zesde lid tot tweede tot en met vijfde lid.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3. In het derde lid (nieuw), eerste zin, wordt na “handelsregister” ingevoegd “en de aanvrager ingevolge het eerste lid verplicht is persoonlijk te verschijnen” en vervalt “om persoonlijk te verschijnen”.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J</w:t>
      </w:r>
    </w:p>
    <w:p w:rsidRPr="00397FD3" w:rsidR="00397FD3" w:rsidP="00397FD3" w:rsidRDefault="00397FD3">
      <w:pPr>
        <w:spacing w:line="276" w:lineRule="exact"/>
        <w:rPr>
          <w:rFonts w:ascii="Times New Roman" w:hAnsi="Times New Roman"/>
          <w:sz w:val="24"/>
        </w:rPr>
      </w:pPr>
    </w:p>
    <w:p w:rsidRPr="00397FD3" w:rsidR="00397FD3" w:rsidP="00D83C27" w:rsidRDefault="00397FD3">
      <w:pPr>
        <w:spacing w:line="276" w:lineRule="exact"/>
        <w:ind w:firstLine="284"/>
        <w:rPr>
          <w:rFonts w:ascii="Times New Roman" w:hAnsi="Times New Roman"/>
          <w:sz w:val="24"/>
        </w:rPr>
      </w:pPr>
      <w:r w:rsidRPr="00397FD3">
        <w:rPr>
          <w:rFonts w:ascii="Times New Roman" w:hAnsi="Times New Roman"/>
          <w:sz w:val="24"/>
        </w:rPr>
        <w:t>Artikel 61 komt te luiden: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61</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Het is verboden ten opzichte van een motorrijtuig of een aanhangwagen opzettelijk gebruik te maken van een kentekenbewijs dat niet aan de eigenaar of houder voor dat motorrijtuig of </w:t>
      </w:r>
      <w:r w:rsidRPr="00397FD3">
        <w:rPr>
          <w:rFonts w:ascii="Times New Roman" w:hAnsi="Times New Roman"/>
          <w:sz w:val="24"/>
        </w:rPr>
        <w:lastRenderedPageBreak/>
        <w:t>die aanhangwagen is afgegeven, als ware het aan deze voor dat motorrijtuig of die aanhangwagen afgegeven.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K</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Hoofdstuk IV, paragrafen 4c, 5 en 5a, vervallen. </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L</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70a vervalt.</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M</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70b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b/>
          <w:sz w:val="24"/>
        </w:rPr>
      </w:pPr>
      <w:r w:rsidRPr="00397FD3">
        <w:rPr>
          <w:rFonts w:ascii="Times New Roman" w:hAnsi="Times New Roman"/>
          <w:sz w:val="24"/>
        </w:rPr>
        <w:t>1. Het eerste en tweede lid komen te luiden: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1.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gerechtigd is tot fabricage en levering van blanco-kentekenplaten en van kentekenplaten is verplicht bij of krachtens algemene maatregel van bestuur bepaalde gegevens te registreren in een door de Dienst Wegverkeer beheerd register.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Uit de registratie worden door de Dienst Wegverkeer uitsluitend en desgevraagd aan de ambtenaren van politie gegevens verstrekt voor zover deze noodzakelijk zijn voor de goede vervulling van hun taak.</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2. Het derde tot en met vijfde lid vervallen onder vernummering van het zesde lid tot derde lid. </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3. In het derde lid (nieuw) wordt “ministeriële regeling” vervangen door “algemene maatregel van bestuur”.</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De artikelen 70c tot en met 70g vervallen.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O</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70i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Het eerste lid komt te luiden: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De eigenaar of houder van een motorrijtuig of aanhangwagen is verplicht tot inlevering van de betrokken kentekenplaten in geval van: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a. overdracht van dat motorrijtuig of die aanhangwagen aan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gerechtigd is motorrijtuigen en aanhangwagens te exporteren of te demonteren ten behoeve van uitvoer naar het buitenland of voorgoed buitengebruikstelling;</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b. beëindiging van de tenaamstelling van dat motorrijtuig of die aanhangwagen door een daartoe gerechtigde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ten behoeve van uitvoer naar het buitenland;</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c. vervanging van één of meer kentekenplaten door een nieuwe kentekenplaat of kentekenplaten gefabriceerd en geleverd door een daartoe gerechtigde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in verband met: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beschadiging van één of meer kentekenplaten;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lastRenderedPageBreak/>
        <w:t>2°. het voorgenomen gebruik van het betrokken motorrijtuig als taxi of de beëindiging van zodanig gebruik;</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3°. wijziging van de maximumconstructiesnelheid van een bromfiets.</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Onder vernummering van het tweede en derde lid tot derde en vierde lid wordt een lid ingevoegd, luidende:</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2. De inlevering van kentekenplaten, bedoeld in het eerste lid, vindt plaats tegelijk met de handeling, bedoeld in het eerste lid, bij 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de handeling uitvoert. </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3. In het derde lid (nieuw) wordt “een erkend bedrijf als bedoeld in artikel 62 of artikel 66a” vervangen door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als bedoeld in het eerste lid, onderdeel a of b,”.</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P</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70j komt te luiden: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b/>
          <w:sz w:val="24"/>
        </w:rPr>
        <w:t>Artikel 70j</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De Dienst Wegverkeer is, overeenkomstig bij ministeriële regeling vast te stellen regels, verplicht tot vernietiging van de overeenkomstig artikel 70i, derde en vierde lid, bij die dienst ingeleverde kentekenplaten.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Q</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In artikel 78, eerste lid, onderdeel b, wordt “een ingevolge artikel 84 erkende natuurlijke persoon of rechtspersoon” vervangen door “een daartoe gerechtigde </w:t>
      </w:r>
      <w:proofErr w:type="spellStart"/>
      <w:r w:rsidRPr="00397FD3">
        <w:rPr>
          <w:rFonts w:ascii="Times New Roman" w:hAnsi="Times New Roman"/>
          <w:sz w:val="24"/>
        </w:rPr>
        <w:t>erkenninghouder</w:t>
      </w:r>
      <w:proofErr w:type="spellEnd"/>
      <w:r w:rsidRPr="00397FD3">
        <w:rPr>
          <w:rFonts w:ascii="Times New Roman" w:hAnsi="Times New Roman"/>
          <w:sz w:val="24"/>
        </w:rPr>
        <w:t>”.</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R</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Het opschrift van paragraaf 5 van hoofdstuk V komt te luiden: </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i/>
          <w:sz w:val="24"/>
        </w:rPr>
      </w:pPr>
      <w:r w:rsidRPr="00397FD3">
        <w:rPr>
          <w:rFonts w:ascii="Times New Roman" w:hAnsi="Times New Roman"/>
          <w:i/>
          <w:sz w:val="24"/>
        </w:rPr>
        <w:t>§ 5. Kwaliteitstoezicht periodieke keuringen.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S</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De artikelen 83 tot en met 85a vervallen.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T</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86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In het eerste lid wordt “drie van elke honderd” vervangen door “een bij ministeriële regeling te bepalen aantal”.</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Het vijfde en zesde lid vervallen onder vernummering van het zevende lid tot vijfde lid.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3. In het vijfde lid (nieuw) wordt na “vastgesteld” ingevoegd “betreffende het in het eerste lid bedoelde aantal voertuigen waarop een steekproef wordt uitgevoerd,”. </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lastRenderedPageBreak/>
        <w:t>U</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De artikelen 87 tot en met 89 vervallen.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V</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Hoofdstuk V, paragraaf 6a, vervalt.</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W</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Aan artikel 99 wordt een lid toegevoegd, luidende:</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3. In afwijking van het eerste lid wordt door de Dienst Wegverkeer de goedkeuring voor een wijziging in de bouw of inrichting verleend indien door een daartoe gerechtigde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wordt gewaarborgd dat de aangebrachte wijziging voldoet aan de ingevolge hoofdstuk III en hoofdstuk V voor deze goedkeuring vastgestelde eisen.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X</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Hoofdstuk V, paragraaf 8, vervalt.</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Y</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Aan artikel 106 wordt een lid toegevoegd, luidende:</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3. In afwijking van het eerste lid wordt door de Dienst Wegverkeer de goedkeuring van een schadevoertuig na verval van de tenaamstelling verleend indien het voertuig bij een door een daartoe gerechtigde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verrichte keuring heeft beantwoord aan de bij of krachtens deze wet vastgestelde eisen.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Z</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Hoofdstuk V, paragraaf 9a, vervalt.</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AA</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In artikel 163, vijfde, zevende en achtste lid, wordt “Onze Minister van Veiligheid en Justitie” vervangen door “Onze Minister van Justitie en Veiligheid”.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BB</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169a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Voor de tekst wordt de aanduiding “1.” geplaatst.</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Er wordt een lid toegevoegd, luidende:</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2. Onverminderd artikel 169 is de Dienst Wegverkeer bevoegd tot het opleggen van een last onder bestuursdwang ter handhaving van de verplichtingen en verboden in artikel 4aui alsmede van de bij of krachtens de artikelen 4aud, tweede lid, en 4aue, derde lid, bedoelde voorwaarden voor het behouden van een erkenning voor specifieke handelingen </w:t>
      </w:r>
      <w:r w:rsidRPr="00397FD3">
        <w:rPr>
          <w:rFonts w:ascii="Times New Roman" w:hAnsi="Times New Roman"/>
          <w:sz w:val="24"/>
        </w:rPr>
        <w:lastRenderedPageBreak/>
        <w:t xml:space="preserve">respectievelijk van een bevoegdheid als bedoeld in artikel 4aue, voor zover dat bij of krachtens algemene maatregel van bestuur is bepaald. </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CC</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Na artikel 174c wordt een artikel ingevoegd, luidende:</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b/>
          <w:sz w:val="24"/>
        </w:rPr>
        <w:t>Artikel 174d</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De Dienst Wegverkeer kan in verband met een basiserkenning, erkenning voor specifieke handelingen of bevoegdheid als bedoeld in artikel 4aue aan degene die handelt in strijd met de in artikel 4aui van deze wet en artikel 5:20, eerste lid, van de Algemene wet bestuursrecht bedoelde verplichtingen en verboden een bestuurlijke boete opleggen.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2. De Dienst Wegverkeer kan in verband met een basiserkenning, erkenning voor specifieke handelingen of bevoegdheid als bedoeld in artikel 4aue aan degene die handelt in strijd met voorwaarden voor het behouden van een erkenning als bedoeld in artikel 4aud, tweede lid, en voorwaarden voor het behouden van een bevoegdheid als bedoeld in artikel 4aue, derde lid, een bestuurlijke boete opleggen, voor zover het in strijd handelen met de desbetreffende voorwaarde daarbij uitdrukkelijk als </w:t>
      </w:r>
      <w:proofErr w:type="spellStart"/>
      <w:r w:rsidRPr="00397FD3">
        <w:rPr>
          <w:rFonts w:ascii="Times New Roman" w:hAnsi="Times New Roman"/>
          <w:sz w:val="24"/>
        </w:rPr>
        <w:t>beboetbaar</w:t>
      </w:r>
      <w:proofErr w:type="spellEnd"/>
      <w:r w:rsidRPr="00397FD3">
        <w:rPr>
          <w:rFonts w:ascii="Times New Roman" w:hAnsi="Times New Roman"/>
          <w:sz w:val="24"/>
        </w:rPr>
        <w:t xml:space="preserve"> feit is aangemerkt.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3. De hoogte van de bestuurlijke boete die voor een overtreding van artikel 4aui van deze wet kan worden opgelegd, bedraagt ten hoogste het bedrag dat is vastgesteld voor:</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 de derde categorie, bedoeld in artikel 23, vierde lid, van het Wetboek van Strafrecht voor een natuurlijke persoon zonder onderneming;</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b. de vierde categorie, bedoeld in artikel 23, vierde lid, van het Wetboek van Strafrecht voor een natuurlijke persoon met een onderneming;</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c. de vijfde categorie, bedoeld in artikel 23, vierde lid, van het Wetboek van Strafrecht voor een rechtspersoon.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4. De hoogte van de bestuurlijke boete die voor een overtreding als bedoeld in het tweede lid kan worden opgelegd wordt bij algemene maatregel van bestuur bepaald, met dien verstande dat de hoogte van de wegens een afzonderlijke overtreding te betalen bestuurlijke boete ten hoogste bedraagt het bedrag dat is vastgesteld voor:</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 de derde categorie, bedoeld in artikel 23, vierde lid, van het Wetboek van Strafrecht voor een bevoegde natuurlijke persoon als bedoeld in artikel 4aue, eerste lid;</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b. de vierde categorie, bedoeld in artikel 23, vierde lid, van het Wetboek van Strafrecht voor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een natuurlijke persoon is;</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c. de vijfde categorie, bedoeld in artikel 23, vierde lid, van het Wetboek van Strafrecht voor een </w:t>
      </w:r>
      <w:proofErr w:type="spellStart"/>
      <w:r w:rsidRPr="00397FD3">
        <w:rPr>
          <w:rFonts w:ascii="Times New Roman" w:hAnsi="Times New Roman"/>
          <w:sz w:val="24"/>
        </w:rPr>
        <w:t>erkenninghouder</w:t>
      </w:r>
      <w:proofErr w:type="spellEnd"/>
      <w:r w:rsidRPr="00397FD3">
        <w:rPr>
          <w:rFonts w:ascii="Times New Roman" w:hAnsi="Times New Roman"/>
          <w:sz w:val="24"/>
        </w:rPr>
        <w:t xml:space="preserve"> die een rechtspersoon is.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5. De hoogte van de bestuurlijke boete die voor een overtreding van artikel 5:20, eerste lid, van de Algemene wet bestuursrecht kan worden opgelegd, bedraagt ten hoogste een het bedrag dat is vastgesteld voor de tweede categorie, bedoeld in artikel 23, vierde lid, van het Wetboek van Strafrecht.</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6. De op te leggen bestuurlijke boete kan met maximaal 50% worden verhoogd, indien binnen een periode van 48 maanden tweemaal voor een zelfde feit, elk afzonderlijk in een periode van maximaal 24 maanden voorafgaand aan dat feit, een boete is opgelegd en onherroepelijk is geworden.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DD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In artikel 176, vijfde lid, wordt “61, eerste lid, onderdeel c” vervangen door “61”.</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EE</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177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Het tweede lid wordt als volgt gewijzigd: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 In onderdeel a vervalt “70a, tweede lid,” en wordt “70i, eerste en tweede lid” vervangen door “70i, eerste tot en met derde lid”.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b. In onderdeel b wordt “70i, derde lid” vervangen door “70i, vierde lid”.</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In het derde lid wordt “de artikelen 61e, 66, 66e, 70g, 89, 96, 104 en 106b” vervangen door “artikel 4aui”.</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sz w:val="24"/>
        </w:rPr>
        <w:t>FF</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Artikel 186c komt te luiden:</w:t>
      </w:r>
    </w:p>
    <w:p w:rsidRPr="00397FD3"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rPr>
          <w:rFonts w:ascii="Times New Roman" w:hAnsi="Times New Roman"/>
          <w:sz w:val="24"/>
        </w:rPr>
      </w:pPr>
      <w:r w:rsidRPr="00397FD3">
        <w:rPr>
          <w:rFonts w:ascii="Times New Roman" w:hAnsi="Times New Roman"/>
          <w:b/>
          <w:sz w:val="24"/>
        </w:rPr>
        <w:t>Artikel 186c</w:t>
      </w:r>
    </w:p>
    <w:p w:rsidR="00397FD3" w:rsidP="00397FD3" w:rsidRDefault="00397FD3">
      <w:pPr>
        <w:spacing w:line="276" w:lineRule="exact"/>
        <w:rPr>
          <w:rFonts w:ascii="Times New Roman" w:hAnsi="Times New Roman"/>
          <w:sz w:val="24"/>
        </w:rPr>
      </w:pP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1. In afwijking van artikel 4aub, eerste lid, wordt een basiserkenning van rechtswege verleend aan de natuurlijke personen en rechtspersonen aan wie op het tijdstip direct voorafgaand aan de inwerkingtreding van de Wet van … tot wijziging van de Wegenverkeerswet 1994 in verband met de modernisering van het erkenningenstelsel, het verbeteren van de handhaafbaarheid en enkele andere wijzigingen (Stb. …, …) een erkenning als bedoeld in de artikelen 61a, 62, 66a, 70a, 83, 92, 100 en 106a van de Wegenverkeerswet 1994 zoals die luidden op dat tijdstip was verleend.</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2. Erkenningen die op het tijdstip direct voorafgaand aan de inwerkingtreding van de Wet van … tot wijziging van de Wegenverkeerswet 1994 in verband met de modernisering van het erkenningenstelsel, het verbeteren van de handhaafbaarheid en enkele andere wijzigingen (Stb. …, …) waren verleend op grond van de artikelen 61a, 62, 66a, 70a, 83, 92, 100 en 106a van deze wet zoals die luidden voor de inwerkingtreding van de genoemde wet, berusten op artikel 4aud, eerste lid. De eerste zin is van overeenkomstige toepassing op de bevoegdheden bedoeld in artikel 62, tweede lid, van deze wet zoals die luidden voor de inwerkingtreding van de genoemde wet, die na de inwerkingtreding worden aangemerkt als erkenningen voor specifieke handelingen.</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3. In afwijking van artikel 4aub, eerste lid, onderdeel b, overlegt de natuurlijke persoon of rechtspersoon, bedoeld in het eerste lid, voor het eerst een verklaring omtrent het gedrag: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a. vóór een bij ministeriële regeling te bepalen datum die afhankelijk is van de datum waarop aan die natuurlijke persoon of rechtspersoon voor het eerst een erkenning als bedoeld in artikel 61a, 62, 66a, 70a, 83, 92, 100 of 106a van de Wegenverkeerswet 1994 zoals dat artikel luidde voor de inwerkingtreding van de wet, genoemd in het eerste lid, is verleend; of</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b. bij de aanvraag van een erkenning voor specifieke handelingen, indien de aanvraag wordt gedaan voor de van toepassing zijnde datum, bedoeld in onderdeel a.</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4. In afwijking van artikel 4auc, eerste lid, vangt de daarin genoemde termijn van drie jaar aan op de datum waarop voor het eerst een verklaring omtrent het gedrag is overgelegd. </w:t>
      </w:r>
    </w:p>
    <w:p w:rsidRPr="00397FD3" w:rsidR="00397FD3" w:rsidP="00397FD3" w:rsidRDefault="00397FD3">
      <w:pPr>
        <w:spacing w:line="276" w:lineRule="exact"/>
        <w:ind w:firstLine="284"/>
        <w:rPr>
          <w:rFonts w:ascii="Times New Roman" w:hAnsi="Times New Roman"/>
          <w:sz w:val="24"/>
        </w:rPr>
      </w:pPr>
      <w:r w:rsidRPr="00397FD3">
        <w:rPr>
          <w:rFonts w:ascii="Times New Roman" w:hAnsi="Times New Roman"/>
          <w:sz w:val="24"/>
        </w:rPr>
        <w:t xml:space="preserve">5. Bevoegdheden die op het tijdstip direct voorafgaand aan de inwerkingtreding van de Wet van … tot wijziging van de Wegenverkeerswet 1994 in verband met de modernisering </w:t>
      </w:r>
      <w:r w:rsidRPr="00397FD3">
        <w:rPr>
          <w:rFonts w:ascii="Times New Roman" w:hAnsi="Times New Roman"/>
          <w:sz w:val="24"/>
        </w:rPr>
        <w:lastRenderedPageBreak/>
        <w:t>van het erkenningenstelsel, het verbeteren van de handhaafbaarheid en enkele andere wijzigingen (Stb. …, …) waren verleend op grond van artikel 85a van deze wet zoals die luidden voor de inwerkingtreding van de genoemde wet, berusten op artikel 4aue, tweede lid.</w:t>
      </w:r>
    </w:p>
    <w:p w:rsidRPr="00397FD3" w:rsidR="00397FD3" w:rsidP="00397FD3" w:rsidRDefault="00397FD3">
      <w:pPr>
        <w:spacing w:line="276" w:lineRule="exact"/>
        <w:rPr>
          <w:rFonts w:ascii="Times New Roman" w:hAnsi="Times New Roman"/>
          <w:b/>
          <w:sz w:val="24"/>
        </w:rPr>
      </w:pPr>
    </w:p>
    <w:p w:rsidR="00397FD3" w:rsidP="00397FD3" w:rsidRDefault="00397FD3">
      <w:pPr>
        <w:spacing w:line="276" w:lineRule="exact"/>
        <w:rPr>
          <w:rFonts w:ascii="Times New Roman" w:hAnsi="Times New Roman"/>
          <w:b/>
          <w:sz w:val="24"/>
        </w:rPr>
      </w:pPr>
    </w:p>
    <w:p w:rsidRPr="00397FD3" w:rsidR="00397FD3" w:rsidP="00397FD3" w:rsidRDefault="00397FD3">
      <w:pPr>
        <w:spacing w:line="276" w:lineRule="exact"/>
        <w:rPr>
          <w:rFonts w:ascii="Times New Roman" w:hAnsi="Times New Roman"/>
          <w:b/>
          <w:sz w:val="24"/>
        </w:rPr>
      </w:pPr>
      <w:r w:rsidRPr="00397FD3">
        <w:rPr>
          <w:rFonts w:ascii="Times New Roman" w:hAnsi="Times New Roman"/>
          <w:b/>
          <w:sz w:val="24"/>
        </w:rPr>
        <w:t>ARTIKEL II</w:t>
      </w:r>
    </w:p>
    <w:p w:rsidRPr="00397FD3" w:rsidR="00397FD3" w:rsidP="00397FD3" w:rsidRDefault="00397FD3">
      <w:pPr>
        <w:spacing w:line="276" w:lineRule="exact"/>
        <w:rPr>
          <w:rFonts w:ascii="Times New Roman" w:hAnsi="Times New Roman"/>
          <w:sz w:val="24"/>
        </w:rPr>
      </w:pPr>
    </w:p>
    <w:p w:rsidR="00397FD3" w:rsidP="00397FD3" w:rsidRDefault="00397FD3">
      <w:pPr>
        <w:pStyle w:val="HBJZ-Kamerstukken-regelafstand138"/>
        <w:rPr>
          <w:rFonts w:ascii="Times New Roman" w:hAnsi="Times New Roman" w:cs="Times New Roman"/>
          <w:sz w:val="24"/>
          <w:szCs w:val="24"/>
        </w:rPr>
      </w:pPr>
      <w:r w:rsidRPr="00397FD3">
        <w:rPr>
          <w:rFonts w:ascii="Times New Roman" w:hAnsi="Times New Roman" w:cs="Times New Roman"/>
          <w:sz w:val="24"/>
          <w:szCs w:val="24"/>
        </w:rPr>
        <w:t xml:space="preserve">Deze wet treedt in werking met ingang van een bij koninklijk besluit te bepalen tijdstip. </w:t>
      </w:r>
    </w:p>
    <w:p w:rsidR="00397FD3" w:rsidP="00397FD3" w:rsidRDefault="00397FD3">
      <w:pPr>
        <w:pStyle w:val="HBJZ-Kamerstukken-regelafstand138"/>
        <w:rPr>
          <w:rFonts w:ascii="Times New Roman" w:hAnsi="Times New Roman" w:cs="Times New Roman"/>
          <w:sz w:val="24"/>
          <w:szCs w:val="24"/>
        </w:rPr>
      </w:pPr>
    </w:p>
    <w:p w:rsidR="00397FD3" w:rsidP="00397FD3" w:rsidRDefault="00397FD3">
      <w:pPr>
        <w:pStyle w:val="HBJZ-Kamerstukken-regelafstand138"/>
        <w:rPr>
          <w:rFonts w:ascii="Times New Roman" w:hAnsi="Times New Roman" w:cs="Times New Roman"/>
          <w:sz w:val="24"/>
          <w:szCs w:val="24"/>
        </w:rPr>
      </w:pPr>
    </w:p>
    <w:p w:rsidR="00E50CAD" w:rsidRDefault="00E50CAD">
      <w:pPr>
        <w:rPr>
          <w:rFonts w:ascii="Times New Roman" w:hAnsi="Times New Roman" w:eastAsia="DejaVu Sans"/>
          <w:color w:val="000000"/>
          <w:sz w:val="24"/>
        </w:rPr>
      </w:pPr>
      <w:r>
        <w:rPr>
          <w:rFonts w:ascii="Times New Roman" w:hAnsi="Times New Roman"/>
          <w:sz w:val="24"/>
        </w:rPr>
        <w:br w:type="page"/>
      </w:r>
    </w:p>
    <w:p w:rsidRPr="00397FD3" w:rsidR="00397FD3" w:rsidP="00397FD3" w:rsidRDefault="00397FD3">
      <w:pPr>
        <w:pStyle w:val="HBJZ-Kamerstukken-regelafstand138"/>
        <w:ind w:firstLine="284"/>
        <w:rPr>
          <w:rFonts w:ascii="Times New Roman" w:hAnsi="Times New Roman" w:cs="Times New Roman"/>
          <w:sz w:val="24"/>
          <w:szCs w:val="24"/>
        </w:rPr>
      </w:pPr>
      <w:r w:rsidRPr="00397FD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397FD3" w:rsidR="00397FD3" w:rsidP="00397FD3" w:rsidRDefault="00397FD3">
      <w:pPr>
        <w:pStyle w:val="HBJZ-Kamerstukken-regelafstand138"/>
        <w:rPr>
          <w:rFonts w:ascii="Times New Roman" w:hAnsi="Times New Roman" w:cs="Times New Roman"/>
          <w:sz w:val="24"/>
          <w:szCs w:val="24"/>
        </w:rPr>
      </w:pPr>
    </w:p>
    <w:p w:rsidRPr="00397FD3" w:rsidR="00397FD3" w:rsidP="00397FD3" w:rsidRDefault="00397FD3">
      <w:pPr>
        <w:pStyle w:val="HBJZ-Kamerstukken-regelafstand138"/>
        <w:rPr>
          <w:rFonts w:ascii="Times New Roman" w:hAnsi="Times New Roman" w:cs="Times New Roman"/>
          <w:sz w:val="24"/>
          <w:szCs w:val="24"/>
        </w:rPr>
      </w:pPr>
      <w:r>
        <w:rPr>
          <w:rFonts w:ascii="Times New Roman" w:hAnsi="Times New Roman" w:cs="Times New Roman"/>
          <w:sz w:val="24"/>
          <w:szCs w:val="24"/>
        </w:rPr>
        <w:t>Gegeven</w:t>
      </w:r>
    </w:p>
    <w:p w:rsidRPr="00397FD3" w:rsidR="00397FD3" w:rsidP="00397FD3" w:rsidRDefault="00397FD3">
      <w:pPr>
        <w:pStyle w:val="HBJZ-Kamerstukken-regelafstand138"/>
        <w:rPr>
          <w:rFonts w:ascii="Times New Roman" w:hAnsi="Times New Roman" w:cs="Times New Roman"/>
          <w:sz w:val="24"/>
          <w:szCs w:val="24"/>
        </w:rPr>
      </w:pPr>
    </w:p>
    <w:p w:rsidRPr="00397FD3" w:rsidR="00397FD3" w:rsidP="00397FD3" w:rsidRDefault="00397FD3">
      <w:pPr>
        <w:pStyle w:val="HBJZ-Kamerstukken-regelafstand138"/>
        <w:rPr>
          <w:rFonts w:ascii="Times New Roman" w:hAnsi="Times New Roman" w:cs="Times New Roman"/>
          <w:sz w:val="24"/>
          <w:szCs w:val="24"/>
        </w:rPr>
      </w:pPr>
    </w:p>
    <w:p w:rsidRPr="00397FD3" w:rsidR="00397FD3" w:rsidP="00397FD3" w:rsidRDefault="00397FD3">
      <w:pPr>
        <w:pStyle w:val="HBJZ-Kamerstukken-regelafstand138"/>
        <w:rPr>
          <w:rFonts w:ascii="Times New Roman" w:hAnsi="Times New Roman" w:cs="Times New Roman"/>
          <w:sz w:val="24"/>
          <w:szCs w:val="24"/>
        </w:rPr>
      </w:pPr>
    </w:p>
    <w:p w:rsidR="00397FD3" w:rsidP="00397FD3" w:rsidRDefault="00397FD3">
      <w:pPr>
        <w:rPr>
          <w:rFonts w:ascii="Times New Roman" w:hAnsi="Times New Roman"/>
          <w:sz w:val="24"/>
        </w:rPr>
      </w:pPr>
    </w:p>
    <w:p w:rsidR="00397FD3" w:rsidP="00397FD3" w:rsidRDefault="00397FD3">
      <w:pPr>
        <w:rPr>
          <w:rFonts w:ascii="Times New Roman" w:hAnsi="Times New Roman"/>
          <w:sz w:val="24"/>
        </w:rPr>
      </w:pPr>
    </w:p>
    <w:p w:rsidR="00397FD3" w:rsidP="00397FD3" w:rsidRDefault="00397FD3">
      <w:pPr>
        <w:rPr>
          <w:rFonts w:ascii="Times New Roman" w:hAnsi="Times New Roman"/>
          <w:sz w:val="24"/>
        </w:rPr>
      </w:pPr>
    </w:p>
    <w:p w:rsidR="00397FD3" w:rsidP="00397FD3" w:rsidRDefault="00397FD3">
      <w:pPr>
        <w:rPr>
          <w:rFonts w:ascii="Times New Roman" w:hAnsi="Times New Roman"/>
          <w:sz w:val="24"/>
        </w:rPr>
      </w:pPr>
    </w:p>
    <w:p w:rsidR="00397FD3" w:rsidP="00397FD3" w:rsidRDefault="00397FD3">
      <w:pPr>
        <w:rPr>
          <w:rFonts w:ascii="Times New Roman" w:hAnsi="Times New Roman"/>
          <w:sz w:val="24"/>
        </w:rPr>
      </w:pPr>
    </w:p>
    <w:p w:rsidRPr="00397FD3" w:rsidR="00397FD3" w:rsidP="00397FD3" w:rsidRDefault="00397FD3">
      <w:pPr>
        <w:rPr>
          <w:rFonts w:ascii="Times New Roman" w:hAnsi="Times New Roman"/>
          <w:sz w:val="24"/>
        </w:rPr>
      </w:pPr>
    </w:p>
    <w:p w:rsidRPr="00397FD3" w:rsidR="00397FD3" w:rsidP="00397FD3" w:rsidRDefault="00397FD3">
      <w:pPr>
        <w:pStyle w:val="HBJZ-Kamerstukken-regelafstand138"/>
        <w:rPr>
          <w:rFonts w:ascii="Times New Roman" w:hAnsi="Times New Roman" w:cs="Times New Roman"/>
          <w:sz w:val="24"/>
          <w:szCs w:val="24"/>
        </w:rPr>
      </w:pPr>
      <w:r>
        <w:rPr>
          <w:rFonts w:ascii="Times New Roman" w:hAnsi="Times New Roman" w:cs="Times New Roman"/>
          <w:sz w:val="24"/>
          <w:szCs w:val="24"/>
        </w:rPr>
        <w:t>De Minister van Infrastructuur e</w:t>
      </w:r>
      <w:r w:rsidRPr="00397FD3">
        <w:rPr>
          <w:rFonts w:ascii="Times New Roman" w:hAnsi="Times New Roman" w:cs="Times New Roman"/>
          <w:sz w:val="24"/>
          <w:szCs w:val="24"/>
        </w:rPr>
        <w:t>n Waterstaat,</w:t>
      </w:r>
    </w:p>
    <w:sectPr w:rsidRPr="00397FD3" w:rsidR="00397FD3" w:rsidSect="00E50CAD">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D3" w:rsidRDefault="00397FD3">
      <w:pPr>
        <w:spacing w:line="20" w:lineRule="exact"/>
      </w:pPr>
    </w:p>
  </w:endnote>
  <w:endnote w:type="continuationSeparator" w:id="0">
    <w:p w:rsidR="00397FD3" w:rsidRDefault="00397FD3">
      <w:pPr>
        <w:pStyle w:val="Amendement"/>
      </w:pPr>
      <w:r>
        <w:rPr>
          <w:b w:val="0"/>
          <w:bCs w:val="0"/>
        </w:rPr>
        <w:t xml:space="preserve"> </w:t>
      </w:r>
    </w:p>
  </w:endnote>
  <w:endnote w:type="continuationNotice" w:id="1">
    <w:p w:rsidR="00397FD3" w:rsidRDefault="00397F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231D">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D3" w:rsidRDefault="00397FD3">
      <w:pPr>
        <w:pStyle w:val="Amendement"/>
      </w:pPr>
      <w:r>
        <w:rPr>
          <w:b w:val="0"/>
          <w:bCs w:val="0"/>
        </w:rPr>
        <w:separator/>
      </w:r>
    </w:p>
  </w:footnote>
  <w:footnote w:type="continuationSeparator" w:id="0">
    <w:p w:rsidR="00397FD3" w:rsidRDefault="00397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D3"/>
    <w:rsid w:val="00012DBE"/>
    <w:rsid w:val="000A1D81"/>
    <w:rsid w:val="00111ED3"/>
    <w:rsid w:val="001C190E"/>
    <w:rsid w:val="002168F4"/>
    <w:rsid w:val="002A727C"/>
    <w:rsid w:val="00397FD3"/>
    <w:rsid w:val="005D2707"/>
    <w:rsid w:val="00606255"/>
    <w:rsid w:val="006567E7"/>
    <w:rsid w:val="006B607A"/>
    <w:rsid w:val="007D451C"/>
    <w:rsid w:val="00826224"/>
    <w:rsid w:val="00930A23"/>
    <w:rsid w:val="009C7354"/>
    <w:rsid w:val="009E6D7F"/>
    <w:rsid w:val="00A11E73"/>
    <w:rsid w:val="00A2521E"/>
    <w:rsid w:val="00AE436A"/>
    <w:rsid w:val="00C135B1"/>
    <w:rsid w:val="00C92DF8"/>
    <w:rsid w:val="00CA231D"/>
    <w:rsid w:val="00CB3578"/>
    <w:rsid w:val="00D20AFA"/>
    <w:rsid w:val="00D55648"/>
    <w:rsid w:val="00D83C27"/>
    <w:rsid w:val="00E16443"/>
    <w:rsid w:val="00E36EE9"/>
    <w:rsid w:val="00E50CA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F212FF-E486-4536-A2AA-B6CC0F0F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397FD3"/>
    <w:pPr>
      <w:autoSpaceDN w:val="0"/>
      <w:spacing w:line="276" w:lineRule="exact"/>
      <w:textAlignment w:val="baseline"/>
    </w:pPr>
    <w:rPr>
      <w:rFonts w:eastAsia="DejaVu Sans" w:cs="Lohit Hindi"/>
      <w:color w:val="000000"/>
      <w:sz w:val="18"/>
      <w:szCs w:val="18"/>
    </w:rPr>
  </w:style>
  <w:style w:type="paragraph" w:customStyle="1" w:styleId="avmp">
    <w:name w:val="avmp"/>
    <w:rsid w:val="00E50CAD"/>
  </w:style>
  <w:style w:type="paragraph" w:styleId="Ballontekst">
    <w:name w:val="Balloon Text"/>
    <w:basedOn w:val="Standaard"/>
    <w:link w:val="BallontekstChar"/>
    <w:semiHidden/>
    <w:unhideWhenUsed/>
    <w:rsid w:val="00E50CAD"/>
    <w:rPr>
      <w:rFonts w:ascii="Segoe UI" w:hAnsi="Segoe UI" w:cs="Segoe UI"/>
      <w:sz w:val="18"/>
      <w:szCs w:val="18"/>
    </w:rPr>
  </w:style>
  <w:style w:type="character" w:customStyle="1" w:styleId="BallontekstChar">
    <w:name w:val="Ballontekst Char"/>
    <w:basedOn w:val="Standaardalinea-lettertype"/>
    <w:link w:val="Ballontekst"/>
    <w:semiHidden/>
    <w:rsid w:val="00E50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4013</ap:Words>
  <ap:Characters>22348</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2023-02-02T10:30:00.0000000Z</lastPrinted>
  <dcterms:created xsi:type="dcterms:W3CDTF">2023-02-02T10:26:00.0000000Z</dcterms:created>
  <dcterms:modified xsi:type="dcterms:W3CDTF">2023-02-02T10:33:00.0000000Z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